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FF0B7" w14:textId="3D31FEB4" w:rsidR="00E551D2" w:rsidRDefault="201B8668" w:rsidP="005A16CB">
      <w:pPr>
        <w:pStyle w:val="CoverTitleMain"/>
        <w:jc w:val="left"/>
      </w:pPr>
      <w:r w:rsidRPr="748CEA18">
        <w:t>Impact Analysis</w:t>
      </w:r>
      <w:r>
        <w:br/>
      </w:r>
      <w:r w:rsidR="000A746C">
        <w:t>Scams Prevention</w:t>
      </w:r>
      <w:r w:rsidR="00C37F68">
        <w:t xml:space="preserve"> Framework</w:t>
      </w:r>
    </w:p>
    <w:p w14:paraId="7F9E0C06" w14:textId="14A611F3" w:rsidR="000029ED" w:rsidRDefault="0025194C" w:rsidP="000029ED">
      <w:pPr>
        <w:pStyle w:val="CoverDate"/>
        <w:rPr>
          <w:rStyle w:val="ReportDateChar"/>
        </w:rPr>
        <w:sectPr w:rsidR="000029ED" w:rsidSect="00BA38FA">
          <w:headerReference w:type="even" r:id="rId7"/>
          <w:headerReference w:type="default" r:id="rId8"/>
          <w:footerReference w:type="even" r:id="rId9"/>
          <w:footerReference w:type="default" r:id="rId10"/>
          <w:headerReference w:type="first" r:id="rId11"/>
          <w:footerReference w:type="first" r:id="rId12"/>
          <w:type w:val="oddPage"/>
          <w:pgSz w:w="11906" w:h="16838"/>
          <w:pgMar w:top="1418" w:right="1418" w:bottom="1418" w:left="1418" w:header="709" w:footer="709" w:gutter="0"/>
          <w:pgNumType w:fmt="lowerRoman"/>
          <w:cols w:space="708"/>
          <w:titlePg/>
          <w:docGrid w:linePitch="360"/>
        </w:sectPr>
      </w:pPr>
      <w:r>
        <w:rPr>
          <w:rStyle w:val="ReportDateChar"/>
        </w:rPr>
        <w:t xml:space="preserve">October </w:t>
      </w:r>
      <w:r w:rsidR="005A477A">
        <w:rPr>
          <w:rStyle w:val="ReportDateChar"/>
        </w:rPr>
        <w:t>2024</w:t>
      </w:r>
    </w:p>
    <w:p w14:paraId="6D404201" w14:textId="2D88CBA2" w:rsidR="001464B0" w:rsidRDefault="001464B0" w:rsidP="001464B0">
      <w:pPr>
        <w:spacing w:before="0" w:after="160" w:line="259" w:lineRule="auto"/>
      </w:pPr>
      <w:r w:rsidRPr="00661BF0">
        <w:lastRenderedPageBreak/>
        <w:t xml:space="preserve">© Commonwealth of </w:t>
      </w:r>
      <w:r w:rsidRPr="00242304">
        <w:t>Australia 20</w:t>
      </w:r>
      <w:r w:rsidR="00242304" w:rsidRPr="00242304">
        <w:t>24</w:t>
      </w:r>
    </w:p>
    <w:p w14:paraId="55311C12" w14:textId="4CB6A2CA" w:rsidR="001464B0" w:rsidRPr="00086F82" w:rsidRDefault="001464B0" w:rsidP="001464B0">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4"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580EB42E" w14:textId="77777777" w:rsidR="001464B0" w:rsidRDefault="001464B0" w:rsidP="001464B0">
      <w:pPr>
        <w:pStyle w:val="ChartGraphic"/>
        <w:jc w:val="left"/>
      </w:pPr>
      <w:r w:rsidRPr="00E56DFB">
        <w:rPr>
          <w:noProof/>
        </w:rPr>
        <w:drawing>
          <wp:inline distT="0" distB="0" distL="0" distR="0" wp14:anchorId="73AC60D8" wp14:editId="370C3E13">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7233A27" w14:textId="77777777" w:rsidR="001464B0" w:rsidRPr="006627B4" w:rsidRDefault="001464B0" w:rsidP="001464B0">
      <w:pPr>
        <w:tabs>
          <w:tab w:val="left" w:pos="1650"/>
        </w:tabs>
        <w:spacing w:before="240"/>
      </w:pPr>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2D7AC429" w14:textId="77777777" w:rsidR="001464B0" w:rsidRPr="006469CC" w:rsidRDefault="001464B0" w:rsidP="001464B0">
      <w:pPr>
        <w:spacing w:before="240"/>
        <w:rPr>
          <w:b/>
        </w:rPr>
      </w:pPr>
      <w:r w:rsidRPr="006469CC">
        <w:rPr>
          <w:b/>
        </w:rPr>
        <w:t>Treasury material used ‘as supplied’.</w:t>
      </w:r>
    </w:p>
    <w:p w14:paraId="59C41223" w14:textId="77777777" w:rsidR="001464B0" w:rsidRPr="00476F09" w:rsidRDefault="001464B0" w:rsidP="001464B0">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1F8C03A" w14:textId="20EB603A" w:rsidR="001464B0" w:rsidRPr="00A13A11" w:rsidRDefault="001464B0" w:rsidP="001464B0">
      <w:pPr>
        <w:ind w:firstLine="720"/>
      </w:pPr>
      <w:r w:rsidRPr="002F1BC2">
        <w:rPr>
          <w:i/>
        </w:rPr>
        <w:t xml:space="preserve">Source: The </w:t>
      </w:r>
      <w:r w:rsidRPr="002F1BC2">
        <w:rPr>
          <w:i/>
          <w:iCs/>
        </w:rPr>
        <w:t xml:space="preserve">Australian Government the Treasury </w:t>
      </w:r>
    </w:p>
    <w:p w14:paraId="4EF3400B" w14:textId="77777777" w:rsidR="001464B0" w:rsidRPr="006627B4" w:rsidRDefault="001464B0" w:rsidP="001464B0">
      <w:pPr>
        <w:spacing w:before="240"/>
      </w:pPr>
      <w:r w:rsidRPr="00CC63CC">
        <w:rPr>
          <w:b/>
        </w:rPr>
        <w:t>Derivative</w:t>
      </w:r>
      <w:r w:rsidRPr="006627B4">
        <w:t xml:space="preserve"> </w:t>
      </w:r>
      <w:r w:rsidRPr="00CC63CC">
        <w:rPr>
          <w:b/>
        </w:rPr>
        <w:t>material</w:t>
      </w:r>
    </w:p>
    <w:p w14:paraId="64ECD111" w14:textId="77777777" w:rsidR="001464B0" w:rsidRPr="006627B4" w:rsidRDefault="001464B0" w:rsidP="001464B0">
      <w:r w:rsidRPr="006627B4">
        <w:t xml:space="preserve">If you have modified or transformed Treasury material, or derived new material from those of the Treasury in any way, then Treasury prefers the following attribution: </w:t>
      </w:r>
    </w:p>
    <w:p w14:paraId="6C1D68AB" w14:textId="2C1C8CD0" w:rsidR="001464B0" w:rsidRPr="006627B4" w:rsidRDefault="001464B0" w:rsidP="001464B0">
      <w:pPr>
        <w:ind w:firstLine="720"/>
      </w:pPr>
      <w:r w:rsidRPr="002F1BC2">
        <w:rPr>
          <w:i/>
        </w:rPr>
        <w:t>Based on The Australian Government the Treasury data</w:t>
      </w:r>
      <w:r w:rsidRPr="006627B4">
        <w:t xml:space="preserve"> </w:t>
      </w:r>
    </w:p>
    <w:p w14:paraId="3F454CC0" w14:textId="77777777" w:rsidR="001464B0" w:rsidRPr="006627B4" w:rsidRDefault="001464B0" w:rsidP="001464B0">
      <w:pPr>
        <w:spacing w:before="240"/>
        <w:rPr>
          <w:b/>
        </w:rPr>
      </w:pPr>
      <w:r w:rsidRPr="006627B4">
        <w:rPr>
          <w:b/>
        </w:rPr>
        <w:t>Use of the Coat of Arms</w:t>
      </w:r>
    </w:p>
    <w:p w14:paraId="609E397D" w14:textId="77777777" w:rsidR="001464B0" w:rsidRPr="005C503A" w:rsidRDefault="001464B0" w:rsidP="001464B0">
      <w:pPr>
        <w:spacing w:before="240"/>
      </w:pPr>
      <w:r w:rsidRPr="005C503A">
        <w:t xml:space="preserve">The terms under which the Coat of Arms can be used are set out on the Department of the Prime Minister and Cabinet website (see </w:t>
      </w:r>
      <w:hyperlink r:id="rId17" w:history="1">
        <w:r w:rsidR="00132A89" w:rsidRPr="000E4882">
          <w:rPr>
            <w:rStyle w:val="Hyperlink"/>
          </w:rPr>
          <w:t>www.pmc.gov.au/honours-and-symbols/commonwealth-coat-arms</w:t>
        </w:r>
      </w:hyperlink>
      <w:r w:rsidRPr="005C503A">
        <w:t>).</w:t>
      </w:r>
    </w:p>
    <w:p w14:paraId="31106526" w14:textId="77777777" w:rsidR="001464B0" w:rsidRPr="006627B4" w:rsidRDefault="001464B0" w:rsidP="001464B0">
      <w:pPr>
        <w:spacing w:before="240"/>
        <w:rPr>
          <w:b/>
        </w:rPr>
      </w:pPr>
      <w:r>
        <w:rPr>
          <w:b/>
        </w:rPr>
        <w:t>Other u</w:t>
      </w:r>
      <w:r w:rsidRPr="006627B4">
        <w:rPr>
          <w:b/>
        </w:rPr>
        <w:t>ses</w:t>
      </w:r>
    </w:p>
    <w:p w14:paraId="5D053C7E" w14:textId="77777777" w:rsidR="001464B0" w:rsidRPr="006627B4" w:rsidRDefault="001464B0" w:rsidP="001464B0">
      <w:r>
        <w:t>E</w:t>
      </w:r>
      <w:r w:rsidRPr="006627B4">
        <w:t>nquiries regarding this licence and any other use of this document are welcome at:</w:t>
      </w:r>
    </w:p>
    <w:p w14:paraId="2CEE97E0" w14:textId="77777777" w:rsidR="001464B0" w:rsidRPr="002F1BC2" w:rsidRDefault="001464B0" w:rsidP="001464B0">
      <w:pPr>
        <w:ind w:left="720"/>
        <w:rPr>
          <w:rStyle w:val="Hyperlink"/>
        </w:rPr>
      </w:pPr>
      <w:r w:rsidRPr="006627B4">
        <w:t>Manager</w:t>
      </w:r>
      <w:r>
        <w:br/>
        <w:t>Media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8" w:history="1">
        <w:r w:rsidR="00E900B8">
          <w:rPr>
            <w:rStyle w:val="Hyperlink"/>
          </w:rPr>
          <w:t>media@treasury.gov.au</w:t>
        </w:r>
      </w:hyperlink>
    </w:p>
    <w:p w14:paraId="6017C005" w14:textId="77777777" w:rsidR="006D1CFC" w:rsidRPr="002437D1" w:rsidRDefault="006D1CFC" w:rsidP="006D1CFC">
      <w:pPr>
        <w:rPr>
          <w:i/>
          <w:iCs/>
        </w:r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882568">
        <w:rPr>
          <w:i/>
          <w:iCs/>
        </w:rPr>
        <w:t>.</w:t>
      </w:r>
    </w:p>
    <w:p w14:paraId="0A2E6400" w14:textId="77777777" w:rsidR="006D1CFC" w:rsidRPr="000029ED" w:rsidRDefault="006D1CFC" w:rsidP="000029ED"/>
    <w:p w14:paraId="30BF01DB" w14:textId="77777777" w:rsidR="000029ED" w:rsidRDefault="000029ED" w:rsidP="000029ED">
      <w:pPr>
        <w:rPr>
          <w:rStyle w:val="ReportDateChar"/>
        </w:rPr>
        <w:sectPr w:rsidR="000029ED" w:rsidSect="001B2A30">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709" w:gutter="0"/>
          <w:pgNumType w:fmt="lowerRoman"/>
          <w:cols w:space="708"/>
          <w:titlePg/>
          <w:docGrid w:linePitch="360"/>
        </w:sectPr>
      </w:pPr>
    </w:p>
    <w:bookmarkStart w:id="0" w:name="_Toc179556388" w:displacedByCustomXml="next"/>
    <w:sdt>
      <w:sdtPr>
        <w:rPr>
          <w:rFonts w:asciiTheme="minorHAnsi" w:eastAsiaTheme="minorEastAsia" w:hAnsiTheme="minorHAnsi" w:cstheme="minorBidi"/>
          <w:b w:val="0"/>
          <w:color w:val="auto"/>
          <w:kern w:val="0"/>
          <w:sz w:val="22"/>
          <w:szCs w:val="22"/>
          <w:lang w:eastAsia="en-US"/>
        </w:rPr>
        <w:id w:val="-863443742"/>
        <w:docPartObj>
          <w:docPartGallery w:val="Table of Contents"/>
          <w:docPartUnique/>
        </w:docPartObj>
      </w:sdtPr>
      <w:sdtEndPr>
        <w:rPr>
          <w:lang w:eastAsia="en-AU"/>
        </w:rPr>
      </w:sdtEndPr>
      <w:sdtContent>
        <w:p w14:paraId="2AB70EB1" w14:textId="4BA96076" w:rsidR="00E551D2" w:rsidRDefault="00E551D2" w:rsidP="00BA38FA">
          <w:pPr>
            <w:pStyle w:val="Heading1"/>
          </w:pPr>
          <w:r>
            <w:t>Contents</w:t>
          </w:r>
          <w:bookmarkEnd w:id="0"/>
        </w:p>
        <w:p w14:paraId="4CE84853" w14:textId="0858B9F4" w:rsidR="00860226" w:rsidRDefault="00E551D2">
          <w:pPr>
            <w:pStyle w:val="TOC1"/>
            <w:rPr>
              <w:rFonts w:asciiTheme="minorHAnsi" w:eastAsiaTheme="minorEastAsia" w:hAnsiTheme="minorHAnsi" w:cstheme="minorBidi"/>
              <w:b w:val="0"/>
              <w:color w:val="auto"/>
              <w:kern w:val="2"/>
              <w14:ligatures w14:val="standardContextual"/>
            </w:rPr>
          </w:pPr>
          <w:r>
            <w:rPr>
              <w:b w:val="0"/>
              <w:noProof w:val="0"/>
            </w:rPr>
            <w:fldChar w:fldCharType="begin"/>
          </w:r>
          <w:r>
            <w:instrText xml:space="preserve"> TOC \o "1-3" \h \z \u </w:instrText>
          </w:r>
          <w:r>
            <w:rPr>
              <w:b w:val="0"/>
              <w:noProof w:val="0"/>
            </w:rPr>
            <w:fldChar w:fldCharType="separate"/>
          </w:r>
          <w:hyperlink w:anchor="_Toc179556388" w:history="1">
            <w:r w:rsidR="00860226" w:rsidRPr="00992F3C">
              <w:rPr>
                <w:rStyle w:val="Hyperlink"/>
              </w:rPr>
              <w:t>Contents</w:t>
            </w:r>
            <w:r w:rsidR="00860226">
              <w:rPr>
                <w:webHidden/>
              </w:rPr>
              <w:tab/>
            </w:r>
            <w:r w:rsidR="00860226">
              <w:rPr>
                <w:webHidden/>
              </w:rPr>
              <w:fldChar w:fldCharType="begin"/>
            </w:r>
            <w:r w:rsidR="00860226">
              <w:rPr>
                <w:webHidden/>
              </w:rPr>
              <w:instrText xml:space="preserve"> PAGEREF _Toc179556388 \h </w:instrText>
            </w:r>
            <w:r w:rsidR="00860226">
              <w:rPr>
                <w:webHidden/>
              </w:rPr>
            </w:r>
            <w:r w:rsidR="00860226">
              <w:rPr>
                <w:webHidden/>
              </w:rPr>
              <w:fldChar w:fldCharType="separate"/>
            </w:r>
            <w:r w:rsidR="00F56DD4">
              <w:rPr>
                <w:webHidden/>
              </w:rPr>
              <w:t>iii</w:t>
            </w:r>
            <w:r w:rsidR="00860226">
              <w:rPr>
                <w:webHidden/>
              </w:rPr>
              <w:fldChar w:fldCharType="end"/>
            </w:r>
          </w:hyperlink>
        </w:p>
        <w:p w14:paraId="062B87F3" w14:textId="00DCB8B2" w:rsidR="00860226" w:rsidRDefault="00230512">
          <w:pPr>
            <w:pStyle w:val="TOC1"/>
            <w:rPr>
              <w:rFonts w:asciiTheme="minorHAnsi" w:eastAsiaTheme="minorEastAsia" w:hAnsiTheme="minorHAnsi" w:cstheme="minorBidi"/>
              <w:b w:val="0"/>
              <w:color w:val="auto"/>
              <w:kern w:val="2"/>
              <w14:ligatures w14:val="standardContextual"/>
            </w:rPr>
          </w:pPr>
          <w:hyperlink w:anchor="_Toc179556389" w:history="1">
            <w:r w:rsidR="00860226" w:rsidRPr="00992F3C">
              <w:rPr>
                <w:rStyle w:val="Hyperlink"/>
              </w:rPr>
              <w:t>Executive summary</w:t>
            </w:r>
            <w:r w:rsidR="00860226">
              <w:rPr>
                <w:webHidden/>
              </w:rPr>
              <w:tab/>
            </w:r>
            <w:r w:rsidR="00860226">
              <w:rPr>
                <w:webHidden/>
              </w:rPr>
              <w:fldChar w:fldCharType="begin"/>
            </w:r>
            <w:r w:rsidR="00860226">
              <w:rPr>
                <w:webHidden/>
              </w:rPr>
              <w:instrText xml:space="preserve"> PAGEREF _Toc179556389 \h </w:instrText>
            </w:r>
            <w:r w:rsidR="00860226">
              <w:rPr>
                <w:webHidden/>
              </w:rPr>
            </w:r>
            <w:r w:rsidR="00860226">
              <w:rPr>
                <w:webHidden/>
              </w:rPr>
              <w:fldChar w:fldCharType="separate"/>
            </w:r>
            <w:r w:rsidR="00F56DD4">
              <w:rPr>
                <w:webHidden/>
              </w:rPr>
              <w:t>1</w:t>
            </w:r>
            <w:r w:rsidR="00860226">
              <w:rPr>
                <w:webHidden/>
              </w:rPr>
              <w:fldChar w:fldCharType="end"/>
            </w:r>
          </w:hyperlink>
        </w:p>
        <w:p w14:paraId="4F0B290D" w14:textId="0C4048C0" w:rsidR="00860226" w:rsidRDefault="00230512">
          <w:pPr>
            <w:pStyle w:val="TOC1"/>
            <w:rPr>
              <w:rFonts w:asciiTheme="minorHAnsi" w:eastAsiaTheme="minorEastAsia" w:hAnsiTheme="minorHAnsi" w:cstheme="minorBidi"/>
              <w:b w:val="0"/>
              <w:color w:val="auto"/>
              <w:kern w:val="2"/>
              <w14:ligatures w14:val="standardContextual"/>
            </w:rPr>
          </w:pPr>
          <w:hyperlink w:anchor="_Toc179556390" w:history="1">
            <w:r w:rsidR="00860226" w:rsidRPr="00992F3C">
              <w:rPr>
                <w:rStyle w:val="Hyperlink"/>
              </w:rPr>
              <w:t>Background</w:t>
            </w:r>
            <w:r w:rsidR="00860226">
              <w:rPr>
                <w:webHidden/>
              </w:rPr>
              <w:tab/>
            </w:r>
            <w:r w:rsidR="00860226">
              <w:rPr>
                <w:webHidden/>
              </w:rPr>
              <w:fldChar w:fldCharType="begin"/>
            </w:r>
            <w:r w:rsidR="00860226">
              <w:rPr>
                <w:webHidden/>
              </w:rPr>
              <w:instrText xml:space="preserve"> PAGEREF _Toc179556390 \h </w:instrText>
            </w:r>
            <w:r w:rsidR="00860226">
              <w:rPr>
                <w:webHidden/>
              </w:rPr>
            </w:r>
            <w:r w:rsidR="00860226">
              <w:rPr>
                <w:webHidden/>
              </w:rPr>
              <w:fldChar w:fldCharType="separate"/>
            </w:r>
            <w:r w:rsidR="00F56DD4">
              <w:rPr>
                <w:webHidden/>
              </w:rPr>
              <w:t>2</w:t>
            </w:r>
            <w:r w:rsidR="00860226">
              <w:rPr>
                <w:webHidden/>
              </w:rPr>
              <w:fldChar w:fldCharType="end"/>
            </w:r>
          </w:hyperlink>
        </w:p>
        <w:p w14:paraId="7A32C544" w14:textId="43870954" w:rsidR="00860226" w:rsidRDefault="00230512">
          <w:pPr>
            <w:pStyle w:val="TOC1"/>
            <w:tabs>
              <w:tab w:val="left" w:pos="660"/>
            </w:tabs>
            <w:rPr>
              <w:rFonts w:asciiTheme="minorHAnsi" w:eastAsiaTheme="minorEastAsia" w:hAnsiTheme="minorHAnsi" w:cstheme="minorBidi"/>
              <w:b w:val="0"/>
              <w:color w:val="auto"/>
              <w:kern w:val="2"/>
              <w14:ligatures w14:val="standardContextual"/>
            </w:rPr>
          </w:pPr>
          <w:hyperlink w:anchor="_Toc179556391" w:history="1">
            <w:r w:rsidR="00860226" w:rsidRPr="00992F3C">
              <w:rPr>
                <w:rStyle w:val="Hyperlink"/>
              </w:rPr>
              <w:t>1.</w:t>
            </w:r>
            <w:r w:rsidR="00860226">
              <w:rPr>
                <w:rFonts w:asciiTheme="minorHAnsi" w:eastAsiaTheme="minorEastAsia" w:hAnsiTheme="minorHAnsi" w:cstheme="minorBidi"/>
                <w:b w:val="0"/>
                <w:color w:val="auto"/>
                <w:kern w:val="2"/>
                <w14:ligatures w14:val="standardContextual"/>
              </w:rPr>
              <w:tab/>
            </w:r>
            <w:r w:rsidR="00860226" w:rsidRPr="00992F3C">
              <w:rPr>
                <w:rStyle w:val="Hyperlink"/>
              </w:rPr>
              <w:t>Policy problem</w:t>
            </w:r>
            <w:r w:rsidR="00860226">
              <w:rPr>
                <w:webHidden/>
              </w:rPr>
              <w:tab/>
            </w:r>
            <w:r w:rsidR="00860226">
              <w:rPr>
                <w:webHidden/>
              </w:rPr>
              <w:fldChar w:fldCharType="begin"/>
            </w:r>
            <w:r w:rsidR="00860226">
              <w:rPr>
                <w:webHidden/>
              </w:rPr>
              <w:instrText xml:space="preserve"> PAGEREF _Toc179556391 \h </w:instrText>
            </w:r>
            <w:r w:rsidR="00860226">
              <w:rPr>
                <w:webHidden/>
              </w:rPr>
            </w:r>
            <w:r w:rsidR="00860226">
              <w:rPr>
                <w:webHidden/>
              </w:rPr>
              <w:fldChar w:fldCharType="separate"/>
            </w:r>
            <w:r w:rsidR="00F56DD4">
              <w:rPr>
                <w:webHidden/>
              </w:rPr>
              <w:t>3</w:t>
            </w:r>
            <w:r w:rsidR="00860226">
              <w:rPr>
                <w:webHidden/>
              </w:rPr>
              <w:fldChar w:fldCharType="end"/>
            </w:r>
          </w:hyperlink>
        </w:p>
        <w:p w14:paraId="08C6B0FA" w14:textId="4AA87F9D" w:rsidR="00860226" w:rsidRDefault="00230512">
          <w:pPr>
            <w:pStyle w:val="TOC3"/>
            <w:rPr>
              <w:rFonts w:asciiTheme="minorHAnsi" w:eastAsiaTheme="minorEastAsia" w:hAnsiTheme="minorHAnsi" w:cstheme="minorBidi"/>
              <w:kern w:val="2"/>
              <w:szCs w:val="22"/>
              <w14:ligatures w14:val="standardContextual"/>
            </w:rPr>
          </w:pPr>
          <w:hyperlink w:anchor="_Toc179556392" w:history="1">
            <w:r w:rsidR="00860226" w:rsidRPr="00992F3C">
              <w:rPr>
                <w:rStyle w:val="Hyperlink"/>
              </w:rPr>
              <w:t>1.1 Scams are a significant issue of growing concern</w:t>
            </w:r>
            <w:r w:rsidR="00860226">
              <w:rPr>
                <w:webHidden/>
              </w:rPr>
              <w:tab/>
            </w:r>
            <w:r w:rsidR="00860226">
              <w:rPr>
                <w:webHidden/>
              </w:rPr>
              <w:fldChar w:fldCharType="begin"/>
            </w:r>
            <w:r w:rsidR="00860226">
              <w:rPr>
                <w:webHidden/>
              </w:rPr>
              <w:instrText xml:space="preserve"> PAGEREF _Toc179556392 \h </w:instrText>
            </w:r>
            <w:r w:rsidR="00860226">
              <w:rPr>
                <w:webHidden/>
              </w:rPr>
            </w:r>
            <w:r w:rsidR="00860226">
              <w:rPr>
                <w:webHidden/>
              </w:rPr>
              <w:fldChar w:fldCharType="separate"/>
            </w:r>
            <w:r w:rsidR="00F56DD4">
              <w:rPr>
                <w:webHidden/>
              </w:rPr>
              <w:t>3</w:t>
            </w:r>
            <w:r w:rsidR="00860226">
              <w:rPr>
                <w:webHidden/>
              </w:rPr>
              <w:fldChar w:fldCharType="end"/>
            </w:r>
          </w:hyperlink>
        </w:p>
        <w:p w14:paraId="49801041" w14:textId="21EB8D56" w:rsidR="00860226" w:rsidRDefault="00230512">
          <w:pPr>
            <w:pStyle w:val="TOC3"/>
            <w:rPr>
              <w:rFonts w:asciiTheme="minorHAnsi" w:eastAsiaTheme="minorEastAsia" w:hAnsiTheme="minorHAnsi" w:cstheme="minorBidi"/>
              <w:kern w:val="2"/>
              <w:szCs w:val="22"/>
              <w14:ligatures w14:val="standardContextual"/>
            </w:rPr>
          </w:pPr>
          <w:hyperlink w:anchor="_Toc179556393" w:history="1">
            <w:r w:rsidR="00860226" w:rsidRPr="00992F3C">
              <w:rPr>
                <w:rStyle w:val="Hyperlink"/>
              </w:rPr>
              <w:t>1.2 Drivers of scams</w:t>
            </w:r>
            <w:r w:rsidR="00860226">
              <w:rPr>
                <w:webHidden/>
              </w:rPr>
              <w:tab/>
            </w:r>
            <w:r w:rsidR="00860226">
              <w:rPr>
                <w:webHidden/>
              </w:rPr>
              <w:fldChar w:fldCharType="begin"/>
            </w:r>
            <w:r w:rsidR="00860226">
              <w:rPr>
                <w:webHidden/>
              </w:rPr>
              <w:instrText xml:space="preserve"> PAGEREF _Toc179556393 \h </w:instrText>
            </w:r>
            <w:r w:rsidR="00860226">
              <w:rPr>
                <w:webHidden/>
              </w:rPr>
            </w:r>
            <w:r w:rsidR="00860226">
              <w:rPr>
                <w:webHidden/>
              </w:rPr>
              <w:fldChar w:fldCharType="separate"/>
            </w:r>
            <w:r w:rsidR="00F56DD4">
              <w:rPr>
                <w:webHidden/>
              </w:rPr>
              <w:t>7</w:t>
            </w:r>
            <w:r w:rsidR="00860226">
              <w:rPr>
                <w:webHidden/>
              </w:rPr>
              <w:fldChar w:fldCharType="end"/>
            </w:r>
          </w:hyperlink>
        </w:p>
        <w:p w14:paraId="50FC789C" w14:textId="64E9AABF" w:rsidR="00860226" w:rsidRDefault="00230512">
          <w:pPr>
            <w:pStyle w:val="TOC3"/>
            <w:rPr>
              <w:rFonts w:asciiTheme="minorHAnsi" w:eastAsiaTheme="minorEastAsia" w:hAnsiTheme="minorHAnsi" w:cstheme="minorBidi"/>
              <w:kern w:val="2"/>
              <w:szCs w:val="22"/>
              <w14:ligatures w14:val="standardContextual"/>
            </w:rPr>
          </w:pPr>
          <w:hyperlink w:anchor="_Toc179556394" w:history="1">
            <w:r w:rsidR="00860226" w:rsidRPr="00992F3C">
              <w:rPr>
                <w:rStyle w:val="Hyperlink"/>
              </w:rPr>
              <w:t>1.3 Industry responses to scams activity</w:t>
            </w:r>
            <w:r w:rsidR="00860226">
              <w:rPr>
                <w:webHidden/>
              </w:rPr>
              <w:tab/>
            </w:r>
            <w:r w:rsidR="00860226">
              <w:rPr>
                <w:webHidden/>
              </w:rPr>
              <w:fldChar w:fldCharType="begin"/>
            </w:r>
            <w:r w:rsidR="00860226">
              <w:rPr>
                <w:webHidden/>
              </w:rPr>
              <w:instrText xml:space="preserve"> PAGEREF _Toc179556394 \h </w:instrText>
            </w:r>
            <w:r w:rsidR="00860226">
              <w:rPr>
                <w:webHidden/>
              </w:rPr>
            </w:r>
            <w:r w:rsidR="00860226">
              <w:rPr>
                <w:webHidden/>
              </w:rPr>
              <w:fldChar w:fldCharType="separate"/>
            </w:r>
            <w:r w:rsidR="00F56DD4">
              <w:rPr>
                <w:webHidden/>
              </w:rPr>
              <w:t>9</w:t>
            </w:r>
            <w:r w:rsidR="00860226">
              <w:rPr>
                <w:webHidden/>
              </w:rPr>
              <w:fldChar w:fldCharType="end"/>
            </w:r>
          </w:hyperlink>
        </w:p>
        <w:p w14:paraId="00ABE133" w14:textId="2D13B45C" w:rsidR="00860226" w:rsidRDefault="00230512">
          <w:pPr>
            <w:pStyle w:val="TOC1"/>
            <w:tabs>
              <w:tab w:val="left" w:pos="660"/>
            </w:tabs>
            <w:rPr>
              <w:rFonts w:asciiTheme="minorHAnsi" w:eastAsiaTheme="minorEastAsia" w:hAnsiTheme="minorHAnsi" w:cstheme="minorBidi"/>
              <w:b w:val="0"/>
              <w:color w:val="auto"/>
              <w:kern w:val="2"/>
              <w14:ligatures w14:val="standardContextual"/>
            </w:rPr>
          </w:pPr>
          <w:hyperlink w:anchor="_Toc179556395" w:history="1">
            <w:r w:rsidR="00860226" w:rsidRPr="00992F3C">
              <w:rPr>
                <w:rStyle w:val="Hyperlink"/>
              </w:rPr>
              <w:t>2.</w:t>
            </w:r>
            <w:r w:rsidR="00860226">
              <w:rPr>
                <w:rFonts w:asciiTheme="minorHAnsi" w:eastAsiaTheme="minorEastAsia" w:hAnsiTheme="minorHAnsi" w:cstheme="minorBidi"/>
                <w:b w:val="0"/>
                <w:color w:val="auto"/>
                <w:kern w:val="2"/>
                <w14:ligatures w14:val="standardContextual"/>
              </w:rPr>
              <w:tab/>
            </w:r>
            <w:r w:rsidR="00860226" w:rsidRPr="00992F3C">
              <w:rPr>
                <w:rStyle w:val="Hyperlink"/>
              </w:rPr>
              <w:t>Need for Government action</w:t>
            </w:r>
            <w:r w:rsidR="00860226">
              <w:rPr>
                <w:webHidden/>
              </w:rPr>
              <w:tab/>
            </w:r>
            <w:r w:rsidR="00860226">
              <w:rPr>
                <w:webHidden/>
              </w:rPr>
              <w:fldChar w:fldCharType="begin"/>
            </w:r>
            <w:r w:rsidR="00860226">
              <w:rPr>
                <w:webHidden/>
              </w:rPr>
              <w:instrText xml:space="preserve"> PAGEREF _Toc179556395 \h </w:instrText>
            </w:r>
            <w:r w:rsidR="00860226">
              <w:rPr>
                <w:webHidden/>
              </w:rPr>
            </w:r>
            <w:r w:rsidR="00860226">
              <w:rPr>
                <w:webHidden/>
              </w:rPr>
              <w:fldChar w:fldCharType="separate"/>
            </w:r>
            <w:r w:rsidR="00F56DD4">
              <w:rPr>
                <w:webHidden/>
              </w:rPr>
              <w:t>12</w:t>
            </w:r>
            <w:r w:rsidR="00860226">
              <w:rPr>
                <w:webHidden/>
              </w:rPr>
              <w:fldChar w:fldCharType="end"/>
            </w:r>
          </w:hyperlink>
        </w:p>
        <w:p w14:paraId="5CEB23EA" w14:textId="64889C5E" w:rsidR="00860226" w:rsidRDefault="00230512">
          <w:pPr>
            <w:pStyle w:val="TOC3"/>
            <w:rPr>
              <w:rFonts w:asciiTheme="minorHAnsi" w:eastAsiaTheme="minorEastAsia" w:hAnsiTheme="minorHAnsi" w:cstheme="minorBidi"/>
              <w:kern w:val="2"/>
              <w:szCs w:val="22"/>
              <w14:ligatures w14:val="standardContextual"/>
            </w:rPr>
          </w:pPr>
          <w:hyperlink w:anchor="_Toc179556396" w:history="1">
            <w:r w:rsidR="00860226" w:rsidRPr="00992F3C">
              <w:rPr>
                <w:rStyle w:val="Hyperlink"/>
              </w:rPr>
              <w:t>2.1 Need for government action</w:t>
            </w:r>
            <w:r w:rsidR="00860226">
              <w:rPr>
                <w:webHidden/>
              </w:rPr>
              <w:tab/>
            </w:r>
            <w:r w:rsidR="00860226">
              <w:rPr>
                <w:webHidden/>
              </w:rPr>
              <w:fldChar w:fldCharType="begin"/>
            </w:r>
            <w:r w:rsidR="00860226">
              <w:rPr>
                <w:webHidden/>
              </w:rPr>
              <w:instrText xml:space="preserve"> PAGEREF _Toc179556396 \h </w:instrText>
            </w:r>
            <w:r w:rsidR="00860226">
              <w:rPr>
                <w:webHidden/>
              </w:rPr>
            </w:r>
            <w:r w:rsidR="00860226">
              <w:rPr>
                <w:webHidden/>
              </w:rPr>
              <w:fldChar w:fldCharType="separate"/>
            </w:r>
            <w:r w:rsidR="00F56DD4">
              <w:rPr>
                <w:webHidden/>
              </w:rPr>
              <w:t>12</w:t>
            </w:r>
            <w:r w:rsidR="00860226">
              <w:rPr>
                <w:webHidden/>
              </w:rPr>
              <w:fldChar w:fldCharType="end"/>
            </w:r>
          </w:hyperlink>
        </w:p>
        <w:p w14:paraId="43CD9F4D" w14:textId="670F4BA4" w:rsidR="00860226" w:rsidRDefault="00230512">
          <w:pPr>
            <w:pStyle w:val="TOC3"/>
            <w:rPr>
              <w:rFonts w:asciiTheme="minorHAnsi" w:eastAsiaTheme="minorEastAsia" w:hAnsiTheme="minorHAnsi" w:cstheme="minorBidi"/>
              <w:kern w:val="2"/>
              <w:szCs w:val="22"/>
              <w14:ligatures w14:val="standardContextual"/>
            </w:rPr>
          </w:pPr>
          <w:hyperlink w:anchor="_Toc179556397" w:history="1">
            <w:r w:rsidR="00860226" w:rsidRPr="00992F3C">
              <w:rPr>
                <w:rStyle w:val="Hyperlink"/>
              </w:rPr>
              <w:t>2.2 Successful government action</w:t>
            </w:r>
            <w:r w:rsidR="00860226">
              <w:rPr>
                <w:webHidden/>
              </w:rPr>
              <w:tab/>
            </w:r>
            <w:r w:rsidR="00860226">
              <w:rPr>
                <w:webHidden/>
              </w:rPr>
              <w:fldChar w:fldCharType="begin"/>
            </w:r>
            <w:r w:rsidR="00860226">
              <w:rPr>
                <w:webHidden/>
              </w:rPr>
              <w:instrText xml:space="preserve"> PAGEREF _Toc179556397 \h </w:instrText>
            </w:r>
            <w:r w:rsidR="00860226">
              <w:rPr>
                <w:webHidden/>
              </w:rPr>
            </w:r>
            <w:r w:rsidR="00860226">
              <w:rPr>
                <w:webHidden/>
              </w:rPr>
              <w:fldChar w:fldCharType="separate"/>
            </w:r>
            <w:r w:rsidR="00F56DD4">
              <w:rPr>
                <w:webHidden/>
              </w:rPr>
              <w:t>13</w:t>
            </w:r>
            <w:r w:rsidR="00860226">
              <w:rPr>
                <w:webHidden/>
              </w:rPr>
              <w:fldChar w:fldCharType="end"/>
            </w:r>
          </w:hyperlink>
        </w:p>
        <w:p w14:paraId="4265235D" w14:textId="4B5B956F" w:rsidR="00860226" w:rsidRDefault="00230512">
          <w:pPr>
            <w:pStyle w:val="TOC1"/>
            <w:tabs>
              <w:tab w:val="left" w:pos="660"/>
            </w:tabs>
            <w:rPr>
              <w:rFonts w:asciiTheme="minorHAnsi" w:eastAsiaTheme="minorEastAsia" w:hAnsiTheme="minorHAnsi" w:cstheme="minorBidi"/>
              <w:b w:val="0"/>
              <w:color w:val="auto"/>
              <w:kern w:val="2"/>
              <w14:ligatures w14:val="standardContextual"/>
            </w:rPr>
          </w:pPr>
          <w:hyperlink w:anchor="_Toc179556398" w:history="1">
            <w:r w:rsidR="00860226" w:rsidRPr="00992F3C">
              <w:rPr>
                <w:rStyle w:val="Hyperlink"/>
              </w:rPr>
              <w:t>3.</w:t>
            </w:r>
            <w:r w:rsidR="00860226">
              <w:rPr>
                <w:rFonts w:asciiTheme="minorHAnsi" w:eastAsiaTheme="minorEastAsia" w:hAnsiTheme="minorHAnsi" w:cstheme="minorBidi"/>
                <w:b w:val="0"/>
                <w:color w:val="auto"/>
                <w:kern w:val="2"/>
                <w14:ligatures w14:val="standardContextual"/>
              </w:rPr>
              <w:tab/>
            </w:r>
            <w:r w:rsidR="00860226" w:rsidRPr="00992F3C">
              <w:rPr>
                <w:rStyle w:val="Hyperlink"/>
              </w:rPr>
              <w:t>Policy options considered</w:t>
            </w:r>
            <w:r w:rsidR="00860226">
              <w:rPr>
                <w:webHidden/>
              </w:rPr>
              <w:tab/>
            </w:r>
            <w:r w:rsidR="00860226">
              <w:rPr>
                <w:webHidden/>
              </w:rPr>
              <w:fldChar w:fldCharType="begin"/>
            </w:r>
            <w:r w:rsidR="00860226">
              <w:rPr>
                <w:webHidden/>
              </w:rPr>
              <w:instrText xml:space="preserve"> PAGEREF _Toc179556398 \h </w:instrText>
            </w:r>
            <w:r w:rsidR="00860226">
              <w:rPr>
                <w:webHidden/>
              </w:rPr>
            </w:r>
            <w:r w:rsidR="00860226">
              <w:rPr>
                <w:webHidden/>
              </w:rPr>
              <w:fldChar w:fldCharType="separate"/>
            </w:r>
            <w:r w:rsidR="00F56DD4">
              <w:rPr>
                <w:webHidden/>
              </w:rPr>
              <w:t>16</w:t>
            </w:r>
            <w:r w:rsidR="00860226">
              <w:rPr>
                <w:webHidden/>
              </w:rPr>
              <w:fldChar w:fldCharType="end"/>
            </w:r>
          </w:hyperlink>
        </w:p>
        <w:p w14:paraId="3D0A912F" w14:textId="5C76506C" w:rsidR="00860226" w:rsidRDefault="00230512">
          <w:pPr>
            <w:pStyle w:val="TOC3"/>
            <w:rPr>
              <w:rFonts w:asciiTheme="minorHAnsi" w:eastAsiaTheme="minorEastAsia" w:hAnsiTheme="minorHAnsi" w:cstheme="minorBidi"/>
              <w:kern w:val="2"/>
              <w:szCs w:val="22"/>
              <w14:ligatures w14:val="standardContextual"/>
            </w:rPr>
          </w:pPr>
          <w:hyperlink w:anchor="_Toc179556399" w:history="1">
            <w:r w:rsidR="00860226" w:rsidRPr="00992F3C">
              <w:rPr>
                <w:rStyle w:val="Hyperlink"/>
              </w:rPr>
              <w:t>3.1 Option 1 – Status quo</w:t>
            </w:r>
            <w:r w:rsidR="00860226">
              <w:rPr>
                <w:webHidden/>
              </w:rPr>
              <w:tab/>
            </w:r>
            <w:r w:rsidR="00860226">
              <w:rPr>
                <w:webHidden/>
              </w:rPr>
              <w:fldChar w:fldCharType="begin"/>
            </w:r>
            <w:r w:rsidR="00860226">
              <w:rPr>
                <w:webHidden/>
              </w:rPr>
              <w:instrText xml:space="preserve"> PAGEREF _Toc179556399 \h </w:instrText>
            </w:r>
            <w:r w:rsidR="00860226">
              <w:rPr>
                <w:webHidden/>
              </w:rPr>
            </w:r>
            <w:r w:rsidR="00860226">
              <w:rPr>
                <w:webHidden/>
              </w:rPr>
              <w:fldChar w:fldCharType="separate"/>
            </w:r>
            <w:r w:rsidR="00F56DD4">
              <w:rPr>
                <w:webHidden/>
              </w:rPr>
              <w:t>16</w:t>
            </w:r>
            <w:r w:rsidR="00860226">
              <w:rPr>
                <w:webHidden/>
              </w:rPr>
              <w:fldChar w:fldCharType="end"/>
            </w:r>
          </w:hyperlink>
        </w:p>
        <w:p w14:paraId="59708F37" w14:textId="053B6FDA" w:rsidR="00860226" w:rsidRDefault="00230512">
          <w:pPr>
            <w:pStyle w:val="TOC3"/>
            <w:rPr>
              <w:rFonts w:asciiTheme="minorHAnsi" w:eastAsiaTheme="minorEastAsia" w:hAnsiTheme="minorHAnsi" w:cstheme="minorBidi"/>
              <w:kern w:val="2"/>
              <w:szCs w:val="22"/>
              <w14:ligatures w14:val="standardContextual"/>
            </w:rPr>
          </w:pPr>
          <w:hyperlink w:anchor="_Toc179556400" w:history="1">
            <w:r w:rsidR="00860226" w:rsidRPr="00992F3C">
              <w:rPr>
                <w:rStyle w:val="Hyperlink"/>
              </w:rPr>
              <w:t>3.2 Option 2 – Scams Prevention Framework</w:t>
            </w:r>
            <w:r w:rsidR="00860226">
              <w:rPr>
                <w:webHidden/>
              </w:rPr>
              <w:tab/>
            </w:r>
            <w:r w:rsidR="00860226">
              <w:rPr>
                <w:webHidden/>
              </w:rPr>
              <w:fldChar w:fldCharType="begin"/>
            </w:r>
            <w:r w:rsidR="00860226">
              <w:rPr>
                <w:webHidden/>
              </w:rPr>
              <w:instrText xml:space="preserve"> PAGEREF _Toc179556400 \h </w:instrText>
            </w:r>
            <w:r w:rsidR="00860226">
              <w:rPr>
                <w:webHidden/>
              </w:rPr>
            </w:r>
            <w:r w:rsidR="00860226">
              <w:rPr>
                <w:webHidden/>
              </w:rPr>
              <w:fldChar w:fldCharType="separate"/>
            </w:r>
            <w:r w:rsidR="00F56DD4">
              <w:rPr>
                <w:webHidden/>
              </w:rPr>
              <w:t>17</w:t>
            </w:r>
            <w:r w:rsidR="00860226">
              <w:rPr>
                <w:webHidden/>
              </w:rPr>
              <w:fldChar w:fldCharType="end"/>
            </w:r>
          </w:hyperlink>
        </w:p>
        <w:p w14:paraId="4E331456" w14:textId="79A52C40" w:rsidR="00860226" w:rsidRDefault="00230512">
          <w:pPr>
            <w:pStyle w:val="TOC1"/>
            <w:tabs>
              <w:tab w:val="left" w:pos="660"/>
            </w:tabs>
            <w:rPr>
              <w:rFonts w:asciiTheme="minorHAnsi" w:eastAsiaTheme="minorEastAsia" w:hAnsiTheme="minorHAnsi" w:cstheme="minorBidi"/>
              <w:b w:val="0"/>
              <w:color w:val="auto"/>
              <w:kern w:val="2"/>
              <w14:ligatures w14:val="standardContextual"/>
            </w:rPr>
          </w:pPr>
          <w:hyperlink w:anchor="_Toc179556401" w:history="1">
            <w:r w:rsidR="00860226" w:rsidRPr="00992F3C">
              <w:rPr>
                <w:rStyle w:val="Hyperlink"/>
              </w:rPr>
              <w:t>4.</w:t>
            </w:r>
            <w:r w:rsidR="00860226">
              <w:rPr>
                <w:rFonts w:asciiTheme="minorHAnsi" w:eastAsiaTheme="minorEastAsia" w:hAnsiTheme="minorHAnsi" w:cstheme="minorBidi"/>
                <w:b w:val="0"/>
                <w:color w:val="auto"/>
                <w:kern w:val="2"/>
                <w14:ligatures w14:val="standardContextual"/>
              </w:rPr>
              <w:tab/>
            </w:r>
            <w:r w:rsidR="00860226" w:rsidRPr="00992F3C">
              <w:rPr>
                <w:rStyle w:val="Hyperlink"/>
              </w:rPr>
              <w:t>Net benefit of each option</w:t>
            </w:r>
            <w:r w:rsidR="00860226">
              <w:rPr>
                <w:webHidden/>
              </w:rPr>
              <w:tab/>
            </w:r>
            <w:r w:rsidR="00860226">
              <w:rPr>
                <w:webHidden/>
              </w:rPr>
              <w:fldChar w:fldCharType="begin"/>
            </w:r>
            <w:r w:rsidR="00860226">
              <w:rPr>
                <w:webHidden/>
              </w:rPr>
              <w:instrText xml:space="preserve"> PAGEREF _Toc179556401 \h </w:instrText>
            </w:r>
            <w:r w:rsidR="00860226">
              <w:rPr>
                <w:webHidden/>
              </w:rPr>
            </w:r>
            <w:r w:rsidR="00860226">
              <w:rPr>
                <w:webHidden/>
              </w:rPr>
              <w:fldChar w:fldCharType="separate"/>
            </w:r>
            <w:r w:rsidR="00F56DD4">
              <w:rPr>
                <w:webHidden/>
              </w:rPr>
              <w:t>20</w:t>
            </w:r>
            <w:r w:rsidR="00860226">
              <w:rPr>
                <w:webHidden/>
              </w:rPr>
              <w:fldChar w:fldCharType="end"/>
            </w:r>
          </w:hyperlink>
        </w:p>
        <w:p w14:paraId="189FFB8A" w14:textId="47DB9354" w:rsidR="00860226" w:rsidRDefault="00230512">
          <w:pPr>
            <w:pStyle w:val="TOC3"/>
            <w:rPr>
              <w:rFonts w:asciiTheme="minorHAnsi" w:eastAsiaTheme="minorEastAsia" w:hAnsiTheme="minorHAnsi" w:cstheme="minorBidi"/>
              <w:kern w:val="2"/>
              <w:szCs w:val="22"/>
              <w14:ligatures w14:val="standardContextual"/>
            </w:rPr>
          </w:pPr>
          <w:hyperlink w:anchor="_Toc179556402" w:history="1">
            <w:r w:rsidR="00860226" w:rsidRPr="00992F3C">
              <w:rPr>
                <w:rStyle w:val="Hyperlink"/>
              </w:rPr>
              <w:t>4.1 Regulatory costs</w:t>
            </w:r>
            <w:r w:rsidR="00860226">
              <w:rPr>
                <w:webHidden/>
              </w:rPr>
              <w:tab/>
            </w:r>
            <w:r w:rsidR="00860226">
              <w:rPr>
                <w:webHidden/>
              </w:rPr>
              <w:fldChar w:fldCharType="begin"/>
            </w:r>
            <w:r w:rsidR="00860226">
              <w:rPr>
                <w:webHidden/>
              </w:rPr>
              <w:instrText xml:space="preserve"> PAGEREF _Toc179556402 \h </w:instrText>
            </w:r>
            <w:r w:rsidR="00860226">
              <w:rPr>
                <w:webHidden/>
              </w:rPr>
            </w:r>
            <w:r w:rsidR="00860226">
              <w:rPr>
                <w:webHidden/>
              </w:rPr>
              <w:fldChar w:fldCharType="separate"/>
            </w:r>
            <w:r w:rsidR="00F56DD4">
              <w:rPr>
                <w:webHidden/>
              </w:rPr>
              <w:t>21</w:t>
            </w:r>
            <w:r w:rsidR="00860226">
              <w:rPr>
                <w:webHidden/>
              </w:rPr>
              <w:fldChar w:fldCharType="end"/>
            </w:r>
          </w:hyperlink>
        </w:p>
        <w:p w14:paraId="4C819DDF" w14:textId="2FB50396" w:rsidR="00860226" w:rsidRDefault="00230512">
          <w:pPr>
            <w:pStyle w:val="TOC3"/>
            <w:rPr>
              <w:rFonts w:asciiTheme="minorHAnsi" w:eastAsiaTheme="minorEastAsia" w:hAnsiTheme="minorHAnsi" w:cstheme="minorBidi"/>
              <w:kern w:val="2"/>
              <w:szCs w:val="22"/>
              <w14:ligatures w14:val="standardContextual"/>
            </w:rPr>
          </w:pPr>
          <w:hyperlink w:anchor="_Toc179556403" w:history="1">
            <w:r w:rsidR="00860226" w:rsidRPr="00992F3C">
              <w:rPr>
                <w:rStyle w:val="Hyperlink"/>
              </w:rPr>
              <w:t>4.2 Government costs</w:t>
            </w:r>
            <w:r w:rsidR="00860226">
              <w:rPr>
                <w:webHidden/>
              </w:rPr>
              <w:tab/>
            </w:r>
            <w:r w:rsidR="00860226">
              <w:rPr>
                <w:webHidden/>
              </w:rPr>
              <w:fldChar w:fldCharType="begin"/>
            </w:r>
            <w:r w:rsidR="00860226">
              <w:rPr>
                <w:webHidden/>
              </w:rPr>
              <w:instrText xml:space="preserve"> PAGEREF _Toc179556403 \h </w:instrText>
            </w:r>
            <w:r w:rsidR="00860226">
              <w:rPr>
                <w:webHidden/>
              </w:rPr>
            </w:r>
            <w:r w:rsidR="00860226">
              <w:rPr>
                <w:webHidden/>
              </w:rPr>
              <w:fldChar w:fldCharType="separate"/>
            </w:r>
            <w:r w:rsidR="00F56DD4">
              <w:rPr>
                <w:webHidden/>
              </w:rPr>
              <w:t>31</w:t>
            </w:r>
            <w:r w:rsidR="00860226">
              <w:rPr>
                <w:webHidden/>
              </w:rPr>
              <w:fldChar w:fldCharType="end"/>
            </w:r>
          </w:hyperlink>
        </w:p>
        <w:p w14:paraId="23924B75" w14:textId="3A7A8E16" w:rsidR="00860226" w:rsidRDefault="00230512">
          <w:pPr>
            <w:pStyle w:val="TOC3"/>
            <w:rPr>
              <w:rFonts w:asciiTheme="minorHAnsi" w:eastAsiaTheme="minorEastAsia" w:hAnsiTheme="minorHAnsi" w:cstheme="minorBidi"/>
              <w:kern w:val="2"/>
              <w:szCs w:val="22"/>
              <w14:ligatures w14:val="standardContextual"/>
            </w:rPr>
          </w:pPr>
          <w:hyperlink w:anchor="_Toc179556404" w:history="1">
            <w:r w:rsidR="00860226" w:rsidRPr="00992F3C">
              <w:rPr>
                <w:rStyle w:val="Hyperlink"/>
              </w:rPr>
              <w:t>4.3 Benefits</w:t>
            </w:r>
            <w:r w:rsidR="00860226">
              <w:rPr>
                <w:webHidden/>
              </w:rPr>
              <w:tab/>
            </w:r>
            <w:r w:rsidR="00860226">
              <w:rPr>
                <w:webHidden/>
              </w:rPr>
              <w:fldChar w:fldCharType="begin"/>
            </w:r>
            <w:r w:rsidR="00860226">
              <w:rPr>
                <w:webHidden/>
              </w:rPr>
              <w:instrText xml:space="preserve"> PAGEREF _Toc179556404 \h </w:instrText>
            </w:r>
            <w:r w:rsidR="00860226">
              <w:rPr>
                <w:webHidden/>
              </w:rPr>
            </w:r>
            <w:r w:rsidR="00860226">
              <w:rPr>
                <w:webHidden/>
              </w:rPr>
              <w:fldChar w:fldCharType="separate"/>
            </w:r>
            <w:r w:rsidR="00F56DD4">
              <w:rPr>
                <w:webHidden/>
              </w:rPr>
              <w:t>31</w:t>
            </w:r>
            <w:r w:rsidR="00860226">
              <w:rPr>
                <w:webHidden/>
              </w:rPr>
              <w:fldChar w:fldCharType="end"/>
            </w:r>
          </w:hyperlink>
        </w:p>
        <w:p w14:paraId="3E657A02" w14:textId="145D93F6" w:rsidR="00860226" w:rsidRDefault="00230512">
          <w:pPr>
            <w:pStyle w:val="TOC3"/>
            <w:rPr>
              <w:rFonts w:asciiTheme="minorHAnsi" w:eastAsiaTheme="minorEastAsia" w:hAnsiTheme="minorHAnsi" w:cstheme="minorBidi"/>
              <w:kern w:val="2"/>
              <w:szCs w:val="22"/>
              <w14:ligatures w14:val="standardContextual"/>
            </w:rPr>
          </w:pPr>
          <w:hyperlink w:anchor="_Toc179556405" w:history="1">
            <w:r w:rsidR="00860226" w:rsidRPr="00992F3C">
              <w:rPr>
                <w:rStyle w:val="Hyperlink"/>
              </w:rPr>
              <w:t>4.4 Comparison of benefits and costs</w:t>
            </w:r>
            <w:r w:rsidR="00860226">
              <w:rPr>
                <w:webHidden/>
              </w:rPr>
              <w:tab/>
            </w:r>
            <w:r w:rsidR="00860226">
              <w:rPr>
                <w:webHidden/>
              </w:rPr>
              <w:fldChar w:fldCharType="begin"/>
            </w:r>
            <w:r w:rsidR="00860226">
              <w:rPr>
                <w:webHidden/>
              </w:rPr>
              <w:instrText xml:space="preserve"> PAGEREF _Toc179556405 \h </w:instrText>
            </w:r>
            <w:r w:rsidR="00860226">
              <w:rPr>
                <w:webHidden/>
              </w:rPr>
            </w:r>
            <w:r w:rsidR="00860226">
              <w:rPr>
                <w:webHidden/>
              </w:rPr>
              <w:fldChar w:fldCharType="separate"/>
            </w:r>
            <w:r w:rsidR="00F56DD4">
              <w:rPr>
                <w:webHidden/>
              </w:rPr>
              <w:t>34</w:t>
            </w:r>
            <w:r w:rsidR="00860226">
              <w:rPr>
                <w:webHidden/>
              </w:rPr>
              <w:fldChar w:fldCharType="end"/>
            </w:r>
          </w:hyperlink>
        </w:p>
        <w:p w14:paraId="56066289" w14:textId="2AAA4920" w:rsidR="00860226" w:rsidRDefault="00230512">
          <w:pPr>
            <w:pStyle w:val="TOC1"/>
            <w:tabs>
              <w:tab w:val="left" w:pos="660"/>
            </w:tabs>
            <w:rPr>
              <w:rFonts w:asciiTheme="minorHAnsi" w:eastAsiaTheme="minorEastAsia" w:hAnsiTheme="minorHAnsi" w:cstheme="minorBidi"/>
              <w:b w:val="0"/>
              <w:color w:val="auto"/>
              <w:kern w:val="2"/>
              <w14:ligatures w14:val="standardContextual"/>
            </w:rPr>
          </w:pPr>
          <w:hyperlink w:anchor="_Toc179556406" w:history="1">
            <w:r w:rsidR="00860226" w:rsidRPr="00992F3C">
              <w:rPr>
                <w:rStyle w:val="Hyperlink"/>
              </w:rPr>
              <w:t>5.</w:t>
            </w:r>
            <w:r w:rsidR="00860226">
              <w:rPr>
                <w:rFonts w:asciiTheme="minorHAnsi" w:eastAsiaTheme="minorEastAsia" w:hAnsiTheme="minorHAnsi" w:cstheme="minorBidi"/>
                <w:b w:val="0"/>
                <w:color w:val="auto"/>
                <w:kern w:val="2"/>
                <w14:ligatures w14:val="standardContextual"/>
              </w:rPr>
              <w:tab/>
            </w:r>
            <w:r w:rsidR="00860226" w:rsidRPr="00992F3C">
              <w:rPr>
                <w:rStyle w:val="Hyperlink"/>
              </w:rPr>
              <w:t>Consultation</w:t>
            </w:r>
            <w:r w:rsidR="00860226">
              <w:rPr>
                <w:webHidden/>
              </w:rPr>
              <w:tab/>
            </w:r>
            <w:r w:rsidR="00860226">
              <w:rPr>
                <w:webHidden/>
              </w:rPr>
              <w:fldChar w:fldCharType="begin"/>
            </w:r>
            <w:r w:rsidR="00860226">
              <w:rPr>
                <w:webHidden/>
              </w:rPr>
              <w:instrText xml:space="preserve"> PAGEREF _Toc179556406 \h </w:instrText>
            </w:r>
            <w:r w:rsidR="00860226">
              <w:rPr>
                <w:webHidden/>
              </w:rPr>
            </w:r>
            <w:r w:rsidR="00860226">
              <w:rPr>
                <w:webHidden/>
              </w:rPr>
              <w:fldChar w:fldCharType="separate"/>
            </w:r>
            <w:r w:rsidR="00F56DD4">
              <w:rPr>
                <w:webHidden/>
              </w:rPr>
              <w:t>36</w:t>
            </w:r>
            <w:r w:rsidR="00860226">
              <w:rPr>
                <w:webHidden/>
              </w:rPr>
              <w:fldChar w:fldCharType="end"/>
            </w:r>
          </w:hyperlink>
        </w:p>
        <w:p w14:paraId="4DFF0A5E" w14:textId="035177AC" w:rsidR="00860226" w:rsidRDefault="00230512">
          <w:pPr>
            <w:pStyle w:val="TOC3"/>
            <w:rPr>
              <w:rFonts w:asciiTheme="minorHAnsi" w:eastAsiaTheme="minorEastAsia" w:hAnsiTheme="minorHAnsi" w:cstheme="minorBidi"/>
              <w:kern w:val="2"/>
              <w:szCs w:val="22"/>
              <w14:ligatures w14:val="standardContextual"/>
            </w:rPr>
          </w:pPr>
          <w:hyperlink w:anchor="_Toc179556407" w:history="1">
            <w:r w:rsidR="00860226" w:rsidRPr="00992F3C">
              <w:rPr>
                <w:rStyle w:val="Hyperlink"/>
              </w:rPr>
              <w:t>5.1 Initial public consultation</w:t>
            </w:r>
            <w:r w:rsidR="00860226">
              <w:rPr>
                <w:webHidden/>
              </w:rPr>
              <w:tab/>
            </w:r>
            <w:r w:rsidR="00860226">
              <w:rPr>
                <w:webHidden/>
              </w:rPr>
              <w:fldChar w:fldCharType="begin"/>
            </w:r>
            <w:r w:rsidR="00860226">
              <w:rPr>
                <w:webHidden/>
              </w:rPr>
              <w:instrText xml:space="preserve"> PAGEREF _Toc179556407 \h </w:instrText>
            </w:r>
            <w:r w:rsidR="00860226">
              <w:rPr>
                <w:webHidden/>
              </w:rPr>
            </w:r>
            <w:r w:rsidR="00860226">
              <w:rPr>
                <w:webHidden/>
              </w:rPr>
              <w:fldChar w:fldCharType="separate"/>
            </w:r>
            <w:r w:rsidR="00F56DD4">
              <w:rPr>
                <w:webHidden/>
              </w:rPr>
              <w:t>36</w:t>
            </w:r>
            <w:r w:rsidR="00860226">
              <w:rPr>
                <w:webHidden/>
              </w:rPr>
              <w:fldChar w:fldCharType="end"/>
            </w:r>
          </w:hyperlink>
        </w:p>
        <w:p w14:paraId="4C3DA7DE" w14:textId="6D8216C3" w:rsidR="00860226" w:rsidRDefault="00230512">
          <w:pPr>
            <w:pStyle w:val="TOC3"/>
            <w:rPr>
              <w:rFonts w:asciiTheme="minorHAnsi" w:eastAsiaTheme="minorEastAsia" w:hAnsiTheme="minorHAnsi" w:cstheme="minorBidi"/>
              <w:kern w:val="2"/>
              <w:szCs w:val="22"/>
              <w14:ligatures w14:val="standardContextual"/>
            </w:rPr>
          </w:pPr>
          <w:hyperlink w:anchor="_Toc179556408" w:history="1">
            <w:r w:rsidR="00860226" w:rsidRPr="00992F3C">
              <w:rPr>
                <w:rStyle w:val="Hyperlink"/>
              </w:rPr>
              <w:t>5.2 Targeted consultation</w:t>
            </w:r>
            <w:r w:rsidR="00860226">
              <w:rPr>
                <w:webHidden/>
              </w:rPr>
              <w:tab/>
            </w:r>
            <w:r w:rsidR="00860226">
              <w:rPr>
                <w:webHidden/>
              </w:rPr>
              <w:fldChar w:fldCharType="begin"/>
            </w:r>
            <w:r w:rsidR="00860226">
              <w:rPr>
                <w:webHidden/>
              </w:rPr>
              <w:instrText xml:space="preserve"> PAGEREF _Toc179556408 \h </w:instrText>
            </w:r>
            <w:r w:rsidR="00860226">
              <w:rPr>
                <w:webHidden/>
              </w:rPr>
            </w:r>
            <w:r w:rsidR="00860226">
              <w:rPr>
                <w:webHidden/>
              </w:rPr>
              <w:fldChar w:fldCharType="separate"/>
            </w:r>
            <w:r w:rsidR="00F56DD4">
              <w:rPr>
                <w:webHidden/>
              </w:rPr>
              <w:t>38</w:t>
            </w:r>
            <w:r w:rsidR="00860226">
              <w:rPr>
                <w:webHidden/>
              </w:rPr>
              <w:fldChar w:fldCharType="end"/>
            </w:r>
          </w:hyperlink>
        </w:p>
        <w:p w14:paraId="745DC2D1" w14:textId="5AB77E51" w:rsidR="00860226" w:rsidRDefault="00230512">
          <w:pPr>
            <w:pStyle w:val="TOC3"/>
            <w:tabs>
              <w:tab w:val="left" w:pos="880"/>
            </w:tabs>
            <w:rPr>
              <w:rFonts w:asciiTheme="minorHAnsi" w:eastAsiaTheme="minorEastAsia" w:hAnsiTheme="minorHAnsi" w:cstheme="minorBidi"/>
              <w:kern w:val="2"/>
              <w:szCs w:val="22"/>
              <w14:ligatures w14:val="standardContextual"/>
            </w:rPr>
          </w:pPr>
          <w:hyperlink w:anchor="_Toc179556409" w:history="1">
            <w:r w:rsidR="00860226" w:rsidRPr="00992F3C">
              <w:rPr>
                <w:rStyle w:val="Hyperlink"/>
              </w:rPr>
              <w:t>5.3</w:t>
            </w:r>
            <w:r w:rsidR="00860226">
              <w:rPr>
                <w:rFonts w:asciiTheme="minorHAnsi" w:eastAsiaTheme="minorEastAsia" w:hAnsiTheme="minorHAnsi" w:cstheme="minorBidi"/>
                <w:kern w:val="2"/>
                <w:szCs w:val="22"/>
                <w14:ligatures w14:val="standardContextual"/>
              </w:rPr>
              <w:tab/>
            </w:r>
            <w:r w:rsidR="00860226" w:rsidRPr="00992F3C">
              <w:rPr>
                <w:rStyle w:val="Hyperlink"/>
              </w:rPr>
              <w:t>Consultation on draft legislation</w:t>
            </w:r>
            <w:r w:rsidR="00860226">
              <w:rPr>
                <w:webHidden/>
              </w:rPr>
              <w:tab/>
            </w:r>
            <w:r w:rsidR="00860226">
              <w:rPr>
                <w:webHidden/>
              </w:rPr>
              <w:fldChar w:fldCharType="begin"/>
            </w:r>
            <w:r w:rsidR="00860226">
              <w:rPr>
                <w:webHidden/>
              </w:rPr>
              <w:instrText xml:space="preserve"> PAGEREF _Toc179556409 \h </w:instrText>
            </w:r>
            <w:r w:rsidR="00860226">
              <w:rPr>
                <w:webHidden/>
              </w:rPr>
            </w:r>
            <w:r w:rsidR="00860226">
              <w:rPr>
                <w:webHidden/>
              </w:rPr>
              <w:fldChar w:fldCharType="separate"/>
            </w:r>
            <w:r w:rsidR="00F56DD4">
              <w:rPr>
                <w:webHidden/>
              </w:rPr>
              <w:t>38</w:t>
            </w:r>
            <w:r w:rsidR="00860226">
              <w:rPr>
                <w:webHidden/>
              </w:rPr>
              <w:fldChar w:fldCharType="end"/>
            </w:r>
          </w:hyperlink>
        </w:p>
        <w:p w14:paraId="4C07BD97" w14:textId="087164AB" w:rsidR="00860226" w:rsidRDefault="00230512">
          <w:pPr>
            <w:pStyle w:val="TOC3"/>
            <w:rPr>
              <w:rFonts w:asciiTheme="minorHAnsi" w:eastAsiaTheme="minorEastAsia" w:hAnsiTheme="minorHAnsi" w:cstheme="minorBidi"/>
              <w:kern w:val="2"/>
              <w:szCs w:val="22"/>
              <w14:ligatures w14:val="standardContextual"/>
            </w:rPr>
          </w:pPr>
          <w:hyperlink w:anchor="_Toc179556410" w:history="1">
            <w:r w:rsidR="00860226" w:rsidRPr="00992F3C">
              <w:rPr>
                <w:rStyle w:val="Hyperlink"/>
              </w:rPr>
              <w:t>5.4 Future consultation</w:t>
            </w:r>
            <w:r w:rsidR="00860226">
              <w:rPr>
                <w:webHidden/>
              </w:rPr>
              <w:tab/>
            </w:r>
            <w:r w:rsidR="00860226">
              <w:rPr>
                <w:webHidden/>
              </w:rPr>
              <w:fldChar w:fldCharType="begin"/>
            </w:r>
            <w:r w:rsidR="00860226">
              <w:rPr>
                <w:webHidden/>
              </w:rPr>
              <w:instrText xml:space="preserve"> PAGEREF _Toc179556410 \h </w:instrText>
            </w:r>
            <w:r w:rsidR="00860226">
              <w:rPr>
                <w:webHidden/>
              </w:rPr>
            </w:r>
            <w:r w:rsidR="00860226">
              <w:rPr>
                <w:webHidden/>
              </w:rPr>
              <w:fldChar w:fldCharType="separate"/>
            </w:r>
            <w:r w:rsidR="00F56DD4">
              <w:rPr>
                <w:webHidden/>
              </w:rPr>
              <w:t>39</w:t>
            </w:r>
            <w:r w:rsidR="00860226">
              <w:rPr>
                <w:webHidden/>
              </w:rPr>
              <w:fldChar w:fldCharType="end"/>
            </w:r>
          </w:hyperlink>
        </w:p>
        <w:p w14:paraId="600138D3" w14:textId="4253A21B" w:rsidR="00860226" w:rsidRDefault="00230512">
          <w:pPr>
            <w:pStyle w:val="TOC3"/>
            <w:rPr>
              <w:rFonts w:asciiTheme="minorHAnsi" w:eastAsiaTheme="minorEastAsia" w:hAnsiTheme="minorHAnsi" w:cstheme="minorBidi"/>
              <w:kern w:val="2"/>
              <w:szCs w:val="22"/>
              <w14:ligatures w14:val="standardContextual"/>
            </w:rPr>
          </w:pPr>
          <w:hyperlink w:anchor="_Toc179556411" w:history="1">
            <w:r w:rsidR="00860226" w:rsidRPr="00992F3C">
              <w:rPr>
                <w:rStyle w:val="Hyperlink"/>
              </w:rPr>
              <w:t>5.5 Evaluation of the consultation process</w:t>
            </w:r>
            <w:r w:rsidR="00860226">
              <w:rPr>
                <w:webHidden/>
              </w:rPr>
              <w:tab/>
            </w:r>
            <w:r w:rsidR="00860226">
              <w:rPr>
                <w:webHidden/>
              </w:rPr>
              <w:fldChar w:fldCharType="begin"/>
            </w:r>
            <w:r w:rsidR="00860226">
              <w:rPr>
                <w:webHidden/>
              </w:rPr>
              <w:instrText xml:space="preserve"> PAGEREF _Toc179556411 \h </w:instrText>
            </w:r>
            <w:r w:rsidR="00860226">
              <w:rPr>
                <w:webHidden/>
              </w:rPr>
            </w:r>
            <w:r w:rsidR="00860226">
              <w:rPr>
                <w:webHidden/>
              </w:rPr>
              <w:fldChar w:fldCharType="separate"/>
            </w:r>
            <w:r w:rsidR="00F56DD4">
              <w:rPr>
                <w:webHidden/>
              </w:rPr>
              <w:t>40</w:t>
            </w:r>
            <w:r w:rsidR="00860226">
              <w:rPr>
                <w:webHidden/>
              </w:rPr>
              <w:fldChar w:fldCharType="end"/>
            </w:r>
          </w:hyperlink>
        </w:p>
        <w:p w14:paraId="29EDD0DE" w14:textId="3D3D70F9" w:rsidR="00860226" w:rsidRDefault="00230512">
          <w:pPr>
            <w:pStyle w:val="TOC1"/>
            <w:tabs>
              <w:tab w:val="left" w:pos="660"/>
            </w:tabs>
            <w:rPr>
              <w:rFonts w:asciiTheme="minorHAnsi" w:eastAsiaTheme="minorEastAsia" w:hAnsiTheme="minorHAnsi" w:cstheme="minorBidi"/>
              <w:b w:val="0"/>
              <w:color w:val="auto"/>
              <w:kern w:val="2"/>
              <w14:ligatures w14:val="standardContextual"/>
            </w:rPr>
          </w:pPr>
          <w:hyperlink w:anchor="_Toc179556412" w:history="1">
            <w:r w:rsidR="00860226" w:rsidRPr="00992F3C">
              <w:rPr>
                <w:rStyle w:val="Hyperlink"/>
              </w:rPr>
              <w:t>6.</w:t>
            </w:r>
            <w:r w:rsidR="00860226">
              <w:rPr>
                <w:rFonts w:asciiTheme="minorHAnsi" w:eastAsiaTheme="minorEastAsia" w:hAnsiTheme="minorHAnsi" w:cstheme="minorBidi"/>
                <w:b w:val="0"/>
                <w:color w:val="auto"/>
                <w:kern w:val="2"/>
                <w14:ligatures w14:val="standardContextual"/>
              </w:rPr>
              <w:tab/>
            </w:r>
            <w:r w:rsidR="00860226" w:rsidRPr="00992F3C">
              <w:rPr>
                <w:rStyle w:val="Hyperlink"/>
              </w:rPr>
              <w:t>Preferred option</w:t>
            </w:r>
            <w:r w:rsidR="00860226">
              <w:rPr>
                <w:webHidden/>
              </w:rPr>
              <w:tab/>
            </w:r>
            <w:r w:rsidR="00860226">
              <w:rPr>
                <w:webHidden/>
              </w:rPr>
              <w:fldChar w:fldCharType="begin"/>
            </w:r>
            <w:r w:rsidR="00860226">
              <w:rPr>
                <w:webHidden/>
              </w:rPr>
              <w:instrText xml:space="preserve"> PAGEREF _Toc179556412 \h </w:instrText>
            </w:r>
            <w:r w:rsidR="00860226">
              <w:rPr>
                <w:webHidden/>
              </w:rPr>
            </w:r>
            <w:r w:rsidR="00860226">
              <w:rPr>
                <w:webHidden/>
              </w:rPr>
              <w:fldChar w:fldCharType="separate"/>
            </w:r>
            <w:r w:rsidR="00F56DD4">
              <w:rPr>
                <w:webHidden/>
              </w:rPr>
              <w:t>42</w:t>
            </w:r>
            <w:r w:rsidR="00860226">
              <w:rPr>
                <w:webHidden/>
              </w:rPr>
              <w:fldChar w:fldCharType="end"/>
            </w:r>
          </w:hyperlink>
        </w:p>
        <w:p w14:paraId="2372A2CD" w14:textId="1A1EC5C3" w:rsidR="00860226" w:rsidRDefault="00230512">
          <w:pPr>
            <w:pStyle w:val="TOC3"/>
            <w:rPr>
              <w:rFonts w:asciiTheme="minorHAnsi" w:eastAsiaTheme="minorEastAsia" w:hAnsiTheme="minorHAnsi" w:cstheme="minorBidi"/>
              <w:kern w:val="2"/>
              <w:szCs w:val="22"/>
              <w14:ligatures w14:val="standardContextual"/>
            </w:rPr>
          </w:pPr>
          <w:hyperlink w:anchor="_Toc179556413" w:history="1">
            <w:r w:rsidR="00860226" w:rsidRPr="00992F3C">
              <w:rPr>
                <w:rStyle w:val="Hyperlink"/>
              </w:rPr>
              <w:t>6.1 Comparison of options</w:t>
            </w:r>
            <w:r w:rsidR="00860226">
              <w:rPr>
                <w:webHidden/>
              </w:rPr>
              <w:tab/>
            </w:r>
            <w:r w:rsidR="00860226">
              <w:rPr>
                <w:webHidden/>
              </w:rPr>
              <w:fldChar w:fldCharType="begin"/>
            </w:r>
            <w:r w:rsidR="00860226">
              <w:rPr>
                <w:webHidden/>
              </w:rPr>
              <w:instrText xml:space="preserve"> PAGEREF _Toc179556413 \h </w:instrText>
            </w:r>
            <w:r w:rsidR="00860226">
              <w:rPr>
                <w:webHidden/>
              </w:rPr>
            </w:r>
            <w:r w:rsidR="00860226">
              <w:rPr>
                <w:webHidden/>
              </w:rPr>
              <w:fldChar w:fldCharType="separate"/>
            </w:r>
            <w:r w:rsidR="00F56DD4">
              <w:rPr>
                <w:webHidden/>
              </w:rPr>
              <w:t>42</w:t>
            </w:r>
            <w:r w:rsidR="00860226">
              <w:rPr>
                <w:webHidden/>
              </w:rPr>
              <w:fldChar w:fldCharType="end"/>
            </w:r>
          </w:hyperlink>
        </w:p>
        <w:p w14:paraId="7FDC5741" w14:textId="6814245B" w:rsidR="00860226" w:rsidRDefault="00230512">
          <w:pPr>
            <w:pStyle w:val="TOC3"/>
            <w:rPr>
              <w:rFonts w:asciiTheme="minorHAnsi" w:eastAsiaTheme="minorEastAsia" w:hAnsiTheme="minorHAnsi" w:cstheme="minorBidi"/>
              <w:kern w:val="2"/>
              <w:szCs w:val="22"/>
              <w14:ligatures w14:val="standardContextual"/>
            </w:rPr>
          </w:pPr>
          <w:hyperlink w:anchor="_Toc179556414" w:history="1">
            <w:r w:rsidR="00860226" w:rsidRPr="00992F3C">
              <w:rPr>
                <w:rStyle w:val="Hyperlink"/>
              </w:rPr>
              <w:t>6.2 Implementation of Option 2 – Scams Prevention Framework</w:t>
            </w:r>
            <w:r w:rsidR="00860226">
              <w:rPr>
                <w:webHidden/>
              </w:rPr>
              <w:tab/>
            </w:r>
            <w:r w:rsidR="00860226">
              <w:rPr>
                <w:webHidden/>
              </w:rPr>
              <w:fldChar w:fldCharType="begin"/>
            </w:r>
            <w:r w:rsidR="00860226">
              <w:rPr>
                <w:webHidden/>
              </w:rPr>
              <w:instrText xml:space="preserve"> PAGEREF _Toc179556414 \h </w:instrText>
            </w:r>
            <w:r w:rsidR="00860226">
              <w:rPr>
                <w:webHidden/>
              </w:rPr>
            </w:r>
            <w:r w:rsidR="00860226">
              <w:rPr>
                <w:webHidden/>
              </w:rPr>
              <w:fldChar w:fldCharType="separate"/>
            </w:r>
            <w:r w:rsidR="00F56DD4">
              <w:rPr>
                <w:webHidden/>
              </w:rPr>
              <w:t>43</w:t>
            </w:r>
            <w:r w:rsidR="00860226">
              <w:rPr>
                <w:webHidden/>
              </w:rPr>
              <w:fldChar w:fldCharType="end"/>
            </w:r>
          </w:hyperlink>
        </w:p>
        <w:p w14:paraId="430C4F13" w14:textId="62D25FBE" w:rsidR="00860226" w:rsidRDefault="00230512">
          <w:pPr>
            <w:pStyle w:val="TOC1"/>
            <w:tabs>
              <w:tab w:val="left" w:pos="660"/>
            </w:tabs>
            <w:rPr>
              <w:rFonts w:asciiTheme="minorHAnsi" w:eastAsiaTheme="minorEastAsia" w:hAnsiTheme="minorHAnsi" w:cstheme="minorBidi"/>
              <w:b w:val="0"/>
              <w:color w:val="auto"/>
              <w:kern w:val="2"/>
              <w14:ligatures w14:val="standardContextual"/>
            </w:rPr>
          </w:pPr>
          <w:hyperlink w:anchor="_Toc179556415" w:history="1">
            <w:r w:rsidR="00860226" w:rsidRPr="00992F3C">
              <w:rPr>
                <w:rStyle w:val="Hyperlink"/>
              </w:rPr>
              <w:t>7.</w:t>
            </w:r>
            <w:r w:rsidR="00860226">
              <w:rPr>
                <w:rFonts w:asciiTheme="minorHAnsi" w:eastAsiaTheme="minorEastAsia" w:hAnsiTheme="minorHAnsi" w:cstheme="minorBidi"/>
                <w:b w:val="0"/>
                <w:color w:val="auto"/>
                <w:kern w:val="2"/>
                <w14:ligatures w14:val="standardContextual"/>
              </w:rPr>
              <w:tab/>
            </w:r>
            <w:r w:rsidR="00860226" w:rsidRPr="00992F3C">
              <w:rPr>
                <w:rStyle w:val="Hyperlink"/>
              </w:rPr>
              <w:t>Evaluation</w:t>
            </w:r>
            <w:r w:rsidR="00860226">
              <w:rPr>
                <w:webHidden/>
              </w:rPr>
              <w:tab/>
            </w:r>
            <w:r w:rsidR="00860226">
              <w:rPr>
                <w:webHidden/>
              </w:rPr>
              <w:fldChar w:fldCharType="begin"/>
            </w:r>
            <w:r w:rsidR="00860226">
              <w:rPr>
                <w:webHidden/>
              </w:rPr>
              <w:instrText xml:space="preserve"> PAGEREF _Toc179556415 \h </w:instrText>
            </w:r>
            <w:r w:rsidR="00860226">
              <w:rPr>
                <w:webHidden/>
              </w:rPr>
            </w:r>
            <w:r w:rsidR="00860226">
              <w:rPr>
                <w:webHidden/>
              </w:rPr>
              <w:fldChar w:fldCharType="separate"/>
            </w:r>
            <w:r w:rsidR="00F56DD4">
              <w:rPr>
                <w:webHidden/>
              </w:rPr>
              <w:t>45</w:t>
            </w:r>
            <w:r w:rsidR="00860226">
              <w:rPr>
                <w:webHidden/>
              </w:rPr>
              <w:fldChar w:fldCharType="end"/>
            </w:r>
          </w:hyperlink>
        </w:p>
        <w:p w14:paraId="4A426C7C" w14:textId="6715C733" w:rsidR="00860226" w:rsidRDefault="00230512">
          <w:pPr>
            <w:pStyle w:val="TOC1"/>
            <w:rPr>
              <w:rFonts w:asciiTheme="minorHAnsi" w:eastAsiaTheme="minorEastAsia" w:hAnsiTheme="minorHAnsi" w:cstheme="minorBidi"/>
              <w:b w:val="0"/>
              <w:color w:val="auto"/>
              <w:kern w:val="2"/>
              <w14:ligatures w14:val="standardContextual"/>
            </w:rPr>
          </w:pPr>
          <w:hyperlink w:anchor="_Toc179556416" w:history="1">
            <w:r w:rsidR="00860226" w:rsidRPr="00992F3C">
              <w:rPr>
                <w:rStyle w:val="Hyperlink"/>
              </w:rPr>
              <w:t>Glossary of acronyms</w:t>
            </w:r>
            <w:r w:rsidR="00860226">
              <w:rPr>
                <w:webHidden/>
              </w:rPr>
              <w:tab/>
            </w:r>
            <w:r w:rsidR="00860226">
              <w:rPr>
                <w:webHidden/>
              </w:rPr>
              <w:fldChar w:fldCharType="begin"/>
            </w:r>
            <w:r w:rsidR="00860226">
              <w:rPr>
                <w:webHidden/>
              </w:rPr>
              <w:instrText xml:space="preserve"> PAGEREF _Toc179556416 \h </w:instrText>
            </w:r>
            <w:r w:rsidR="00860226">
              <w:rPr>
                <w:webHidden/>
              </w:rPr>
            </w:r>
            <w:r w:rsidR="00860226">
              <w:rPr>
                <w:webHidden/>
              </w:rPr>
              <w:fldChar w:fldCharType="separate"/>
            </w:r>
            <w:r w:rsidR="00F56DD4">
              <w:rPr>
                <w:webHidden/>
              </w:rPr>
              <w:t>46</w:t>
            </w:r>
            <w:r w:rsidR="00860226">
              <w:rPr>
                <w:webHidden/>
              </w:rPr>
              <w:fldChar w:fldCharType="end"/>
            </w:r>
          </w:hyperlink>
        </w:p>
        <w:p w14:paraId="7148B00E" w14:textId="6CC1DC26" w:rsidR="00860226" w:rsidRDefault="00230512">
          <w:pPr>
            <w:pStyle w:val="TOC1"/>
            <w:rPr>
              <w:rFonts w:asciiTheme="minorHAnsi" w:eastAsiaTheme="minorEastAsia" w:hAnsiTheme="minorHAnsi" w:cstheme="minorBidi"/>
              <w:b w:val="0"/>
              <w:color w:val="auto"/>
              <w:kern w:val="2"/>
              <w14:ligatures w14:val="standardContextual"/>
            </w:rPr>
          </w:pPr>
          <w:hyperlink w:anchor="_Toc179556417" w:history="1">
            <w:r w:rsidR="00860226" w:rsidRPr="00992F3C">
              <w:rPr>
                <w:rStyle w:val="Hyperlink"/>
              </w:rPr>
              <w:t>Status during policy development</w:t>
            </w:r>
            <w:r w:rsidR="00860226">
              <w:rPr>
                <w:webHidden/>
              </w:rPr>
              <w:tab/>
            </w:r>
            <w:r w:rsidR="00860226">
              <w:rPr>
                <w:webHidden/>
              </w:rPr>
              <w:fldChar w:fldCharType="begin"/>
            </w:r>
            <w:r w:rsidR="00860226">
              <w:rPr>
                <w:webHidden/>
              </w:rPr>
              <w:instrText xml:space="preserve"> PAGEREF _Toc179556417 \h </w:instrText>
            </w:r>
            <w:r w:rsidR="00860226">
              <w:rPr>
                <w:webHidden/>
              </w:rPr>
            </w:r>
            <w:r w:rsidR="00860226">
              <w:rPr>
                <w:webHidden/>
              </w:rPr>
              <w:fldChar w:fldCharType="separate"/>
            </w:r>
            <w:r w:rsidR="00F56DD4">
              <w:rPr>
                <w:webHidden/>
              </w:rPr>
              <w:t>47</w:t>
            </w:r>
            <w:r w:rsidR="00860226">
              <w:rPr>
                <w:webHidden/>
              </w:rPr>
              <w:fldChar w:fldCharType="end"/>
            </w:r>
          </w:hyperlink>
        </w:p>
        <w:p w14:paraId="0C96EF37" w14:textId="2177A639" w:rsidR="00860226" w:rsidRDefault="00230512">
          <w:pPr>
            <w:pStyle w:val="TOC1"/>
            <w:rPr>
              <w:rFonts w:asciiTheme="minorHAnsi" w:eastAsiaTheme="minorEastAsia" w:hAnsiTheme="minorHAnsi" w:cstheme="minorBidi"/>
              <w:b w:val="0"/>
              <w:color w:val="auto"/>
              <w:kern w:val="2"/>
              <w14:ligatures w14:val="standardContextual"/>
            </w:rPr>
          </w:pPr>
          <w:hyperlink w:anchor="_Toc179556418" w:history="1">
            <w:r w:rsidR="00860226" w:rsidRPr="00992F3C">
              <w:rPr>
                <w:rStyle w:val="Hyperlink"/>
              </w:rPr>
              <w:t>Appendices</w:t>
            </w:r>
            <w:r w:rsidR="00860226">
              <w:rPr>
                <w:webHidden/>
              </w:rPr>
              <w:tab/>
            </w:r>
            <w:r w:rsidR="00860226">
              <w:rPr>
                <w:webHidden/>
              </w:rPr>
              <w:fldChar w:fldCharType="begin"/>
            </w:r>
            <w:r w:rsidR="00860226">
              <w:rPr>
                <w:webHidden/>
              </w:rPr>
              <w:instrText xml:space="preserve"> PAGEREF _Toc179556418 \h </w:instrText>
            </w:r>
            <w:r w:rsidR="00860226">
              <w:rPr>
                <w:webHidden/>
              </w:rPr>
            </w:r>
            <w:r w:rsidR="00860226">
              <w:rPr>
                <w:webHidden/>
              </w:rPr>
              <w:fldChar w:fldCharType="separate"/>
            </w:r>
            <w:r w:rsidR="00F56DD4">
              <w:rPr>
                <w:webHidden/>
              </w:rPr>
              <w:t>48</w:t>
            </w:r>
            <w:r w:rsidR="00860226">
              <w:rPr>
                <w:webHidden/>
              </w:rPr>
              <w:fldChar w:fldCharType="end"/>
            </w:r>
          </w:hyperlink>
        </w:p>
        <w:p w14:paraId="1563DAA3" w14:textId="25C337E0" w:rsidR="00860226" w:rsidRDefault="00230512">
          <w:pPr>
            <w:pStyle w:val="TOC3"/>
            <w:rPr>
              <w:rFonts w:asciiTheme="minorHAnsi" w:eastAsiaTheme="minorEastAsia" w:hAnsiTheme="minorHAnsi" w:cstheme="minorBidi"/>
              <w:kern w:val="2"/>
              <w:szCs w:val="22"/>
              <w14:ligatures w14:val="standardContextual"/>
            </w:rPr>
          </w:pPr>
          <w:hyperlink w:anchor="_Toc179556419" w:history="1">
            <w:r w:rsidR="00860226" w:rsidRPr="00992F3C">
              <w:rPr>
                <w:rStyle w:val="Hyperlink"/>
              </w:rPr>
              <w:t>Appendix 1 – Recent anti-scam actions and dispute resolution arrangements</w:t>
            </w:r>
            <w:r w:rsidR="00860226">
              <w:rPr>
                <w:webHidden/>
              </w:rPr>
              <w:tab/>
            </w:r>
            <w:r w:rsidR="00860226">
              <w:rPr>
                <w:webHidden/>
              </w:rPr>
              <w:fldChar w:fldCharType="begin"/>
            </w:r>
            <w:r w:rsidR="00860226">
              <w:rPr>
                <w:webHidden/>
              </w:rPr>
              <w:instrText xml:space="preserve"> PAGEREF _Toc179556419 \h </w:instrText>
            </w:r>
            <w:r w:rsidR="00860226">
              <w:rPr>
                <w:webHidden/>
              </w:rPr>
            </w:r>
            <w:r w:rsidR="00860226">
              <w:rPr>
                <w:webHidden/>
              </w:rPr>
              <w:fldChar w:fldCharType="separate"/>
            </w:r>
            <w:r w:rsidR="00F56DD4">
              <w:rPr>
                <w:webHidden/>
              </w:rPr>
              <w:t>48</w:t>
            </w:r>
            <w:r w:rsidR="00860226">
              <w:rPr>
                <w:webHidden/>
              </w:rPr>
              <w:fldChar w:fldCharType="end"/>
            </w:r>
          </w:hyperlink>
        </w:p>
        <w:p w14:paraId="32C767E5" w14:textId="01659646" w:rsidR="00860226" w:rsidRDefault="00230512">
          <w:pPr>
            <w:pStyle w:val="TOC3"/>
            <w:rPr>
              <w:rFonts w:asciiTheme="minorHAnsi" w:eastAsiaTheme="minorEastAsia" w:hAnsiTheme="minorHAnsi" w:cstheme="minorBidi"/>
              <w:kern w:val="2"/>
              <w:szCs w:val="22"/>
              <w14:ligatures w14:val="standardContextual"/>
            </w:rPr>
          </w:pPr>
          <w:hyperlink w:anchor="_Toc179556420" w:history="1">
            <w:r w:rsidR="00860226" w:rsidRPr="00992F3C">
              <w:rPr>
                <w:rStyle w:val="Hyperlink"/>
              </w:rPr>
              <w:t>Appendix 2 – Regulatory cost calculations</w:t>
            </w:r>
            <w:r w:rsidR="00860226">
              <w:rPr>
                <w:webHidden/>
              </w:rPr>
              <w:tab/>
            </w:r>
            <w:r w:rsidR="00860226">
              <w:rPr>
                <w:webHidden/>
              </w:rPr>
              <w:fldChar w:fldCharType="begin"/>
            </w:r>
            <w:r w:rsidR="00860226">
              <w:rPr>
                <w:webHidden/>
              </w:rPr>
              <w:instrText xml:space="preserve"> PAGEREF _Toc179556420 \h </w:instrText>
            </w:r>
            <w:r w:rsidR="00860226">
              <w:rPr>
                <w:webHidden/>
              </w:rPr>
            </w:r>
            <w:r w:rsidR="00860226">
              <w:rPr>
                <w:webHidden/>
              </w:rPr>
              <w:fldChar w:fldCharType="separate"/>
            </w:r>
            <w:r w:rsidR="00F56DD4">
              <w:rPr>
                <w:webHidden/>
              </w:rPr>
              <w:t>54</w:t>
            </w:r>
            <w:r w:rsidR="00860226">
              <w:rPr>
                <w:webHidden/>
              </w:rPr>
              <w:fldChar w:fldCharType="end"/>
            </w:r>
          </w:hyperlink>
        </w:p>
        <w:p w14:paraId="26E99D60" w14:textId="32D2D6DF" w:rsidR="00860226" w:rsidRDefault="00230512">
          <w:pPr>
            <w:pStyle w:val="TOC3"/>
            <w:rPr>
              <w:rFonts w:asciiTheme="minorHAnsi" w:eastAsiaTheme="minorEastAsia" w:hAnsiTheme="minorHAnsi" w:cstheme="minorBidi"/>
              <w:kern w:val="2"/>
              <w:szCs w:val="22"/>
              <w14:ligatures w14:val="standardContextual"/>
            </w:rPr>
          </w:pPr>
          <w:hyperlink w:anchor="_Toc179556421" w:history="1">
            <w:r w:rsidR="00860226" w:rsidRPr="00992F3C">
              <w:rPr>
                <w:rStyle w:val="Hyperlink"/>
              </w:rPr>
              <w:t>Appendix 3 – Outcomes and evaluation matrix</w:t>
            </w:r>
            <w:r w:rsidR="00860226">
              <w:rPr>
                <w:webHidden/>
              </w:rPr>
              <w:tab/>
            </w:r>
            <w:r w:rsidR="00860226">
              <w:rPr>
                <w:webHidden/>
              </w:rPr>
              <w:fldChar w:fldCharType="begin"/>
            </w:r>
            <w:r w:rsidR="00860226">
              <w:rPr>
                <w:webHidden/>
              </w:rPr>
              <w:instrText xml:space="preserve"> PAGEREF _Toc179556421 \h </w:instrText>
            </w:r>
            <w:r w:rsidR="00860226">
              <w:rPr>
                <w:webHidden/>
              </w:rPr>
            </w:r>
            <w:r w:rsidR="00860226">
              <w:rPr>
                <w:webHidden/>
              </w:rPr>
              <w:fldChar w:fldCharType="separate"/>
            </w:r>
            <w:r w:rsidR="00F56DD4">
              <w:rPr>
                <w:webHidden/>
              </w:rPr>
              <w:t>63</w:t>
            </w:r>
            <w:r w:rsidR="00860226">
              <w:rPr>
                <w:webHidden/>
              </w:rPr>
              <w:fldChar w:fldCharType="end"/>
            </w:r>
          </w:hyperlink>
        </w:p>
        <w:p w14:paraId="5821BCD2" w14:textId="6B4735E7" w:rsidR="00E551D2" w:rsidRDefault="00E551D2">
          <w:r>
            <w:rPr>
              <w:b/>
              <w:bCs/>
              <w:noProof/>
            </w:rPr>
            <w:fldChar w:fldCharType="end"/>
          </w:r>
        </w:p>
      </w:sdtContent>
    </w:sdt>
    <w:p w14:paraId="2155AB2B" w14:textId="77777777" w:rsidR="00D94EE3" w:rsidRPr="00D94EE3" w:rsidRDefault="00D94EE3" w:rsidP="00D94EE3"/>
    <w:p w14:paraId="6E945328" w14:textId="77777777" w:rsidR="00D94EE3" w:rsidRPr="00D94EE3" w:rsidRDefault="00D94EE3" w:rsidP="00D94EE3">
      <w:pPr>
        <w:sectPr w:rsidR="00D94EE3" w:rsidRPr="00D94EE3" w:rsidSect="000029ED">
          <w:headerReference w:type="even" r:id="rId25"/>
          <w:headerReference w:type="default" r:id="rId26"/>
          <w:footerReference w:type="even" r:id="rId27"/>
          <w:footerReference w:type="default" r:id="rId28"/>
          <w:headerReference w:type="first" r:id="rId29"/>
          <w:footerReference w:type="first" r:id="rId30"/>
          <w:pgSz w:w="11906" w:h="16838"/>
          <w:pgMar w:top="1418" w:right="1418" w:bottom="1418" w:left="1418" w:header="709" w:footer="709" w:gutter="0"/>
          <w:pgNumType w:fmt="lowerRoman"/>
          <w:cols w:space="708"/>
          <w:titlePg/>
          <w:docGrid w:linePitch="360"/>
        </w:sectPr>
      </w:pPr>
    </w:p>
    <w:p w14:paraId="03766A64" w14:textId="77777777" w:rsidR="00F4423B" w:rsidRDefault="00F4423B" w:rsidP="00F4423B">
      <w:pPr>
        <w:pStyle w:val="Heading1"/>
      </w:pPr>
      <w:bookmarkStart w:id="1" w:name="_Toc179556389"/>
      <w:r>
        <w:lastRenderedPageBreak/>
        <w:t>Executive summary</w:t>
      </w:r>
      <w:bookmarkEnd w:id="1"/>
    </w:p>
    <w:p w14:paraId="6902C371" w14:textId="00660391" w:rsidR="008F5BE5" w:rsidRDefault="009A48EC" w:rsidP="009A48EC">
      <w:r>
        <w:t xml:space="preserve">Scams are a growing issue in Australia inflicting significant harms on </w:t>
      </w:r>
      <w:r w:rsidR="005A4DBC">
        <w:t>Australians</w:t>
      </w:r>
      <w:r>
        <w:t xml:space="preserve">. There are a range of impacts of scams including </w:t>
      </w:r>
      <w:r w:rsidR="009332C5">
        <w:t xml:space="preserve">harms to consumers, </w:t>
      </w:r>
      <w:r>
        <w:t xml:space="preserve">reputational damage for businesses, withdrawals from the digital economy and undermining public trust. </w:t>
      </w:r>
    </w:p>
    <w:p w14:paraId="6A8C11CD" w14:textId="264A7D76" w:rsidR="008F5BE5" w:rsidRDefault="009A48EC" w:rsidP="009A48EC">
      <w:r>
        <w:t xml:space="preserve">Current industry initiatives lack a coordinated cross-sector approach to protect Australians from scams. Without government action, </w:t>
      </w:r>
      <w:r w:rsidR="001643C5">
        <w:t>industries providing services that are vectors of scam activity a</w:t>
      </w:r>
      <w:r w:rsidR="00792366">
        <w:t xml:space="preserve">re unlikely to </w:t>
      </w:r>
      <w:r w:rsidR="001A1973">
        <w:t>be sufficiently incentivised and coordinated to respond to</w:t>
      </w:r>
      <w:r w:rsidR="001643C5">
        <w:t xml:space="preserve"> the </w:t>
      </w:r>
      <w:r w:rsidR="001A1973">
        <w:t xml:space="preserve">rising </w:t>
      </w:r>
      <w:r>
        <w:t>cost of harms</w:t>
      </w:r>
      <w:r w:rsidR="001A1973">
        <w:t xml:space="preserve"> from scams</w:t>
      </w:r>
      <w:r>
        <w:t xml:space="preserve">. </w:t>
      </w:r>
    </w:p>
    <w:p w14:paraId="12127BD5" w14:textId="19A72FFD" w:rsidR="009A48EC" w:rsidRDefault="009A48EC" w:rsidP="009A48EC">
      <w:r>
        <w:t xml:space="preserve">The core objectives of the </w:t>
      </w:r>
      <w:r w:rsidR="00CF3A33">
        <w:t xml:space="preserve">government’s policy response would be </w:t>
      </w:r>
      <w:r>
        <w:t xml:space="preserve">to </w:t>
      </w:r>
      <w:r w:rsidR="0042622E">
        <w:t xml:space="preserve">both </w:t>
      </w:r>
      <w:r>
        <w:t xml:space="preserve">reduce scam harms and align the benefits and costs of scam prevention. These </w:t>
      </w:r>
      <w:r w:rsidR="00483CCC">
        <w:t xml:space="preserve">objectives are </w:t>
      </w:r>
      <w:r>
        <w:t xml:space="preserve">supported by secondary </w:t>
      </w:r>
      <w:r w:rsidR="00E875DB">
        <w:t>goals</w:t>
      </w:r>
      <w:r>
        <w:t xml:space="preserve"> to uplift industry actions to prevent, detect, </w:t>
      </w:r>
      <w:r w:rsidR="00095C84">
        <w:t>disrupt,</w:t>
      </w:r>
      <w:r>
        <w:t xml:space="preserve"> and report scam activity and </w:t>
      </w:r>
      <w:r w:rsidR="00711825">
        <w:t xml:space="preserve">to better </w:t>
      </w:r>
      <w:r>
        <w:t>support Australians who experience a scam.</w:t>
      </w:r>
    </w:p>
    <w:p w14:paraId="035AC9BC" w14:textId="77777777" w:rsidR="00E76BFD" w:rsidRDefault="009A48EC" w:rsidP="009A48EC">
      <w:r>
        <w:t xml:space="preserve">Treasury has considered </w:t>
      </w:r>
      <w:r w:rsidR="00E76BFD">
        <w:t>two</w:t>
      </w:r>
      <w:r>
        <w:t xml:space="preserve"> options: </w:t>
      </w:r>
    </w:p>
    <w:p w14:paraId="66CEF30E" w14:textId="5B38AFC7" w:rsidR="00E76BFD" w:rsidRDefault="00E76BFD" w:rsidP="00E76BFD">
      <w:pPr>
        <w:pStyle w:val="Bullet"/>
      </w:pPr>
      <w:r>
        <w:t>Option 1: M</w:t>
      </w:r>
      <w:r w:rsidR="009A48EC">
        <w:t>aintain the status quo</w:t>
      </w:r>
      <w:r>
        <w:t>.</w:t>
      </w:r>
    </w:p>
    <w:p w14:paraId="6CA669D4" w14:textId="4CF1D7A5" w:rsidR="00E76BFD" w:rsidRDefault="00E76BFD" w:rsidP="00E76BFD">
      <w:pPr>
        <w:pStyle w:val="Bullet"/>
      </w:pPr>
      <w:r>
        <w:t xml:space="preserve">Option 2: Establish the Scams </w:t>
      </w:r>
      <w:r w:rsidR="00D322EF">
        <w:t>Prevention</w:t>
      </w:r>
      <w:r>
        <w:t xml:space="preserve"> Framework (SPF)</w:t>
      </w:r>
      <w:r w:rsidR="00B21052">
        <w:t xml:space="preserve">, </w:t>
      </w:r>
      <w:r w:rsidR="009A48EC">
        <w:t>implement</w:t>
      </w:r>
      <w:r w:rsidR="00B21052">
        <w:t>ing</w:t>
      </w:r>
      <w:r w:rsidR="009A48EC">
        <w:t xml:space="preserve"> the Government’s election commitment to introduce a mandatory framework for industry codes on scams initially applying to banks, telecommunications providers and certain digital platforms. </w:t>
      </w:r>
    </w:p>
    <w:p w14:paraId="36C37E3A" w14:textId="531DFBB7" w:rsidR="009A48EC" w:rsidRDefault="009A48EC" w:rsidP="009A48EC">
      <w:r>
        <w:t xml:space="preserve">Option 2 would involve regulatory costs for banks, </w:t>
      </w:r>
      <w:r w:rsidR="004329B5">
        <w:t>telecommunications,</w:t>
      </w:r>
      <w:r>
        <w:t xml:space="preserve"> and certain digital platforms to uplift their anti-scam activities, information sharing and dispute resolution capabilities. Option 2 has been assessed as likely to involve a net benefit through reducing scam exposure, losses and redress</w:t>
      </w:r>
      <w:r w:rsidR="000A5C37">
        <w:t xml:space="preserve">. The SPF would </w:t>
      </w:r>
      <w:r>
        <w:t>improv</w:t>
      </w:r>
      <w:r w:rsidR="000A5C37">
        <w:t>e</w:t>
      </w:r>
      <w:r>
        <w:t xml:space="preserve"> the regulatory framework for industry </w:t>
      </w:r>
      <w:r w:rsidR="000A5C37">
        <w:t>scam prevention</w:t>
      </w:r>
      <w:r>
        <w:t xml:space="preserve"> activities</w:t>
      </w:r>
      <w:r w:rsidR="00EC126F">
        <w:t xml:space="preserve">, </w:t>
      </w:r>
      <w:r>
        <w:t>improv</w:t>
      </w:r>
      <w:r w:rsidR="00EC126F">
        <w:t>e</w:t>
      </w:r>
      <w:r>
        <w:t xml:space="preserve"> sharing </w:t>
      </w:r>
      <w:r w:rsidR="00EC126F">
        <w:t xml:space="preserve">of actionable </w:t>
      </w:r>
      <w:r>
        <w:t>scam information</w:t>
      </w:r>
      <w:r w:rsidR="00EC126F">
        <w:t xml:space="preserve"> across the economy</w:t>
      </w:r>
      <w:r>
        <w:t xml:space="preserve"> and </w:t>
      </w:r>
      <w:r w:rsidR="00EC126F">
        <w:t xml:space="preserve">improve </w:t>
      </w:r>
      <w:r>
        <w:t>dispute resolution</w:t>
      </w:r>
      <w:r w:rsidR="00EC126F">
        <w:t xml:space="preserve"> systems and outcomes for scam victims</w:t>
      </w:r>
      <w:r>
        <w:t xml:space="preserve">. </w:t>
      </w:r>
    </w:p>
    <w:p w14:paraId="04CE5376" w14:textId="2D8810D3" w:rsidR="009A48EC" w:rsidRDefault="004D557B" w:rsidP="009A48EC">
      <w:r>
        <w:t xml:space="preserve">Treasury </w:t>
      </w:r>
      <w:r w:rsidR="0963365B">
        <w:t>undertook</w:t>
      </w:r>
      <w:r>
        <w:t xml:space="preserve"> p</w:t>
      </w:r>
      <w:r w:rsidR="009A48EC">
        <w:t xml:space="preserve">ublic consultation on policy options from November 2023 to January 2024. </w:t>
      </w:r>
      <w:r>
        <w:t>T</w:t>
      </w:r>
      <w:r w:rsidR="009A48EC">
        <w:t xml:space="preserve">argeted consultation with industry </w:t>
      </w:r>
      <w:r w:rsidR="00844ED4">
        <w:t xml:space="preserve">continued </w:t>
      </w:r>
      <w:r w:rsidR="009A48EC">
        <w:t xml:space="preserve">in mid-2024 and </w:t>
      </w:r>
      <w:r w:rsidR="1F400216">
        <w:t xml:space="preserve">draft legislation underwent public </w:t>
      </w:r>
      <w:r w:rsidR="009A48EC">
        <w:t xml:space="preserve">consultation </w:t>
      </w:r>
      <w:r w:rsidR="1F400216">
        <w:t>from September to October 2024</w:t>
      </w:r>
      <w:r w:rsidR="4CD5DBBD">
        <w:t>.</w:t>
      </w:r>
      <w:r w:rsidR="6D804F4E">
        <w:t xml:space="preserve"> </w:t>
      </w:r>
      <w:r w:rsidR="009A48EC">
        <w:t xml:space="preserve">Consultation </w:t>
      </w:r>
      <w:r w:rsidR="0F872B6E">
        <w:t xml:space="preserve">has </w:t>
      </w:r>
      <w:r w:rsidR="009A48EC">
        <w:t xml:space="preserve">informed the design of </w:t>
      </w:r>
      <w:r w:rsidR="00F90AE2">
        <w:t xml:space="preserve">the </w:t>
      </w:r>
      <w:r w:rsidR="00503541">
        <w:t xml:space="preserve">SPF under option 2 </w:t>
      </w:r>
      <w:r w:rsidR="009A48EC">
        <w:t xml:space="preserve">as well as the level of regulatory burden it would involve. </w:t>
      </w:r>
    </w:p>
    <w:p w14:paraId="0A844666" w14:textId="77777777" w:rsidR="003D4716" w:rsidRDefault="009A48EC" w:rsidP="009A48EC">
      <w:r>
        <w:t xml:space="preserve">Option 2 </w:t>
      </w:r>
      <w:r w:rsidR="005336DB">
        <w:t>is the preferred option</w:t>
      </w:r>
      <w:r>
        <w:t xml:space="preserve"> to implement the government’s objectives</w:t>
      </w:r>
      <w:r w:rsidR="00B43C49">
        <w:t xml:space="preserve"> to both provide </w:t>
      </w:r>
      <w:r w:rsidR="008B3DF1">
        <w:t>benefits in reducing scam harms and improve the alignment of the costs and benefits of scam prev</w:t>
      </w:r>
      <w:r w:rsidR="003F1729">
        <w:t>ention activity</w:t>
      </w:r>
      <w:r>
        <w:t xml:space="preserve">. </w:t>
      </w:r>
      <w:r w:rsidR="009A7E5D">
        <w:t>Implementing the SPF is preferable to the status quo, under which</w:t>
      </w:r>
      <w:r w:rsidR="00FB079D">
        <w:t xml:space="preserve"> there would not be an overarching framework </w:t>
      </w:r>
      <w:r w:rsidR="00B3004E">
        <w:t>to enable uplift in</w:t>
      </w:r>
      <w:r w:rsidR="00FB079D">
        <w:t xml:space="preserve"> </w:t>
      </w:r>
      <w:proofErr w:type="gramStart"/>
      <w:r w:rsidR="00FB079D">
        <w:t>indust</w:t>
      </w:r>
      <w:r w:rsidR="00597E5B">
        <w:t>ry’s</w:t>
      </w:r>
      <w:proofErr w:type="gramEnd"/>
      <w:r w:rsidR="009A7E5D">
        <w:t xml:space="preserve"> </w:t>
      </w:r>
      <w:r w:rsidR="00FB079D">
        <w:t>scam prevention</w:t>
      </w:r>
      <w:r w:rsidR="00597E5B">
        <w:t xml:space="preserve"> activities</w:t>
      </w:r>
      <w:r w:rsidR="00FB079D">
        <w:t xml:space="preserve">. </w:t>
      </w:r>
    </w:p>
    <w:p w14:paraId="7A6487EB" w14:textId="4815E1CD" w:rsidR="009A48EC" w:rsidRDefault="00D6261C" w:rsidP="009A48EC">
      <w:r>
        <w:t xml:space="preserve">The </w:t>
      </w:r>
      <w:r w:rsidR="00D11E2E">
        <w:t>SPF</w:t>
      </w:r>
      <w:r>
        <w:t xml:space="preserve"> would</w:t>
      </w:r>
      <w:r w:rsidR="009A48EC">
        <w:t xml:space="preserve"> be implemented through legislating a framework for industry codes, designating relevant services of banking, telecommunications and certain digital platforms, and developing sector codes to prescribe further specific obligations.</w:t>
      </w:r>
    </w:p>
    <w:p w14:paraId="44528BBF" w14:textId="14CE2830" w:rsidR="00F4423B" w:rsidRDefault="00D322EF" w:rsidP="00BE17D1">
      <w:r>
        <w:t>Upon implementation the SPF</w:t>
      </w:r>
      <w:r w:rsidR="009A48EC">
        <w:t xml:space="preserve"> </w:t>
      </w:r>
      <w:r w:rsidR="00D6261C">
        <w:t>would</w:t>
      </w:r>
      <w:r w:rsidR="009A48EC">
        <w:t xml:space="preserve"> be evaluated</w:t>
      </w:r>
      <w:r w:rsidR="004D72C7">
        <w:t xml:space="preserve"> by the government</w:t>
      </w:r>
      <w:r w:rsidR="009A48EC">
        <w:t xml:space="preserve"> </w:t>
      </w:r>
      <w:r w:rsidR="008F4E58">
        <w:t>through</w:t>
      </w:r>
      <w:r w:rsidR="009A48EC">
        <w:t xml:space="preserve"> several measures </w:t>
      </w:r>
      <w:r w:rsidR="00891891">
        <w:t>using d</w:t>
      </w:r>
      <w:r w:rsidR="009A4B2E">
        <w:t xml:space="preserve">ata </w:t>
      </w:r>
      <w:r w:rsidR="009A48EC">
        <w:t xml:space="preserve">from government and industry sources. These include consumer and industry reports about scams, agency monitors of consumer victimisation and evaluation of industry compliance with mandatory obligations. </w:t>
      </w:r>
      <w:r w:rsidR="00F4423B">
        <w:br w:type="page"/>
      </w:r>
    </w:p>
    <w:p w14:paraId="70F7D89F" w14:textId="77777777" w:rsidR="007332BA" w:rsidRDefault="007332BA" w:rsidP="007332BA">
      <w:pPr>
        <w:pStyle w:val="Heading1"/>
      </w:pPr>
      <w:bookmarkStart w:id="2" w:name="_Toc179556390"/>
      <w:r>
        <w:lastRenderedPageBreak/>
        <w:t>Background</w:t>
      </w:r>
      <w:bookmarkEnd w:id="2"/>
    </w:p>
    <w:p w14:paraId="039C8F79" w14:textId="26614247" w:rsidR="009D08E5" w:rsidRDefault="003D0793" w:rsidP="00603C00">
      <w:pPr>
        <w:pStyle w:val="AlphaParagraph"/>
        <w:numPr>
          <w:ilvl w:val="1"/>
          <w:numId w:val="0"/>
        </w:numPr>
      </w:pPr>
      <w:r w:rsidRPr="00285B04">
        <w:t xml:space="preserve">Scams </w:t>
      </w:r>
      <w:r>
        <w:t xml:space="preserve">are </w:t>
      </w:r>
      <w:r w:rsidRPr="00285B04">
        <w:t xml:space="preserve">a significant </w:t>
      </w:r>
      <w:r w:rsidR="0000072F">
        <w:t>source of</w:t>
      </w:r>
      <w:r w:rsidRPr="00285B04">
        <w:t xml:space="preserve"> </w:t>
      </w:r>
      <w:r w:rsidR="0000072F">
        <w:t xml:space="preserve">financial crime that inflict </w:t>
      </w:r>
      <w:r w:rsidR="00603C00">
        <w:t xml:space="preserve">unacceptably high </w:t>
      </w:r>
      <w:r w:rsidR="00BC7CD7">
        <w:t>harm</w:t>
      </w:r>
      <w:r w:rsidR="00603C00">
        <w:t xml:space="preserve"> </w:t>
      </w:r>
      <w:r w:rsidR="00737ACB">
        <w:t xml:space="preserve">to Australian consumers and </w:t>
      </w:r>
      <w:r w:rsidR="00822274">
        <w:t>industry</w:t>
      </w:r>
      <w:r w:rsidR="00F66670">
        <w:t xml:space="preserve">. </w:t>
      </w:r>
      <w:r w:rsidR="00F40E7A">
        <w:t xml:space="preserve">Scams </w:t>
      </w:r>
      <w:r w:rsidR="003912FF">
        <w:t>target a wide range of people</w:t>
      </w:r>
      <w:r w:rsidR="00FF21CE">
        <w:t xml:space="preserve"> </w:t>
      </w:r>
      <w:r w:rsidR="00AB2636">
        <w:t xml:space="preserve">by </w:t>
      </w:r>
      <w:r w:rsidR="00FF21CE">
        <w:t>exploit</w:t>
      </w:r>
      <w:r w:rsidR="00A07028">
        <w:t>ing</w:t>
      </w:r>
      <w:r w:rsidR="00FF21CE">
        <w:t xml:space="preserve"> </w:t>
      </w:r>
      <w:r w:rsidR="00F40E7A">
        <w:t xml:space="preserve">the social and technological vulnerabilities in the </w:t>
      </w:r>
      <w:r w:rsidR="003912FF">
        <w:t>way Australians interact and do business online</w:t>
      </w:r>
      <w:r w:rsidR="00A270C9">
        <w:t xml:space="preserve">. </w:t>
      </w:r>
      <w:r w:rsidR="0052057D">
        <w:t>Scams</w:t>
      </w:r>
      <w:r w:rsidR="003912FF">
        <w:t xml:space="preserve"> are often linked to other </w:t>
      </w:r>
      <w:r w:rsidR="00A270C9">
        <w:t>crimes</w:t>
      </w:r>
      <w:r w:rsidR="003912FF">
        <w:t>, including identity theft</w:t>
      </w:r>
      <w:r w:rsidR="00903FED">
        <w:t xml:space="preserve"> and cybercrime</w:t>
      </w:r>
      <w:r w:rsidR="003912FF">
        <w:t xml:space="preserve">. </w:t>
      </w:r>
    </w:p>
    <w:p w14:paraId="395818F1" w14:textId="2B289713" w:rsidR="00D235AB" w:rsidRDefault="00737207" w:rsidP="00874346">
      <w:r>
        <w:t xml:space="preserve">Scams are </w:t>
      </w:r>
      <w:r w:rsidR="001A01A6">
        <w:t xml:space="preserve">attempts, directly or indirectly, </w:t>
      </w:r>
      <w:r w:rsidR="001D2C1B">
        <w:t xml:space="preserve">to deceive a consumer into obtaining financial benefits or personal information. </w:t>
      </w:r>
      <w:r w:rsidR="007E1DCB">
        <w:t xml:space="preserve">The scope of ‘scam’ activity is not currently defined in legislation. </w:t>
      </w:r>
      <w:r w:rsidR="001D2C1B">
        <w:t xml:space="preserve">Most scams </w:t>
      </w:r>
      <w:r w:rsidR="00FB33BF">
        <w:t xml:space="preserve">aim </w:t>
      </w:r>
      <w:r w:rsidR="004467AC">
        <w:t>to induce</w:t>
      </w:r>
      <w:r w:rsidR="00FB33BF">
        <w:t xml:space="preserve"> a</w:t>
      </w:r>
      <w:r w:rsidR="003E1463">
        <w:t>n individual</w:t>
      </w:r>
      <w:r w:rsidR="00FB33BF">
        <w:t xml:space="preserve"> to act to initiate payments </w:t>
      </w:r>
      <w:r w:rsidR="00971769">
        <w:t>to the scammer or disclose account or security credentials.</w:t>
      </w:r>
      <w:r w:rsidR="00044585">
        <w:t xml:space="preserve"> </w:t>
      </w:r>
      <w:r w:rsidR="00D235AB">
        <w:t>Scams can be carried out through a wide range of communication channels, including phone, text message, social media</w:t>
      </w:r>
      <w:r w:rsidR="007D37D2">
        <w:t>,</w:t>
      </w:r>
      <w:r w:rsidR="00D235AB">
        <w:t xml:space="preserve"> and email. </w:t>
      </w:r>
    </w:p>
    <w:p w14:paraId="5F0BDDFD" w14:textId="3F1213E0" w:rsidR="001442AD" w:rsidRPr="00E66EA2" w:rsidRDefault="005B5760" w:rsidP="001442AD">
      <w:pPr>
        <w:rPr>
          <w:rFonts w:eastAsiaTheme="minorEastAsia" w:cs="Calibri Light"/>
          <w:szCs w:val="22"/>
        </w:rPr>
      </w:pPr>
      <w:r>
        <w:t>In response to the rising impact of scams, t</w:t>
      </w:r>
      <w:r w:rsidR="009E7682">
        <w:t>he Government made a</w:t>
      </w:r>
      <w:r w:rsidR="00C574E9">
        <w:t>n election</w:t>
      </w:r>
      <w:r w:rsidR="00C26260">
        <w:t xml:space="preserve"> </w:t>
      </w:r>
      <w:r w:rsidR="009E7682">
        <w:t xml:space="preserve">commitment to introduce tough, new mandatory industry codes for banks, telecommunication providers and social media companies to combat scams. </w:t>
      </w:r>
      <w:r w:rsidR="00B041D0">
        <w:t xml:space="preserve">Policy options considered in this Impact Analysis </w:t>
      </w:r>
      <w:r w:rsidR="001D322C">
        <w:t>(IA)</w:t>
      </w:r>
      <w:r w:rsidR="00B041D0">
        <w:t xml:space="preserve"> would </w:t>
      </w:r>
      <w:r w:rsidR="001442AD">
        <w:t xml:space="preserve">build on </w:t>
      </w:r>
      <w:r w:rsidR="00FD4BB2" w:rsidRPr="006B41F6">
        <w:t xml:space="preserve">$58 million </w:t>
      </w:r>
      <w:r w:rsidR="001442AD">
        <w:t>in funding</w:t>
      </w:r>
      <w:r w:rsidR="00FD4BB2" w:rsidRPr="006B41F6">
        <w:t xml:space="preserve"> to launch the National Anti-Scam Centre (NASC) on 1 July 2023.</w:t>
      </w:r>
      <w:r w:rsidR="00FD4BB2" w:rsidRPr="00691B9E">
        <w:rPr>
          <w:rStyle w:val="FootnoteReference"/>
          <w:vertAlign w:val="superscript"/>
        </w:rPr>
        <w:footnoteReference w:id="2"/>
      </w:r>
      <w:r w:rsidR="00FD4BB2" w:rsidRPr="006B41F6">
        <w:t xml:space="preserve"> The NASC </w:t>
      </w:r>
      <w:r w:rsidR="00FD4BB2" w:rsidRPr="006B41F6">
        <w:rPr>
          <w:rFonts w:eastAsiaTheme="minorEastAsia" w:cs="Calibri Light"/>
          <w:szCs w:val="22"/>
        </w:rPr>
        <w:t>co-ordinates efforts to prevent scams by improving intelligence sharing across Government and the private sector, raising public awareness about scams and making it easier</w:t>
      </w:r>
      <w:r w:rsidR="00FD4BB2" w:rsidRPr="00640EAE">
        <w:rPr>
          <w:rFonts w:eastAsiaTheme="minorEastAsia" w:cs="Calibri Light"/>
          <w:szCs w:val="22"/>
        </w:rPr>
        <w:t xml:space="preserve"> for consumers to report scams </w:t>
      </w:r>
      <w:r w:rsidR="00FD4BB2">
        <w:rPr>
          <w:rFonts w:eastAsiaTheme="minorEastAsia" w:cs="Calibri Light"/>
          <w:szCs w:val="22"/>
        </w:rPr>
        <w:t>to a single agency</w:t>
      </w:r>
      <w:r w:rsidR="00FD4BB2" w:rsidRPr="00640EAE">
        <w:rPr>
          <w:rFonts w:eastAsiaTheme="minorEastAsia" w:cs="Calibri Light"/>
          <w:szCs w:val="22"/>
        </w:rPr>
        <w:t>.</w:t>
      </w:r>
      <w:r w:rsidR="001442AD">
        <w:rPr>
          <w:rFonts w:eastAsiaTheme="minorEastAsia" w:cs="Calibri Light"/>
          <w:szCs w:val="22"/>
        </w:rPr>
        <w:t xml:space="preserve"> These efforts have contributed to </w:t>
      </w:r>
      <w:r w:rsidR="00561EA0">
        <w:rPr>
          <w:rFonts w:eastAsiaTheme="minorEastAsia" w:cs="Calibri Light"/>
          <w:szCs w:val="22"/>
        </w:rPr>
        <w:t xml:space="preserve">a </w:t>
      </w:r>
      <w:r w:rsidR="00E24C4E">
        <w:rPr>
          <w:rFonts w:eastAsiaTheme="minorEastAsia" w:cs="Calibri Light"/>
          <w:szCs w:val="22"/>
        </w:rPr>
        <w:t xml:space="preserve">13 </w:t>
      </w:r>
      <w:r w:rsidR="009B6FB5">
        <w:rPr>
          <w:rFonts w:eastAsiaTheme="minorEastAsia" w:cs="Calibri Light"/>
          <w:szCs w:val="22"/>
        </w:rPr>
        <w:t xml:space="preserve">per cent </w:t>
      </w:r>
      <w:r w:rsidR="00CA2FB8">
        <w:rPr>
          <w:rFonts w:eastAsiaTheme="minorEastAsia" w:cs="Calibri Light"/>
          <w:szCs w:val="22"/>
        </w:rPr>
        <w:t>annual</w:t>
      </w:r>
      <w:r w:rsidR="009B6FB5">
        <w:rPr>
          <w:rFonts w:eastAsiaTheme="minorEastAsia" w:cs="Calibri Light"/>
          <w:szCs w:val="22"/>
        </w:rPr>
        <w:t xml:space="preserve"> </w:t>
      </w:r>
      <w:r w:rsidR="00561EA0">
        <w:rPr>
          <w:rFonts w:eastAsiaTheme="minorEastAsia" w:cs="Calibri Light"/>
          <w:szCs w:val="22"/>
        </w:rPr>
        <w:t xml:space="preserve">decrease in </w:t>
      </w:r>
      <w:r w:rsidR="00E24C4E">
        <w:rPr>
          <w:rFonts w:eastAsiaTheme="minorEastAsia" w:cs="Calibri Light"/>
          <w:szCs w:val="22"/>
        </w:rPr>
        <w:t>scam</w:t>
      </w:r>
      <w:r w:rsidR="00561EA0">
        <w:rPr>
          <w:rFonts w:eastAsiaTheme="minorEastAsia" w:cs="Calibri Light"/>
          <w:szCs w:val="22"/>
        </w:rPr>
        <w:t xml:space="preserve"> losses </w:t>
      </w:r>
      <w:r w:rsidR="00E24C4E">
        <w:rPr>
          <w:rFonts w:eastAsiaTheme="minorEastAsia" w:cs="Calibri Light"/>
          <w:szCs w:val="22"/>
        </w:rPr>
        <w:t xml:space="preserve">in 2023, </w:t>
      </w:r>
      <w:r w:rsidR="00D9357A">
        <w:rPr>
          <w:rFonts w:eastAsiaTheme="minorEastAsia" w:cs="Calibri Light"/>
          <w:szCs w:val="22"/>
        </w:rPr>
        <w:t xml:space="preserve">the first </w:t>
      </w:r>
      <w:r w:rsidR="008E2602">
        <w:rPr>
          <w:rFonts w:eastAsiaTheme="minorEastAsia" w:cs="Calibri Light"/>
          <w:szCs w:val="22"/>
        </w:rPr>
        <w:t>downward trend since combined reporting on scam losses began in 201</w:t>
      </w:r>
      <w:r w:rsidR="00B046AD">
        <w:rPr>
          <w:rFonts w:eastAsiaTheme="minorEastAsia" w:cs="Calibri Light"/>
          <w:szCs w:val="22"/>
        </w:rPr>
        <w:t>5</w:t>
      </w:r>
      <w:r w:rsidR="00E66EA2">
        <w:rPr>
          <w:rFonts w:eastAsiaTheme="minorEastAsia" w:cs="Calibri Light"/>
          <w:szCs w:val="22"/>
        </w:rPr>
        <w:t xml:space="preserve">. </w:t>
      </w:r>
    </w:p>
    <w:p w14:paraId="2166B59C" w14:textId="2A477B25" w:rsidR="00F85A28" w:rsidRDefault="005B5760" w:rsidP="00874346">
      <w:pPr>
        <w:rPr>
          <w:rFonts w:eastAsiaTheme="minorEastAsia" w:cs="Calibri Light"/>
          <w:szCs w:val="22"/>
        </w:rPr>
      </w:pPr>
      <w:r>
        <w:rPr>
          <w:rFonts w:eastAsiaTheme="minorEastAsia" w:cs="Calibri Light"/>
          <w:szCs w:val="22"/>
        </w:rPr>
        <w:t xml:space="preserve">At the 2024-25 Budget, </w:t>
      </w:r>
      <w:r w:rsidR="008400B8">
        <w:rPr>
          <w:rFonts w:eastAsiaTheme="minorEastAsia" w:cs="Calibri Light"/>
          <w:szCs w:val="22"/>
        </w:rPr>
        <w:t xml:space="preserve">a </w:t>
      </w:r>
      <w:r w:rsidR="00323E7F">
        <w:rPr>
          <w:rFonts w:eastAsiaTheme="minorEastAsia" w:cs="Calibri Light"/>
          <w:szCs w:val="22"/>
        </w:rPr>
        <w:t xml:space="preserve">draft </w:t>
      </w:r>
      <w:r w:rsidR="00124750">
        <w:rPr>
          <w:rFonts w:eastAsiaTheme="minorEastAsia" w:cs="Calibri Light"/>
          <w:szCs w:val="22"/>
        </w:rPr>
        <w:t>version of this IA</w:t>
      </w:r>
      <w:r w:rsidR="008400B8">
        <w:rPr>
          <w:rFonts w:eastAsiaTheme="minorEastAsia" w:cs="Calibri Light"/>
          <w:szCs w:val="22"/>
        </w:rPr>
        <w:t xml:space="preserve"> was </w:t>
      </w:r>
      <w:r w:rsidR="00323E7F">
        <w:rPr>
          <w:rFonts w:eastAsiaTheme="minorEastAsia" w:cs="Calibri Light"/>
          <w:szCs w:val="22"/>
        </w:rPr>
        <w:t xml:space="preserve">provided </w:t>
      </w:r>
      <w:r w:rsidR="008400B8">
        <w:rPr>
          <w:rFonts w:eastAsiaTheme="minorEastAsia" w:cs="Calibri Light"/>
          <w:szCs w:val="22"/>
        </w:rPr>
        <w:t xml:space="preserve">to inform </w:t>
      </w:r>
      <w:r w:rsidR="00870048">
        <w:rPr>
          <w:rFonts w:eastAsiaTheme="minorEastAsia" w:cs="Calibri Light"/>
          <w:szCs w:val="22"/>
        </w:rPr>
        <w:t xml:space="preserve">a </w:t>
      </w:r>
      <w:r w:rsidR="008400B8">
        <w:rPr>
          <w:rFonts w:eastAsiaTheme="minorEastAsia" w:cs="Calibri Light"/>
          <w:szCs w:val="22"/>
        </w:rPr>
        <w:t xml:space="preserve">Budget decision on </w:t>
      </w:r>
      <w:r w:rsidR="00E06EBF">
        <w:rPr>
          <w:rFonts w:eastAsiaTheme="minorEastAsia" w:cs="Calibri Light"/>
          <w:szCs w:val="22"/>
        </w:rPr>
        <w:t>developing</w:t>
      </w:r>
      <w:r w:rsidR="00252705">
        <w:rPr>
          <w:rFonts w:eastAsiaTheme="minorEastAsia" w:cs="Calibri Light"/>
          <w:szCs w:val="22"/>
        </w:rPr>
        <w:t xml:space="preserve"> </w:t>
      </w:r>
      <w:r w:rsidR="008E16EE">
        <w:rPr>
          <w:rFonts w:eastAsiaTheme="minorEastAsia" w:cs="Calibri Light"/>
          <w:szCs w:val="22"/>
        </w:rPr>
        <w:t>mandatory industry codes for regulated businesses</w:t>
      </w:r>
      <w:r w:rsidR="00EE5E03">
        <w:rPr>
          <w:rFonts w:eastAsiaTheme="minorEastAsia" w:cs="Calibri Light"/>
          <w:szCs w:val="22"/>
        </w:rPr>
        <w:t xml:space="preserve"> to address scams on their platforms and services</w:t>
      </w:r>
      <w:r w:rsidR="00C57583">
        <w:rPr>
          <w:rFonts w:eastAsiaTheme="minorEastAsia" w:cs="Calibri Light"/>
          <w:szCs w:val="22"/>
        </w:rPr>
        <w:t xml:space="preserve">. </w:t>
      </w:r>
      <w:r w:rsidR="00BA47B6">
        <w:rPr>
          <w:rFonts w:eastAsiaTheme="minorEastAsia" w:cs="Calibri Light"/>
          <w:szCs w:val="22"/>
        </w:rPr>
        <w:t>Subsequently</w:t>
      </w:r>
      <w:r w:rsidR="00E06EBF">
        <w:rPr>
          <w:rFonts w:eastAsiaTheme="minorEastAsia" w:cs="Calibri Light"/>
          <w:szCs w:val="22"/>
        </w:rPr>
        <w:t xml:space="preserve">, a full </w:t>
      </w:r>
      <w:r w:rsidR="00490C7F">
        <w:rPr>
          <w:rFonts w:eastAsiaTheme="minorEastAsia" w:cs="Calibri Light"/>
          <w:szCs w:val="22"/>
        </w:rPr>
        <w:t>IA</w:t>
      </w:r>
      <w:r w:rsidR="00E06EBF">
        <w:rPr>
          <w:rFonts w:eastAsiaTheme="minorEastAsia" w:cs="Calibri Light"/>
          <w:szCs w:val="22"/>
        </w:rPr>
        <w:t xml:space="preserve"> was developed alongside finalisation of policy, informed by public consultation on the </w:t>
      </w:r>
      <w:r w:rsidR="00EE6969">
        <w:rPr>
          <w:rFonts w:eastAsiaTheme="minorEastAsia" w:cs="Calibri Light"/>
          <w:szCs w:val="22"/>
        </w:rPr>
        <w:t xml:space="preserve">draft </w:t>
      </w:r>
      <w:r w:rsidR="00E06EBF">
        <w:rPr>
          <w:rFonts w:eastAsiaTheme="minorEastAsia" w:cs="Calibri Light"/>
          <w:szCs w:val="22"/>
        </w:rPr>
        <w:t xml:space="preserve">legislation in </w:t>
      </w:r>
      <w:r w:rsidR="00E06EBF" w:rsidRPr="00EE6969">
        <w:rPr>
          <w:rFonts w:eastAsiaTheme="minorEastAsia" w:cs="Calibri Light"/>
          <w:szCs w:val="22"/>
        </w:rPr>
        <w:t>September 2024</w:t>
      </w:r>
      <w:proofErr w:type="gramStart"/>
      <w:r w:rsidR="00E06EBF">
        <w:rPr>
          <w:rFonts w:eastAsiaTheme="minorEastAsia" w:cs="Calibri Light"/>
          <w:szCs w:val="22"/>
        </w:rPr>
        <w:t>,  to</w:t>
      </w:r>
      <w:proofErr w:type="gramEnd"/>
      <w:r w:rsidR="00E06EBF">
        <w:rPr>
          <w:rFonts w:eastAsiaTheme="minorEastAsia" w:cs="Calibri Light"/>
          <w:szCs w:val="22"/>
        </w:rPr>
        <w:t xml:space="preserve"> support </w:t>
      </w:r>
      <w:r w:rsidR="003F4834">
        <w:rPr>
          <w:rFonts w:eastAsiaTheme="minorEastAsia" w:cs="Calibri Light"/>
          <w:szCs w:val="22"/>
        </w:rPr>
        <w:t xml:space="preserve">the </w:t>
      </w:r>
      <w:r w:rsidR="00E06EBF">
        <w:rPr>
          <w:rFonts w:eastAsiaTheme="minorEastAsia" w:cs="Calibri Light"/>
          <w:szCs w:val="22"/>
        </w:rPr>
        <w:t>Government</w:t>
      </w:r>
      <w:r w:rsidR="003F4834">
        <w:rPr>
          <w:rFonts w:eastAsiaTheme="minorEastAsia" w:cs="Calibri Light"/>
          <w:szCs w:val="22"/>
        </w:rPr>
        <w:t>’s final policy</w:t>
      </w:r>
      <w:r w:rsidR="00E06EBF">
        <w:rPr>
          <w:rFonts w:eastAsiaTheme="minorEastAsia" w:cs="Calibri Light"/>
          <w:szCs w:val="22"/>
        </w:rPr>
        <w:t xml:space="preserve"> decision </w:t>
      </w:r>
      <w:r w:rsidR="00D27FF7">
        <w:rPr>
          <w:rFonts w:eastAsiaTheme="minorEastAsia" w:cs="Calibri Light"/>
          <w:szCs w:val="22"/>
        </w:rPr>
        <w:t xml:space="preserve">in </w:t>
      </w:r>
      <w:r w:rsidR="00D27FF7" w:rsidRPr="00C76819">
        <w:rPr>
          <w:rFonts w:eastAsiaTheme="minorEastAsia" w:cs="Calibri Light"/>
          <w:szCs w:val="22"/>
        </w:rPr>
        <w:t xml:space="preserve">October </w:t>
      </w:r>
      <w:r w:rsidR="00A60271" w:rsidRPr="00C76819">
        <w:rPr>
          <w:rFonts w:eastAsiaTheme="minorEastAsia"/>
        </w:rPr>
        <w:t>2024</w:t>
      </w:r>
      <w:r w:rsidR="00D27FF7">
        <w:rPr>
          <w:rFonts w:eastAsiaTheme="minorEastAsia" w:cs="Calibri Light"/>
          <w:szCs w:val="22"/>
        </w:rPr>
        <w:t xml:space="preserve">. </w:t>
      </w:r>
      <w:r w:rsidR="00F85A28">
        <w:rPr>
          <w:rFonts w:eastAsiaTheme="minorEastAsia" w:cs="Calibri Light"/>
          <w:szCs w:val="22"/>
        </w:rPr>
        <w:br w:type="page"/>
      </w:r>
    </w:p>
    <w:p w14:paraId="37F5900A" w14:textId="77777777" w:rsidR="0080493B" w:rsidRPr="003558CB" w:rsidRDefault="0080493B" w:rsidP="0080493B">
      <w:pPr>
        <w:pStyle w:val="Heading1"/>
        <w:numPr>
          <w:ilvl w:val="0"/>
          <w:numId w:val="42"/>
        </w:numPr>
        <w:ind w:hanging="720"/>
        <w:rPr>
          <w:rFonts w:ascii="Calibri Light" w:hAnsi="Calibri Light" w:cs="Times New Roman"/>
          <w:b w:val="0"/>
          <w:color w:val="auto"/>
          <w:kern w:val="0"/>
          <w:sz w:val="22"/>
          <w:szCs w:val="20"/>
        </w:rPr>
      </w:pPr>
      <w:bookmarkStart w:id="3" w:name="_Toc179556391"/>
      <w:bookmarkStart w:id="4" w:name="_Ref175825185"/>
      <w:r>
        <w:lastRenderedPageBreak/>
        <w:t>Policy problem</w:t>
      </w:r>
      <w:bookmarkEnd w:id="3"/>
      <w:r w:rsidRPr="003558CB">
        <w:rPr>
          <w:rFonts w:ascii="Calibri Light" w:hAnsi="Calibri Light" w:cs="Times New Roman"/>
          <w:b w:val="0"/>
          <w:color w:val="auto"/>
          <w:kern w:val="0"/>
          <w:sz w:val="22"/>
          <w:szCs w:val="20"/>
        </w:rPr>
        <w:t xml:space="preserve"> </w:t>
      </w:r>
    </w:p>
    <w:p w14:paraId="54B445F4" w14:textId="0AE13DFB" w:rsidR="00E37B45" w:rsidRDefault="00E37B45" w:rsidP="00E37B45">
      <w:pPr>
        <w:pStyle w:val="Heading3"/>
      </w:pPr>
      <w:bookmarkStart w:id="5" w:name="_Toc179556392"/>
      <w:bookmarkEnd w:id="4"/>
      <w:r>
        <w:t xml:space="preserve">1.1 </w:t>
      </w:r>
      <w:r w:rsidR="00A44EB0">
        <w:t xml:space="preserve">Scams are a significant </w:t>
      </w:r>
      <w:r w:rsidR="00D51AB5">
        <w:t>issue of growing concern</w:t>
      </w:r>
      <w:bookmarkEnd w:id="5"/>
      <w:r w:rsidR="00D51AB5">
        <w:t xml:space="preserve"> </w:t>
      </w:r>
    </w:p>
    <w:p w14:paraId="0239BFB4" w14:textId="63889B51" w:rsidR="003A43D8" w:rsidRDefault="004F1760" w:rsidP="003A43D8">
      <w:pPr>
        <w:pStyle w:val="Heading4"/>
      </w:pPr>
      <w:r>
        <w:t xml:space="preserve">1.1.1 </w:t>
      </w:r>
      <w:r w:rsidR="0044067E">
        <w:t>The recent growth in scam</w:t>
      </w:r>
      <w:r w:rsidR="0072515B">
        <w:t xml:space="preserve"> activity</w:t>
      </w:r>
    </w:p>
    <w:p w14:paraId="605E2BD2" w14:textId="50B9C3BC" w:rsidR="00A6565E" w:rsidRDefault="00D235AB" w:rsidP="003A43D8">
      <w:pPr>
        <w:pStyle w:val="AlphaParagraph"/>
        <w:numPr>
          <w:ilvl w:val="1"/>
          <w:numId w:val="0"/>
        </w:numPr>
      </w:pPr>
      <w:r>
        <w:t>The impact of scams on Australians has risen sharply</w:t>
      </w:r>
      <w:r w:rsidR="0042458F">
        <w:t xml:space="preserve"> and </w:t>
      </w:r>
      <w:r w:rsidR="00C0139A">
        <w:t xml:space="preserve">has </w:t>
      </w:r>
      <w:r w:rsidR="0042458F">
        <w:t>accelerated since 2020.</w:t>
      </w:r>
      <w:r>
        <w:t xml:space="preserve"> </w:t>
      </w:r>
      <w:r w:rsidR="0042458F">
        <w:t xml:space="preserve">High-value losses, driven by the growth in investment scams, have </w:t>
      </w:r>
      <w:r w:rsidR="00A87754">
        <w:t>led to billions being stolen from Australians, peaking at</w:t>
      </w:r>
      <w:r w:rsidR="003663C9">
        <w:t xml:space="preserve"> </w:t>
      </w:r>
      <w:r w:rsidR="00A87754">
        <w:t>$3.1 billion in 2022.</w:t>
      </w:r>
      <w:r w:rsidR="00A87754" w:rsidRPr="00BE17D1">
        <w:rPr>
          <w:rStyle w:val="FootnoteReference"/>
          <w:vertAlign w:val="superscript"/>
        </w:rPr>
        <w:footnoteReference w:id="3"/>
      </w:r>
      <w:r>
        <w:t xml:space="preserve"> Most, if not all Australians</w:t>
      </w:r>
      <w:r w:rsidR="003663C9">
        <w:t>,</w:t>
      </w:r>
      <w:r>
        <w:t xml:space="preserve"> have </w:t>
      </w:r>
      <w:r w:rsidR="003663C9">
        <w:t>been targeted by</w:t>
      </w:r>
      <w:r>
        <w:t xml:space="preserve"> a scam attempt</w:t>
      </w:r>
      <w:r w:rsidR="00E8333F">
        <w:t>.</w:t>
      </w:r>
      <w:r w:rsidR="00A6565E">
        <w:t xml:space="preserve"> </w:t>
      </w:r>
    </w:p>
    <w:p w14:paraId="4321254B" w14:textId="54D61400" w:rsidR="008E481D" w:rsidRDefault="000F1ABB" w:rsidP="001030E2">
      <w:pPr>
        <w:pStyle w:val="AlphaParagraph"/>
        <w:numPr>
          <w:ilvl w:val="1"/>
          <w:numId w:val="0"/>
        </w:numPr>
      </w:pPr>
      <w:r>
        <w:t xml:space="preserve">The Australian Bureau of Statistics (ABS) </w:t>
      </w:r>
      <w:r w:rsidR="008E5D60">
        <w:t xml:space="preserve">has </w:t>
      </w:r>
      <w:r w:rsidR="00EA15EA">
        <w:t>periodically survey</w:t>
      </w:r>
      <w:r w:rsidR="008E5D60">
        <w:t>ed</w:t>
      </w:r>
      <w:r w:rsidR="00EA15EA">
        <w:t xml:space="preserve"> Australians </w:t>
      </w:r>
      <w:r w:rsidR="00DA514F">
        <w:t xml:space="preserve">in the </w:t>
      </w:r>
      <w:r w:rsidR="00DA514F" w:rsidRPr="00BE17D1">
        <w:t>Personal Fraud</w:t>
      </w:r>
      <w:r w:rsidR="00DA514F">
        <w:rPr>
          <w:i/>
          <w:iCs/>
        </w:rPr>
        <w:t xml:space="preserve"> </w:t>
      </w:r>
      <w:r w:rsidR="00DA514F">
        <w:t xml:space="preserve">report (see </w:t>
      </w:r>
      <w:r w:rsidR="0069526C" w:rsidRPr="0029755E">
        <w:fldChar w:fldCharType="begin"/>
      </w:r>
      <w:r w:rsidR="0069526C" w:rsidRPr="0029755E">
        <w:instrText xml:space="preserve"> REF _Ref177979096 \h  \* MERGEFORMAT </w:instrText>
      </w:r>
      <w:r w:rsidR="0069526C" w:rsidRPr="0029755E">
        <w:fldChar w:fldCharType="separate"/>
      </w:r>
      <w:r w:rsidR="0069526C" w:rsidRPr="0029755E">
        <w:rPr>
          <w:color w:val="000000" w:themeColor="text1"/>
        </w:rPr>
        <w:t xml:space="preserve">Chart </w:t>
      </w:r>
      <w:r w:rsidR="0069526C" w:rsidRPr="0029755E">
        <w:rPr>
          <w:noProof/>
          <w:color w:val="000000" w:themeColor="text1"/>
        </w:rPr>
        <w:t>1</w:t>
      </w:r>
      <w:r w:rsidR="0069526C" w:rsidRPr="0029755E">
        <w:fldChar w:fldCharType="end"/>
      </w:r>
      <w:r w:rsidR="00DA514F">
        <w:t xml:space="preserve">) </w:t>
      </w:r>
      <w:r w:rsidR="00EA15EA">
        <w:t xml:space="preserve">to estimate the </w:t>
      </w:r>
      <w:r w:rsidR="00BC3028">
        <w:t xml:space="preserve">annual incidence of </w:t>
      </w:r>
      <w:r w:rsidR="00EA15EA">
        <w:t xml:space="preserve">scam </w:t>
      </w:r>
      <w:r w:rsidR="00BC3028">
        <w:t>exposure and victimisation</w:t>
      </w:r>
      <w:r w:rsidR="00EA15EA">
        <w:t>.</w:t>
      </w:r>
      <w:r w:rsidR="00AB0B72" w:rsidRPr="00874346">
        <w:rPr>
          <w:rStyle w:val="FootnoteReference"/>
          <w:vertAlign w:val="superscript"/>
        </w:rPr>
        <w:footnoteReference w:id="4"/>
      </w:r>
      <w:r w:rsidR="00EA15EA">
        <w:t xml:space="preserve"> </w:t>
      </w:r>
      <w:r w:rsidR="00C74119">
        <w:t xml:space="preserve">ABS figures </w:t>
      </w:r>
      <w:r w:rsidR="00E315BE">
        <w:t>estimate</w:t>
      </w:r>
      <w:r w:rsidR="00C74119">
        <w:t xml:space="preserve"> that </w:t>
      </w:r>
      <w:r w:rsidR="00E315BE">
        <w:t>2.5 per cent of Australians (514,300) were victimised by a scam</w:t>
      </w:r>
      <w:r w:rsidR="001F2911">
        <w:t xml:space="preserve"> in 2022-23</w:t>
      </w:r>
      <w:r w:rsidR="008E5D60">
        <w:t>,</w:t>
      </w:r>
      <w:r w:rsidR="00E315BE">
        <w:t xml:space="preserve"> only slightly higher </w:t>
      </w:r>
      <w:r w:rsidR="00887D89">
        <w:t xml:space="preserve">than the rate of 2.0 </w:t>
      </w:r>
      <w:r w:rsidR="001F45D8">
        <w:t xml:space="preserve">per cent </w:t>
      </w:r>
      <w:r w:rsidR="00887D89">
        <w:t>in 2007-08.</w:t>
      </w:r>
      <w:r w:rsidR="00DA514F">
        <w:t xml:space="preserve"> </w:t>
      </w:r>
      <w:r w:rsidR="00224A39">
        <w:t>S</w:t>
      </w:r>
      <w:r w:rsidR="00BC3028">
        <w:t xml:space="preserve">cam exposure rates have risen </w:t>
      </w:r>
      <w:r w:rsidR="00090697">
        <w:t xml:space="preserve">from </w:t>
      </w:r>
      <w:r w:rsidR="0048144F">
        <w:t xml:space="preserve">15 per cent in 2007-08 to </w:t>
      </w:r>
      <w:r w:rsidR="00BF3C9E">
        <w:t xml:space="preserve">65 per cent </w:t>
      </w:r>
      <w:r w:rsidR="00073AAA">
        <w:t xml:space="preserve">of </w:t>
      </w:r>
      <w:r w:rsidR="00012A9C">
        <w:t>the population</w:t>
      </w:r>
      <w:r w:rsidR="00073AAA">
        <w:t xml:space="preserve"> </w:t>
      </w:r>
      <w:r w:rsidR="00BF3C9E">
        <w:t>in 2021-22.</w:t>
      </w:r>
      <w:r w:rsidR="00BF3C9E" w:rsidRPr="00525B88">
        <w:rPr>
          <w:rStyle w:val="FootnoteReference"/>
          <w:vertAlign w:val="superscript"/>
        </w:rPr>
        <w:footnoteReference w:id="5"/>
      </w:r>
      <w:r w:rsidR="00BF3C9E">
        <w:t xml:space="preserve"> </w:t>
      </w:r>
      <w:r w:rsidR="005B30F5">
        <w:t>Australian Institute of Criminology</w:t>
      </w:r>
      <w:r w:rsidR="000E107E">
        <w:t xml:space="preserve"> (AIC)</w:t>
      </w:r>
      <w:r w:rsidR="002677A9">
        <w:t xml:space="preserve"> surveys that</w:t>
      </w:r>
      <w:r w:rsidR="005B30F5">
        <w:t xml:space="preserve"> </w:t>
      </w:r>
      <w:r w:rsidR="003D2630">
        <w:t>f</w:t>
      </w:r>
      <w:r w:rsidR="002677A9">
        <w:t>ound</w:t>
      </w:r>
      <w:r w:rsidR="003D2630">
        <w:t xml:space="preserve"> 1</w:t>
      </w:r>
      <w:r w:rsidR="000E107E">
        <w:t xml:space="preserve">3.6 per cent </w:t>
      </w:r>
      <w:r w:rsidR="00D95DFD">
        <w:t xml:space="preserve">of </w:t>
      </w:r>
      <w:r w:rsidR="00C03C5F">
        <w:t>those surveyed were scammed in their lifetime</w:t>
      </w:r>
      <w:r w:rsidR="00533606">
        <w:t>,</w:t>
      </w:r>
      <w:r w:rsidR="00C03C5F">
        <w:t xml:space="preserve"> and </w:t>
      </w:r>
      <w:r w:rsidR="000E107E">
        <w:t xml:space="preserve">3.6 per cent </w:t>
      </w:r>
      <w:r w:rsidR="000366B9">
        <w:t xml:space="preserve">were scammed </w:t>
      </w:r>
      <w:r w:rsidR="000E107E">
        <w:t xml:space="preserve">in </w:t>
      </w:r>
      <w:r w:rsidR="000366B9">
        <w:t xml:space="preserve">the year </w:t>
      </w:r>
      <w:r w:rsidR="000E107E">
        <w:t>2023.</w:t>
      </w:r>
      <w:r w:rsidR="000E107E" w:rsidRPr="00874346">
        <w:rPr>
          <w:rStyle w:val="FootnoteReference"/>
          <w:vertAlign w:val="superscript"/>
        </w:rPr>
        <w:footnoteReference w:id="6"/>
      </w:r>
    </w:p>
    <w:p w14:paraId="0D66F95E" w14:textId="2269182A" w:rsidR="00050406" w:rsidRPr="00B91129" w:rsidRDefault="00050406" w:rsidP="003F5F04">
      <w:pPr>
        <w:pStyle w:val="Heading8"/>
        <w:rPr>
          <w:bCs/>
        </w:rPr>
      </w:pPr>
      <w:bookmarkStart w:id="6" w:name="_Ref177979096"/>
      <w:r w:rsidRPr="00874346">
        <w:t xml:space="preserve">Chart </w:t>
      </w:r>
      <w:fldSimple w:instr=" SEQ Chart \* ARABIC ">
        <w:r>
          <w:rPr>
            <w:noProof/>
          </w:rPr>
          <w:t>1</w:t>
        </w:r>
      </w:fldSimple>
      <w:bookmarkEnd w:id="6"/>
      <w:r w:rsidR="00B91129">
        <w:t xml:space="preserve"> - </w:t>
      </w:r>
      <w:r w:rsidR="00B91129" w:rsidRPr="00B91129">
        <w:rPr>
          <w:bCs/>
        </w:rPr>
        <w:t>Exposure to scams</w:t>
      </w:r>
      <w:r w:rsidR="00044585" w:rsidRPr="005A16CB">
        <w:rPr>
          <w:rStyle w:val="FootnoteReference"/>
          <w:vertAlign w:val="superscript"/>
        </w:rPr>
        <w:footnoteReference w:id="7"/>
      </w:r>
    </w:p>
    <w:p w14:paraId="7450E131" w14:textId="709E80C8" w:rsidR="008E481D" w:rsidRDefault="00F77455" w:rsidP="00BE17D1">
      <w:pPr>
        <w:pStyle w:val="AlphaParagraph"/>
        <w:numPr>
          <w:ilvl w:val="0"/>
          <w:numId w:val="0"/>
        </w:numPr>
        <w:jc w:val="center"/>
      </w:pPr>
      <w:r>
        <w:rPr>
          <w:noProof/>
        </w:rPr>
        <w:drawing>
          <wp:inline distT="0" distB="0" distL="0" distR="0" wp14:anchorId="7933076E" wp14:editId="0BBF7B09">
            <wp:extent cx="4472940" cy="24993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72940" cy="2499360"/>
                    </a:xfrm>
                    <a:prstGeom prst="rect">
                      <a:avLst/>
                    </a:prstGeom>
                    <a:noFill/>
                  </pic:spPr>
                </pic:pic>
              </a:graphicData>
            </a:graphic>
          </wp:inline>
        </w:drawing>
      </w:r>
    </w:p>
    <w:p w14:paraId="449BB975" w14:textId="5232675B" w:rsidR="00BA5A11" w:rsidRDefault="00895702" w:rsidP="003A43D8">
      <w:r>
        <w:t xml:space="preserve">The increasing prevalence in scams is also shown </w:t>
      </w:r>
      <w:r w:rsidR="00294CE6">
        <w:t xml:space="preserve">in the rapid rise of reports </w:t>
      </w:r>
      <w:r w:rsidR="00297DB3">
        <w:t xml:space="preserve">through reporting portals including </w:t>
      </w:r>
      <w:proofErr w:type="spellStart"/>
      <w:r w:rsidR="00297DB3">
        <w:t>Scamwatch</w:t>
      </w:r>
      <w:proofErr w:type="spellEnd"/>
      <w:r w:rsidR="00294CE6">
        <w:t>.</w:t>
      </w:r>
      <w:r w:rsidR="00297DB3">
        <w:t xml:space="preserve"> </w:t>
      </w:r>
      <w:proofErr w:type="spellStart"/>
      <w:r w:rsidR="00297DB3">
        <w:t>Scamwatch</w:t>
      </w:r>
      <w:proofErr w:type="spellEnd"/>
      <w:r w:rsidR="00297DB3">
        <w:t xml:space="preserve"> reports provide details on a scam from </w:t>
      </w:r>
      <w:r w:rsidR="008413D9">
        <w:t>individuals</w:t>
      </w:r>
      <w:r w:rsidR="00297DB3">
        <w:t xml:space="preserve"> who have encountered or been affected by </w:t>
      </w:r>
      <w:r w:rsidR="008D0DCC">
        <w:t xml:space="preserve">a </w:t>
      </w:r>
      <w:r w:rsidR="00297DB3">
        <w:t xml:space="preserve">scam, allowing the </w:t>
      </w:r>
      <w:r w:rsidR="00B82816">
        <w:t>Australian C</w:t>
      </w:r>
      <w:r w:rsidR="005F7785">
        <w:t>ompetition and Consumer</w:t>
      </w:r>
      <w:r w:rsidR="00B82816">
        <w:t xml:space="preserve"> Commission (</w:t>
      </w:r>
      <w:r w:rsidR="00294CE6">
        <w:t>ACCC</w:t>
      </w:r>
      <w:r w:rsidR="00B82816">
        <w:t>)</w:t>
      </w:r>
      <w:r w:rsidR="001D1605">
        <w:t xml:space="preserve"> </w:t>
      </w:r>
      <w:r w:rsidR="00297DB3">
        <w:t xml:space="preserve">and </w:t>
      </w:r>
      <w:r w:rsidR="005F7785">
        <w:t xml:space="preserve">the </w:t>
      </w:r>
      <w:r w:rsidR="0080624B">
        <w:t>NASC</w:t>
      </w:r>
      <w:r w:rsidR="001D1605">
        <w:t xml:space="preserve"> </w:t>
      </w:r>
      <w:r w:rsidR="00297DB3">
        <w:t>to co-ordinate responses.</w:t>
      </w:r>
      <w:r w:rsidR="0070192F">
        <w:t xml:space="preserve"> Although reporting of scams</w:t>
      </w:r>
      <w:r w:rsidR="005E2A88">
        <w:t xml:space="preserve"> to </w:t>
      </w:r>
      <w:proofErr w:type="spellStart"/>
      <w:r w:rsidR="005E2A88">
        <w:t>Scamwatch</w:t>
      </w:r>
      <w:proofErr w:type="spellEnd"/>
      <w:r w:rsidR="0070192F">
        <w:t xml:space="preserve"> has steadily rise</w:t>
      </w:r>
      <w:r w:rsidR="000921EE">
        <w:t xml:space="preserve">n over time, </w:t>
      </w:r>
      <w:r w:rsidR="000D1286">
        <w:t xml:space="preserve">annual </w:t>
      </w:r>
      <w:r w:rsidR="007866D9">
        <w:t xml:space="preserve">losses abruptly increased </w:t>
      </w:r>
      <w:r w:rsidR="000D1286">
        <w:t>from 2020</w:t>
      </w:r>
      <w:r w:rsidR="005E2A88">
        <w:t xml:space="preserve"> (see Chart 2)</w:t>
      </w:r>
      <w:r w:rsidR="00122616">
        <w:t xml:space="preserve">. </w:t>
      </w:r>
      <w:r w:rsidR="00297DB3">
        <w:t>Australians have reported over 164,000 scams totalling $160 million losses in the year to September</w:t>
      </w:r>
      <w:r w:rsidR="003179BE">
        <w:t xml:space="preserve"> 2024</w:t>
      </w:r>
      <w:r w:rsidR="00297DB3">
        <w:t>.</w:t>
      </w:r>
      <w:r w:rsidR="00297DB3" w:rsidRPr="005A16CB">
        <w:rPr>
          <w:rStyle w:val="FootnoteReference"/>
          <w:vertAlign w:val="superscript"/>
        </w:rPr>
        <w:footnoteReference w:id="8"/>
      </w:r>
      <w:r w:rsidR="00297DB3">
        <w:t xml:space="preserve"> </w:t>
      </w:r>
    </w:p>
    <w:p w14:paraId="110F05E1" w14:textId="77777777" w:rsidR="00050406" w:rsidRDefault="00050406" w:rsidP="003A43D8"/>
    <w:p w14:paraId="36A849F9" w14:textId="3F0CFDA1" w:rsidR="00BA5A11" w:rsidRPr="00874346" w:rsidRDefault="00050406" w:rsidP="003F5F04">
      <w:pPr>
        <w:pStyle w:val="Heading8"/>
      </w:pPr>
      <w:bookmarkStart w:id="7" w:name="_Ref177979070"/>
      <w:r w:rsidRPr="00874346">
        <w:lastRenderedPageBreak/>
        <w:t xml:space="preserve">Chart </w:t>
      </w:r>
      <w:fldSimple w:instr=" SEQ Chart \* ARABIC ">
        <w:r>
          <w:rPr>
            <w:noProof/>
          </w:rPr>
          <w:t>2</w:t>
        </w:r>
      </w:fldSimple>
      <w:bookmarkEnd w:id="7"/>
      <w:r w:rsidR="00B91129">
        <w:t xml:space="preserve"> - </w:t>
      </w:r>
      <w:r w:rsidR="00B91129" w:rsidRPr="00B91129">
        <w:t xml:space="preserve">Consumer reports to </w:t>
      </w:r>
      <w:proofErr w:type="spellStart"/>
      <w:r w:rsidR="00B91129" w:rsidRPr="00B91129">
        <w:t>Scamwatch</w:t>
      </w:r>
      <w:proofErr w:type="spellEnd"/>
      <w:r w:rsidR="00044585" w:rsidRPr="005A16CB">
        <w:rPr>
          <w:rStyle w:val="FootnoteReference"/>
          <w:vertAlign w:val="superscript"/>
        </w:rPr>
        <w:footnoteReference w:id="9"/>
      </w:r>
    </w:p>
    <w:p w14:paraId="0D7429B5" w14:textId="73673808" w:rsidR="00BA5A11" w:rsidRDefault="00F77455" w:rsidP="00BE17D1">
      <w:pPr>
        <w:jc w:val="center"/>
      </w:pPr>
      <w:r>
        <w:rPr>
          <w:noProof/>
        </w:rPr>
        <w:drawing>
          <wp:inline distT="0" distB="0" distL="0" distR="0" wp14:anchorId="63E61E59" wp14:editId="59DD75FA">
            <wp:extent cx="4785360" cy="3055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85360" cy="3055620"/>
                    </a:xfrm>
                    <a:prstGeom prst="rect">
                      <a:avLst/>
                    </a:prstGeom>
                    <a:noFill/>
                  </pic:spPr>
                </pic:pic>
              </a:graphicData>
            </a:graphic>
          </wp:inline>
        </w:drawing>
      </w:r>
    </w:p>
    <w:p w14:paraId="5D3335E1" w14:textId="72B3EBF1" w:rsidR="007723C6" w:rsidRDefault="007723C6" w:rsidP="007723C6">
      <w:r>
        <w:t xml:space="preserve">In 2023, business made 4,933 scam reports to </w:t>
      </w:r>
      <w:proofErr w:type="spellStart"/>
      <w:r>
        <w:t>Scamwatch</w:t>
      </w:r>
      <w:proofErr w:type="spellEnd"/>
      <w:r>
        <w:t>, an increase of 27.9 per cent from 2022.</w:t>
      </w:r>
      <w:r w:rsidRPr="005066B3">
        <w:rPr>
          <w:rStyle w:val="FootnoteReference"/>
          <w:vertAlign w:val="superscript"/>
        </w:rPr>
        <w:footnoteReference w:id="10"/>
      </w:r>
      <w:r>
        <w:t xml:space="preserve"> Scams on businesses resulting in the most losses involved false billing and investments. Of the $29.5</w:t>
      </w:r>
      <w:r w:rsidR="00D13261">
        <w:t> </w:t>
      </w:r>
      <w:r>
        <w:t>million in reported scam losses for businesses $17.3 million were reported by small and micro businesses.</w:t>
      </w:r>
    </w:p>
    <w:p w14:paraId="453F7EC8" w14:textId="6EE144C9" w:rsidR="00B879DF" w:rsidRDefault="00681B12" w:rsidP="003A43D8">
      <w:r>
        <w:t xml:space="preserve">In recent years, the information sharing infrastructure </w:t>
      </w:r>
      <w:r w:rsidR="00D56D1C">
        <w:t xml:space="preserve">of the ACCC has </w:t>
      </w:r>
      <w:r w:rsidR="00D20AAD">
        <w:t>been enhanced to enable reporting</w:t>
      </w:r>
      <w:r w:rsidR="00E64334">
        <w:t xml:space="preserve"> on ‘combined’ figures from consumers and industry. </w:t>
      </w:r>
      <w:r w:rsidR="00255509">
        <w:t>Th</w:t>
      </w:r>
      <w:r w:rsidR="00FD46FE">
        <w:t xml:space="preserve">is includes data sourced </w:t>
      </w:r>
      <w:r w:rsidR="00255509">
        <w:t xml:space="preserve">from </w:t>
      </w:r>
      <w:proofErr w:type="spellStart"/>
      <w:r w:rsidR="003179BE">
        <w:t>Scamwatch</w:t>
      </w:r>
      <w:proofErr w:type="spellEnd"/>
      <w:r w:rsidR="00905572">
        <w:t xml:space="preserve">, </w:t>
      </w:r>
      <w:proofErr w:type="spellStart"/>
      <w:r w:rsidR="00905572">
        <w:t>ReportCyber</w:t>
      </w:r>
      <w:proofErr w:type="spellEnd"/>
      <w:r w:rsidR="00E25490">
        <w:t xml:space="preserve">, </w:t>
      </w:r>
      <w:r w:rsidR="007361B8">
        <w:t>the Australian Financial Crimes Exchange</w:t>
      </w:r>
      <w:r w:rsidR="00004B86">
        <w:t xml:space="preserve"> (AFCX)</w:t>
      </w:r>
      <w:r w:rsidR="007361B8">
        <w:t xml:space="preserve">, IDCARE, and </w:t>
      </w:r>
      <w:r w:rsidR="00B04816">
        <w:t>the Australian Securities and Investments Commission (</w:t>
      </w:r>
      <w:r w:rsidR="007361B8">
        <w:t>ASIC</w:t>
      </w:r>
      <w:r w:rsidR="00B04816">
        <w:t>)</w:t>
      </w:r>
      <w:r w:rsidR="007361B8">
        <w:t>.</w:t>
      </w:r>
    </w:p>
    <w:p w14:paraId="46371FA3" w14:textId="72EEFE24" w:rsidR="00C549B7" w:rsidRDefault="006D5D81" w:rsidP="003A43D8">
      <w:r>
        <w:t>C</w:t>
      </w:r>
      <w:r w:rsidR="007361B8">
        <w:t xml:space="preserve">ombined data shows a consistent trend </w:t>
      </w:r>
      <w:r w:rsidR="006E1A38">
        <w:t xml:space="preserve">with </w:t>
      </w:r>
      <w:proofErr w:type="spellStart"/>
      <w:r w:rsidR="006E1A38">
        <w:t>Scamwatch</w:t>
      </w:r>
      <w:proofErr w:type="spellEnd"/>
      <w:r w:rsidR="006E1A38">
        <w:t xml:space="preserve"> reports, depicting a rapid rise in losses </w:t>
      </w:r>
      <w:r w:rsidR="005C69A6">
        <w:t xml:space="preserve">from </w:t>
      </w:r>
      <w:r w:rsidR="00632C96">
        <w:t>202</w:t>
      </w:r>
      <w:r w:rsidR="005C69A6">
        <w:t>0</w:t>
      </w:r>
      <w:r w:rsidR="00E8333F">
        <w:t xml:space="preserve"> as shown in </w:t>
      </w:r>
      <w:r w:rsidR="0069526C" w:rsidRPr="0029755E">
        <w:fldChar w:fldCharType="begin"/>
      </w:r>
      <w:r w:rsidR="0069526C" w:rsidRPr="0029755E">
        <w:instrText xml:space="preserve"> REF _Ref177979050 \h  \* MERGEFORMAT </w:instrText>
      </w:r>
      <w:r w:rsidR="0069526C" w:rsidRPr="0029755E">
        <w:fldChar w:fldCharType="separate"/>
      </w:r>
      <w:r w:rsidR="0069526C" w:rsidRPr="0029755E">
        <w:rPr>
          <w:color w:val="000000" w:themeColor="text1"/>
        </w:rPr>
        <w:t xml:space="preserve">Chart </w:t>
      </w:r>
      <w:r w:rsidR="0069526C" w:rsidRPr="0029755E">
        <w:rPr>
          <w:noProof/>
          <w:color w:val="000000" w:themeColor="text1"/>
        </w:rPr>
        <w:t>3</w:t>
      </w:r>
      <w:r w:rsidR="0069526C" w:rsidRPr="0029755E">
        <w:fldChar w:fldCharType="end"/>
      </w:r>
      <w:r w:rsidR="00632C96">
        <w:t xml:space="preserve">. </w:t>
      </w:r>
      <w:r w:rsidR="00E8333F">
        <w:t>Annual r</w:t>
      </w:r>
      <w:r w:rsidR="00E8333F" w:rsidRPr="00766D19">
        <w:t xml:space="preserve">eported </w:t>
      </w:r>
      <w:r w:rsidR="00E8333F">
        <w:t>losses to scams made by</w:t>
      </w:r>
      <w:r w:rsidR="00122616">
        <w:t xml:space="preserve"> Australians </w:t>
      </w:r>
      <w:r w:rsidR="00E8333F">
        <w:t xml:space="preserve">increased </w:t>
      </w:r>
      <w:r w:rsidR="00E8333F" w:rsidRPr="00766D19">
        <w:t>from</w:t>
      </w:r>
      <w:r w:rsidR="00E8333F">
        <w:t xml:space="preserve"> </w:t>
      </w:r>
      <w:r w:rsidR="00122616">
        <w:t>$</w:t>
      </w:r>
      <w:r w:rsidR="00E8333F" w:rsidRPr="004B3E3B">
        <w:t>634 million in 2019 to $1.8</w:t>
      </w:r>
      <w:r w:rsidR="00E8333F">
        <w:t> </w:t>
      </w:r>
      <w:r w:rsidR="00122616">
        <w:t xml:space="preserve">billion in </w:t>
      </w:r>
      <w:r w:rsidR="00E8333F" w:rsidRPr="004B3E3B">
        <w:t xml:space="preserve">2021, and further increased to </w:t>
      </w:r>
      <w:r w:rsidR="00E8333F">
        <w:t>a peak of</w:t>
      </w:r>
      <w:r w:rsidR="00E8333F" w:rsidRPr="004B3E3B">
        <w:t xml:space="preserve"> $3.1</w:t>
      </w:r>
      <w:r w:rsidR="00A75347">
        <w:t> </w:t>
      </w:r>
      <w:r w:rsidR="00E8333F" w:rsidRPr="004B3E3B">
        <w:t>billion in 2022.</w:t>
      </w:r>
      <w:r w:rsidR="00E8333F" w:rsidRPr="005066B3">
        <w:rPr>
          <w:rStyle w:val="FootnoteReference"/>
          <w:vertAlign w:val="superscript"/>
        </w:rPr>
        <w:footnoteReference w:id="11"/>
      </w:r>
      <w:r w:rsidR="00E8333F">
        <w:t xml:space="preserve"> </w:t>
      </w:r>
      <w:r w:rsidR="00922323">
        <w:t xml:space="preserve">In 2023, </w:t>
      </w:r>
      <w:r w:rsidR="00151FCC">
        <w:t>reported scam losses declined for the first time since 2016</w:t>
      </w:r>
      <w:r w:rsidR="00922323">
        <w:t xml:space="preserve"> </w:t>
      </w:r>
      <w:r w:rsidR="00151FCC">
        <w:t>to $2.7 billion.</w:t>
      </w:r>
      <w:r w:rsidRPr="006D5D81">
        <w:t xml:space="preserve"> </w:t>
      </w:r>
      <w:r>
        <w:t>Although</w:t>
      </w:r>
      <w:r w:rsidR="00796545">
        <w:t>,</w:t>
      </w:r>
      <w:r>
        <w:t xml:space="preserve"> expanding combined reporting infrastructure </w:t>
      </w:r>
      <w:r w:rsidR="00796545">
        <w:t>could</w:t>
      </w:r>
      <w:r>
        <w:t xml:space="preserve"> </w:t>
      </w:r>
      <w:r w:rsidR="00901E2B">
        <w:t>be impacting</w:t>
      </w:r>
      <w:r>
        <w:t xml:space="preserve"> the growth in figures.</w:t>
      </w:r>
      <w:r w:rsidR="00E8333F">
        <w:t xml:space="preserve"> </w:t>
      </w:r>
    </w:p>
    <w:p w14:paraId="3E54C868" w14:textId="5A38BF22" w:rsidR="00050406" w:rsidRPr="00BE17D1" w:rsidRDefault="00050406" w:rsidP="006B1B27">
      <w:pPr>
        <w:pStyle w:val="Heading8"/>
        <w:rPr>
          <w:vertAlign w:val="superscript"/>
        </w:rPr>
      </w:pPr>
      <w:bookmarkStart w:id="8" w:name="_Ref177979050"/>
      <w:r w:rsidRPr="00874346">
        <w:lastRenderedPageBreak/>
        <w:t xml:space="preserve">Chart </w:t>
      </w:r>
      <w:fldSimple w:instr=" SEQ Chart \* ARABIC ">
        <w:r>
          <w:rPr>
            <w:noProof/>
          </w:rPr>
          <w:t>3</w:t>
        </w:r>
      </w:fldSimple>
      <w:bookmarkEnd w:id="8"/>
      <w:r w:rsidR="00B91129">
        <w:t xml:space="preserve"> - </w:t>
      </w:r>
      <w:r w:rsidR="00B91129" w:rsidRPr="00B91129">
        <w:t>Combined industry and consumer reports</w:t>
      </w:r>
      <w:r w:rsidR="00550727" w:rsidRPr="00BE17D1">
        <w:rPr>
          <w:rStyle w:val="FootnoteReference"/>
          <w:vertAlign w:val="superscript"/>
        </w:rPr>
        <w:footnoteReference w:id="12"/>
      </w:r>
    </w:p>
    <w:p w14:paraId="78452C1C" w14:textId="27E038C5" w:rsidR="00050406" w:rsidRPr="00050406" w:rsidRDefault="00F77455" w:rsidP="00BE17D1">
      <w:pPr>
        <w:jc w:val="center"/>
      </w:pPr>
      <w:r>
        <w:rPr>
          <w:noProof/>
        </w:rPr>
        <w:drawing>
          <wp:inline distT="0" distB="0" distL="0" distR="0" wp14:anchorId="609C97A6" wp14:editId="5FEE9B28">
            <wp:extent cx="4366260" cy="2735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66260" cy="2735580"/>
                    </a:xfrm>
                    <a:prstGeom prst="rect">
                      <a:avLst/>
                    </a:prstGeom>
                    <a:noFill/>
                  </pic:spPr>
                </pic:pic>
              </a:graphicData>
            </a:graphic>
          </wp:inline>
        </w:drawing>
      </w:r>
    </w:p>
    <w:p w14:paraId="192574CB" w14:textId="61A07ADD" w:rsidR="00253E88" w:rsidRDefault="0047295A" w:rsidP="00AF6867">
      <w:r>
        <w:t xml:space="preserve">In 2023, </w:t>
      </w:r>
      <w:r w:rsidR="003333F5">
        <w:t>Australians made over 601,000 reports about scams to combined data sources</w:t>
      </w:r>
      <w:r w:rsidR="00FB50B1">
        <w:t xml:space="preserve">, </w:t>
      </w:r>
      <w:r w:rsidR="00A917DF">
        <w:t xml:space="preserve">including </w:t>
      </w:r>
      <w:r w:rsidR="00FB50B1">
        <w:t xml:space="preserve">302,000 reports to </w:t>
      </w:r>
      <w:proofErr w:type="spellStart"/>
      <w:r w:rsidR="00FB50B1">
        <w:t>Scamwatch</w:t>
      </w:r>
      <w:proofErr w:type="spellEnd"/>
      <w:r w:rsidR="003333F5">
        <w:t>.</w:t>
      </w:r>
      <w:r w:rsidR="001C776A">
        <w:t xml:space="preserve"> </w:t>
      </w:r>
      <w:r w:rsidR="00774D3D">
        <w:t>In</w:t>
      </w:r>
      <w:r w:rsidR="00FB50B1">
        <w:t xml:space="preserve"> the </w:t>
      </w:r>
      <w:r w:rsidR="00774D3D">
        <w:t>29,000</w:t>
      </w:r>
      <w:r w:rsidR="00015906">
        <w:t xml:space="preserve"> reports</w:t>
      </w:r>
      <w:r w:rsidR="00122616">
        <w:t xml:space="preserve"> to </w:t>
      </w:r>
      <w:proofErr w:type="spellStart"/>
      <w:r w:rsidR="00015906">
        <w:t>Scamwatch</w:t>
      </w:r>
      <w:proofErr w:type="spellEnd"/>
      <w:r w:rsidR="00015906">
        <w:t xml:space="preserve"> involving losses to a scam</w:t>
      </w:r>
      <w:r w:rsidR="00774D3D">
        <w:t xml:space="preserve">, the </w:t>
      </w:r>
      <w:r w:rsidR="00014D18">
        <w:t>average loss was $16,000 and the median was $500</w:t>
      </w:r>
      <w:r w:rsidR="00564FF5">
        <w:t>.</w:t>
      </w:r>
      <w:r w:rsidR="00AF6867" w:rsidRPr="00DD08FB">
        <w:rPr>
          <w:rStyle w:val="FootnoteReference"/>
          <w:vertAlign w:val="superscript"/>
        </w:rPr>
        <w:footnoteReference w:id="13"/>
      </w:r>
      <w:r w:rsidR="00564FF5">
        <w:t xml:space="preserve"> </w:t>
      </w:r>
      <w:r w:rsidR="002363DC">
        <w:t xml:space="preserve">The largest reported losses and the driver of growth in scams are largely from investment scams, </w:t>
      </w:r>
      <w:r w:rsidR="00B849B0">
        <w:t xml:space="preserve">which form around half or $1.3 billion in combined losses. </w:t>
      </w:r>
      <w:r w:rsidR="00DA3B8A">
        <w:t>Individual</w:t>
      </w:r>
      <w:r w:rsidR="002B313E">
        <w:t xml:space="preserve">s often </w:t>
      </w:r>
      <w:r w:rsidR="000004EE">
        <w:t>lose</w:t>
      </w:r>
      <w:r w:rsidR="002B313E">
        <w:t xml:space="preserve"> their entire savings or have their accounts drained from </w:t>
      </w:r>
      <w:r w:rsidR="000004EE">
        <w:t>investment schemes</w:t>
      </w:r>
      <w:r w:rsidR="00253E88">
        <w:t xml:space="preserve">. </w:t>
      </w:r>
      <w:r w:rsidR="00F23C97">
        <w:t>The</w:t>
      </w:r>
      <w:r w:rsidR="00AF6867">
        <w:t xml:space="preserve"> median loss </w:t>
      </w:r>
      <w:r w:rsidR="00AC6250">
        <w:t xml:space="preserve">is </w:t>
      </w:r>
      <w:r w:rsidR="003D54A3">
        <w:t xml:space="preserve">much </w:t>
      </w:r>
      <w:r w:rsidR="00AF6867">
        <w:t>lowe</w:t>
      </w:r>
      <w:r w:rsidR="008873A6">
        <w:t xml:space="preserve">r </w:t>
      </w:r>
      <w:r w:rsidR="00AC6250">
        <w:t>than the average</w:t>
      </w:r>
      <w:r w:rsidR="00564FF5">
        <w:t xml:space="preserve"> </w:t>
      </w:r>
      <w:r w:rsidR="008873A6">
        <w:t>as</w:t>
      </w:r>
      <w:r w:rsidR="00564FF5">
        <w:t xml:space="preserve"> many of the </w:t>
      </w:r>
      <w:r w:rsidR="008873A6">
        <w:t>more</w:t>
      </w:r>
      <w:r w:rsidR="00564FF5">
        <w:t xml:space="preserve"> reported scam types, including phishing </w:t>
      </w:r>
      <w:r w:rsidR="00F45132">
        <w:t>or</w:t>
      </w:r>
      <w:r w:rsidR="00564FF5">
        <w:t xml:space="preserve"> buying and selling scams, </w:t>
      </w:r>
      <w:r w:rsidR="008873A6">
        <w:t>are lower,</w:t>
      </w:r>
      <w:r w:rsidR="00564FF5">
        <w:t xml:space="preserve"> one-time </w:t>
      </w:r>
      <w:r w:rsidR="00F45132">
        <w:t>fraudulent payments</w:t>
      </w:r>
      <w:r w:rsidR="00253E88">
        <w:t>.</w:t>
      </w:r>
    </w:p>
    <w:p w14:paraId="068F0983" w14:textId="05C3F892" w:rsidR="00310745" w:rsidRDefault="00D235AB" w:rsidP="00E00DFF">
      <w:pPr>
        <w:pStyle w:val="Heading4"/>
      </w:pPr>
      <w:r w:rsidDel="00D235AB">
        <w:t xml:space="preserve"> </w:t>
      </w:r>
      <w:bookmarkStart w:id="9" w:name="_Ref175728138"/>
      <w:bookmarkStart w:id="10" w:name="_Ref179203992"/>
      <w:r w:rsidR="004F1760">
        <w:t xml:space="preserve">1.1.2 </w:t>
      </w:r>
      <w:bookmarkEnd w:id="9"/>
      <w:r w:rsidR="000A3C98">
        <w:t>Scams</w:t>
      </w:r>
      <w:r w:rsidR="00B76B02">
        <w:t xml:space="preserve"> inflict </w:t>
      </w:r>
      <w:r w:rsidR="00E245C4">
        <w:t xml:space="preserve">a broad range of </w:t>
      </w:r>
      <w:r w:rsidR="00B76B02">
        <w:t>harm</w:t>
      </w:r>
      <w:r w:rsidR="000A3C98">
        <w:t>s</w:t>
      </w:r>
      <w:bookmarkEnd w:id="10"/>
      <w:r w:rsidR="000A3C98">
        <w:t xml:space="preserve"> </w:t>
      </w:r>
    </w:p>
    <w:p w14:paraId="2A772ABE" w14:textId="7C9B67D3" w:rsidR="00C05B30" w:rsidRDefault="00B24E3E" w:rsidP="00874346">
      <w:pPr>
        <w:pStyle w:val="AlphaParagraph"/>
        <w:numPr>
          <w:ilvl w:val="1"/>
          <w:numId w:val="0"/>
        </w:numPr>
      </w:pPr>
      <w:r>
        <w:t>While not quantifiable, o</w:t>
      </w:r>
      <w:r w:rsidR="00FB73D0">
        <w:t>ngoing trends of elevated losses to scams arising from insufficient consumer protections and inconsistency in industry approaches can cause broader societal costs</w:t>
      </w:r>
      <w:r w:rsidR="00FB73D0" w:rsidDel="00DA49D3">
        <w:t>.</w:t>
      </w:r>
      <w:r w:rsidR="00FB73D0" w:rsidRPr="00DD08FB">
        <w:rPr>
          <w:rStyle w:val="FootnoteReference"/>
          <w:vertAlign w:val="superscript"/>
        </w:rPr>
        <w:footnoteReference w:id="14"/>
      </w:r>
      <w:r w:rsidR="00FB73D0">
        <w:t xml:space="preserve"> </w:t>
      </w:r>
      <w:r w:rsidR="00310745">
        <w:t>Beyond the financial losses, s</w:t>
      </w:r>
      <w:r w:rsidR="00310745" w:rsidRPr="002353E6">
        <w:t xml:space="preserve">cams can have a devastating impact on victims’ lives, causing significant </w:t>
      </w:r>
      <w:r w:rsidR="00310745">
        <w:t xml:space="preserve">psychological, </w:t>
      </w:r>
      <w:r w:rsidR="00310745" w:rsidRPr="002353E6">
        <w:t xml:space="preserve">emotional </w:t>
      </w:r>
      <w:r w:rsidR="00310745">
        <w:t xml:space="preserve">and social </w:t>
      </w:r>
      <w:r w:rsidR="00310745" w:rsidRPr="002353E6">
        <w:t xml:space="preserve">distress </w:t>
      </w:r>
      <w:r w:rsidR="00310745">
        <w:t xml:space="preserve">to the individual and </w:t>
      </w:r>
      <w:r w:rsidR="005B5A92">
        <w:t xml:space="preserve">their </w:t>
      </w:r>
      <w:r w:rsidR="00310745">
        <w:t xml:space="preserve">families. </w:t>
      </w:r>
      <w:r w:rsidR="00C31D22">
        <w:t xml:space="preserve">The prevalence of scam activity </w:t>
      </w:r>
      <w:r w:rsidR="006E2725">
        <w:t xml:space="preserve">also </w:t>
      </w:r>
      <w:r w:rsidR="00C31D22">
        <w:t xml:space="preserve">reduces confidence in digital commerce, communication and government </w:t>
      </w:r>
      <w:proofErr w:type="gramStart"/>
      <w:r w:rsidR="00C31D22">
        <w:t>authorities</w:t>
      </w:r>
      <w:proofErr w:type="gramEnd"/>
      <w:r w:rsidR="00C31D22">
        <w:t xml:space="preserve">. </w:t>
      </w:r>
      <w:r w:rsidR="00FB73D0">
        <w:t xml:space="preserve">A selection of these </w:t>
      </w:r>
      <w:r w:rsidR="00680335">
        <w:t xml:space="preserve">and broader </w:t>
      </w:r>
      <w:r w:rsidR="00FB73D0">
        <w:t xml:space="preserve">costs are outlined in </w:t>
      </w:r>
      <w:proofErr w:type="gramStart"/>
      <w:r w:rsidR="00FB73D0">
        <w:fldChar w:fldCharType="begin"/>
      </w:r>
      <w:r w:rsidR="00FB73D0">
        <w:instrText xml:space="preserve"> REF _Ref175647052 \h </w:instrText>
      </w:r>
      <w:r w:rsidR="00FB73D0">
        <w:fldChar w:fldCharType="separate"/>
      </w:r>
      <w:r w:rsidR="00D54A30">
        <w:t xml:space="preserve">Table 1 </w:t>
      </w:r>
      <w:r w:rsidR="00FB73D0">
        <w:fldChar w:fldCharType="end"/>
      </w:r>
      <w:proofErr w:type="gramEnd"/>
      <w:r w:rsidR="00FB73D0">
        <w:t xml:space="preserve">. </w:t>
      </w:r>
    </w:p>
    <w:p w14:paraId="68D0C0DE" w14:textId="64144FDD" w:rsidR="00310745" w:rsidRDefault="00310745" w:rsidP="00310745">
      <w:pPr>
        <w:pStyle w:val="Heading8"/>
      </w:pPr>
      <w:bookmarkStart w:id="11" w:name="_Ref175647052"/>
      <w:r>
        <w:t>Table</w:t>
      </w:r>
      <w:r w:rsidR="008E5D60">
        <w:t xml:space="preserve"> </w:t>
      </w:r>
      <w:fldSimple w:instr=" SEQ Table \* ARABIC ">
        <w:r w:rsidR="002C1AD8">
          <w:rPr>
            <w:noProof/>
          </w:rPr>
          <w:t>1</w:t>
        </w:r>
      </w:fldSimple>
      <w:bookmarkEnd w:id="11"/>
      <w:r w:rsidR="004846A1">
        <w:t xml:space="preserve"> </w:t>
      </w:r>
      <w:r>
        <w:t xml:space="preserve">– </w:t>
      </w:r>
      <w:r w:rsidRPr="00D247C7">
        <w:t xml:space="preserve">Broader </w:t>
      </w:r>
      <w:r w:rsidR="00B56CDF">
        <w:t>impacts</w:t>
      </w:r>
      <w:r w:rsidR="00B56CDF" w:rsidRPr="00D247C7">
        <w:t xml:space="preserve"> </w:t>
      </w:r>
      <w:r w:rsidRPr="00D247C7">
        <w:t>inflicted by scams</w:t>
      </w:r>
    </w:p>
    <w:tbl>
      <w:tblPr>
        <w:tblStyle w:val="Custom1"/>
        <w:tblW w:w="0" w:type="auto"/>
        <w:tblInd w:w="5" w:type="dxa"/>
        <w:tblLook w:val="0480" w:firstRow="0" w:lastRow="0" w:firstColumn="1" w:lastColumn="0" w:noHBand="0" w:noVBand="1"/>
      </w:tblPr>
      <w:tblGrid>
        <w:gridCol w:w="1335"/>
        <w:gridCol w:w="7591"/>
      </w:tblGrid>
      <w:tr w:rsidR="008E2458" w:rsidRPr="00350E78" w14:paraId="60F9C921" w14:textId="77777777" w:rsidTr="000C33F8">
        <w:trPr>
          <w:cnfStyle w:val="000000100000" w:firstRow="0" w:lastRow="0" w:firstColumn="0" w:lastColumn="0" w:oddVBand="0" w:evenVBand="0" w:oddHBand="1" w:evenHBand="0" w:firstRowFirstColumn="0" w:firstRowLastColumn="0" w:lastRowFirstColumn="0" w:lastRowLastColumn="0"/>
        </w:trPr>
        <w:tc>
          <w:tcPr>
            <w:tcW w:w="1335" w:type="dxa"/>
          </w:tcPr>
          <w:p w14:paraId="2B8406CD" w14:textId="56F07DB9" w:rsidR="00310745" w:rsidRPr="00874346" w:rsidRDefault="00310745" w:rsidP="0084216C">
            <w:pPr>
              <w:rPr>
                <w:b/>
                <w:bCs/>
                <w:sz w:val="22"/>
                <w:szCs w:val="22"/>
              </w:rPr>
            </w:pPr>
            <w:r w:rsidRPr="00874346">
              <w:rPr>
                <w:b/>
                <w:sz w:val="22"/>
                <w:szCs w:val="22"/>
              </w:rPr>
              <w:t xml:space="preserve">Personal </w:t>
            </w:r>
          </w:p>
        </w:tc>
        <w:tc>
          <w:tcPr>
            <w:tcW w:w="7591" w:type="dxa"/>
          </w:tcPr>
          <w:p w14:paraId="3098F987" w14:textId="23CC7D42" w:rsidR="00167D9C" w:rsidRPr="00874346" w:rsidRDefault="00167D9C" w:rsidP="00E004C0">
            <w:pPr>
              <w:pStyle w:val="ListParagraph"/>
              <w:numPr>
                <w:ilvl w:val="0"/>
                <w:numId w:val="30"/>
              </w:numPr>
              <w:ind w:left="176" w:hanging="176"/>
              <w:rPr>
                <w:sz w:val="22"/>
                <w:szCs w:val="22"/>
              </w:rPr>
            </w:pPr>
            <w:r w:rsidRPr="00874346">
              <w:rPr>
                <w:sz w:val="22"/>
                <w:szCs w:val="22"/>
              </w:rPr>
              <w:t xml:space="preserve">The increased need for diligence and caution by consumers imposes costs for </w:t>
            </w:r>
            <w:r w:rsidR="00060072" w:rsidRPr="00874346">
              <w:rPr>
                <w:sz w:val="22"/>
                <w:szCs w:val="22"/>
              </w:rPr>
              <w:t>individuals</w:t>
            </w:r>
            <w:r w:rsidRPr="00874346">
              <w:rPr>
                <w:sz w:val="22"/>
                <w:szCs w:val="22"/>
              </w:rPr>
              <w:t xml:space="preserve">, including through the time to assess or verify legitimacy of sources. These self-imposed costs by consumers add to frictions </w:t>
            </w:r>
            <w:r w:rsidR="00822274">
              <w:rPr>
                <w:sz w:val="22"/>
                <w:szCs w:val="22"/>
              </w:rPr>
              <w:t>industry</w:t>
            </w:r>
            <w:r w:rsidR="00822274" w:rsidRPr="00874346">
              <w:rPr>
                <w:sz w:val="22"/>
                <w:szCs w:val="22"/>
              </w:rPr>
              <w:t xml:space="preserve"> </w:t>
            </w:r>
            <w:r w:rsidRPr="00874346">
              <w:rPr>
                <w:sz w:val="22"/>
                <w:szCs w:val="22"/>
              </w:rPr>
              <w:t>put</w:t>
            </w:r>
            <w:r w:rsidR="00822274">
              <w:rPr>
                <w:sz w:val="22"/>
                <w:szCs w:val="22"/>
              </w:rPr>
              <w:t>s</w:t>
            </w:r>
            <w:r w:rsidRPr="00874346">
              <w:rPr>
                <w:sz w:val="22"/>
                <w:szCs w:val="22"/>
              </w:rPr>
              <w:t xml:space="preserve"> in place to prevent scam activities.</w:t>
            </w:r>
            <w:r w:rsidRPr="00B56CDF">
              <w:rPr>
                <w:szCs w:val="22"/>
              </w:rPr>
              <w:t xml:space="preserve"> </w:t>
            </w:r>
            <w:r w:rsidR="008637F6">
              <w:rPr>
                <w:sz w:val="22"/>
                <w:szCs w:val="22"/>
              </w:rPr>
              <w:t>Heightened diligence and caution could also</w:t>
            </w:r>
            <w:r w:rsidRPr="00874346">
              <w:rPr>
                <w:sz w:val="22"/>
                <w:szCs w:val="22"/>
              </w:rPr>
              <w:t xml:space="preserve"> drive withdrawals of participation in the wider digital economy.</w:t>
            </w:r>
          </w:p>
          <w:p w14:paraId="21D89B5D" w14:textId="734E0276" w:rsidR="0018301A" w:rsidRPr="00874346" w:rsidRDefault="00601B7C" w:rsidP="00E004C0">
            <w:pPr>
              <w:pStyle w:val="ListParagraph"/>
              <w:numPr>
                <w:ilvl w:val="0"/>
                <w:numId w:val="30"/>
              </w:numPr>
              <w:ind w:left="176" w:hanging="176"/>
              <w:rPr>
                <w:sz w:val="22"/>
                <w:szCs w:val="22"/>
              </w:rPr>
            </w:pPr>
            <w:r w:rsidRPr="00874346">
              <w:rPr>
                <w:sz w:val="22"/>
                <w:szCs w:val="22"/>
              </w:rPr>
              <w:t>The prominence</w:t>
            </w:r>
            <w:r w:rsidR="00477B49" w:rsidRPr="00874346">
              <w:rPr>
                <w:sz w:val="22"/>
                <w:szCs w:val="22"/>
              </w:rPr>
              <w:t xml:space="preserve"> and frequency</w:t>
            </w:r>
            <w:r w:rsidRPr="00874346">
              <w:rPr>
                <w:sz w:val="22"/>
                <w:szCs w:val="22"/>
              </w:rPr>
              <w:t xml:space="preserve"> of</w:t>
            </w:r>
            <w:r w:rsidR="006543A2" w:rsidRPr="00874346">
              <w:rPr>
                <w:sz w:val="22"/>
                <w:szCs w:val="22"/>
              </w:rPr>
              <w:t xml:space="preserve"> exposure to</w:t>
            </w:r>
            <w:r w:rsidRPr="00874346">
              <w:rPr>
                <w:sz w:val="22"/>
                <w:szCs w:val="22"/>
              </w:rPr>
              <w:t xml:space="preserve"> scams </w:t>
            </w:r>
            <w:r w:rsidR="00477B49" w:rsidRPr="00874346">
              <w:rPr>
                <w:sz w:val="22"/>
                <w:szCs w:val="22"/>
              </w:rPr>
              <w:t>attempts on communications platforms such as social media</w:t>
            </w:r>
            <w:r w:rsidR="00803044" w:rsidRPr="00874346">
              <w:rPr>
                <w:sz w:val="22"/>
                <w:szCs w:val="22"/>
              </w:rPr>
              <w:t xml:space="preserve">, </w:t>
            </w:r>
            <w:r w:rsidR="0044616F" w:rsidRPr="00874346">
              <w:rPr>
                <w:sz w:val="22"/>
                <w:szCs w:val="22"/>
              </w:rPr>
              <w:t xml:space="preserve">chat services and telecommunications </w:t>
            </w:r>
            <w:r w:rsidR="006543A2" w:rsidRPr="00874346">
              <w:rPr>
                <w:sz w:val="22"/>
                <w:szCs w:val="22"/>
              </w:rPr>
              <w:t>inflict</w:t>
            </w:r>
            <w:r w:rsidR="0011091E" w:rsidRPr="00874346">
              <w:rPr>
                <w:sz w:val="22"/>
                <w:szCs w:val="22"/>
              </w:rPr>
              <w:t xml:space="preserve"> nuisance costs on individuals</w:t>
            </w:r>
            <w:r w:rsidR="0078719A" w:rsidRPr="00874346">
              <w:rPr>
                <w:sz w:val="22"/>
                <w:szCs w:val="22"/>
              </w:rPr>
              <w:t>. These exp</w:t>
            </w:r>
            <w:r w:rsidR="00B36C40" w:rsidRPr="00874346">
              <w:rPr>
                <w:sz w:val="22"/>
                <w:szCs w:val="22"/>
              </w:rPr>
              <w:t>osures to scams</w:t>
            </w:r>
            <w:r w:rsidR="0078719A" w:rsidRPr="00874346">
              <w:rPr>
                <w:sz w:val="22"/>
                <w:szCs w:val="22"/>
              </w:rPr>
              <w:t xml:space="preserve"> </w:t>
            </w:r>
            <w:r w:rsidR="00B36C40" w:rsidRPr="00874346">
              <w:rPr>
                <w:sz w:val="22"/>
                <w:szCs w:val="22"/>
              </w:rPr>
              <w:t>result in</w:t>
            </w:r>
            <w:r w:rsidR="005A46B3" w:rsidRPr="00874346">
              <w:rPr>
                <w:sz w:val="22"/>
                <w:szCs w:val="22"/>
              </w:rPr>
              <w:t xml:space="preserve"> wasted time and effort </w:t>
            </w:r>
            <w:r w:rsidR="00B36C40" w:rsidRPr="00874346">
              <w:rPr>
                <w:sz w:val="22"/>
                <w:szCs w:val="22"/>
              </w:rPr>
              <w:t>by individuals</w:t>
            </w:r>
            <w:r w:rsidR="0084216C" w:rsidRPr="00874346">
              <w:rPr>
                <w:sz w:val="22"/>
                <w:szCs w:val="22"/>
              </w:rPr>
              <w:t>.</w:t>
            </w:r>
          </w:p>
          <w:p w14:paraId="0045E22B" w14:textId="06ED50B2" w:rsidR="00167D9C" w:rsidRPr="00874346" w:rsidRDefault="00167D9C" w:rsidP="00E004C0">
            <w:pPr>
              <w:pStyle w:val="ListParagraph"/>
              <w:numPr>
                <w:ilvl w:val="0"/>
                <w:numId w:val="30"/>
              </w:numPr>
              <w:ind w:left="176" w:hanging="176"/>
              <w:rPr>
                <w:sz w:val="22"/>
                <w:szCs w:val="22"/>
              </w:rPr>
            </w:pPr>
            <w:r w:rsidRPr="00874346">
              <w:rPr>
                <w:sz w:val="22"/>
                <w:szCs w:val="22"/>
              </w:rPr>
              <w:t xml:space="preserve">Australians invest in personal administrative or external security measures to help them avoid falling victim to a scam. This may include the time and cost </w:t>
            </w:r>
            <w:r w:rsidRPr="00874346">
              <w:rPr>
                <w:sz w:val="22"/>
                <w:szCs w:val="22"/>
              </w:rPr>
              <w:lastRenderedPageBreak/>
              <w:t>involved in considering changing service providers, establishing alternate contact details, or changing how they manage their banking to minimise the potential for scam activity.</w:t>
            </w:r>
          </w:p>
          <w:p w14:paraId="6E08701A" w14:textId="593D72D6" w:rsidR="00F55870" w:rsidRPr="00874346" w:rsidRDefault="00F55870" w:rsidP="00E004C0">
            <w:pPr>
              <w:pStyle w:val="ListParagraph"/>
              <w:numPr>
                <w:ilvl w:val="0"/>
                <w:numId w:val="30"/>
              </w:numPr>
              <w:ind w:left="176" w:hanging="176"/>
              <w:rPr>
                <w:sz w:val="22"/>
                <w:szCs w:val="22"/>
              </w:rPr>
            </w:pPr>
            <w:r w:rsidRPr="00874346">
              <w:rPr>
                <w:sz w:val="22"/>
                <w:szCs w:val="22"/>
              </w:rPr>
              <w:t xml:space="preserve">Losses from </w:t>
            </w:r>
            <w:r w:rsidRPr="00874346" w:rsidDel="00DE4B65">
              <w:rPr>
                <w:sz w:val="22"/>
                <w:szCs w:val="22"/>
              </w:rPr>
              <w:t>scams</w:t>
            </w:r>
            <w:r w:rsidRPr="00874346">
              <w:rPr>
                <w:sz w:val="22"/>
                <w:szCs w:val="22"/>
              </w:rPr>
              <w:t xml:space="preserve"> inflict emotional, and psychological impacts upon victims, potentially creating long-term burden and costs. </w:t>
            </w:r>
            <w:r w:rsidR="00310745" w:rsidRPr="00874346">
              <w:rPr>
                <w:sz w:val="22"/>
                <w:szCs w:val="22"/>
              </w:rPr>
              <w:t xml:space="preserve">Financial losses to scams </w:t>
            </w:r>
            <w:r w:rsidR="00C31322">
              <w:rPr>
                <w:sz w:val="22"/>
                <w:szCs w:val="22"/>
              </w:rPr>
              <w:t>reduce</w:t>
            </w:r>
            <w:r w:rsidR="00C31322" w:rsidRPr="00874346">
              <w:rPr>
                <w:sz w:val="22"/>
                <w:szCs w:val="22"/>
              </w:rPr>
              <w:t xml:space="preserve"> </w:t>
            </w:r>
            <w:r w:rsidR="00310745" w:rsidRPr="00874346">
              <w:rPr>
                <w:sz w:val="22"/>
                <w:szCs w:val="22"/>
              </w:rPr>
              <w:t xml:space="preserve">the financial independence and wellbeing of victims. </w:t>
            </w:r>
          </w:p>
          <w:p w14:paraId="0BDE0F33" w14:textId="581C75E4" w:rsidR="006941AE" w:rsidRPr="00874346" w:rsidRDefault="00F55870" w:rsidP="00E004C0">
            <w:pPr>
              <w:pStyle w:val="ListParagraph"/>
              <w:numPr>
                <w:ilvl w:val="0"/>
                <w:numId w:val="30"/>
              </w:numPr>
              <w:ind w:left="176" w:hanging="176"/>
              <w:rPr>
                <w:sz w:val="22"/>
                <w:szCs w:val="22"/>
              </w:rPr>
            </w:pPr>
            <w:r w:rsidRPr="00874346">
              <w:rPr>
                <w:sz w:val="22"/>
                <w:szCs w:val="22"/>
              </w:rPr>
              <w:t>Those affected by a scam may face the resulting additional time, cost and psychological burden</w:t>
            </w:r>
            <w:r w:rsidR="005D0F24">
              <w:rPr>
                <w:sz w:val="22"/>
                <w:szCs w:val="22"/>
              </w:rPr>
              <w:t xml:space="preserve"> associated with seeking support </w:t>
            </w:r>
            <w:r w:rsidR="008E17C1">
              <w:rPr>
                <w:sz w:val="22"/>
                <w:szCs w:val="22"/>
              </w:rPr>
              <w:t>to recover</w:t>
            </w:r>
            <w:r w:rsidR="007354FB">
              <w:rPr>
                <w:sz w:val="22"/>
                <w:szCs w:val="22"/>
              </w:rPr>
              <w:t xml:space="preserve">. This </w:t>
            </w:r>
            <w:r w:rsidR="008E17C1">
              <w:rPr>
                <w:sz w:val="22"/>
                <w:szCs w:val="22"/>
              </w:rPr>
              <w:t>aris</w:t>
            </w:r>
            <w:r w:rsidR="007354FB">
              <w:rPr>
                <w:sz w:val="22"/>
                <w:szCs w:val="22"/>
              </w:rPr>
              <w:t>es</w:t>
            </w:r>
            <w:r w:rsidR="008E17C1">
              <w:rPr>
                <w:sz w:val="22"/>
                <w:szCs w:val="22"/>
              </w:rPr>
              <w:t xml:space="preserve"> from</w:t>
            </w:r>
            <w:r w:rsidR="00FD7EE3">
              <w:rPr>
                <w:sz w:val="22"/>
                <w:szCs w:val="22"/>
              </w:rPr>
              <w:t xml:space="preserve"> </w:t>
            </w:r>
            <w:r w:rsidR="007354FB">
              <w:rPr>
                <w:sz w:val="22"/>
                <w:szCs w:val="22"/>
              </w:rPr>
              <w:t>a</w:t>
            </w:r>
            <w:r w:rsidR="007354FB" w:rsidRPr="00874346">
              <w:rPr>
                <w:sz w:val="22"/>
                <w:szCs w:val="22"/>
              </w:rPr>
              <w:t xml:space="preserve"> </w:t>
            </w:r>
            <w:r w:rsidRPr="00874346">
              <w:rPr>
                <w:sz w:val="22"/>
                <w:szCs w:val="22"/>
              </w:rPr>
              <w:t xml:space="preserve">lack of clarity on responsibility for </w:t>
            </w:r>
            <w:r w:rsidR="00822274">
              <w:rPr>
                <w:sz w:val="22"/>
                <w:szCs w:val="22"/>
              </w:rPr>
              <w:t>industry</w:t>
            </w:r>
            <w:r w:rsidR="00822274" w:rsidRPr="00BA7242">
              <w:rPr>
                <w:sz w:val="22"/>
                <w:szCs w:val="22"/>
              </w:rPr>
              <w:t xml:space="preserve"> </w:t>
            </w:r>
            <w:r w:rsidRPr="00874346">
              <w:rPr>
                <w:sz w:val="22"/>
                <w:szCs w:val="22"/>
              </w:rPr>
              <w:t>to respond to reports of scams and provide support to victims.</w:t>
            </w:r>
          </w:p>
        </w:tc>
      </w:tr>
      <w:tr w:rsidR="00F9015D" w:rsidRPr="00350E78" w14:paraId="547BF80F" w14:textId="77777777" w:rsidTr="00874346">
        <w:tc>
          <w:tcPr>
            <w:tcW w:w="1335" w:type="dxa"/>
          </w:tcPr>
          <w:p w14:paraId="13C51E89" w14:textId="47921FAE" w:rsidR="00F9015D" w:rsidRPr="00874346" w:rsidRDefault="00F9015D" w:rsidP="0084216C">
            <w:pPr>
              <w:rPr>
                <w:b/>
                <w:sz w:val="22"/>
                <w:szCs w:val="22"/>
              </w:rPr>
            </w:pPr>
            <w:r w:rsidRPr="00874346">
              <w:rPr>
                <w:b/>
                <w:sz w:val="22"/>
                <w:szCs w:val="22"/>
              </w:rPr>
              <w:lastRenderedPageBreak/>
              <w:t xml:space="preserve">Business </w:t>
            </w:r>
          </w:p>
        </w:tc>
        <w:tc>
          <w:tcPr>
            <w:tcW w:w="7591" w:type="dxa"/>
          </w:tcPr>
          <w:p w14:paraId="14FA0C85" w14:textId="56E3843E" w:rsidR="0004783B" w:rsidRPr="00874346" w:rsidRDefault="0004783B" w:rsidP="0004783B">
            <w:pPr>
              <w:pStyle w:val="ListParagraph"/>
              <w:numPr>
                <w:ilvl w:val="0"/>
                <w:numId w:val="30"/>
              </w:numPr>
              <w:ind w:left="176" w:hanging="176"/>
              <w:rPr>
                <w:sz w:val="22"/>
                <w:szCs w:val="22"/>
              </w:rPr>
            </w:pPr>
            <w:r w:rsidRPr="00874346">
              <w:rPr>
                <w:sz w:val="22"/>
                <w:szCs w:val="22"/>
              </w:rPr>
              <w:t xml:space="preserve">Scams can create financial and reputational risks for businesses. Businesses </w:t>
            </w:r>
            <w:r w:rsidR="00E91642">
              <w:rPr>
                <w:sz w:val="22"/>
                <w:szCs w:val="22"/>
              </w:rPr>
              <w:t>that provide services</w:t>
            </w:r>
            <w:r w:rsidRPr="00874346">
              <w:rPr>
                <w:sz w:val="22"/>
                <w:szCs w:val="22"/>
              </w:rPr>
              <w:t xml:space="preserve"> </w:t>
            </w:r>
            <w:r>
              <w:rPr>
                <w:sz w:val="22"/>
                <w:szCs w:val="22"/>
              </w:rPr>
              <w:t xml:space="preserve">which are vectors of scam activity may choose to invest in systems or processes to minimise the exposure of their brand or may otherwise </w:t>
            </w:r>
            <w:r w:rsidRPr="00874346">
              <w:rPr>
                <w:sz w:val="22"/>
                <w:szCs w:val="22"/>
              </w:rPr>
              <w:t xml:space="preserve">need to devote additional resources to rebuild public trust. </w:t>
            </w:r>
          </w:p>
          <w:p w14:paraId="0C312598" w14:textId="5508B27D" w:rsidR="004B2CAE" w:rsidRPr="00874346" w:rsidRDefault="00135C25" w:rsidP="00E004C0">
            <w:pPr>
              <w:pStyle w:val="ListParagraph"/>
              <w:numPr>
                <w:ilvl w:val="0"/>
                <w:numId w:val="30"/>
              </w:numPr>
              <w:ind w:left="176" w:hanging="176"/>
              <w:rPr>
                <w:sz w:val="22"/>
                <w:szCs w:val="22"/>
              </w:rPr>
            </w:pPr>
            <w:r w:rsidRPr="00874346">
              <w:rPr>
                <w:sz w:val="22"/>
                <w:szCs w:val="22"/>
              </w:rPr>
              <w:t xml:space="preserve">Businesses </w:t>
            </w:r>
            <w:r w:rsidR="00414167">
              <w:rPr>
                <w:sz w:val="22"/>
                <w:szCs w:val="22"/>
              </w:rPr>
              <w:t xml:space="preserve">which </w:t>
            </w:r>
            <w:r w:rsidR="00015902">
              <w:rPr>
                <w:sz w:val="22"/>
                <w:szCs w:val="22"/>
              </w:rPr>
              <w:t xml:space="preserve">are </w:t>
            </w:r>
            <w:r w:rsidR="002659E1">
              <w:rPr>
                <w:sz w:val="22"/>
                <w:szCs w:val="22"/>
              </w:rPr>
              <w:t xml:space="preserve">vectors of scam activity or </w:t>
            </w:r>
            <w:r w:rsidR="00822274">
              <w:rPr>
                <w:sz w:val="22"/>
                <w:szCs w:val="22"/>
              </w:rPr>
              <w:t>that</w:t>
            </w:r>
            <w:r w:rsidR="00822274" w:rsidRPr="00874346">
              <w:rPr>
                <w:sz w:val="22"/>
                <w:szCs w:val="22"/>
              </w:rPr>
              <w:t xml:space="preserve"> </w:t>
            </w:r>
            <w:r w:rsidRPr="00874346">
              <w:rPr>
                <w:sz w:val="22"/>
                <w:szCs w:val="22"/>
              </w:rPr>
              <w:t xml:space="preserve">are impersonated by scammers may suffer loss of </w:t>
            </w:r>
            <w:r w:rsidR="00A47EE3" w:rsidRPr="00874346">
              <w:rPr>
                <w:sz w:val="22"/>
                <w:szCs w:val="22"/>
              </w:rPr>
              <w:t>revenue</w:t>
            </w:r>
            <w:r w:rsidRPr="00874346">
              <w:rPr>
                <w:sz w:val="22"/>
                <w:szCs w:val="22"/>
              </w:rPr>
              <w:t xml:space="preserve"> as consumers disregard legitimate dealings or look to minimise risk by avoiding interacting with them.</w:t>
            </w:r>
          </w:p>
        </w:tc>
      </w:tr>
      <w:tr w:rsidR="008E2458" w:rsidRPr="00350E78" w14:paraId="1A9BA5CF" w14:textId="77777777" w:rsidTr="000C33F8">
        <w:trPr>
          <w:cnfStyle w:val="000000100000" w:firstRow="0" w:lastRow="0" w:firstColumn="0" w:lastColumn="0" w:oddVBand="0" w:evenVBand="0" w:oddHBand="1" w:evenHBand="0" w:firstRowFirstColumn="0" w:firstRowLastColumn="0" w:lastRowFirstColumn="0" w:lastRowLastColumn="0"/>
        </w:trPr>
        <w:tc>
          <w:tcPr>
            <w:tcW w:w="1335" w:type="dxa"/>
          </w:tcPr>
          <w:p w14:paraId="69A5F142" w14:textId="4FF649EB" w:rsidR="00310745" w:rsidRPr="00874346" w:rsidDel="00414779" w:rsidRDefault="00F9015D" w:rsidP="0084216C">
            <w:pPr>
              <w:rPr>
                <w:b/>
                <w:sz w:val="22"/>
                <w:szCs w:val="22"/>
              </w:rPr>
            </w:pPr>
            <w:r w:rsidRPr="00874346">
              <w:rPr>
                <w:b/>
                <w:sz w:val="22"/>
                <w:szCs w:val="22"/>
              </w:rPr>
              <w:t>Broader e</w:t>
            </w:r>
            <w:r w:rsidR="00310745" w:rsidRPr="00874346">
              <w:rPr>
                <w:b/>
                <w:sz w:val="22"/>
                <w:szCs w:val="22"/>
              </w:rPr>
              <w:t xml:space="preserve">conomic </w:t>
            </w:r>
          </w:p>
        </w:tc>
        <w:tc>
          <w:tcPr>
            <w:tcW w:w="7591" w:type="dxa"/>
          </w:tcPr>
          <w:p w14:paraId="14FF6EF4" w14:textId="7C870458" w:rsidR="00013560" w:rsidRPr="00874346" w:rsidRDefault="00013560" w:rsidP="00013560">
            <w:pPr>
              <w:pStyle w:val="ListParagraph"/>
              <w:numPr>
                <w:ilvl w:val="0"/>
                <w:numId w:val="30"/>
              </w:numPr>
              <w:ind w:left="176" w:hanging="176"/>
              <w:rPr>
                <w:sz w:val="22"/>
                <w:szCs w:val="22"/>
              </w:rPr>
            </w:pPr>
            <w:r w:rsidRPr="00874346">
              <w:rPr>
                <w:sz w:val="22"/>
                <w:szCs w:val="22"/>
              </w:rPr>
              <w:t xml:space="preserve">Managing scam-related risks requires </w:t>
            </w:r>
            <w:r>
              <w:rPr>
                <w:sz w:val="22"/>
                <w:szCs w:val="22"/>
              </w:rPr>
              <w:t>industry</w:t>
            </w:r>
            <w:r w:rsidRPr="00BA7242">
              <w:rPr>
                <w:sz w:val="22"/>
                <w:szCs w:val="22"/>
              </w:rPr>
              <w:t xml:space="preserve"> </w:t>
            </w:r>
            <w:r w:rsidRPr="00874346">
              <w:rPr>
                <w:sz w:val="22"/>
                <w:szCs w:val="22"/>
              </w:rPr>
              <w:t xml:space="preserve">to absorb greater costs, staffing and resources into detecting, investigating and responding to scams, affecting competitiveness. </w:t>
            </w:r>
            <w:r w:rsidR="009C4312">
              <w:rPr>
                <w:sz w:val="22"/>
                <w:szCs w:val="22"/>
              </w:rPr>
              <w:t xml:space="preserve">Some of these costs </w:t>
            </w:r>
            <w:r w:rsidR="0097392F">
              <w:rPr>
                <w:sz w:val="22"/>
                <w:szCs w:val="22"/>
              </w:rPr>
              <w:t xml:space="preserve">may be passed onto consumers </w:t>
            </w:r>
            <w:r w:rsidR="0050078E">
              <w:rPr>
                <w:sz w:val="22"/>
                <w:szCs w:val="22"/>
              </w:rPr>
              <w:t>through</w:t>
            </w:r>
            <w:r w:rsidR="0097392F">
              <w:rPr>
                <w:sz w:val="22"/>
                <w:szCs w:val="22"/>
              </w:rPr>
              <w:t xml:space="preserve"> higher </w:t>
            </w:r>
            <w:r w:rsidR="00A32906">
              <w:rPr>
                <w:sz w:val="22"/>
                <w:szCs w:val="22"/>
              </w:rPr>
              <w:t xml:space="preserve">prices. </w:t>
            </w:r>
            <w:r w:rsidRPr="00874346">
              <w:rPr>
                <w:sz w:val="22"/>
                <w:szCs w:val="22"/>
              </w:rPr>
              <w:t xml:space="preserve">Activities to reduce the harm of scams impose inefficiencies for economic activity. </w:t>
            </w:r>
          </w:p>
          <w:p w14:paraId="58AD2054" w14:textId="77777777" w:rsidR="00BB0FFB" w:rsidRPr="00874346" w:rsidRDefault="00BB0FFB" w:rsidP="00E004C0">
            <w:pPr>
              <w:pStyle w:val="ListParagraph"/>
              <w:numPr>
                <w:ilvl w:val="0"/>
                <w:numId w:val="30"/>
              </w:numPr>
              <w:ind w:left="176" w:hanging="176"/>
              <w:rPr>
                <w:sz w:val="22"/>
                <w:szCs w:val="22"/>
              </w:rPr>
            </w:pPr>
            <w:r w:rsidRPr="00874346">
              <w:rPr>
                <w:sz w:val="22"/>
                <w:szCs w:val="22"/>
              </w:rPr>
              <w:t xml:space="preserve">The frequency of scam activity can change consumer behaviour or create inefficiencies in digital transactions. </w:t>
            </w:r>
          </w:p>
          <w:p w14:paraId="6B1368D8" w14:textId="7155253F" w:rsidR="00135C25" w:rsidRPr="00874346" w:rsidRDefault="00135C25" w:rsidP="00E004C0">
            <w:pPr>
              <w:pStyle w:val="ListParagraph"/>
              <w:numPr>
                <w:ilvl w:val="0"/>
                <w:numId w:val="30"/>
              </w:numPr>
              <w:ind w:left="176" w:hanging="176"/>
              <w:rPr>
                <w:sz w:val="22"/>
                <w:szCs w:val="22"/>
              </w:rPr>
            </w:pPr>
            <w:r w:rsidRPr="00874346">
              <w:rPr>
                <w:sz w:val="22"/>
                <w:szCs w:val="22"/>
              </w:rPr>
              <w:t xml:space="preserve">If </w:t>
            </w:r>
            <w:r w:rsidR="00310745" w:rsidRPr="00874346">
              <w:rPr>
                <w:sz w:val="22"/>
                <w:szCs w:val="22"/>
              </w:rPr>
              <w:t xml:space="preserve">costs </w:t>
            </w:r>
            <w:r w:rsidRPr="00874346">
              <w:rPr>
                <w:sz w:val="22"/>
                <w:szCs w:val="22"/>
              </w:rPr>
              <w:t xml:space="preserve">of managing scams </w:t>
            </w:r>
            <w:r w:rsidR="00310745" w:rsidRPr="00874346">
              <w:rPr>
                <w:sz w:val="22"/>
                <w:szCs w:val="22"/>
              </w:rPr>
              <w:t>are inequitabl</w:t>
            </w:r>
            <w:r w:rsidR="00427944">
              <w:rPr>
                <w:sz w:val="22"/>
                <w:szCs w:val="22"/>
              </w:rPr>
              <w:t>y</w:t>
            </w:r>
            <w:r w:rsidR="00310745" w:rsidRPr="00874346">
              <w:rPr>
                <w:sz w:val="22"/>
                <w:szCs w:val="22"/>
              </w:rPr>
              <w:t xml:space="preserve"> distributed across the scams ecosystem, it may result in inefficient allocation of capital or labour across the economy and detract from productivity outcomes.</w:t>
            </w:r>
          </w:p>
          <w:p w14:paraId="1DAD40CC" w14:textId="1CE0F9D3" w:rsidR="00955F2B" w:rsidRPr="00874346" w:rsidDel="00414779" w:rsidRDefault="00955F2B" w:rsidP="00E004C0">
            <w:pPr>
              <w:pStyle w:val="ListParagraph"/>
              <w:numPr>
                <w:ilvl w:val="0"/>
                <w:numId w:val="30"/>
              </w:numPr>
              <w:ind w:left="176" w:hanging="176"/>
              <w:rPr>
                <w:sz w:val="22"/>
                <w:szCs w:val="22"/>
              </w:rPr>
            </w:pPr>
            <w:r w:rsidRPr="00874346">
              <w:rPr>
                <w:sz w:val="22"/>
                <w:szCs w:val="22"/>
              </w:rPr>
              <w:t xml:space="preserve">The erosion of trust </w:t>
            </w:r>
            <w:r w:rsidR="005345E1">
              <w:rPr>
                <w:sz w:val="22"/>
                <w:szCs w:val="22"/>
              </w:rPr>
              <w:t xml:space="preserve">in digital </w:t>
            </w:r>
            <w:r w:rsidR="00FF5314">
              <w:rPr>
                <w:sz w:val="22"/>
                <w:szCs w:val="22"/>
              </w:rPr>
              <w:t xml:space="preserve">interactions </w:t>
            </w:r>
            <w:r w:rsidRPr="00874346">
              <w:rPr>
                <w:sz w:val="22"/>
                <w:szCs w:val="22"/>
              </w:rPr>
              <w:t xml:space="preserve">damages the reputation and economic standing of impersonated businesses or government agencies, </w:t>
            </w:r>
            <w:r w:rsidR="00643799">
              <w:rPr>
                <w:sz w:val="22"/>
                <w:szCs w:val="22"/>
              </w:rPr>
              <w:t xml:space="preserve">potentially unwinding </w:t>
            </w:r>
            <w:r w:rsidR="00C803B3">
              <w:rPr>
                <w:sz w:val="22"/>
                <w:szCs w:val="22"/>
              </w:rPr>
              <w:t xml:space="preserve">efficiency </w:t>
            </w:r>
            <w:r w:rsidR="00E94AD5">
              <w:rPr>
                <w:sz w:val="22"/>
                <w:szCs w:val="22"/>
              </w:rPr>
              <w:t xml:space="preserve">of digital </w:t>
            </w:r>
            <w:r w:rsidR="00C803B3">
              <w:rPr>
                <w:sz w:val="22"/>
                <w:szCs w:val="22"/>
              </w:rPr>
              <w:t>interactions</w:t>
            </w:r>
            <w:r w:rsidR="00E94AD5">
              <w:rPr>
                <w:sz w:val="22"/>
                <w:szCs w:val="22"/>
              </w:rPr>
              <w:t xml:space="preserve"> </w:t>
            </w:r>
            <w:r w:rsidRPr="00874346">
              <w:rPr>
                <w:sz w:val="22"/>
                <w:szCs w:val="22"/>
              </w:rPr>
              <w:t>and if not addressed may lead to withdrawal from digital technology by parts of Australian society.</w:t>
            </w:r>
          </w:p>
        </w:tc>
      </w:tr>
      <w:tr w:rsidR="00310745" w:rsidRPr="00350E78" w14:paraId="0864BEB9" w14:textId="77777777" w:rsidTr="00874346">
        <w:tc>
          <w:tcPr>
            <w:tcW w:w="1335" w:type="dxa"/>
          </w:tcPr>
          <w:p w14:paraId="6034A58D" w14:textId="3086709A" w:rsidR="00310745" w:rsidRPr="00874346" w:rsidRDefault="00310745" w:rsidP="0084216C">
            <w:pPr>
              <w:rPr>
                <w:b/>
                <w:sz w:val="22"/>
                <w:szCs w:val="22"/>
              </w:rPr>
            </w:pPr>
            <w:r w:rsidRPr="00874346">
              <w:rPr>
                <w:b/>
                <w:sz w:val="22"/>
                <w:szCs w:val="22"/>
              </w:rPr>
              <w:t xml:space="preserve">Security </w:t>
            </w:r>
          </w:p>
        </w:tc>
        <w:tc>
          <w:tcPr>
            <w:tcW w:w="7591" w:type="dxa"/>
          </w:tcPr>
          <w:p w14:paraId="5EC00AA2" w14:textId="77777777" w:rsidR="00310745" w:rsidRPr="00874346" w:rsidRDefault="00310745" w:rsidP="00E004C0">
            <w:pPr>
              <w:pStyle w:val="ListParagraph"/>
              <w:numPr>
                <w:ilvl w:val="0"/>
                <w:numId w:val="30"/>
              </w:numPr>
              <w:ind w:left="176" w:hanging="176"/>
              <w:rPr>
                <w:sz w:val="22"/>
                <w:szCs w:val="22"/>
              </w:rPr>
            </w:pPr>
            <w:r w:rsidRPr="00874346">
              <w:rPr>
                <w:sz w:val="22"/>
                <w:szCs w:val="22"/>
              </w:rPr>
              <w:t xml:space="preserve">Scams often intersect with other fraud and cybercrime offences, including data breaches and identity theft. The increased proliferation of scams affects the privacy and information security of businesses and their consumers. </w:t>
            </w:r>
          </w:p>
        </w:tc>
      </w:tr>
      <w:tr w:rsidR="008E2458" w:rsidRPr="00350E78" w14:paraId="4D55B64F" w14:textId="77777777" w:rsidTr="000C33F8">
        <w:trPr>
          <w:cnfStyle w:val="000000100000" w:firstRow="0" w:lastRow="0" w:firstColumn="0" w:lastColumn="0" w:oddVBand="0" w:evenVBand="0" w:oddHBand="1" w:evenHBand="0" w:firstRowFirstColumn="0" w:firstRowLastColumn="0" w:lastRowFirstColumn="0" w:lastRowLastColumn="0"/>
        </w:trPr>
        <w:tc>
          <w:tcPr>
            <w:tcW w:w="1335" w:type="dxa"/>
          </w:tcPr>
          <w:p w14:paraId="1BF578D4" w14:textId="309A9325" w:rsidR="00310745" w:rsidRPr="00874346" w:rsidRDefault="00310745" w:rsidP="0084216C">
            <w:pPr>
              <w:rPr>
                <w:b/>
                <w:sz w:val="22"/>
                <w:szCs w:val="22"/>
              </w:rPr>
            </w:pPr>
            <w:r w:rsidRPr="00874346">
              <w:rPr>
                <w:b/>
                <w:sz w:val="22"/>
                <w:szCs w:val="22"/>
              </w:rPr>
              <w:t xml:space="preserve">Social </w:t>
            </w:r>
          </w:p>
        </w:tc>
        <w:tc>
          <w:tcPr>
            <w:tcW w:w="7591" w:type="dxa"/>
          </w:tcPr>
          <w:p w14:paraId="53D2FE99" w14:textId="3A537C3D" w:rsidR="00680335" w:rsidRPr="00874346" w:rsidRDefault="00680335" w:rsidP="00E004C0">
            <w:pPr>
              <w:pStyle w:val="ListParagraph"/>
              <w:numPr>
                <w:ilvl w:val="0"/>
                <w:numId w:val="30"/>
              </w:numPr>
              <w:ind w:left="176" w:hanging="176"/>
              <w:rPr>
                <w:sz w:val="22"/>
                <w:szCs w:val="22"/>
              </w:rPr>
            </w:pPr>
            <w:r w:rsidRPr="00874346">
              <w:rPr>
                <w:sz w:val="22"/>
                <w:szCs w:val="22"/>
              </w:rPr>
              <w:t xml:space="preserve">The behaviour of scammers acts to undermine public trust in the brands and services which are being impersonated or co-opted by the scam, causing inefficiency and reducing confidence in online commerce and digital communication. </w:t>
            </w:r>
          </w:p>
          <w:p w14:paraId="33292AA4" w14:textId="20A01838" w:rsidR="00310745" w:rsidRPr="00874346" w:rsidRDefault="00310745" w:rsidP="00E004C0">
            <w:pPr>
              <w:pStyle w:val="ListParagraph"/>
              <w:numPr>
                <w:ilvl w:val="0"/>
                <w:numId w:val="30"/>
              </w:numPr>
              <w:ind w:left="176" w:hanging="176"/>
              <w:rPr>
                <w:sz w:val="22"/>
                <w:szCs w:val="22"/>
              </w:rPr>
            </w:pPr>
            <w:r w:rsidRPr="00874346">
              <w:rPr>
                <w:sz w:val="22"/>
                <w:szCs w:val="22"/>
              </w:rPr>
              <w:t xml:space="preserve">Scams may lead to risk aversion or undermine trust and confidence in essential functions of the economy, including the reliability of communications and transactions and the capacity of </w:t>
            </w:r>
            <w:r w:rsidR="00822274">
              <w:rPr>
                <w:sz w:val="22"/>
                <w:szCs w:val="22"/>
              </w:rPr>
              <w:t>industry</w:t>
            </w:r>
            <w:r w:rsidR="00822274" w:rsidRPr="00BA7242">
              <w:rPr>
                <w:sz w:val="22"/>
                <w:szCs w:val="22"/>
              </w:rPr>
              <w:t xml:space="preserve"> </w:t>
            </w:r>
            <w:r w:rsidRPr="00874346">
              <w:rPr>
                <w:sz w:val="22"/>
                <w:szCs w:val="22"/>
              </w:rPr>
              <w:t xml:space="preserve">and </w:t>
            </w:r>
            <w:r w:rsidR="00822274">
              <w:rPr>
                <w:sz w:val="22"/>
                <w:szCs w:val="22"/>
              </w:rPr>
              <w:t>government</w:t>
            </w:r>
            <w:r w:rsidR="00822274" w:rsidRPr="00874346">
              <w:rPr>
                <w:sz w:val="22"/>
                <w:szCs w:val="22"/>
              </w:rPr>
              <w:t xml:space="preserve"> </w:t>
            </w:r>
            <w:r w:rsidRPr="00874346">
              <w:rPr>
                <w:sz w:val="22"/>
                <w:szCs w:val="22"/>
              </w:rPr>
              <w:t xml:space="preserve">to protect consumers. </w:t>
            </w:r>
          </w:p>
        </w:tc>
      </w:tr>
      <w:tr w:rsidR="005F77C6" w:rsidRPr="00350E78" w14:paraId="56DE39FF" w14:textId="77777777" w:rsidTr="00874346">
        <w:tc>
          <w:tcPr>
            <w:tcW w:w="1335" w:type="dxa"/>
          </w:tcPr>
          <w:p w14:paraId="3DD0AEE2" w14:textId="38CDDBBC" w:rsidR="005F77C6" w:rsidRPr="00874346" w:rsidRDefault="005F77C6" w:rsidP="0084216C">
            <w:pPr>
              <w:rPr>
                <w:b/>
                <w:sz w:val="22"/>
                <w:szCs w:val="22"/>
              </w:rPr>
            </w:pPr>
            <w:r w:rsidRPr="00874346">
              <w:rPr>
                <w:b/>
                <w:sz w:val="22"/>
                <w:szCs w:val="22"/>
              </w:rPr>
              <w:t xml:space="preserve">Government </w:t>
            </w:r>
          </w:p>
        </w:tc>
        <w:tc>
          <w:tcPr>
            <w:tcW w:w="7591" w:type="dxa"/>
          </w:tcPr>
          <w:p w14:paraId="410AB533" w14:textId="265824E0" w:rsidR="005F77C6" w:rsidRPr="00874346" w:rsidRDefault="005F77C6" w:rsidP="00E004C0">
            <w:pPr>
              <w:pStyle w:val="ListParagraph"/>
              <w:numPr>
                <w:ilvl w:val="0"/>
                <w:numId w:val="30"/>
              </w:numPr>
              <w:ind w:left="176" w:hanging="176"/>
              <w:rPr>
                <w:sz w:val="22"/>
                <w:szCs w:val="22"/>
              </w:rPr>
            </w:pPr>
            <w:r w:rsidRPr="00874346">
              <w:rPr>
                <w:sz w:val="22"/>
                <w:szCs w:val="22"/>
              </w:rPr>
              <w:t>Government revenue</w:t>
            </w:r>
            <w:r w:rsidR="001C6B6E">
              <w:rPr>
                <w:sz w:val="22"/>
                <w:szCs w:val="22"/>
              </w:rPr>
              <w:t xml:space="preserve"> collection</w:t>
            </w:r>
            <w:r w:rsidRPr="00874346">
              <w:rPr>
                <w:sz w:val="22"/>
                <w:szCs w:val="22"/>
              </w:rPr>
              <w:t xml:space="preserve"> </w:t>
            </w:r>
            <w:r w:rsidR="00994B52">
              <w:rPr>
                <w:sz w:val="22"/>
                <w:szCs w:val="22"/>
              </w:rPr>
              <w:t xml:space="preserve">and expenditure required to deliver programs </w:t>
            </w:r>
            <w:r w:rsidRPr="00874346">
              <w:rPr>
                <w:sz w:val="22"/>
                <w:szCs w:val="22"/>
              </w:rPr>
              <w:t xml:space="preserve">may be impacted due to distrust of </w:t>
            </w:r>
            <w:r w:rsidR="001C6B6E">
              <w:rPr>
                <w:sz w:val="22"/>
                <w:szCs w:val="22"/>
              </w:rPr>
              <w:t xml:space="preserve">government </w:t>
            </w:r>
            <w:r w:rsidRPr="00874346">
              <w:rPr>
                <w:sz w:val="22"/>
                <w:szCs w:val="22"/>
              </w:rPr>
              <w:t>communication channels and institutions.</w:t>
            </w:r>
          </w:p>
          <w:p w14:paraId="09D1F630" w14:textId="5B8B11C3" w:rsidR="00955F2B" w:rsidRPr="00874346" w:rsidRDefault="00955F2B" w:rsidP="00E004C0">
            <w:pPr>
              <w:pStyle w:val="ListParagraph"/>
              <w:numPr>
                <w:ilvl w:val="0"/>
                <w:numId w:val="30"/>
              </w:numPr>
              <w:ind w:left="176" w:hanging="176"/>
              <w:rPr>
                <w:sz w:val="22"/>
                <w:szCs w:val="22"/>
              </w:rPr>
            </w:pPr>
            <w:r w:rsidRPr="00874346">
              <w:rPr>
                <w:sz w:val="22"/>
                <w:szCs w:val="22"/>
              </w:rPr>
              <w:lastRenderedPageBreak/>
              <w:t xml:space="preserve">The erosion of trust damages the reputation of impersonated businesses </w:t>
            </w:r>
            <w:r w:rsidR="00822274">
              <w:rPr>
                <w:sz w:val="22"/>
                <w:szCs w:val="22"/>
              </w:rPr>
              <w:t xml:space="preserve">and </w:t>
            </w:r>
            <w:r w:rsidRPr="00874346">
              <w:rPr>
                <w:sz w:val="22"/>
                <w:szCs w:val="22"/>
              </w:rPr>
              <w:t>government agencies</w:t>
            </w:r>
            <w:r w:rsidR="00950189" w:rsidRPr="00874346">
              <w:rPr>
                <w:sz w:val="22"/>
                <w:szCs w:val="22"/>
              </w:rPr>
              <w:t xml:space="preserve"> which</w:t>
            </w:r>
            <w:r w:rsidR="00822274">
              <w:rPr>
                <w:sz w:val="22"/>
                <w:szCs w:val="22"/>
              </w:rPr>
              <w:t>,</w:t>
            </w:r>
            <w:r w:rsidRPr="00874346">
              <w:rPr>
                <w:sz w:val="22"/>
                <w:szCs w:val="22"/>
              </w:rPr>
              <w:t xml:space="preserve"> if not addressed</w:t>
            </w:r>
            <w:r w:rsidR="00822274">
              <w:rPr>
                <w:sz w:val="22"/>
                <w:szCs w:val="22"/>
              </w:rPr>
              <w:t>,</w:t>
            </w:r>
            <w:r w:rsidRPr="00874346">
              <w:rPr>
                <w:sz w:val="22"/>
                <w:szCs w:val="22"/>
              </w:rPr>
              <w:t xml:space="preserve"> may lead to withdrawal </w:t>
            </w:r>
            <w:r w:rsidR="00C31D22" w:rsidRPr="00874346">
              <w:rPr>
                <w:sz w:val="22"/>
                <w:szCs w:val="22"/>
              </w:rPr>
              <w:t>of</w:t>
            </w:r>
            <w:r w:rsidRPr="00874346">
              <w:rPr>
                <w:sz w:val="22"/>
                <w:szCs w:val="22"/>
              </w:rPr>
              <w:t xml:space="preserve"> digital technology </w:t>
            </w:r>
            <w:r w:rsidR="00C31D22" w:rsidRPr="00874346">
              <w:rPr>
                <w:sz w:val="22"/>
                <w:szCs w:val="22"/>
              </w:rPr>
              <w:t>from</w:t>
            </w:r>
            <w:r w:rsidRPr="00874346">
              <w:rPr>
                <w:sz w:val="22"/>
                <w:szCs w:val="22"/>
              </w:rPr>
              <w:t xml:space="preserve"> </w:t>
            </w:r>
            <w:r w:rsidR="00C31D22" w:rsidRPr="00874346">
              <w:rPr>
                <w:sz w:val="22"/>
                <w:szCs w:val="22"/>
              </w:rPr>
              <w:t>government administration</w:t>
            </w:r>
            <w:r w:rsidRPr="00874346">
              <w:rPr>
                <w:sz w:val="22"/>
                <w:szCs w:val="22"/>
              </w:rPr>
              <w:t>.</w:t>
            </w:r>
          </w:p>
        </w:tc>
      </w:tr>
    </w:tbl>
    <w:p w14:paraId="6C3FE1A5" w14:textId="77777777" w:rsidR="00310745" w:rsidRDefault="00310745" w:rsidP="00310745">
      <w:pPr>
        <w:pStyle w:val="AlphaParagraph"/>
        <w:numPr>
          <w:ilvl w:val="1"/>
          <w:numId w:val="0"/>
        </w:numPr>
      </w:pPr>
    </w:p>
    <w:p w14:paraId="5524733A" w14:textId="61E738C8" w:rsidR="00044585" w:rsidRDefault="00492035" w:rsidP="00310745">
      <w:pPr>
        <w:pStyle w:val="AlphaParagraph"/>
        <w:numPr>
          <w:ilvl w:val="1"/>
          <w:numId w:val="0"/>
        </w:numPr>
      </w:pPr>
      <w:r>
        <w:t xml:space="preserve">Inaction </w:t>
      </w:r>
      <w:r w:rsidR="00872418">
        <w:t xml:space="preserve">to combat scams </w:t>
      </w:r>
      <w:r>
        <w:t>will see these problems increase over time, with consequential increases in the cost and time required to rectify the</w:t>
      </w:r>
      <w:r w:rsidR="00C72157">
        <w:t>m</w:t>
      </w:r>
      <w:r>
        <w:t xml:space="preserve"> in</w:t>
      </w:r>
      <w:r w:rsidR="00C72157">
        <w:t xml:space="preserve"> the</w:t>
      </w:r>
      <w:r>
        <w:t xml:space="preserve"> future.</w:t>
      </w:r>
    </w:p>
    <w:p w14:paraId="3658FF36" w14:textId="4B9EC67A" w:rsidR="00D755EA" w:rsidRDefault="00811138" w:rsidP="00D755EA">
      <w:pPr>
        <w:pStyle w:val="Heading3"/>
      </w:pPr>
      <w:bookmarkStart w:id="12" w:name="_Toc179556393"/>
      <w:r>
        <w:t>1.2 Drivers of scams</w:t>
      </w:r>
      <w:bookmarkEnd w:id="12"/>
    </w:p>
    <w:p w14:paraId="6F39E80F" w14:textId="588465C1" w:rsidR="00D235AB" w:rsidRDefault="00D235AB" w:rsidP="00D235AB">
      <w:r>
        <w:t>Australia, as with many other countries</w:t>
      </w:r>
      <w:r w:rsidR="00C3603F">
        <w:t>,</w:t>
      </w:r>
      <w:r>
        <w:t xml:space="preserve"> </w:t>
      </w:r>
      <w:r w:rsidR="00135FF6">
        <w:t xml:space="preserve">is </w:t>
      </w:r>
      <w:r>
        <w:t xml:space="preserve">experiencing spikes in losses. A list of several underlying factors as to why this has occurred is outlined in </w:t>
      </w:r>
      <w:r w:rsidR="002C1AD8">
        <w:fldChar w:fldCharType="begin"/>
      </w:r>
      <w:r w:rsidR="002C1AD8">
        <w:instrText xml:space="preserve"> REF _Ref177991908 \h </w:instrText>
      </w:r>
      <w:r w:rsidR="002C1AD8">
        <w:fldChar w:fldCharType="separate"/>
      </w:r>
      <w:r w:rsidR="002C1AD8">
        <w:t xml:space="preserve">Table </w:t>
      </w:r>
      <w:r w:rsidR="002C1AD8">
        <w:rPr>
          <w:noProof/>
        </w:rPr>
        <w:t>2</w:t>
      </w:r>
      <w:r w:rsidR="002C1AD8">
        <w:fldChar w:fldCharType="end"/>
      </w:r>
      <w:r>
        <w:t xml:space="preserve">. This section examines some of these factors in detail below. </w:t>
      </w:r>
    </w:p>
    <w:p w14:paraId="1B8872F9" w14:textId="25CF9806" w:rsidR="00D235AB" w:rsidRDefault="002C1AD8" w:rsidP="002C1AD8">
      <w:pPr>
        <w:pStyle w:val="Heading8"/>
      </w:pPr>
      <w:bookmarkStart w:id="13" w:name="_Ref177991908"/>
      <w:r>
        <w:t xml:space="preserve">Table </w:t>
      </w:r>
      <w:fldSimple w:instr=" SEQ Table \* ARABIC ">
        <w:r>
          <w:rPr>
            <w:noProof/>
          </w:rPr>
          <w:t>2</w:t>
        </w:r>
      </w:fldSimple>
      <w:bookmarkEnd w:id="13"/>
      <w:r w:rsidR="00D235AB">
        <w:t xml:space="preserve"> – Drivers of recent growth in scam losses</w:t>
      </w:r>
    </w:p>
    <w:tbl>
      <w:tblPr>
        <w:tblStyle w:val="Custom1"/>
        <w:tblW w:w="0" w:type="auto"/>
        <w:tblInd w:w="5" w:type="dxa"/>
        <w:tblLook w:val="04A0" w:firstRow="1" w:lastRow="0" w:firstColumn="1" w:lastColumn="0" w:noHBand="0" w:noVBand="1"/>
      </w:tblPr>
      <w:tblGrid>
        <w:gridCol w:w="1980"/>
        <w:gridCol w:w="7080"/>
      </w:tblGrid>
      <w:tr w:rsidR="00D235AB" w14:paraId="54DF100B" w14:textId="77777777" w:rsidTr="00BE17D1">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5CAF871B" w14:textId="77777777" w:rsidR="00D235AB" w:rsidRPr="005C1949" w:rsidRDefault="00D235AB">
            <w:pPr>
              <w:rPr>
                <w:sz w:val="22"/>
                <w:szCs w:val="30"/>
              </w:rPr>
            </w:pPr>
            <w:r w:rsidRPr="005C1949">
              <w:rPr>
                <w:sz w:val="22"/>
                <w:szCs w:val="30"/>
              </w:rPr>
              <w:t xml:space="preserve">Drivers of recent scam losses </w:t>
            </w:r>
          </w:p>
        </w:tc>
      </w:tr>
      <w:tr w:rsidR="00D235AB" w14:paraId="3142E3CD" w14:textId="77777777" w:rsidTr="00BE17D1">
        <w:trPr>
          <w:cnfStyle w:val="000000100000" w:firstRow="0" w:lastRow="0" w:firstColumn="0" w:lastColumn="0" w:oddVBand="0" w:evenVBand="0" w:oddHBand="1" w:evenHBand="0" w:firstRowFirstColumn="0" w:firstRowLastColumn="0" w:lastRowFirstColumn="0" w:lastRowLastColumn="0"/>
        </w:trPr>
        <w:tc>
          <w:tcPr>
            <w:tcW w:w="1980" w:type="dxa"/>
          </w:tcPr>
          <w:p w14:paraId="0C774BCB" w14:textId="77777777" w:rsidR="00D235AB" w:rsidRPr="005C1949" w:rsidRDefault="00D235AB">
            <w:pPr>
              <w:rPr>
                <w:b/>
                <w:sz w:val="22"/>
                <w:szCs w:val="30"/>
              </w:rPr>
            </w:pPr>
            <w:r w:rsidRPr="005C1949">
              <w:rPr>
                <w:b/>
                <w:sz w:val="22"/>
                <w:szCs w:val="30"/>
              </w:rPr>
              <w:t xml:space="preserve">Cybersecurity threats </w:t>
            </w:r>
          </w:p>
        </w:tc>
        <w:tc>
          <w:tcPr>
            <w:tcW w:w="7080" w:type="dxa"/>
          </w:tcPr>
          <w:p w14:paraId="57A35D66" w14:textId="7E7A2EFD" w:rsidR="00D235AB" w:rsidRPr="005C1949" w:rsidRDefault="00D235AB">
            <w:pPr>
              <w:rPr>
                <w:sz w:val="22"/>
                <w:szCs w:val="30"/>
              </w:rPr>
            </w:pPr>
            <w:r w:rsidRPr="005C1949">
              <w:rPr>
                <w:sz w:val="22"/>
                <w:szCs w:val="30"/>
              </w:rPr>
              <w:t>As more data is collected about consumers, high-profile data breaches and cyber threats ha</w:t>
            </w:r>
            <w:r w:rsidR="009B3E6B">
              <w:rPr>
                <w:sz w:val="22"/>
                <w:szCs w:val="30"/>
              </w:rPr>
              <w:t>ve</w:t>
            </w:r>
            <w:r w:rsidRPr="005C1949">
              <w:rPr>
                <w:sz w:val="22"/>
                <w:szCs w:val="30"/>
              </w:rPr>
              <w:t xml:space="preserve"> compromised consumer security and personal details that can be used by malicious actors to target scam victims and carry out scams.  </w:t>
            </w:r>
          </w:p>
        </w:tc>
      </w:tr>
      <w:tr w:rsidR="00D235AB" w14:paraId="5A53E93F" w14:textId="77777777" w:rsidTr="00BE17D1">
        <w:tc>
          <w:tcPr>
            <w:tcW w:w="1980" w:type="dxa"/>
          </w:tcPr>
          <w:p w14:paraId="6E2A0FD4" w14:textId="77777777" w:rsidR="00D235AB" w:rsidRPr="005C1949" w:rsidRDefault="00D235AB">
            <w:pPr>
              <w:rPr>
                <w:b/>
                <w:sz w:val="22"/>
                <w:szCs w:val="30"/>
              </w:rPr>
            </w:pPr>
            <w:r w:rsidRPr="005C1949">
              <w:rPr>
                <w:b/>
                <w:sz w:val="22"/>
                <w:szCs w:val="30"/>
              </w:rPr>
              <w:t xml:space="preserve">Increased digitalisation of the economy  </w:t>
            </w:r>
          </w:p>
        </w:tc>
        <w:tc>
          <w:tcPr>
            <w:tcW w:w="7080" w:type="dxa"/>
          </w:tcPr>
          <w:p w14:paraId="5EAE287B" w14:textId="3069940D" w:rsidR="00D235AB" w:rsidRPr="005C1949" w:rsidRDefault="00D235AB">
            <w:pPr>
              <w:rPr>
                <w:sz w:val="22"/>
                <w:szCs w:val="30"/>
              </w:rPr>
            </w:pPr>
            <w:r w:rsidRPr="005C1949">
              <w:rPr>
                <w:sz w:val="22"/>
                <w:szCs w:val="30"/>
              </w:rPr>
              <w:t xml:space="preserve">The pandemic created abrupt shifts across the economy towards remote work and communication, leading to increased uses of digital services in ways that were unfamiliar or at a far higher rate than before. </w:t>
            </w:r>
            <w:r w:rsidR="00ED0C84">
              <w:rPr>
                <w:sz w:val="22"/>
                <w:szCs w:val="30"/>
              </w:rPr>
              <w:t xml:space="preserve">The efficiency gains </w:t>
            </w:r>
            <w:r w:rsidR="004E34CC">
              <w:rPr>
                <w:sz w:val="22"/>
                <w:szCs w:val="30"/>
              </w:rPr>
              <w:t xml:space="preserve">and speed of transactions, from communication to payments channels, have enabled </w:t>
            </w:r>
            <w:r w:rsidR="00E216BF">
              <w:rPr>
                <w:sz w:val="22"/>
                <w:szCs w:val="30"/>
              </w:rPr>
              <w:t xml:space="preserve">significant acceleration </w:t>
            </w:r>
            <w:r w:rsidR="00163854">
              <w:rPr>
                <w:sz w:val="22"/>
                <w:szCs w:val="30"/>
              </w:rPr>
              <w:t>of interactions between parties.</w:t>
            </w:r>
            <w:r w:rsidR="004E34CC">
              <w:rPr>
                <w:sz w:val="22"/>
                <w:szCs w:val="30"/>
              </w:rPr>
              <w:t xml:space="preserve"> </w:t>
            </w:r>
          </w:p>
        </w:tc>
      </w:tr>
      <w:tr w:rsidR="00D235AB" w14:paraId="7B8A6120" w14:textId="77777777" w:rsidTr="00BE17D1">
        <w:trPr>
          <w:cnfStyle w:val="000000100000" w:firstRow="0" w:lastRow="0" w:firstColumn="0" w:lastColumn="0" w:oddVBand="0" w:evenVBand="0" w:oddHBand="1" w:evenHBand="0" w:firstRowFirstColumn="0" w:firstRowLastColumn="0" w:lastRowFirstColumn="0" w:lastRowLastColumn="0"/>
        </w:trPr>
        <w:tc>
          <w:tcPr>
            <w:tcW w:w="1980" w:type="dxa"/>
          </w:tcPr>
          <w:p w14:paraId="60280BAC" w14:textId="77777777" w:rsidR="00D235AB" w:rsidRPr="005C1949" w:rsidRDefault="00D235AB">
            <w:pPr>
              <w:rPr>
                <w:b/>
                <w:sz w:val="22"/>
                <w:szCs w:val="30"/>
              </w:rPr>
            </w:pPr>
            <w:r w:rsidRPr="005C1949">
              <w:rPr>
                <w:b/>
                <w:sz w:val="22"/>
                <w:szCs w:val="30"/>
              </w:rPr>
              <w:t>Use of crypto and digital assets</w:t>
            </w:r>
          </w:p>
        </w:tc>
        <w:tc>
          <w:tcPr>
            <w:tcW w:w="7080" w:type="dxa"/>
          </w:tcPr>
          <w:p w14:paraId="7B54B400" w14:textId="64B7BADB" w:rsidR="00D235AB" w:rsidRPr="005C1949" w:rsidRDefault="00D235AB">
            <w:pPr>
              <w:rPr>
                <w:sz w:val="22"/>
                <w:szCs w:val="30"/>
              </w:rPr>
            </w:pPr>
            <w:r w:rsidRPr="005C1949">
              <w:rPr>
                <w:sz w:val="22"/>
                <w:szCs w:val="30"/>
              </w:rPr>
              <w:t>The emergence and increasing uptake of unregulated digital assets such as cryptocurrencies, unfamiliar to many consumers and of increasing interest to others, has been exploited by scammers as an exit channel</w:t>
            </w:r>
            <w:r w:rsidR="0092761C">
              <w:rPr>
                <w:sz w:val="22"/>
                <w:szCs w:val="30"/>
              </w:rPr>
              <w:t xml:space="preserve"> to direct funds out of the control of the victim</w:t>
            </w:r>
            <w:r w:rsidRPr="005C1949">
              <w:rPr>
                <w:sz w:val="22"/>
                <w:szCs w:val="30"/>
              </w:rPr>
              <w:t>.</w:t>
            </w:r>
            <w:r w:rsidR="00A17C49" w:rsidRPr="005A16CB">
              <w:rPr>
                <w:rStyle w:val="FootnoteReference"/>
                <w:szCs w:val="30"/>
                <w:vertAlign w:val="superscript"/>
              </w:rPr>
              <w:footnoteReference w:id="15"/>
            </w:r>
            <w:r w:rsidRPr="005C1949">
              <w:rPr>
                <w:sz w:val="22"/>
                <w:szCs w:val="30"/>
              </w:rPr>
              <w:t xml:space="preserve">  </w:t>
            </w:r>
          </w:p>
        </w:tc>
      </w:tr>
      <w:tr w:rsidR="00D235AB" w14:paraId="3A5CABF4" w14:textId="77777777" w:rsidTr="00BE17D1">
        <w:tc>
          <w:tcPr>
            <w:tcW w:w="1980" w:type="dxa"/>
          </w:tcPr>
          <w:p w14:paraId="06BD1605" w14:textId="77777777" w:rsidR="00D235AB" w:rsidRPr="005C1949" w:rsidRDefault="00D235AB">
            <w:pPr>
              <w:rPr>
                <w:b/>
                <w:sz w:val="22"/>
                <w:szCs w:val="30"/>
              </w:rPr>
            </w:pPr>
            <w:r w:rsidRPr="005C1949">
              <w:rPr>
                <w:b/>
                <w:sz w:val="22"/>
                <w:szCs w:val="30"/>
              </w:rPr>
              <w:t xml:space="preserve">New technologies </w:t>
            </w:r>
          </w:p>
        </w:tc>
        <w:tc>
          <w:tcPr>
            <w:tcW w:w="7080" w:type="dxa"/>
          </w:tcPr>
          <w:p w14:paraId="1F026801" w14:textId="3F1C04C0" w:rsidR="00D235AB" w:rsidRPr="005C1949" w:rsidRDefault="00D235AB">
            <w:pPr>
              <w:rPr>
                <w:sz w:val="22"/>
                <w:szCs w:val="30"/>
              </w:rPr>
            </w:pPr>
            <w:r w:rsidRPr="005C1949">
              <w:rPr>
                <w:sz w:val="22"/>
                <w:szCs w:val="30"/>
              </w:rPr>
              <w:t xml:space="preserve">Scammers have become increasingly sophisticated in their efforts due to the take up of newer technologies at their disposal, such as chat bots and artificial </w:t>
            </w:r>
            <w:proofErr w:type="gramStart"/>
            <w:r w:rsidRPr="005C1949">
              <w:rPr>
                <w:sz w:val="22"/>
                <w:szCs w:val="30"/>
              </w:rPr>
              <w:t>intelligence, that</w:t>
            </w:r>
            <w:proofErr w:type="gramEnd"/>
            <w:r w:rsidRPr="005C1949">
              <w:rPr>
                <w:sz w:val="22"/>
                <w:szCs w:val="30"/>
              </w:rPr>
              <w:t xml:space="preserve"> allow them to impersonate legitimate entities with far greater accuracy and deploy communications to a wide audience.</w:t>
            </w:r>
            <w:r w:rsidR="007C038C" w:rsidRPr="005A16CB">
              <w:rPr>
                <w:rStyle w:val="FootnoteReference"/>
                <w:szCs w:val="30"/>
                <w:vertAlign w:val="superscript"/>
              </w:rPr>
              <w:footnoteReference w:id="16"/>
            </w:r>
          </w:p>
        </w:tc>
      </w:tr>
      <w:tr w:rsidR="00D235AB" w14:paraId="0DDFA82D" w14:textId="77777777" w:rsidTr="00BE17D1">
        <w:trPr>
          <w:cnfStyle w:val="000000100000" w:firstRow="0" w:lastRow="0" w:firstColumn="0" w:lastColumn="0" w:oddVBand="0" w:evenVBand="0" w:oddHBand="1" w:evenHBand="0" w:firstRowFirstColumn="0" w:firstRowLastColumn="0" w:lastRowFirstColumn="0" w:lastRowLastColumn="0"/>
        </w:trPr>
        <w:tc>
          <w:tcPr>
            <w:tcW w:w="1980" w:type="dxa"/>
          </w:tcPr>
          <w:p w14:paraId="103D9552" w14:textId="77777777" w:rsidR="00D235AB" w:rsidRPr="005C1949" w:rsidRDefault="00D235AB">
            <w:pPr>
              <w:rPr>
                <w:b/>
                <w:sz w:val="22"/>
                <w:szCs w:val="30"/>
              </w:rPr>
            </w:pPr>
            <w:r w:rsidRPr="005C1949">
              <w:rPr>
                <w:b/>
                <w:sz w:val="22"/>
                <w:szCs w:val="30"/>
              </w:rPr>
              <w:t>Economic pressures</w:t>
            </w:r>
          </w:p>
        </w:tc>
        <w:tc>
          <w:tcPr>
            <w:tcW w:w="7080" w:type="dxa"/>
          </w:tcPr>
          <w:p w14:paraId="259630ED" w14:textId="77777777" w:rsidR="00D235AB" w:rsidRPr="005C1949" w:rsidRDefault="00D235AB">
            <w:pPr>
              <w:rPr>
                <w:sz w:val="22"/>
                <w:szCs w:val="30"/>
              </w:rPr>
            </w:pPr>
            <w:r w:rsidRPr="005C1949">
              <w:rPr>
                <w:sz w:val="22"/>
                <w:szCs w:val="30"/>
              </w:rPr>
              <w:t xml:space="preserve">Economic pressures during and after the pandemic have led to greater financial pressure on consumers, increasing the panic of responses to scam demands for unpaid fees or the allure of profiting from scam investments. </w:t>
            </w:r>
          </w:p>
        </w:tc>
      </w:tr>
    </w:tbl>
    <w:p w14:paraId="72109D44" w14:textId="5B571576" w:rsidR="002D0BFA" w:rsidRDefault="004F1760" w:rsidP="00185C73">
      <w:pPr>
        <w:pStyle w:val="Heading4"/>
      </w:pPr>
      <w:r>
        <w:t>1.</w:t>
      </w:r>
      <w:r w:rsidR="00130440">
        <w:t>2.1</w:t>
      </w:r>
      <w:r>
        <w:t xml:space="preserve"> </w:t>
      </w:r>
      <w:r w:rsidR="000F2BF0">
        <w:t>G</w:t>
      </w:r>
      <w:r w:rsidR="00BA2158">
        <w:t>rowth</w:t>
      </w:r>
      <w:r w:rsidR="000F2BF0">
        <w:t xml:space="preserve"> of</w:t>
      </w:r>
      <w:r w:rsidR="00BA2158">
        <w:t xml:space="preserve"> </w:t>
      </w:r>
      <w:r w:rsidR="00F9015D">
        <w:t>low-cost</w:t>
      </w:r>
      <w:r w:rsidR="002D0BFA">
        <w:t xml:space="preserve"> </w:t>
      </w:r>
      <w:r w:rsidR="00320B4D">
        <w:t xml:space="preserve">frequent </w:t>
      </w:r>
      <w:r w:rsidR="002D0BFA">
        <w:t>consumer contact</w:t>
      </w:r>
    </w:p>
    <w:p w14:paraId="087BF456" w14:textId="699AA9BB" w:rsidR="00E2152D" w:rsidRDefault="002D0BFA" w:rsidP="002D0BFA">
      <w:pPr>
        <w:pStyle w:val="AlphaParagraph"/>
        <w:numPr>
          <w:ilvl w:val="1"/>
          <w:numId w:val="0"/>
        </w:numPr>
      </w:pPr>
      <w:r>
        <w:t>Low barriers to entry and costs to initiate digital communication and commerce (including via online and social media) allow scammers to initiate direct consumer contact at high frequency.</w:t>
      </w:r>
      <w:r w:rsidRPr="005E2CC3">
        <w:t xml:space="preserve"> </w:t>
      </w:r>
      <w:r>
        <w:t xml:space="preserve">The high volume and prevalence of unsolicited offers or communication from </w:t>
      </w:r>
      <w:proofErr w:type="gramStart"/>
      <w:r>
        <w:t>scammers</w:t>
      </w:r>
      <w:proofErr w:type="gramEnd"/>
      <w:r>
        <w:t xml:space="preserve"> works on the basis that </w:t>
      </w:r>
      <w:r>
        <w:lastRenderedPageBreak/>
        <w:t xml:space="preserve">a proportion of those targeted will pursue the illegitimate offer. </w:t>
      </w:r>
      <w:r w:rsidR="00B91FE1">
        <w:t>Scam</w:t>
      </w:r>
      <w:r>
        <w:t xml:space="preserve"> tactic</w:t>
      </w:r>
      <w:r w:rsidR="00B91FE1">
        <w:t>s</w:t>
      </w:r>
      <w:r w:rsidR="000C4D01">
        <w:t xml:space="preserve"> </w:t>
      </w:r>
      <w:r w:rsidR="00AA5ADA">
        <w:t xml:space="preserve">can be seen as </w:t>
      </w:r>
      <w:r w:rsidR="00E22E3A">
        <w:t xml:space="preserve">lucrative </w:t>
      </w:r>
      <w:r w:rsidR="00B96B83">
        <w:t xml:space="preserve">activity for </w:t>
      </w:r>
      <w:r w:rsidR="00241C80">
        <w:t>criminals as th</w:t>
      </w:r>
      <w:r w:rsidR="00181FBE">
        <w:t>e</w:t>
      </w:r>
      <w:r w:rsidR="002F0756">
        <w:t xml:space="preserve">y </w:t>
      </w:r>
      <w:r>
        <w:t xml:space="preserve">succeed </w:t>
      </w:r>
      <w:r w:rsidR="00291D3D">
        <w:t>due to</w:t>
      </w:r>
      <w:r w:rsidR="00252233">
        <w:t xml:space="preserve"> these high volumes of </w:t>
      </w:r>
      <w:r w:rsidR="00C03DF9">
        <w:t>communications creating</w:t>
      </w:r>
      <w:r w:rsidR="00291D3D">
        <w:t xml:space="preserve"> </w:t>
      </w:r>
      <w:r>
        <w:t xml:space="preserve">many opportunities </w:t>
      </w:r>
      <w:r w:rsidR="00A17A6D">
        <w:t>propagating illegitimate offers</w:t>
      </w:r>
      <w:r>
        <w:t xml:space="preserve">. </w:t>
      </w:r>
    </w:p>
    <w:p w14:paraId="56ADEDB0" w14:textId="35BB7783" w:rsidR="002D0BFA" w:rsidRDefault="002D0BFA" w:rsidP="002D0BFA">
      <w:pPr>
        <w:pStyle w:val="AlphaParagraph"/>
        <w:numPr>
          <w:ilvl w:val="0"/>
          <w:numId w:val="0"/>
        </w:numPr>
      </w:pPr>
      <w:r>
        <w:t xml:space="preserve">Growing use of digital communication </w:t>
      </w:r>
      <w:r w:rsidR="00394C85">
        <w:t xml:space="preserve">and media </w:t>
      </w:r>
      <w:r>
        <w:t xml:space="preserve">channels by </w:t>
      </w:r>
      <w:r w:rsidR="00822274">
        <w:t xml:space="preserve">industry </w:t>
      </w:r>
      <w:r>
        <w:t xml:space="preserve">and governments have generally not been supported by robust and readily available means for </w:t>
      </w:r>
      <w:r w:rsidR="00323C8D">
        <w:t>the public</w:t>
      </w:r>
      <w:r>
        <w:t xml:space="preserve"> to validate the identity and legitimacy of the source, or to authenticate commerce offers. Requirements for customer identity validation, such as those which exist in the financial sector, are not </w:t>
      </w:r>
      <w:r w:rsidR="00697C3C">
        <w:t>universal</w:t>
      </w:r>
      <w:r>
        <w:t xml:space="preserve"> in </w:t>
      </w:r>
      <w:r w:rsidR="004D6F4C">
        <w:t>all</w:t>
      </w:r>
      <w:r>
        <w:t xml:space="preserve"> sectors</w:t>
      </w:r>
      <w:r w:rsidR="00596329">
        <w:t xml:space="preserve">. </w:t>
      </w:r>
      <w:r w:rsidR="008E7BF2" w:rsidRPr="008E7BF2">
        <w:t xml:space="preserve"> Consumers </w:t>
      </w:r>
      <w:r w:rsidR="008E7BF2">
        <w:t xml:space="preserve">also </w:t>
      </w:r>
      <w:r w:rsidR="008E7BF2" w:rsidRPr="008E7BF2">
        <w:t>lack easy methods to verify</w:t>
      </w:r>
      <w:r w:rsidR="00B1248B">
        <w:t xml:space="preserve"> whether</w:t>
      </w:r>
      <w:r w:rsidR="008E7BF2" w:rsidRPr="008E7BF2">
        <w:t xml:space="preserve"> communications </w:t>
      </w:r>
      <w:r w:rsidR="00515DF7">
        <w:t xml:space="preserve">are </w:t>
      </w:r>
      <w:r w:rsidR="008E7BF2" w:rsidRPr="008E7BF2">
        <w:t xml:space="preserve">from a </w:t>
      </w:r>
      <w:r w:rsidR="00B1248B" w:rsidRPr="008E7BF2">
        <w:t xml:space="preserve">legitimate </w:t>
      </w:r>
      <w:r w:rsidR="008E7BF2" w:rsidRPr="008E7BF2">
        <w:t>business</w:t>
      </w:r>
      <w:r w:rsidR="00B1248B">
        <w:t xml:space="preserve"> or a scammer</w:t>
      </w:r>
      <w:r w:rsidR="008E7BF2" w:rsidRPr="008E7BF2">
        <w:t>.</w:t>
      </w:r>
    </w:p>
    <w:p w14:paraId="7CFB3EB6" w14:textId="37798960" w:rsidR="002D0BFA" w:rsidRDefault="006155CC" w:rsidP="002D0BFA">
      <w:r>
        <w:t>T</w:t>
      </w:r>
      <w:r w:rsidR="002D0BFA">
        <w:t xml:space="preserve">he </w:t>
      </w:r>
      <w:r w:rsidR="003C45D8">
        <w:t xml:space="preserve">2023 </w:t>
      </w:r>
      <w:proofErr w:type="spellStart"/>
      <w:r w:rsidR="003C45D8" w:rsidDel="00A9304D">
        <w:t>Scamwatch</w:t>
      </w:r>
      <w:proofErr w:type="spellEnd"/>
      <w:r w:rsidR="003C45D8" w:rsidDel="00A9304D">
        <w:t xml:space="preserve"> </w:t>
      </w:r>
      <w:r w:rsidR="003C45D8">
        <w:t>consumer reporting data</w:t>
      </w:r>
      <w:r w:rsidR="00505893" w:rsidRPr="00BE17D1">
        <w:rPr>
          <w:rStyle w:val="FootnoteReference"/>
          <w:vertAlign w:val="superscript"/>
        </w:rPr>
        <w:footnoteReference w:id="17"/>
      </w:r>
      <w:r w:rsidR="003C45D8">
        <w:t xml:space="preserve"> </w:t>
      </w:r>
      <w:r w:rsidR="00A20FD8">
        <w:t xml:space="preserve">provides information on </w:t>
      </w:r>
      <w:r w:rsidR="002D0BFA">
        <w:t>the major channels used by scammers includ</w:t>
      </w:r>
      <w:r w:rsidR="00B615AF">
        <w:t>ing</w:t>
      </w:r>
      <w:r w:rsidR="002D0BFA">
        <w:t xml:space="preserve">: </w:t>
      </w:r>
    </w:p>
    <w:p w14:paraId="4DA1B9A9" w14:textId="77777777" w:rsidR="002D0BFA" w:rsidRPr="00084202" w:rsidRDefault="002D0BFA" w:rsidP="00183D93">
      <w:pPr>
        <w:pStyle w:val="Bullet"/>
        <w:numPr>
          <w:ilvl w:val="0"/>
          <w:numId w:val="20"/>
        </w:numPr>
      </w:pPr>
      <w:proofErr w:type="gramStart"/>
      <w:r w:rsidRPr="00084202">
        <w:t>contact</w:t>
      </w:r>
      <w:proofErr w:type="gramEnd"/>
      <w:r w:rsidRPr="00084202">
        <w:t xml:space="preserve"> methods most commonly reported were text message (36 per cent), email and phone.</w:t>
      </w:r>
    </w:p>
    <w:p w14:paraId="505C77D0" w14:textId="77777777" w:rsidR="002D0BFA" w:rsidRPr="00084202" w:rsidRDefault="002D0BFA" w:rsidP="00183D93">
      <w:pPr>
        <w:pStyle w:val="Bullet"/>
        <w:numPr>
          <w:ilvl w:val="0"/>
          <w:numId w:val="20"/>
        </w:numPr>
      </w:pPr>
      <w:proofErr w:type="gramStart"/>
      <w:r w:rsidRPr="00084202">
        <w:t>contact</w:t>
      </w:r>
      <w:proofErr w:type="gramEnd"/>
      <w:r w:rsidRPr="00084202">
        <w:t xml:space="preserve"> methods most frequently associated with financial losses were phone (24 per cent), social networking and online forums and email. </w:t>
      </w:r>
    </w:p>
    <w:p w14:paraId="066D443A" w14:textId="77777777" w:rsidR="002D0BFA" w:rsidRPr="00084202" w:rsidRDefault="002D0BFA" w:rsidP="00183D93">
      <w:pPr>
        <w:pStyle w:val="Bullet"/>
        <w:numPr>
          <w:ilvl w:val="0"/>
          <w:numId w:val="20"/>
        </w:numPr>
      </w:pPr>
      <w:proofErr w:type="gramStart"/>
      <w:r w:rsidRPr="00084202">
        <w:t>phishing</w:t>
      </w:r>
      <w:proofErr w:type="gramEnd"/>
      <w:r w:rsidRPr="00084202">
        <w:t xml:space="preserve"> scams were the most common scam approach, representing 36 per cent of all reports. Despite the inconvenience of their prevalence, only 2 per cent of phishing reports were associated with a financial loss. </w:t>
      </w:r>
    </w:p>
    <w:p w14:paraId="28DF1A7F" w14:textId="79740BCE" w:rsidR="002D0BFA" w:rsidRPr="00084202" w:rsidRDefault="002D0BFA" w:rsidP="00183D93">
      <w:pPr>
        <w:pStyle w:val="Bullet"/>
        <w:numPr>
          <w:ilvl w:val="0"/>
          <w:numId w:val="20"/>
        </w:numPr>
      </w:pPr>
      <w:proofErr w:type="gramStart"/>
      <w:r w:rsidRPr="00084202">
        <w:t>investment</w:t>
      </w:r>
      <w:proofErr w:type="gramEnd"/>
      <w:r w:rsidRPr="00084202">
        <w:t xml:space="preserve"> scams</w:t>
      </w:r>
      <w:r w:rsidR="002C6FAE">
        <w:t>,</w:t>
      </w:r>
      <w:r w:rsidRPr="00084202">
        <w:t xml:space="preserve"> while only 3 per cent of all reports, were associated with $292 million or 61 per cent of all reported losses. Additionally, investment scams were associated with a high average loss of $81,300. </w:t>
      </w:r>
    </w:p>
    <w:p w14:paraId="2C6E8C50" w14:textId="03449652" w:rsidR="00FE53A7" w:rsidRDefault="00FE53A7" w:rsidP="00591E86">
      <w:pPr>
        <w:rPr>
          <w:vertAlign w:val="superscript"/>
        </w:rPr>
      </w:pPr>
      <w:r>
        <w:t xml:space="preserve">Digital platform service providers are a rapidly expanding conduit for scammers to target consumers. In particular, social media is over-represented as a source of losses to scams, accounting for 6 per cent of reported contact methods </w:t>
      </w:r>
      <w:r w:rsidR="0069526C">
        <w:t xml:space="preserve">in 2023, </w:t>
      </w:r>
      <w:r>
        <w:t xml:space="preserve">but </w:t>
      </w:r>
      <w:r w:rsidR="0069526C">
        <w:t>is</w:t>
      </w:r>
      <w:r>
        <w:t xml:space="preserve"> the second most common source of scam losses.</w:t>
      </w:r>
      <w:r w:rsidR="007B78CB">
        <w:t xml:space="preserve"> </w:t>
      </w:r>
      <w:r w:rsidR="00F1430C" w:rsidRPr="00BE17D1">
        <w:fldChar w:fldCharType="begin"/>
      </w:r>
      <w:r w:rsidR="00F1430C" w:rsidRPr="00BE17D1">
        <w:instrText xml:space="preserve"> REF _Ref177978841 \h  \* MERGEFORMAT </w:instrText>
      </w:r>
      <w:r w:rsidR="00F1430C" w:rsidRPr="00BE17D1">
        <w:fldChar w:fldCharType="separate"/>
      </w:r>
      <w:r w:rsidR="00F1430C" w:rsidRPr="00BE17D1">
        <w:rPr>
          <w:color w:val="000000" w:themeColor="text1"/>
        </w:rPr>
        <w:t xml:space="preserve">Chart </w:t>
      </w:r>
      <w:r w:rsidR="00F1430C" w:rsidRPr="00BE17D1">
        <w:rPr>
          <w:noProof/>
          <w:color w:val="000000" w:themeColor="text1"/>
        </w:rPr>
        <w:t>4</w:t>
      </w:r>
      <w:r w:rsidR="00F1430C" w:rsidRPr="00BE17D1">
        <w:fldChar w:fldCharType="end"/>
      </w:r>
      <w:r w:rsidR="007B78CB">
        <w:t xml:space="preserve"> </w:t>
      </w:r>
      <w:r w:rsidR="00796E33">
        <w:t xml:space="preserve">illustrates the consistent rise in consumer reports on social media scams to </w:t>
      </w:r>
      <w:proofErr w:type="spellStart"/>
      <w:r w:rsidR="00796E33">
        <w:t>Scamwatch</w:t>
      </w:r>
      <w:proofErr w:type="spellEnd"/>
      <w:r w:rsidR="00796E33">
        <w:t xml:space="preserve">, leading to $93.5 million in losses reported in 2023. </w:t>
      </w:r>
    </w:p>
    <w:p w14:paraId="0409AA88" w14:textId="6818B67D" w:rsidR="00566472" w:rsidRPr="005C1949" w:rsidRDefault="00566472" w:rsidP="005C1949">
      <w:pPr>
        <w:pStyle w:val="Heading8"/>
        <w:rPr>
          <w:bCs/>
        </w:rPr>
      </w:pPr>
      <w:bookmarkStart w:id="14" w:name="_Ref177978841"/>
      <w:r w:rsidRPr="00BE17D1">
        <w:rPr>
          <w:rFonts w:ascii="Calibri" w:hAnsi="Calibri" w:cs="Calibri"/>
        </w:rPr>
        <w:t xml:space="preserve">Chart </w:t>
      </w:r>
      <w:r w:rsidRPr="00BE17D1">
        <w:rPr>
          <w:rFonts w:ascii="Calibri" w:hAnsi="Calibri" w:cs="Calibri"/>
        </w:rPr>
        <w:fldChar w:fldCharType="begin"/>
      </w:r>
      <w:r w:rsidRPr="00BE17D1">
        <w:rPr>
          <w:rFonts w:ascii="Calibri" w:hAnsi="Calibri" w:cs="Calibri"/>
        </w:rPr>
        <w:instrText xml:space="preserve"> SEQ Chart \* ARABIC </w:instrText>
      </w:r>
      <w:r w:rsidRPr="00BE17D1">
        <w:rPr>
          <w:rFonts w:ascii="Calibri" w:hAnsi="Calibri" w:cs="Calibri"/>
        </w:rPr>
        <w:fldChar w:fldCharType="separate"/>
      </w:r>
      <w:r w:rsidRPr="00BE17D1">
        <w:rPr>
          <w:rFonts w:ascii="Calibri" w:hAnsi="Calibri" w:cs="Calibri"/>
          <w:noProof/>
        </w:rPr>
        <w:t>4</w:t>
      </w:r>
      <w:r w:rsidRPr="00BE17D1">
        <w:rPr>
          <w:rFonts w:ascii="Calibri" w:hAnsi="Calibri" w:cs="Calibri"/>
        </w:rPr>
        <w:fldChar w:fldCharType="end"/>
      </w:r>
      <w:bookmarkEnd w:id="14"/>
      <w:r w:rsidR="005C1949" w:rsidRPr="00BE17D1">
        <w:rPr>
          <w:rFonts w:ascii="Calibri" w:hAnsi="Calibri" w:cs="Calibri"/>
        </w:rPr>
        <w:t xml:space="preserve"> </w:t>
      </w:r>
      <w:r w:rsidR="00B009A1">
        <w:rPr>
          <w:rFonts w:ascii="Calibri" w:hAnsi="Calibri" w:cs="Calibri"/>
        </w:rPr>
        <w:t>–</w:t>
      </w:r>
      <w:r w:rsidR="005C1949" w:rsidRPr="00BE17D1">
        <w:rPr>
          <w:rFonts w:ascii="Calibri" w:hAnsi="Calibri" w:cs="Calibri"/>
        </w:rPr>
        <w:t xml:space="preserve"> </w:t>
      </w:r>
      <w:r w:rsidR="005C1949" w:rsidRPr="00BE17D1">
        <w:rPr>
          <w:rFonts w:ascii="Calibri" w:eastAsia="Times New Roman" w:hAnsi="Calibri" w:cs="Calibri"/>
          <w:bCs/>
        </w:rPr>
        <w:t>Social media and online forum</w:t>
      </w:r>
      <w:r w:rsidR="00E32BDF" w:rsidRPr="00E32BDF">
        <w:rPr>
          <w:rFonts w:ascii="Calibri" w:hAnsi="Calibri" w:cs="Calibri"/>
          <w:bCs/>
        </w:rPr>
        <w:t xml:space="preserve"> </w:t>
      </w:r>
      <w:r w:rsidR="00E32BDF">
        <w:rPr>
          <w:rFonts w:ascii="Calibri" w:hAnsi="Calibri" w:cs="Calibri"/>
          <w:bCs/>
        </w:rPr>
        <w:t xml:space="preserve">scams reported to </w:t>
      </w:r>
      <w:proofErr w:type="spellStart"/>
      <w:r w:rsidR="00E32BDF" w:rsidRPr="00817EF1">
        <w:rPr>
          <w:rFonts w:ascii="Calibri" w:hAnsi="Calibri" w:cs="Calibri"/>
        </w:rPr>
        <w:t>Scamwatch</w:t>
      </w:r>
      <w:proofErr w:type="spellEnd"/>
      <w:r w:rsidR="00505893" w:rsidRPr="00023273">
        <w:rPr>
          <w:rStyle w:val="FootnoteReference"/>
          <w:rFonts w:ascii="Calibri Light" w:eastAsia="Times New Roman" w:hAnsi="Calibri Light"/>
          <w:bCs/>
          <w:vertAlign w:val="superscript"/>
        </w:rPr>
        <w:footnoteReference w:id="18"/>
      </w:r>
      <w:r w:rsidR="00505893">
        <w:rPr>
          <w:rFonts w:ascii="Calibri Light" w:eastAsia="Times New Roman" w:hAnsi="Calibri Light"/>
          <w:bCs/>
        </w:rPr>
        <w:t xml:space="preserve"> </w:t>
      </w:r>
    </w:p>
    <w:p w14:paraId="01DFC4E7" w14:textId="65C18155" w:rsidR="00566472" w:rsidRDefault="00F77455" w:rsidP="00BE17D1">
      <w:pPr>
        <w:jc w:val="center"/>
      </w:pPr>
      <w:r>
        <w:rPr>
          <w:noProof/>
        </w:rPr>
        <w:drawing>
          <wp:inline distT="0" distB="0" distL="0" distR="0" wp14:anchorId="44555A17" wp14:editId="4B8B8480">
            <wp:extent cx="4572000" cy="2354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2354580"/>
                    </a:xfrm>
                    <a:prstGeom prst="rect">
                      <a:avLst/>
                    </a:prstGeom>
                    <a:noFill/>
                  </pic:spPr>
                </pic:pic>
              </a:graphicData>
            </a:graphic>
          </wp:inline>
        </w:drawing>
      </w:r>
    </w:p>
    <w:p w14:paraId="14A91588" w14:textId="666C2CB4" w:rsidR="006D26C9" w:rsidRDefault="004F1760" w:rsidP="006D26C9">
      <w:pPr>
        <w:pStyle w:val="Heading4"/>
      </w:pPr>
      <w:r>
        <w:t>1.</w:t>
      </w:r>
      <w:r w:rsidR="00130440">
        <w:t>2.2</w:t>
      </w:r>
      <w:r>
        <w:t xml:space="preserve"> </w:t>
      </w:r>
      <w:r w:rsidR="006D26C9">
        <w:t xml:space="preserve">Awareness and response lags evolution in scam tactics </w:t>
      </w:r>
    </w:p>
    <w:p w14:paraId="35ABC698" w14:textId="5217E991" w:rsidR="006D26C9" w:rsidRDefault="001873F2" w:rsidP="006D26C9">
      <w:pPr>
        <w:pStyle w:val="AlphaParagraph"/>
        <w:numPr>
          <w:ilvl w:val="1"/>
          <w:numId w:val="0"/>
        </w:numPr>
      </w:pPr>
      <w:r>
        <w:t>I</w:t>
      </w:r>
      <w:r w:rsidRPr="00817C02">
        <w:t>t can be very hard to spot a scam.</w:t>
      </w:r>
      <w:r>
        <w:t xml:space="preserve"> </w:t>
      </w:r>
      <w:r w:rsidR="006D26C9">
        <w:t>S</w:t>
      </w:r>
      <w:r w:rsidR="006D26C9" w:rsidRPr="008D0ACF">
        <w:t xml:space="preserve">cammers </w:t>
      </w:r>
      <w:r w:rsidR="006D26C9">
        <w:t xml:space="preserve">are </w:t>
      </w:r>
      <w:r w:rsidR="006D26C9" w:rsidRPr="008D0ACF">
        <w:t xml:space="preserve">sophisticated </w:t>
      </w:r>
      <w:r w:rsidR="006D26C9">
        <w:t>and may interact with a target over multiple communication</w:t>
      </w:r>
      <w:r w:rsidR="00182187">
        <w:t xml:space="preserve"> platforms</w:t>
      </w:r>
      <w:r w:rsidR="006D26C9">
        <w:t xml:space="preserve"> to build a false connection. Scammers rapidly adapt their approach </w:t>
      </w:r>
      <w:r w:rsidR="006D26C9">
        <w:lastRenderedPageBreak/>
        <w:t xml:space="preserve">to take </w:t>
      </w:r>
      <w:r w:rsidR="006D26C9" w:rsidRPr="00817C02">
        <w:t xml:space="preserve">advantage of modern technology, products, services, and major events to convince everyday Australians that </w:t>
      </w:r>
      <w:r w:rsidR="006D26C9">
        <w:t>a</w:t>
      </w:r>
      <w:r w:rsidR="006D26C9" w:rsidRPr="00817C02">
        <w:t xml:space="preserve"> scam</w:t>
      </w:r>
      <w:r w:rsidR="006D26C9">
        <w:t xml:space="preserve"> is a legitimate offer. </w:t>
      </w:r>
    </w:p>
    <w:p w14:paraId="13E1614F" w14:textId="77777777" w:rsidR="00BE1097" w:rsidRPr="00954EBC" w:rsidRDefault="00BE1097" w:rsidP="00BE1097">
      <w:r w:rsidRPr="00954EBC">
        <w:t xml:space="preserve">Scammers also </w:t>
      </w:r>
      <w:r>
        <w:t xml:space="preserve">take advantage of the immediacy of online transactions by </w:t>
      </w:r>
      <w:r w:rsidRPr="00954EBC">
        <w:t>us</w:t>
      </w:r>
      <w:r>
        <w:t>ing</w:t>
      </w:r>
      <w:r w:rsidRPr="00954EBC">
        <w:t xml:space="preserve"> urgency and psychological pressure to motivate targets to act without further consideration or investigation. Scammers’ demands for real-time financial transfers or the use of difficult to trace forms of payment (such as gift cards and crypto</w:t>
      </w:r>
      <w:r>
        <w:t xml:space="preserve"> </w:t>
      </w:r>
      <w:r w:rsidRPr="00954EBC">
        <w:t xml:space="preserve">assets) reduce the opportunity for those targeted to stop payments or seek recovery of financial losses. </w:t>
      </w:r>
    </w:p>
    <w:p w14:paraId="19EE73F0" w14:textId="56CB7E67" w:rsidR="006D26C9" w:rsidRDefault="001873F2" w:rsidP="006D26C9">
      <w:pPr>
        <w:pStyle w:val="AlphaParagraph"/>
        <w:numPr>
          <w:ilvl w:val="1"/>
          <w:numId w:val="0"/>
        </w:numPr>
      </w:pPr>
      <w:r>
        <w:t>C</w:t>
      </w:r>
      <w:r w:rsidR="006D26C9">
        <w:t xml:space="preserve">onsumers </w:t>
      </w:r>
      <w:r w:rsidR="00B97A5D">
        <w:t>play a</w:t>
      </w:r>
      <w:r w:rsidR="0076570D">
        <w:t>n important</w:t>
      </w:r>
      <w:r w:rsidR="00B97A5D">
        <w:t xml:space="preserve"> role in detecting and preventing scams, but</w:t>
      </w:r>
      <w:r w:rsidR="0076570D">
        <w:t xml:space="preserve"> can also be affected in ways that diminish their </w:t>
      </w:r>
      <w:r w:rsidR="0098407C">
        <w:t>ability</w:t>
      </w:r>
      <w:r w:rsidR="0076570D">
        <w:t xml:space="preserve"> to disclose</w:t>
      </w:r>
      <w:r w:rsidR="0098407C">
        <w:t xml:space="preserve">, </w:t>
      </w:r>
      <w:r w:rsidR="0076570D">
        <w:t>report</w:t>
      </w:r>
      <w:r w:rsidR="0098407C">
        <w:t xml:space="preserve"> </w:t>
      </w:r>
      <w:r w:rsidR="0076570D">
        <w:t xml:space="preserve">and </w:t>
      </w:r>
      <w:r w:rsidR="0098407C">
        <w:t>seek help</w:t>
      </w:r>
      <w:r w:rsidR="0076570D">
        <w:t xml:space="preserve"> when they have been scammed</w:t>
      </w:r>
      <w:r w:rsidR="006D26C9" w:rsidRPr="00B47349">
        <w:t xml:space="preserve">. </w:t>
      </w:r>
      <w:r w:rsidR="006D26C9">
        <w:t xml:space="preserve">Shame and social stigma associated with falling victim to a scam is a disincentive for reporting and can prevent discussion of experiences to help consumers understand that anyone can get scammed. </w:t>
      </w:r>
      <w:r w:rsidR="00937E14">
        <w:t xml:space="preserve">Although communication and education activities are important </w:t>
      </w:r>
      <w:r w:rsidR="00C804F2">
        <w:t xml:space="preserve">prevention </w:t>
      </w:r>
      <w:r w:rsidR="00937E14">
        <w:t xml:space="preserve">activities, these alone are not likely to be impactful as scammers continue to </w:t>
      </w:r>
      <w:r w:rsidR="00C804F2">
        <w:t xml:space="preserve">change strategies and </w:t>
      </w:r>
      <w:r w:rsidR="00F971DF">
        <w:t xml:space="preserve">adapt to new </w:t>
      </w:r>
      <w:r w:rsidR="00C804F2">
        <w:t xml:space="preserve">technologies and trends. </w:t>
      </w:r>
    </w:p>
    <w:p w14:paraId="69533B47" w14:textId="6E7A780C" w:rsidR="00811138" w:rsidRDefault="00811138" w:rsidP="00874346">
      <w:pPr>
        <w:pStyle w:val="Heading3"/>
      </w:pPr>
      <w:bookmarkStart w:id="15" w:name="_Toc179556394"/>
      <w:r>
        <w:t xml:space="preserve">1.3 </w:t>
      </w:r>
      <w:r w:rsidR="00497356">
        <w:t>Industry responses</w:t>
      </w:r>
      <w:r>
        <w:t xml:space="preserve"> </w:t>
      </w:r>
      <w:r w:rsidR="00497356">
        <w:t>to</w:t>
      </w:r>
      <w:r>
        <w:t xml:space="preserve"> scams</w:t>
      </w:r>
      <w:r w:rsidR="00497356">
        <w:t xml:space="preserve"> activity</w:t>
      </w:r>
      <w:bookmarkEnd w:id="15"/>
    </w:p>
    <w:p w14:paraId="280A0B1A" w14:textId="6BB87989" w:rsidR="00E648DA" w:rsidRDefault="004F1760" w:rsidP="00185C73">
      <w:pPr>
        <w:pStyle w:val="Heading4"/>
      </w:pPr>
      <w:r>
        <w:t>1.</w:t>
      </w:r>
      <w:r w:rsidR="003F64EC">
        <w:t>3.1</w:t>
      </w:r>
      <w:r>
        <w:t xml:space="preserve"> </w:t>
      </w:r>
      <w:r w:rsidR="00E648DA">
        <w:t xml:space="preserve">Lack of clear responsibility and accountability for mitigating </w:t>
      </w:r>
      <w:r w:rsidR="00C01D1B">
        <w:t xml:space="preserve">scam </w:t>
      </w:r>
      <w:r w:rsidR="00E648DA">
        <w:t xml:space="preserve">harms </w:t>
      </w:r>
    </w:p>
    <w:p w14:paraId="76DCFDFD" w14:textId="5F8EF513" w:rsidR="00E648DA" w:rsidRDefault="00E648DA" w:rsidP="00E648DA">
      <w:pPr>
        <w:pStyle w:val="AlphaParagraph"/>
        <w:numPr>
          <w:ilvl w:val="1"/>
          <w:numId w:val="0"/>
        </w:numPr>
      </w:pPr>
      <w:r>
        <w:t>A successful scam will often involve illegitimate activity across multiple sectors to engage the consumers.</w:t>
      </w:r>
      <w:r w:rsidR="008A3F29">
        <w:t xml:space="preserve"> </w:t>
      </w:r>
      <w:r w:rsidR="003761EE">
        <w:t xml:space="preserve">The sectors scammers most used as a conduit for consumer harm </w:t>
      </w:r>
      <w:r w:rsidR="00677450">
        <w:t>are</w:t>
      </w:r>
      <w:r w:rsidR="003761EE">
        <w:t xml:space="preserve"> banks, telecommunications providers and digital platform service providers. </w:t>
      </w:r>
      <w:r>
        <w:t xml:space="preserve">For example, a scam may be initiated via a fraudulent advert on a social media platform, which leads to engagement via </w:t>
      </w:r>
      <w:r w:rsidR="00CC0AA8">
        <w:t>phone</w:t>
      </w:r>
      <w:r>
        <w:t xml:space="preserve"> before payment being made by the victim via </w:t>
      </w:r>
      <w:r w:rsidR="00CC0AA8">
        <w:t>a bank transfer.</w:t>
      </w:r>
    </w:p>
    <w:p w14:paraId="12B6C9CD" w14:textId="484F1956" w:rsidR="00865198" w:rsidRDefault="00865198" w:rsidP="00865198">
      <w:r>
        <w:t>Businesses and industry associations in these sectors have recognise</w:t>
      </w:r>
      <w:r w:rsidR="00A63D50">
        <w:t>d</w:t>
      </w:r>
      <w:r>
        <w:t xml:space="preserve"> the growing prevalence of scams and have independently begun to take steps to mitigate the impact and harm scams have on Australians. However, businesses </w:t>
      </w:r>
      <w:r w:rsidR="00346E1E">
        <w:t>that</w:t>
      </w:r>
      <w:r>
        <w:t xml:space="preserve"> are co-opted by scammers currently have differing approaches in how they respond to reports of potential scam material. In some cases, businesses are perceived to prioritise direct commercial or economic outcomes for their business over investigating the potential harm, disruption, victimisation, and financial losses to </w:t>
      </w:r>
      <w:r w:rsidR="00CC0AA8">
        <w:t>their consumers</w:t>
      </w:r>
      <w:r>
        <w:t>. Poor or sluggish responses to potential scam reports perpetuate</w:t>
      </w:r>
      <w:r w:rsidR="00C17F38">
        <w:t>s</w:t>
      </w:r>
      <w:r>
        <w:t xml:space="preserve"> the exposure and likelihood of success of a scam. </w:t>
      </w:r>
    </w:p>
    <w:p w14:paraId="321FF4E2" w14:textId="274B2BD4" w:rsidR="00FC5519" w:rsidRDefault="00FC5519" w:rsidP="00FC5519">
      <w:r>
        <w:t xml:space="preserve">A successful scam often involves illegitimate activity across multiple sectors in the scams ecosystem, leading to an array of challenges for consumers, </w:t>
      </w:r>
      <w:r w:rsidR="006F0AD1">
        <w:rPr>
          <w:szCs w:val="22"/>
        </w:rPr>
        <w:t>industry</w:t>
      </w:r>
      <w:r w:rsidR="006F0AD1" w:rsidRPr="00BA7242">
        <w:rPr>
          <w:szCs w:val="22"/>
        </w:rPr>
        <w:t xml:space="preserve"> </w:t>
      </w:r>
      <w:r>
        <w:t>and government such as:</w:t>
      </w:r>
    </w:p>
    <w:p w14:paraId="0F025C3E" w14:textId="77777777" w:rsidR="00FC5519" w:rsidRPr="00084202" w:rsidRDefault="00FC5519" w:rsidP="00183D93">
      <w:pPr>
        <w:pStyle w:val="Bullet"/>
        <w:numPr>
          <w:ilvl w:val="0"/>
          <w:numId w:val="22"/>
        </w:numPr>
      </w:pPr>
      <w:r w:rsidRPr="00084202">
        <w:t xml:space="preserve">which sector the consumer contacts to report the scam and seek support or redress, </w:t>
      </w:r>
    </w:p>
    <w:p w14:paraId="68997DB4" w14:textId="09DD27FB" w:rsidR="00FC5519" w:rsidRPr="00084202" w:rsidRDefault="00FC5519" w:rsidP="00183D93">
      <w:pPr>
        <w:pStyle w:val="Bullet"/>
        <w:numPr>
          <w:ilvl w:val="0"/>
          <w:numId w:val="22"/>
        </w:numPr>
      </w:pPr>
      <w:r w:rsidRPr="00084202">
        <w:t xml:space="preserve">how to share relevant information between </w:t>
      </w:r>
      <w:r w:rsidR="006F0AD1">
        <w:rPr>
          <w:szCs w:val="22"/>
        </w:rPr>
        <w:t>industry</w:t>
      </w:r>
      <w:r w:rsidRPr="00084202">
        <w:t>, law enforcement agencies and regulators to investigate scam reports and improve disruption of scams by sharing intelligence of evolving scam patterns,</w:t>
      </w:r>
    </w:p>
    <w:p w14:paraId="637851A8" w14:textId="77777777" w:rsidR="00FC5519" w:rsidRPr="00084202" w:rsidRDefault="00FC5519" w:rsidP="00183D93">
      <w:pPr>
        <w:pStyle w:val="Bullet"/>
        <w:numPr>
          <w:ilvl w:val="0"/>
          <w:numId w:val="22"/>
        </w:numPr>
      </w:pPr>
      <w:r w:rsidRPr="00084202">
        <w:t xml:space="preserve">how to determine the specific actions or failures by sectors in the scams ecosystem which contributed to the compromise of consumer protection, </w:t>
      </w:r>
    </w:p>
    <w:p w14:paraId="19E1901F" w14:textId="77777777" w:rsidR="00FC5519" w:rsidRPr="00084202" w:rsidRDefault="00FC5519" w:rsidP="00183D93">
      <w:pPr>
        <w:pStyle w:val="Bullet"/>
        <w:numPr>
          <w:ilvl w:val="0"/>
          <w:numId w:val="22"/>
        </w:numPr>
      </w:pPr>
      <w:r w:rsidRPr="00084202">
        <w:t xml:space="preserve">what regulatory avenues can be used to pursue illegitimate scam activity, and </w:t>
      </w:r>
    </w:p>
    <w:p w14:paraId="7D62B2ED" w14:textId="390657B2" w:rsidR="00FC5519" w:rsidRPr="00084202" w:rsidRDefault="00FC5519" w:rsidP="00183D93">
      <w:pPr>
        <w:pStyle w:val="Bullet"/>
        <w:numPr>
          <w:ilvl w:val="0"/>
          <w:numId w:val="22"/>
        </w:numPr>
      </w:pPr>
      <w:proofErr w:type="gramStart"/>
      <w:r w:rsidRPr="00084202">
        <w:t>how</w:t>
      </w:r>
      <w:proofErr w:type="gramEnd"/>
      <w:r w:rsidRPr="00084202">
        <w:t xml:space="preserve"> to determine the appropriate and proportional accountability and responsibility for failures</w:t>
      </w:r>
      <w:r>
        <w:t xml:space="preserve"> in consumer protections</w:t>
      </w:r>
      <w:r w:rsidRPr="00084202">
        <w:t xml:space="preserve">, and </w:t>
      </w:r>
      <w:r w:rsidR="00C53DC0">
        <w:t>related</w:t>
      </w:r>
      <w:r w:rsidR="00C53DC0" w:rsidRPr="00084202">
        <w:t xml:space="preserve"> </w:t>
      </w:r>
      <w:r w:rsidRPr="00084202">
        <w:t xml:space="preserve">liability for losses and appropriate penalties. </w:t>
      </w:r>
    </w:p>
    <w:p w14:paraId="371FDCCF" w14:textId="5C480DAB" w:rsidR="008170EC" w:rsidRDefault="002D3996" w:rsidP="008170EC">
      <w:r>
        <w:t>T</w:t>
      </w:r>
      <w:r w:rsidR="00E648DA">
        <w:t xml:space="preserve">he involvement </w:t>
      </w:r>
      <w:r w:rsidR="0025716F">
        <w:t xml:space="preserve">of </w:t>
      </w:r>
      <w:r w:rsidR="00E648DA">
        <w:t xml:space="preserve">many sectors means there are inconsistent views across the scam ecosystem regarding the responsibility and accountability of each sector to mitigate harms and </w:t>
      </w:r>
      <w:r w:rsidR="00F1188C">
        <w:t xml:space="preserve">to </w:t>
      </w:r>
      <w:r w:rsidR="00E648DA">
        <w:t>provide support or pathways for redress to consumers. Sectors</w:t>
      </w:r>
      <w:r w:rsidR="00FA04D9">
        <w:t>,</w:t>
      </w:r>
      <w:r w:rsidR="00E648DA">
        <w:t xml:space="preserve"> </w:t>
      </w:r>
      <w:r w:rsidR="00FA04D9">
        <w:t>which</w:t>
      </w:r>
      <w:r w:rsidR="00E648DA">
        <w:t xml:space="preserve"> </w:t>
      </w:r>
      <w:r w:rsidR="00FC3B8D">
        <w:t xml:space="preserve">are </w:t>
      </w:r>
      <w:r w:rsidR="00FA04D9">
        <w:t xml:space="preserve">by their nature at differing points in </w:t>
      </w:r>
      <w:proofErr w:type="gramStart"/>
      <w:r w:rsidR="00E16967">
        <w:t>consumers</w:t>
      </w:r>
      <w:proofErr w:type="gramEnd"/>
      <w:r w:rsidR="00E16967">
        <w:t xml:space="preserve"> experience of a scam</w:t>
      </w:r>
      <w:r w:rsidR="00FA04D9">
        <w:t xml:space="preserve">, </w:t>
      </w:r>
      <w:r w:rsidR="004F385F">
        <w:t>face</w:t>
      </w:r>
      <w:r w:rsidR="00E648DA">
        <w:t xml:space="preserve"> differing reputational detriment and incentives to disrupt scam activity</w:t>
      </w:r>
      <w:r w:rsidR="009207B4">
        <w:t xml:space="preserve"> or to</w:t>
      </w:r>
      <w:r w:rsidR="00FC3B8D">
        <w:t xml:space="preserve"> </w:t>
      </w:r>
      <w:r w:rsidR="00E648DA">
        <w:t xml:space="preserve">help consumers to verify the legitimacy and identity of digital commerce and communication. </w:t>
      </w:r>
    </w:p>
    <w:p w14:paraId="617787FB" w14:textId="161E974A" w:rsidR="0055390B" w:rsidRPr="008170EC" w:rsidRDefault="00F414EA" w:rsidP="008170EC">
      <w:r>
        <w:lastRenderedPageBreak/>
        <w:t xml:space="preserve">The regulatory landscape needs to evolve to better protect consumers from scams in an environment where multiple sectors play a role. </w:t>
      </w:r>
      <w:r w:rsidR="009D76AF">
        <w:t>C</w:t>
      </w:r>
      <w:r>
        <w:t>onsumers can experience frustration in seeking action, investigation, or support from entities at different stages of the scam life cycle. These issues are compounding as scams increase in complexity and sophistication over time. Clear and effective regulation is needed to balance the competing interests of establishing co-ordinated responses and consumer protections for scams whil</w:t>
      </w:r>
      <w:r w:rsidR="00856AA5">
        <w:t>e</w:t>
      </w:r>
      <w:r>
        <w:t xml:space="preserve"> not limiting </w:t>
      </w:r>
      <w:r>
        <w:rPr>
          <w:szCs w:val="22"/>
        </w:rPr>
        <w:t xml:space="preserve">industry </w:t>
      </w:r>
      <w:r>
        <w:t xml:space="preserve">competition or innovation. </w:t>
      </w:r>
    </w:p>
    <w:p w14:paraId="1B977EDD" w14:textId="2341748F" w:rsidR="003F64EC" w:rsidRDefault="003F64EC" w:rsidP="00874346">
      <w:pPr>
        <w:pStyle w:val="Heading4"/>
      </w:pPr>
      <w:r>
        <w:t>1.3.</w:t>
      </w:r>
      <w:r w:rsidR="00FB2CAF">
        <w:t>2</w:t>
      </w:r>
      <w:r>
        <w:t xml:space="preserve"> </w:t>
      </w:r>
      <w:r w:rsidR="00346FC6">
        <w:t>Inconsistent dispute resolution processes for scams</w:t>
      </w:r>
      <w:r>
        <w:t xml:space="preserve"> </w:t>
      </w:r>
    </w:p>
    <w:p w14:paraId="4B3E016B" w14:textId="10CB9A9B" w:rsidR="006F4285" w:rsidRDefault="00D62F49" w:rsidP="006F4285">
      <w:r>
        <w:t>D</w:t>
      </w:r>
      <w:r w:rsidR="00C46980">
        <w:t xml:space="preserve">ispute resolution arrangements vary in the banking, </w:t>
      </w:r>
      <w:r w:rsidR="006A0D99">
        <w:t>telecommunications,</w:t>
      </w:r>
      <w:r w:rsidR="00C46980">
        <w:t xml:space="preserve"> and digital platforms sectors</w:t>
      </w:r>
      <w:r w:rsidR="001F1C5B">
        <w:t>, resulti</w:t>
      </w:r>
      <w:r w:rsidR="004F3327">
        <w:t>ng in inconsistent outcomes for scam victims</w:t>
      </w:r>
      <w:r w:rsidR="009C6D32">
        <w:t xml:space="preserve"> seeking redress</w:t>
      </w:r>
      <w:r w:rsidR="00654E20">
        <w:t xml:space="preserve">. </w:t>
      </w:r>
      <w:r w:rsidR="00C01ED4">
        <w:t xml:space="preserve">Industry-specific </w:t>
      </w:r>
      <w:r w:rsidR="00F3384D">
        <w:t>internal dispute resolution (</w:t>
      </w:r>
      <w:r w:rsidR="00C01ED4">
        <w:t>IDR</w:t>
      </w:r>
      <w:r w:rsidR="00F3384D">
        <w:t>)</w:t>
      </w:r>
      <w:r w:rsidR="00C01ED4">
        <w:t xml:space="preserve"> and </w:t>
      </w:r>
      <w:r w:rsidR="00F3384D">
        <w:t>external dispute resolution (</w:t>
      </w:r>
      <w:r w:rsidR="00C01ED4">
        <w:t>EDR</w:t>
      </w:r>
      <w:r w:rsidR="00F3384D">
        <w:t>)</w:t>
      </w:r>
      <w:r w:rsidR="00C01ED4">
        <w:t xml:space="preserve"> arrangements are currently </w:t>
      </w:r>
      <w:r w:rsidR="00D60B8A">
        <w:t>required</w:t>
      </w:r>
      <w:r w:rsidR="00E84087">
        <w:t xml:space="preserve"> </w:t>
      </w:r>
      <w:r w:rsidR="00645616">
        <w:t xml:space="preserve">to be in place for </w:t>
      </w:r>
      <w:r w:rsidR="00C01ED4">
        <w:t xml:space="preserve">banks and telecommunications providers. </w:t>
      </w:r>
      <w:r w:rsidR="000D43E3">
        <w:t xml:space="preserve"> </w:t>
      </w:r>
      <w:r w:rsidR="00DE07AC">
        <w:t>T</w:t>
      </w:r>
      <w:r w:rsidR="000D43E3">
        <w:t>he Australian Financial Complaints Authority (AFCA) is the EDR body for complaints against banks</w:t>
      </w:r>
      <w:r w:rsidR="00DE07AC">
        <w:t xml:space="preserve"> and</w:t>
      </w:r>
      <w:r w:rsidR="000D43E3">
        <w:t xml:space="preserve"> the Telecommunications Industry Ombudsman (TIO) for telecommunication</w:t>
      </w:r>
      <w:r w:rsidR="00AA24A3">
        <w:t>s</w:t>
      </w:r>
      <w:r w:rsidR="000D43E3">
        <w:t xml:space="preserve">-related complaints. </w:t>
      </w:r>
      <w:r w:rsidR="00DE07AC">
        <w:t xml:space="preserve">There are no existing industry-specific IDR </w:t>
      </w:r>
      <w:r w:rsidR="00AA24A3">
        <w:t xml:space="preserve">or </w:t>
      </w:r>
      <w:r w:rsidR="00DE07AC">
        <w:t xml:space="preserve">EDR arrangements </w:t>
      </w:r>
      <w:r w:rsidR="00F655C0">
        <w:t xml:space="preserve">operating </w:t>
      </w:r>
      <w:r w:rsidR="00DE07AC">
        <w:t xml:space="preserve">for digital platforms. </w:t>
      </w:r>
      <w:r w:rsidR="00C01ED4">
        <w:t>As a result</w:t>
      </w:r>
      <w:r w:rsidR="00301400">
        <w:t xml:space="preserve"> of </w:t>
      </w:r>
      <w:r w:rsidR="00D166FA">
        <w:t>these varying</w:t>
      </w:r>
      <w:r w:rsidR="00301400">
        <w:t xml:space="preserve"> arrangements across the ecosystem</w:t>
      </w:r>
      <w:r w:rsidR="00C01ED4">
        <w:t>, t</w:t>
      </w:r>
      <w:r w:rsidR="00D45D4B">
        <w:t xml:space="preserve">here is often confusion for consumers in how to report scams, or seek support and redress. </w:t>
      </w:r>
      <w:r w:rsidR="006F4285">
        <w:t>Industry-specific EDR arrangements mean</w:t>
      </w:r>
      <w:r w:rsidR="006F4285" w:rsidDel="003F350F">
        <w:t xml:space="preserve"> </w:t>
      </w:r>
      <w:r w:rsidR="006F4285">
        <w:t>scam victims may</w:t>
      </w:r>
      <w:r w:rsidR="006F4285" w:rsidDel="00FF6837">
        <w:t xml:space="preserve"> </w:t>
      </w:r>
      <w:r w:rsidR="006F4285">
        <w:t xml:space="preserve">find themselves </w:t>
      </w:r>
      <w:r w:rsidR="006F4285" w:rsidRPr="00612D07">
        <w:t xml:space="preserve">lodging complaints with multiple EDR schemes and be </w:t>
      </w:r>
      <w:r w:rsidR="006F4285">
        <w:t xml:space="preserve">bounced between different EDR schemes </w:t>
      </w:r>
      <w:proofErr w:type="gramStart"/>
      <w:r w:rsidR="006F4285">
        <w:t>This</w:t>
      </w:r>
      <w:proofErr w:type="gramEnd"/>
      <w:r w:rsidR="006F4285">
        <w:t xml:space="preserve"> results in additional time and psychological burden wh</w:t>
      </w:r>
      <w:r w:rsidR="00B22FCE">
        <w:t>e</w:t>
      </w:r>
      <w:r w:rsidR="00544AE7">
        <w:t>n</w:t>
      </w:r>
      <w:r w:rsidR="006F4285">
        <w:t xml:space="preserve"> dealing with the financial and emotional harm of scams. </w:t>
      </w:r>
    </w:p>
    <w:p w14:paraId="07942BC9" w14:textId="46321237" w:rsidR="00301400" w:rsidRDefault="008261DE" w:rsidP="007E6D04">
      <w:r>
        <w:t xml:space="preserve">Further, </w:t>
      </w:r>
      <w:r w:rsidR="00E54F9D">
        <w:t>industry</w:t>
      </w:r>
      <w:r w:rsidR="007627EF">
        <w:t xml:space="preserve"> </w:t>
      </w:r>
      <w:r w:rsidR="00E54F9D">
        <w:t>specific EDR arrangements mean</w:t>
      </w:r>
      <w:r>
        <w:t xml:space="preserve"> there is no holistic consideration of the role multiple entities in different sectors play in a scam complaint. </w:t>
      </w:r>
      <w:r w:rsidR="003A2666">
        <w:t>The realisation by a consumer they have been scammed often occurs after payment has been made</w:t>
      </w:r>
      <w:r w:rsidR="000E6B3C">
        <w:t xml:space="preserve">, </w:t>
      </w:r>
      <w:r w:rsidR="00D45D4B">
        <w:t>meaning</w:t>
      </w:r>
      <w:r w:rsidR="003A2666">
        <w:t xml:space="preserve"> </w:t>
      </w:r>
      <w:r w:rsidR="00D45D4B">
        <w:t>p</w:t>
      </w:r>
      <w:r w:rsidR="003A2666">
        <w:t xml:space="preserve">ayment providers such as banks are frequently the point of the ecosystem where consumers report a scam and seek assistance to recover the financial loss. </w:t>
      </w:r>
      <w:r w:rsidR="00E54F9D">
        <w:t xml:space="preserve">Where there is a dispute between a bank and </w:t>
      </w:r>
      <w:r w:rsidR="00FD134C">
        <w:t xml:space="preserve">a </w:t>
      </w:r>
      <w:r w:rsidR="00E54F9D">
        <w:t xml:space="preserve">consumer, </w:t>
      </w:r>
      <w:r w:rsidR="00533219">
        <w:t xml:space="preserve">and </w:t>
      </w:r>
      <w:r w:rsidR="00F45CD4">
        <w:t>a satisfactory outcome could not be reached through IDR,</w:t>
      </w:r>
      <w:r w:rsidR="00E54F9D">
        <w:t xml:space="preserve"> the consumer may escalate a complaint to AFCA. However, AFCA is only </w:t>
      </w:r>
      <w:r w:rsidR="007627EF">
        <w:t>able consider the conduct of the bank</w:t>
      </w:r>
      <w:r w:rsidR="00946B6B">
        <w:t xml:space="preserve"> involved</w:t>
      </w:r>
      <w:r w:rsidR="007627EF">
        <w:t xml:space="preserve">, and </w:t>
      </w:r>
      <w:proofErr w:type="spellStart"/>
      <w:r w:rsidR="007627EF">
        <w:t>not</w:t>
      </w:r>
      <w:proofErr w:type="spellEnd"/>
      <w:r w:rsidR="007627EF">
        <w:t xml:space="preserve"> </w:t>
      </w:r>
      <w:r w:rsidR="00FD134C">
        <w:t xml:space="preserve">other </w:t>
      </w:r>
      <w:r w:rsidR="006F0AD1">
        <w:rPr>
          <w:szCs w:val="22"/>
        </w:rPr>
        <w:t xml:space="preserve">industry sectors </w:t>
      </w:r>
      <w:r w:rsidR="001C77D9">
        <w:rPr>
          <w:szCs w:val="22"/>
        </w:rPr>
        <w:t xml:space="preserve">which may have been involved </w:t>
      </w:r>
      <w:r w:rsidR="00FD134C">
        <w:t xml:space="preserve">in the </w:t>
      </w:r>
      <w:r w:rsidR="00E66FAA">
        <w:t xml:space="preserve">scam chain (e.g. digital platforms) </w:t>
      </w:r>
      <w:r w:rsidR="00B03EF3">
        <w:t xml:space="preserve">and could have acted to prevent the financial loss or scam. </w:t>
      </w:r>
      <w:r w:rsidR="007627EF">
        <w:t xml:space="preserve"> </w:t>
      </w:r>
    </w:p>
    <w:p w14:paraId="5BC8FF01" w14:textId="2A87325A" w:rsidR="00E75046" w:rsidRDefault="003F64EC" w:rsidP="00AE2623">
      <w:pPr>
        <w:pStyle w:val="Heading4"/>
      </w:pPr>
      <w:r>
        <w:t>1.3.</w:t>
      </w:r>
      <w:r w:rsidR="00E6402B">
        <w:t>4</w:t>
      </w:r>
      <w:r>
        <w:t xml:space="preserve"> </w:t>
      </w:r>
      <w:r w:rsidR="00E75046">
        <w:t>Piecemeal and slow industry action</w:t>
      </w:r>
    </w:p>
    <w:p w14:paraId="40A5FCE0" w14:textId="77777777" w:rsidR="003761EE" w:rsidRDefault="003761EE" w:rsidP="003761EE">
      <w:r>
        <w:t xml:space="preserve">Industry self-regulation is occurring in some sectors, but not at the pace consistent with growth in scam activity. </w:t>
      </w:r>
    </w:p>
    <w:p w14:paraId="382E466E" w14:textId="4A24475B" w:rsidR="002E0351" w:rsidRDefault="00C8385C" w:rsidP="002E0351">
      <w:r w:rsidRPr="00D158BC">
        <w:t xml:space="preserve">Some </w:t>
      </w:r>
      <w:r w:rsidR="005E0543">
        <w:t xml:space="preserve">individual </w:t>
      </w:r>
      <w:r w:rsidRPr="00D158BC">
        <w:t xml:space="preserve">businesses </w:t>
      </w:r>
      <w:r w:rsidR="005E0543">
        <w:t xml:space="preserve">or areas of </w:t>
      </w:r>
      <w:r w:rsidR="005E0543">
        <w:rPr>
          <w:szCs w:val="22"/>
        </w:rPr>
        <w:t>industry</w:t>
      </w:r>
      <w:r w:rsidRPr="00D158BC">
        <w:t xml:space="preserve"> sectors have made efforts to address scams, such as the introduction of the </w:t>
      </w:r>
      <w:bookmarkStart w:id="16" w:name="_Hlk161750418"/>
      <w:r w:rsidRPr="00394637">
        <w:t xml:space="preserve">Reducing Scam Calls and Scam </w:t>
      </w:r>
      <w:r w:rsidR="003518DA" w:rsidRPr="00394637">
        <w:t>Short Message</w:t>
      </w:r>
      <w:r w:rsidR="00127932" w:rsidRPr="00394637">
        <w:t>s</w:t>
      </w:r>
      <w:r w:rsidR="003518DA" w:rsidRPr="00394637">
        <w:t xml:space="preserve"> (</w:t>
      </w:r>
      <w:r w:rsidRPr="00394637">
        <w:t>SM</w:t>
      </w:r>
      <w:r w:rsidR="00E54DE8" w:rsidRPr="00394637">
        <w:t>s</w:t>
      </w:r>
      <w:r w:rsidR="00127932" w:rsidRPr="00394637">
        <w:t>)</w:t>
      </w:r>
      <w:r w:rsidRPr="00394637">
        <w:t xml:space="preserve"> </w:t>
      </w:r>
      <w:r w:rsidRPr="00D158BC">
        <w:t>industry</w:t>
      </w:r>
      <w:r w:rsidRPr="00394637">
        <w:t xml:space="preserve"> </w:t>
      </w:r>
      <w:r w:rsidRPr="00D158BC">
        <w:t xml:space="preserve">code </w:t>
      </w:r>
      <w:bookmarkEnd w:id="16"/>
      <w:r w:rsidRPr="00D158BC">
        <w:t>for telecommunications providers</w:t>
      </w:r>
      <w:r w:rsidR="004D14CC">
        <w:rPr>
          <w:bCs/>
        </w:rPr>
        <w:t xml:space="preserve">, </w:t>
      </w:r>
      <w:r w:rsidRPr="00D158BC">
        <w:t xml:space="preserve">the </w:t>
      </w:r>
      <w:r w:rsidR="00EA5E3F">
        <w:rPr>
          <w:bCs/>
        </w:rPr>
        <w:t>Australian Banking Association</w:t>
      </w:r>
      <w:r w:rsidR="00B9645F">
        <w:rPr>
          <w:bCs/>
        </w:rPr>
        <w:t xml:space="preserve"> </w:t>
      </w:r>
      <w:r w:rsidR="001F4E3E">
        <w:rPr>
          <w:bCs/>
        </w:rPr>
        <w:t xml:space="preserve">(ABA) </w:t>
      </w:r>
      <w:r w:rsidR="00B9645F">
        <w:rPr>
          <w:bCs/>
        </w:rPr>
        <w:t>and</w:t>
      </w:r>
      <w:r w:rsidR="00AB2D32">
        <w:rPr>
          <w:bCs/>
        </w:rPr>
        <w:t xml:space="preserve"> </w:t>
      </w:r>
      <w:r w:rsidR="00AB2D32" w:rsidRPr="00AB2D32">
        <w:rPr>
          <w:bCs/>
        </w:rPr>
        <w:t xml:space="preserve">Customer Owned Banking </w:t>
      </w:r>
      <w:r w:rsidR="00EA5E3F">
        <w:rPr>
          <w:bCs/>
        </w:rPr>
        <w:t>Association’s</w:t>
      </w:r>
      <w:r w:rsidR="00300F41" w:rsidRPr="00D158BC">
        <w:t xml:space="preserve"> </w:t>
      </w:r>
      <w:r w:rsidR="00300F41">
        <w:rPr>
          <w:bCs/>
        </w:rPr>
        <w:t>(</w:t>
      </w:r>
      <w:r w:rsidR="007C5383">
        <w:rPr>
          <w:bCs/>
        </w:rPr>
        <w:t>COBA)</w:t>
      </w:r>
      <w:r w:rsidRPr="00D158BC">
        <w:t xml:space="preserve"> Scam-Safe Accord</w:t>
      </w:r>
      <w:r w:rsidR="00EA5E3F">
        <w:rPr>
          <w:bCs/>
        </w:rPr>
        <w:t xml:space="preserve">, and </w:t>
      </w:r>
      <w:r w:rsidR="00EA5E3F" w:rsidRPr="00A7009F">
        <w:rPr>
          <w:bCs/>
        </w:rPr>
        <w:t>the Digital Industry Group Inc.</w:t>
      </w:r>
      <w:r w:rsidR="004A2486">
        <w:rPr>
          <w:bCs/>
        </w:rPr>
        <w:t xml:space="preserve"> (DIGI)</w:t>
      </w:r>
      <w:r w:rsidR="00EA5E3F">
        <w:rPr>
          <w:bCs/>
        </w:rPr>
        <w:t xml:space="preserve"> </w:t>
      </w:r>
      <w:r w:rsidR="00D158BC" w:rsidRPr="00394637">
        <w:rPr>
          <w:bCs/>
        </w:rPr>
        <w:t>Australian Online Scams Code</w:t>
      </w:r>
      <w:r w:rsidR="004A2486">
        <w:rPr>
          <w:bCs/>
        </w:rPr>
        <w:t xml:space="preserve"> (AOSC)</w:t>
      </w:r>
      <w:r w:rsidR="00EA5E3F">
        <w:rPr>
          <w:bCs/>
        </w:rPr>
        <w:t>.</w:t>
      </w:r>
      <w:r>
        <w:t xml:space="preserve"> </w:t>
      </w:r>
      <w:r w:rsidR="00BF7996">
        <w:t>O</w:t>
      </w:r>
      <w:r w:rsidR="00116A28">
        <w:t>f these o</w:t>
      </w:r>
      <w:r w:rsidR="00BF7996">
        <w:t xml:space="preserve">nly the </w:t>
      </w:r>
      <w:r w:rsidR="00116A28" w:rsidRPr="00497955">
        <w:t xml:space="preserve">Reducing Scam Calls and Scam SMs </w:t>
      </w:r>
      <w:r w:rsidR="00116A28" w:rsidRPr="00D158BC">
        <w:t>industry</w:t>
      </w:r>
      <w:r w:rsidR="00116A28" w:rsidRPr="00497955">
        <w:t xml:space="preserve"> </w:t>
      </w:r>
      <w:r w:rsidR="00116A28" w:rsidRPr="00D158BC">
        <w:t>code</w:t>
      </w:r>
      <w:r w:rsidR="00116A28">
        <w:t xml:space="preserve"> is compulsory with enforcement by ACMA.</w:t>
      </w:r>
      <w:r w:rsidR="00900D93" w:rsidRPr="00874346">
        <w:rPr>
          <w:rStyle w:val="FootnoteReference"/>
          <w:vertAlign w:val="superscript"/>
        </w:rPr>
        <w:footnoteReference w:id="19"/>
      </w:r>
    </w:p>
    <w:p w14:paraId="5E250F75" w14:textId="49215C8F" w:rsidR="002E0351" w:rsidRDefault="003040FD" w:rsidP="00874346">
      <w:r>
        <w:t>Several banks</w:t>
      </w:r>
      <w:r w:rsidR="00755173">
        <w:t>, telecommunications and digital platforms</w:t>
      </w:r>
      <w:r w:rsidR="005A2429">
        <w:t xml:space="preserve"> providers,</w:t>
      </w:r>
      <w:r>
        <w:t xml:space="preserve"> participate in </w:t>
      </w:r>
      <w:r w:rsidR="008B68CE">
        <w:t xml:space="preserve">the AFCX </w:t>
      </w:r>
      <w:r w:rsidR="008D6A42">
        <w:t>(</w:t>
      </w:r>
      <w:r>
        <w:t>an industry-led information sharing and reporting regime</w:t>
      </w:r>
      <w:r w:rsidR="008D6A42">
        <w:t>)</w:t>
      </w:r>
      <w:r>
        <w:t xml:space="preserve"> wh</w:t>
      </w:r>
      <w:r w:rsidR="008D6A42">
        <w:t>ere</w:t>
      </w:r>
      <w:r>
        <w:t xml:space="preserve"> members </w:t>
      </w:r>
      <w:r w:rsidR="008D6A42">
        <w:t>can use</w:t>
      </w:r>
      <w:r>
        <w:t xml:space="preserve"> an online platform to identify and analyse suspicious transactions and alert other members.</w:t>
      </w:r>
      <w:r w:rsidR="00016883" w:rsidRPr="00016883">
        <w:rPr>
          <w:rStyle w:val="FootnoteReference"/>
          <w:vertAlign w:val="superscript"/>
        </w:rPr>
        <w:t xml:space="preserve"> </w:t>
      </w:r>
      <w:r w:rsidR="00016883" w:rsidRPr="00874346">
        <w:rPr>
          <w:rStyle w:val="FootnoteReference"/>
          <w:vertAlign w:val="superscript"/>
        </w:rPr>
        <w:footnoteReference w:id="20"/>
      </w:r>
      <w:r w:rsidR="00016883">
        <w:t xml:space="preserve"> </w:t>
      </w:r>
      <w:r>
        <w:t xml:space="preserve">In 2023, the AFCX expanded the platform to build a Fraud Reporting Exchange that enables members to send and receive near real-time reports to co-ordinate and halt multiple transactions in the chain of a single scam. </w:t>
      </w:r>
      <w:r w:rsidR="00403B88">
        <w:t>However,</w:t>
      </w:r>
      <w:r w:rsidR="007165CB">
        <w:t xml:space="preserve"> </w:t>
      </w:r>
      <w:r w:rsidR="007165CB">
        <w:lastRenderedPageBreak/>
        <w:t>as</w:t>
      </w:r>
      <w:r w:rsidR="00403B88">
        <w:t xml:space="preserve"> </w:t>
      </w:r>
      <w:r w:rsidR="00535103">
        <w:t>these information sharing arrangements are</w:t>
      </w:r>
      <w:r w:rsidR="007165CB">
        <w:t xml:space="preserve"> not </w:t>
      </w:r>
      <w:r w:rsidR="00AD3A58">
        <w:t>supported by legislative pro</w:t>
      </w:r>
      <w:r w:rsidR="009F640E">
        <w:t>visions</w:t>
      </w:r>
      <w:r w:rsidR="00182E83">
        <w:t>,</w:t>
      </w:r>
      <w:r w:rsidR="007165CB">
        <w:t xml:space="preserve"> </w:t>
      </w:r>
      <w:r w:rsidR="006C05DE">
        <w:t>participants</w:t>
      </w:r>
      <w:r w:rsidR="00580231">
        <w:t xml:space="preserve"> </w:t>
      </w:r>
      <w:r w:rsidR="006C05DE">
        <w:t xml:space="preserve">face </w:t>
      </w:r>
      <w:r w:rsidR="0038430A">
        <w:t xml:space="preserve">legislative </w:t>
      </w:r>
      <w:r w:rsidR="002666B6">
        <w:t>constraint</w:t>
      </w:r>
      <w:r w:rsidR="006C05DE">
        <w:t>s</w:t>
      </w:r>
      <w:r w:rsidR="002666B6">
        <w:t xml:space="preserve"> in shar</w:t>
      </w:r>
      <w:r w:rsidR="006C05DE">
        <w:t>ing</w:t>
      </w:r>
      <w:r w:rsidR="002666B6">
        <w:t xml:space="preserve"> information </w:t>
      </w:r>
      <w:r w:rsidR="00157AD4">
        <w:t xml:space="preserve">which may </w:t>
      </w:r>
      <w:r w:rsidR="00C67C88">
        <w:t>contain</w:t>
      </w:r>
      <w:r w:rsidR="00157AD4">
        <w:t xml:space="preserve"> personal </w:t>
      </w:r>
      <w:r w:rsidR="00256B31">
        <w:t>identifiers</w:t>
      </w:r>
      <w:r w:rsidR="00157AD4">
        <w:t xml:space="preserve"> </w:t>
      </w:r>
      <w:r w:rsidR="002666B6">
        <w:t>between member organisations</w:t>
      </w:r>
      <w:r w:rsidR="00B207BD">
        <w:t xml:space="preserve">. </w:t>
      </w:r>
      <w:r w:rsidR="00F02414">
        <w:t xml:space="preserve">The scope of </w:t>
      </w:r>
      <w:r w:rsidR="002709AD">
        <w:t>the Fraud Reporting Exchange</w:t>
      </w:r>
      <w:r w:rsidR="00F02414">
        <w:t xml:space="preserve"> is also </w:t>
      </w:r>
      <w:r w:rsidR="0016553E">
        <w:t>limited to organisations</w:t>
      </w:r>
      <w:r w:rsidR="00203D79">
        <w:t xml:space="preserve"> which </w:t>
      </w:r>
      <w:r w:rsidR="00AC7BF3">
        <w:t xml:space="preserve">voluntarily </w:t>
      </w:r>
      <w:r w:rsidR="00203D79">
        <w:t>participate</w:t>
      </w:r>
      <w:r w:rsidR="00AC7BF3">
        <w:t xml:space="preserve"> and invest in </w:t>
      </w:r>
      <w:r w:rsidR="009A0C75">
        <w:t>information sharing</w:t>
      </w:r>
      <w:r w:rsidR="00BF7941">
        <w:t>.</w:t>
      </w:r>
    </w:p>
    <w:p w14:paraId="2D5280A8" w14:textId="57CA3E6D" w:rsidR="00243EAD" w:rsidRDefault="00E75046" w:rsidP="00874346">
      <w:pPr>
        <w:rPr>
          <w:bCs/>
        </w:rPr>
      </w:pPr>
      <w:r>
        <w:rPr>
          <w:bCs/>
        </w:rPr>
        <w:t xml:space="preserve">The current voluntary approach to addressing and introducing anti-scam measures by industry has been inconsistent and slow relative to the sharp rise in scam activity. </w:t>
      </w:r>
      <w:r>
        <w:t>Industr</w:t>
      </w:r>
      <w:r w:rsidR="006A1026">
        <w:t>ies across the scam ecosystem have</w:t>
      </w:r>
      <w:r>
        <w:t xml:space="preserve"> taken a piecemeal approach to addressing the scams threat, with the result that efforts have been misaligned and haphazard.</w:t>
      </w:r>
      <w:r>
        <w:rPr>
          <w:bCs/>
        </w:rPr>
        <w:t xml:space="preserve"> </w:t>
      </w:r>
    </w:p>
    <w:p w14:paraId="2CEEA02D" w14:textId="04C9C2A1" w:rsidR="008D0BE8" w:rsidRPr="00243EAD" w:rsidRDefault="00243EAD" w:rsidP="00874346">
      <w:r w:rsidRPr="00EA5E3F">
        <w:t xml:space="preserve">See </w:t>
      </w:r>
      <w:r w:rsidRPr="00BE17D1">
        <w:rPr>
          <w:b/>
        </w:rPr>
        <w:fldChar w:fldCharType="begin"/>
      </w:r>
      <w:r w:rsidRPr="00BE17D1">
        <w:rPr>
          <w:b/>
        </w:rPr>
        <w:instrText xml:space="preserve"> REF _Ref175647453 \h  \* MERGEFORMAT </w:instrText>
      </w:r>
      <w:r w:rsidRPr="00BE17D1">
        <w:rPr>
          <w:b/>
        </w:rPr>
      </w:r>
      <w:r w:rsidRPr="00BE17D1">
        <w:rPr>
          <w:b/>
        </w:rPr>
        <w:fldChar w:fldCharType="separate"/>
      </w:r>
      <w:r w:rsidRPr="00BE17D1">
        <w:rPr>
          <w:b/>
        </w:rPr>
        <w:t>Appendix 1</w:t>
      </w:r>
      <w:r w:rsidRPr="00BE17D1">
        <w:rPr>
          <w:b/>
        </w:rPr>
        <w:fldChar w:fldCharType="end"/>
      </w:r>
      <w:r w:rsidRPr="00EA5E3F">
        <w:t xml:space="preserve"> for further detail on industry actions to date. </w:t>
      </w:r>
      <w:r w:rsidR="008D0BE8">
        <w:rPr>
          <w:bCs/>
        </w:rPr>
        <w:br w:type="page"/>
      </w:r>
    </w:p>
    <w:p w14:paraId="7CF01FF0" w14:textId="759D8D4C" w:rsidR="008D0BE8" w:rsidRDefault="00B83FF1" w:rsidP="008D0BE8">
      <w:pPr>
        <w:pStyle w:val="Heading1"/>
        <w:numPr>
          <w:ilvl w:val="0"/>
          <w:numId w:val="42"/>
        </w:numPr>
        <w:ind w:hanging="720"/>
      </w:pPr>
      <w:bookmarkStart w:id="17" w:name="_Toc179556395"/>
      <w:r>
        <w:lastRenderedPageBreak/>
        <w:t>Need for</w:t>
      </w:r>
      <w:r w:rsidR="008D0BE8">
        <w:t xml:space="preserve"> Government action</w:t>
      </w:r>
      <w:bookmarkEnd w:id="17"/>
    </w:p>
    <w:p w14:paraId="23063020" w14:textId="77777777" w:rsidR="008D0BE8" w:rsidRDefault="008D0BE8" w:rsidP="008D0BE8">
      <w:pPr>
        <w:pStyle w:val="Heading3"/>
      </w:pPr>
      <w:bookmarkStart w:id="18" w:name="_Toc179556396"/>
      <w:r>
        <w:t>2.1 Need for government action</w:t>
      </w:r>
      <w:bookmarkEnd w:id="18"/>
    </w:p>
    <w:p w14:paraId="09B7E766" w14:textId="686C1EBA" w:rsidR="00E6402B" w:rsidRDefault="004D0041" w:rsidP="00874346">
      <w:r>
        <w:rPr>
          <w:bCs/>
        </w:rPr>
        <w:t xml:space="preserve">Government action is required to ensure effective coordination, and a whole-of-ecosystem response to reduce financial losses from scams and restore trust in digital commerce and communication. </w:t>
      </w:r>
      <w:r w:rsidR="00FF31F7">
        <w:rPr>
          <w:bCs/>
        </w:rPr>
        <w:t xml:space="preserve">Without </w:t>
      </w:r>
      <w:r w:rsidR="004D1A4D">
        <w:rPr>
          <w:bCs/>
        </w:rPr>
        <w:t>g</w:t>
      </w:r>
      <w:r w:rsidR="00E75046">
        <w:rPr>
          <w:bCs/>
        </w:rPr>
        <w:t xml:space="preserve">overnment action, it is unlikely </w:t>
      </w:r>
      <w:r w:rsidR="00E46B52">
        <w:rPr>
          <w:bCs/>
        </w:rPr>
        <w:t xml:space="preserve">the cost </w:t>
      </w:r>
      <w:r w:rsidR="00016F12">
        <w:rPr>
          <w:bCs/>
        </w:rPr>
        <w:t xml:space="preserve">of </w:t>
      </w:r>
      <w:r w:rsidR="0057210B">
        <w:rPr>
          <w:bCs/>
        </w:rPr>
        <w:t>harms will be adequately considered by industries which are vectors of scam activity.</w:t>
      </w:r>
      <w:r w:rsidR="00C30685" w:rsidDel="0057210B">
        <w:rPr>
          <w:bCs/>
        </w:rPr>
        <w:t xml:space="preserve"> </w:t>
      </w:r>
      <w:r w:rsidR="009509ED">
        <w:rPr>
          <w:bCs/>
        </w:rPr>
        <w:t>As a result</w:t>
      </w:r>
      <w:r w:rsidR="00831F3D">
        <w:rPr>
          <w:bCs/>
        </w:rPr>
        <w:t>,</w:t>
      </w:r>
      <w:r w:rsidR="009509ED">
        <w:rPr>
          <w:bCs/>
        </w:rPr>
        <w:t xml:space="preserve"> there </w:t>
      </w:r>
      <w:r w:rsidR="00831F3D">
        <w:rPr>
          <w:bCs/>
        </w:rPr>
        <w:t xml:space="preserve">will not be </w:t>
      </w:r>
      <w:r w:rsidR="00E75046">
        <w:rPr>
          <w:bCs/>
        </w:rPr>
        <w:t xml:space="preserve">consistent </w:t>
      </w:r>
      <w:r w:rsidR="00FC126F">
        <w:rPr>
          <w:bCs/>
        </w:rPr>
        <w:t xml:space="preserve">and effective </w:t>
      </w:r>
      <w:r w:rsidR="00E75046">
        <w:rPr>
          <w:bCs/>
        </w:rPr>
        <w:t xml:space="preserve">anti-scam </w:t>
      </w:r>
      <w:r w:rsidR="00FC126F">
        <w:rPr>
          <w:bCs/>
        </w:rPr>
        <w:t>protection measures</w:t>
      </w:r>
      <w:r w:rsidR="00E75046">
        <w:rPr>
          <w:bCs/>
        </w:rPr>
        <w:t xml:space="preserve"> implemented by </w:t>
      </w:r>
      <w:r w:rsidR="005E0543">
        <w:rPr>
          <w:szCs w:val="22"/>
        </w:rPr>
        <w:t xml:space="preserve">industry </w:t>
      </w:r>
      <w:r w:rsidR="005E0543">
        <w:rPr>
          <w:bCs/>
        </w:rPr>
        <w:t>across</w:t>
      </w:r>
      <w:r w:rsidR="00E75046">
        <w:rPr>
          <w:bCs/>
        </w:rPr>
        <w:t xml:space="preserve"> </w:t>
      </w:r>
      <w:r w:rsidR="00E02BA7">
        <w:rPr>
          <w:bCs/>
        </w:rPr>
        <w:t>the</w:t>
      </w:r>
      <w:r w:rsidR="005E0543">
        <w:rPr>
          <w:bCs/>
        </w:rPr>
        <w:t xml:space="preserve"> entire</w:t>
      </w:r>
      <w:r w:rsidR="00E02BA7">
        <w:rPr>
          <w:bCs/>
        </w:rPr>
        <w:t xml:space="preserve"> scam ecosystem</w:t>
      </w:r>
      <w:r w:rsidR="00B87086">
        <w:rPr>
          <w:bCs/>
        </w:rPr>
        <w:t xml:space="preserve"> and the costs wil</w:t>
      </w:r>
      <w:r w:rsidR="001809C4">
        <w:rPr>
          <w:bCs/>
        </w:rPr>
        <w:t xml:space="preserve">l </w:t>
      </w:r>
      <w:r w:rsidR="004737F3">
        <w:rPr>
          <w:bCs/>
        </w:rPr>
        <w:t xml:space="preserve">fall </w:t>
      </w:r>
      <w:r w:rsidR="00BD7830">
        <w:rPr>
          <w:bCs/>
        </w:rPr>
        <w:t>inequitably</w:t>
      </w:r>
      <w:r w:rsidR="004737F3">
        <w:rPr>
          <w:bCs/>
        </w:rPr>
        <w:t xml:space="preserve"> across society</w:t>
      </w:r>
      <w:r w:rsidR="00E75046">
        <w:rPr>
          <w:bCs/>
        </w:rPr>
        <w:t>.</w:t>
      </w:r>
      <w:r w:rsidR="002C7EF9">
        <w:rPr>
          <w:bCs/>
        </w:rPr>
        <w:t xml:space="preserve"> </w:t>
      </w:r>
    </w:p>
    <w:p w14:paraId="4E9FC794" w14:textId="41A4DD9C" w:rsidR="00A66460" w:rsidRDefault="00305A12" w:rsidP="00A92696">
      <w:pPr>
        <w:pStyle w:val="Heading4"/>
      </w:pPr>
      <w:r>
        <w:t>2.</w:t>
      </w:r>
      <w:r w:rsidR="00E6402B">
        <w:t>1.1</w:t>
      </w:r>
      <w:r>
        <w:t xml:space="preserve"> </w:t>
      </w:r>
      <w:r w:rsidR="00130440">
        <w:t>E</w:t>
      </w:r>
      <w:r w:rsidR="00A66460">
        <w:t>conomy-wide coordination of anti</w:t>
      </w:r>
      <w:r w:rsidR="00A92696">
        <w:t>-scam activity</w:t>
      </w:r>
    </w:p>
    <w:p w14:paraId="1741CE2D" w14:textId="3B402AED" w:rsidR="0040538F" w:rsidRDefault="0040538F" w:rsidP="0040538F">
      <w:r>
        <w:t xml:space="preserve">Clear and consistent standards </w:t>
      </w:r>
      <w:r w:rsidR="009B792B">
        <w:t xml:space="preserve">for preventative action </w:t>
      </w:r>
      <w:r>
        <w:t xml:space="preserve">across all </w:t>
      </w:r>
      <w:r w:rsidR="00913657">
        <w:t xml:space="preserve">high priority </w:t>
      </w:r>
      <w:r>
        <w:t xml:space="preserve">sectors in </w:t>
      </w:r>
      <w:r w:rsidR="00025A48">
        <w:t xml:space="preserve">the </w:t>
      </w:r>
      <w:r>
        <w:t>scam ecosystem are needed to ensure gaps in consumer protections are minimised. Effectively achieving th</w:t>
      </w:r>
      <w:r w:rsidR="00025A48">
        <w:t>is</w:t>
      </w:r>
      <w:r>
        <w:t xml:space="preserve"> outcome will depend on action by those who have the best opportunity and most appropriate resources to address scams</w:t>
      </w:r>
      <w:r w:rsidR="00021BAA">
        <w:t xml:space="preserve">. </w:t>
      </w:r>
      <w:r>
        <w:t>Voluntary action by industry has not proven sufficient to</w:t>
      </w:r>
      <w:r w:rsidR="009E5844">
        <w:t xml:space="preserve"> </w:t>
      </w:r>
      <w:r>
        <w:t>date.</w:t>
      </w:r>
    </w:p>
    <w:p w14:paraId="160BE07F" w14:textId="52304BC4" w:rsidR="00941245" w:rsidRPr="00F005B2" w:rsidRDefault="00F005B2" w:rsidP="00941245">
      <w:pPr>
        <w:rPr>
          <w:vertAlign w:val="superscript"/>
        </w:rPr>
      </w:pPr>
      <w:r>
        <w:t xml:space="preserve">Effective and coordinated action across the economy is </w:t>
      </w:r>
      <w:r w:rsidR="005D4107">
        <w:t xml:space="preserve">limited </w:t>
      </w:r>
      <w:r>
        <w:t xml:space="preserve">by </w:t>
      </w:r>
      <w:r w:rsidRPr="000A185F">
        <w:t xml:space="preserve">the absence of an overarching regulatory framework that sets clear roles and responsibilities for </w:t>
      </w:r>
      <w:r w:rsidR="009F66D9">
        <w:t>g</w:t>
      </w:r>
      <w:r w:rsidRPr="000A185F">
        <w:t xml:space="preserve">overnment, regulators, </w:t>
      </w:r>
      <w:r w:rsidR="003C23C8">
        <w:t xml:space="preserve">consumers </w:t>
      </w:r>
      <w:r w:rsidRPr="000A185F">
        <w:t>and the private sector.</w:t>
      </w:r>
      <w:r>
        <w:t xml:space="preserve"> </w:t>
      </w:r>
      <w:r w:rsidR="00941245">
        <w:rPr>
          <w:bCs/>
        </w:rPr>
        <w:t>The</w:t>
      </w:r>
      <w:r w:rsidR="00941245" w:rsidRPr="007D4834">
        <w:rPr>
          <w:bCs/>
        </w:rPr>
        <w:t xml:space="preserve"> current piecemeal and fragmented </w:t>
      </w:r>
      <w:r w:rsidR="00941245">
        <w:rPr>
          <w:bCs/>
        </w:rPr>
        <w:t xml:space="preserve">voluntary </w:t>
      </w:r>
      <w:r w:rsidR="00941245" w:rsidRPr="007D4834">
        <w:rPr>
          <w:bCs/>
        </w:rPr>
        <w:t>approach</w:t>
      </w:r>
      <w:r w:rsidR="00941245">
        <w:rPr>
          <w:bCs/>
        </w:rPr>
        <w:t xml:space="preserve"> has made it easier for scammers to exploit </w:t>
      </w:r>
      <w:r w:rsidR="00941245">
        <w:t>regulatory gaps</w:t>
      </w:r>
      <w:r w:rsidR="00941245">
        <w:rPr>
          <w:bCs/>
        </w:rPr>
        <w:t xml:space="preserve"> across the ecosystem. It has also made it</w:t>
      </w:r>
      <w:r w:rsidR="00941245">
        <w:t xml:space="preserve"> difficult for consumers and victims of scams to understand </w:t>
      </w:r>
      <w:r w:rsidR="005E0543">
        <w:t>the role</w:t>
      </w:r>
      <w:r w:rsidR="00941245">
        <w:t xml:space="preserve"> and responsibility </w:t>
      </w:r>
      <w:r w:rsidR="005E0543">
        <w:t>of a business</w:t>
      </w:r>
      <w:r w:rsidR="00941245">
        <w:t xml:space="preserve"> in combatting scams and providing clear responses to scam reports. </w:t>
      </w:r>
    </w:p>
    <w:p w14:paraId="4853A192" w14:textId="21D78A1A" w:rsidR="000B5E42" w:rsidRDefault="00323457" w:rsidP="000B5E42">
      <w:r>
        <w:t>Prevention a</w:t>
      </w:r>
      <w:r w:rsidR="000B5E42">
        <w:t xml:space="preserve">ctions must be taken across all sectors in the ecosystem that are high-risk for scam activity. In the absence of action across the ecosystem, scammers will shift their activity to the sectors which have weaker practices relating to scam protections. This would leave Australians exposed to sophisticated scam activity. </w:t>
      </w:r>
    </w:p>
    <w:p w14:paraId="2067FD6B" w14:textId="5093A901" w:rsidR="0010655A" w:rsidRDefault="00BF2E05" w:rsidP="00AE2623">
      <w:pPr>
        <w:pStyle w:val="Heading4"/>
      </w:pPr>
      <w:r>
        <w:t>2.</w:t>
      </w:r>
      <w:r w:rsidR="00792FC3">
        <w:t>1</w:t>
      </w:r>
      <w:r>
        <w:t>.</w:t>
      </w:r>
      <w:r w:rsidR="00E26CEE">
        <w:t xml:space="preserve">2 </w:t>
      </w:r>
      <w:r w:rsidR="00130440">
        <w:t xml:space="preserve">Improving </w:t>
      </w:r>
      <w:r w:rsidR="0010655A">
        <w:t>alignment of costs and benefits of action</w:t>
      </w:r>
    </w:p>
    <w:p w14:paraId="5071A2F3" w14:textId="03A06D07" w:rsidR="0010655A" w:rsidRDefault="0010655A" w:rsidP="0010655A">
      <w:pPr>
        <w:rPr>
          <w:bCs/>
        </w:rPr>
      </w:pPr>
      <w:r>
        <w:rPr>
          <w:bCs/>
        </w:rPr>
        <w:t xml:space="preserve">Reliance on voluntary market action is unlikely to be effective as losses and detrimental reputational impacts are inequitably distributed across the scam ecosystem between government, industry and consumers. Incentives for comprehensive voluntary action are lacking for key sectors as the </w:t>
      </w:r>
      <w:r w:rsidR="00D26B10">
        <w:rPr>
          <w:bCs/>
        </w:rPr>
        <w:t>business</w:t>
      </w:r>
      <w:r>
        <w:rPr>
          <w:bCs/>
        </w:rPr>
        <w:t xml:space="preserve"> and </w:t>
      </w:r>
      <w:r w:rsidR="00D26B10">
        <w:rPr>
          <w:bCs/>
        </w:rPr>
        <w:t xml:space="preserve">reputational </w:t>
      </w:r>
      <w:r w:rsidR="008A11BF">
        <w:rPr>
          <w:bCs/>
        </w:rPr>
        <w:t>cost</w:t>
      </w:r>
      <w:r>
        <w:rPr>
          <w:bCs/>
        </w:rPr>
        <w:t xml:space="preserve"> of scam activity are </w:t>
      </w:r>
      <w:r w:rsidR="005C63F0">
        <w:rPr>
          <w:bCs/>
        </w:rPr>
        <w:t>mis</w:t>
      </w:r>
      <w:r>
        <w:rPr>
          <w:bCs/>
        </w:rPr>
        <w:t xml:space="preserve">aligned with the </w:t>
      </w:r>
      <w:r w:rsidR="002C1878">
        <w:rPr>
          <w:bCs/>
        </w:rPr>
        <w:t xml:space="preserve">relative roles </w:t>
      </w:r>
      <w:r w:rsidR="00A43907">
        <w:rPr>
          <w:bCs/>
        </w:rPr>
        <w:t xml:space="preserve">sectors’ play as vectors of </w:t>
      </w:r>
      <w:r w:rsidR="00A56210">
        <w:rPr>
          <w:bCs/>
        </w:rPr>
        <w:t>scam activity</w:t>
      </w:r>
      <w:r>
        <w:rPr>
          <w:bCs/>
        </w:rPr>
        <w:t xml:space="preserve">. </w:t>
      </w:r>
      <w:r w:rsidR="00D56D4B">
        <w:rPr>
          <w:bCs/>
        </w:rPr>
        <w:t>For example, a</w:t>
      </w:r>
      <w:r w:rsidR="0044200E">
        <w:rPr>
          <w:bCs/>
        </w:rPr>
        <w:t>lthough digital</w:t>
      </w:r>
      <w:r w:rsidR="00B63CC5">
        <w:rPr>
          <w:bCs/>
        </w:rPr>
        <w:t xml:space="preserve"> platforms </w:t>
      </w:r>
      <w:r w:rsidR="007F3517">
        <w:rPr>
          <w:bCs/>
        </w:rPr>
        <w:t xml:space="preserve">encounter </w:t>
      </w:r>
      <w:r w:rsidR="00B63CC5">
        <w:rPr>
          <w:bCs/>
        </w:rPr>
        <w:t xml:space="preserve">reputational risks </w:t>
      </w:r>
      <w:r w:rsidR="00E000CB">
        <w:rPr>
          <w:bCs/>
        </w:rPr>
        <w:t xml:space="preserve">and potential loss of users </w:t>
      </w:r>
      <w:r w:rsidR="00B63CC5">
        <w:rPr>
          <w:bCs/>
        </w:rPr>
        <w:t xml:space="preserve">from the presence </w:t>
      </w:r>
      <w:r w:rsidR="00F20A10">
        <w:rPr>
          <w:bCs/>
        </w:rPr>
        <w:t>of</w:t>
      </w:r>
      <w:r w:rsidR="00B63CC5">
        <w:rPr>
          <w:bCs/>
        </w:rPr>
        <w:t xml:space="preserve"> </w:t>
      </w:r>
      <w:r w:rsidR="002A5102">
        <w:rPr>
          <w:bCs/>
        </w:rPr>
        <w:t>scam</w:t>
      </w:r>
      <w:r w:rsidR="00D56D4B">
        <w:rPr>
          <w:bCs/>
        </w:rPr>
        <w:t>s</w:t>
      </w:r>
      <w:r w:rsidR="002A5102">
        <w:rPr>
          <w:bCs/>
        </w:rPr>
        <w:t xml:space="preserve"> </w:t>
      </w:r>
      <w:r w:rsidR="00B63CC5">
        <w:rPr>
          <w:bCs/>
        </w:rPr>
        <w:t xml:space="preserve">hosted on their platforms, </w:t>
      </w:r>
      <w:r w:rsidR="003759F2">
        <w:rPr>
          <w:bCs/>
        </w:rPr>
        <w:t xml:space="preserve">this content </w:t>
      </w:r>
      <w:r w:rsidR="00F20A10">
        <w:rPr>
          <w:bCs/>
        </w:rPr>
        <w:t>persist</w:t>
      </w:r>
      <w:r w:rsidR="00D56D4B">
        <w:rPr>
          <w:bCs/>
        </w:rPr>
        <w:t>s</w:t>
      </w:r>
      <w:r w:rsidR="00F20A10">
        <w:rPr>
          <w:bCs/>
        </w:rPr>
        <w:t xml:space="preserve"> on many platforms</w:t>
      </w:r>
      <w:r w:rsidR="0044200E">
        <w:rPr>
          <w:bCs/>
        </w:rPr>
        <w:t xml:space="preserve">. </w:t>
      </w:r>
      <w:r w:rsidR="005A3961">
        <w:rPr>
          <w:bCs/>
        </w:rPr>
        <w:t>S</w:t>
      </w:r>
      <w:r w:rsidR="0044200E">
        <w:rPr>
          <w:bCs/>
        </w:rPr>
        <w:t xml:space="preserve">cams </w:t>
      </w:r>
      <w:r w:rsidR="008B4ACB">
        <w:rPr>
          <w:bCs/>
        </w:rPr>
        <w:t xml:space="preserve">reported to </w:t>
      </w:r>
      <w:proofErr w:type="spellStart"/>
      <w:r w:rsidR="008B4ACB">
        <w:rPr>
          <w:bCs/>
        </w:rPr>
        <w:t>Scamwatch</w:t>
      </w:r>
      <w:proofErr w:type="spellEnd"/>
      <w:r w:rsidR="008B4ACB">
        <w:rPr>
          <w:bCs/>
        </w:rPr>
        <w:t xml:space="preserve"> </w:t>
      </w:r>
      <w:r w:rsidR="006C6211">
        <w:rPr>
          <w:bCs/>
        </w:rPr>
        <w:t xml:space="preserve">originating </w:t>
      </w:r>
      <w:r w:rsidR="0044200E">
        <w:rPr>
          <w:bCs/>
        </w:rPr>
        <w:t xml:space="preserve">on social media </w:t>
      </w:r>
      <w:r w:rsidR="005C1B98">
        <w:rPr>
          <w:bCs/>
        </w:rPr>
        <w:t xml:space="preserve">led to </w:t>
      </w:r>
      <w:r w:rsidR="006C6211">
        <w:rPr>
          <w:bCs/>
        </w:rPr>
        <w:t>the largest growth in losses from 2022</w:t>
      </w:r>
      <w:r w:rsidR="00644AD4">
        <w:rPr>
          <w:bCs/>
        </w:rPr>
        <w:t xml:space="preserve"> </w:t>
      </w:r>
      <w:r w:rsidR="00257F8B">
        <w:rPr>
          <w:bCs/>
        </w:rPr>
        <w:t xml:space="preserve">to </w:t>
      </w:r>
      <w:r w:rsidR="007D49A6">
        <w:rPr>
          <w:bCs/>
        </w:rPr>
        <w:t>2023</w:t>
      </w:r>
      <w:r w:rsidR="00257F8B">
        <w:rPr>
          <w:bCs/>
        </w:rPr>
        <w:t xml:space="preserve"> </w:t>
      </w:r>
      <w:r w:rsidR="00233873">
        <w:rPr>
          <w:bCs/>
        </w:rPr>
        <w:t xml:space="preserve">(16.5 per cent </w:t>
      </w:r>
      <w:r w:rsidR="00644AD4">
        <w:rPr>
          <w:bCs/>
        </w:rPr>
        <w:t xml:space="preserve">from </w:t>
      </w:r>
      <w:r w:rsidR="0048200F">
        <w:rPr>
          <w:bCs/>
        </w:rPr>
        <w:t>$80.2 million to $93.5 million</w:t>
      </w:r>
      <w:r w:rsidR="00B65526">
        <w:rPr>
          <w:bCs/>
        </w:rPr>
        <w:t>)</w:t>
      </w:r>
      <w:r w:rsidR="0048200F">
        <w:rPr>
          <w:bCs/>
        </w:rPr>
        <w:t>,</w:t>
      </w:r>
      <w:r w:rsidR="00857941">
        <w:rPr>
          <w:bCs/>
        </w:rPr>
        <w:t xml:space="preserve"> while</w:t>
      </w:r>
      <w:r w:rsidR="00710DB5">
        <w:rPr>
          <w:bCs/>
        </w:rPr>
        <w:t xml:space="preserve"> losses have been decreasing for</w:t>
      </w:r>
      <w:r w:rsidR="0048798D">
        <w:rPr>
          <w:bCs/>
        </w:rPr>
        <w:t xml:space="preserve"> scams perpetrated using</w:t>
      </w:r>
      <w:r w:rsidR="00710DB5">
        <w:rPr>
          <w:bCs/>
        </w:rPr>
        <w:t xml:space="preserve"> </w:t>
      </w:r>
      <w:r w:rsidR="0048798D">
        <w:rPr>
          <w:bCs/>
        </w:rPr>
        <w:t>most other</w:t>
      </w:r>
      <w:r w:rsidR="00710DB5">
        <w:rPr>
          <w:bCs/>
        </w:rPr>
        <w:t xml:space="preserve"> contact methods</w:t>
      </w:r>
      <w:r w:rsidR="00E94A07">
        <w:rPr>
          <w:bCs/>
        </w:rPr>
        <w:t xml:space="preserve"> (</w:t>
      </w:r>
      <w:r w:rsidR="0004276F">
        <w:rPr>
          <w:bCs/>
        </w:rPr>
        <w:t xml:space="preserve">e.g. </w:t>
      </w:r>
      <w:r w:rsidR="0071608E">
        <w:rPr>
          <w:bCs/>
        </w:rPr>
        <w:t xml:space="preserve">17.7 per cent decrease </w:t>
      </w:r>
      <w:r w:rsidR="0004276F">
        <w:rPr>
          <w:bCs/>
        </w:rPr>
        <w:t xml:space="preserve">in losses </w:t>
      </w:r>
      <w:r w:rsidR="0071608E">
        <w:rPr>
          <w:bCs/>
        </w:rPr>
        <w:t>f</w:t>
      </w:r>
      <w:r w:rsidR="00790A5A">
        <w:rPr>
          <w:bCs/>
        </w:rPr>
        <w:t>r</w:t>
      </w:r>
      <w:r w:rsidR="0004276F">
        <w:rPr>
          <w:bCs/>
        </w:rPr>
        <w:t>om scam</w:t>
      </w:r>
      <w:r w:rsidR="00790A5A">
        <w:rPr>
          <w:bCs/>
        </w:rPr>
        <w:t xml:space="preserve"> phone calls</w:t>
      </w:r>
      <w:r w:rsidR="0004276F">
        <w:rPr>
          <w:bCs/>
        </w:rPr>
        <w:t>)</w:t>
      </w:r>
      <w:r w:rsidR="00710DB5">
        <w:rPr>
          <w:bCs/>
        </w:rPr>
        <w:t>.</w:t>
      </w:r>
      <w:r w:rsidR="006C6211" w:rsidRPr="00BE17D1">
        <w:rPr>
          <w:rStyle w:val="FootnoteReference"/>
          <w:bCs/>
          <w:vertAlign w:val="superscript"/>
        </w:rPr>
        <w:footnoteReference w:id="21"/>
      </w:r>
    </w:p>
    <w:p w14:paraId="32851D25" w14:textId="1CCBEFAB" w:rsidR="0010655A" w:rsidRDefault="0010655A" w:rsidP="0010655A">
      <w:pPr>
        <w:rPr>
          <w:bCs/>
        </w:rPr>
      </w:pPr>
      <w:r w:rsidRPr="007D4834">
        <w:rPr>
          <w:bCs/>
        </w:rPr>
        <w:t xml:space="preserve">Government </w:t>
      </w:r>
      <w:r>
        <w:rPr>
          <w:bCs/>
        </w:rPr>
        <w:t xml:space="preserve">action is required to create consistent incentives </w:t>
      </w:r>
      <w:r w:rsidR="00583DF6">
        <w:rPr>
          <w:bCs/>
        </w:rPr>
        <w:t xml:space="preserve">and obligations </w:t>
      </w:r>
      <w:r w:rsidR="00006DB2">
        <w:rPr>
          <w:bCs/>
        </w:rPr>
        <w:t xml:space="preserve">for action </w:t>
      </w:r>
      <w:r w:rsidR="0087793C">
        <w:rPr>
          <w:bCs/>
        </w:rPr>
        <w:t xml:space="preserve">to minimise harm from scams </w:t>
      </w:r>
      <w:r>
        <w:rPr>
          <w:bCs/>
        </w:rPr>
        <w:t>across the scam ecosystem</w:t>
      </w:r>
      <w:r w:rsidR="00B65D59">
        <w:rPr>
          <w:bCs/>
        </w:rPr>
        <w:t xml:space="preserve">. </w:t>
      </w:r>
      <w:r w:rsidR="00FE2005">
        <w:rPr>
          <w:bCs/>
        </w:rPr>
        <w:t>Government action</w:t>
      </w:r>
      <w:r w:rsidR="00B65D59">
        <w:rPr>
          <w:bCs/>
        </w:rPr>
        <w:t xml:space="preserve"> is needed to</w:t>
      </w:r>
      <w:r>
        <w:rPr>
          <w:bCs/>
        </w:rPr>
        <w:t xml:space="preserve"> ensure that the treatment of consumers who report scams or seek redress is not determined </w:t>
      </w:r>
      <w:r w:rsidR="004760B1">
        <w:rPr>
          <w:bCs/>
        </w:rPr>
        <w:t xml:space="preserve">predominately </w:t>
      </w:r>
      <w:r>
        <w:rPr>
          <w:bCs/>
        </w:rPr>
        <w:t xml:space="preserve">by the service providers through which the scam occurred. </w:t>
      </w:r>
    </w:p>
    <w:p w14:paraId="48ABDCE8" w14:textId="25A2E55E" w:rsidR="00564A37" w:rsidRDefault="00954253" w:rsidP="00AE2623">
      <w:pPr>
        <w:pStyle w:val="Heading4"/>
      </w:pPr>
      <w:r>
        <w:lastRenderedPageBreak/>
        <w:t>2.</w:t>
      </w:r>
      <w:r w:rsidR="00792FC3">
        <w:t>1</w:t>
      </w:r>
      <w:r>
        <w:t>.</w:t>
      </w:r>
      <w:r w:rsidR="00E26CEE">
        <w:t>3</w:t>
      </w:r>
      <w:r>
        <w:t xml:space="preserve"> </w:t>
      </w:r>
      <w:r w:rsidR="00130440">
        <w:t xml:space="preserve">Providing </w:t>
      </w:r>
      <w:r w:rsidR="00D01C4A">
        <w:t xml:space="preserve">a </w:t>
      </w:r>
      <w:r w:rsidR="00564A37">
        <w:t>consistent message</w:t>
      </w:r>
    </w:p>
    <w:p w14:paraId="60DC6683" w14:textId="3DB4DDD0" w:rsidR="00A44ABD" w:rsidRDefault="00564A37" w:rsidP="00564A37">
      <w:pPr>
        <w:rPr>
          <w:bCs/>
        </w:rPr>
      </w:pPr>
      <w:r w:rsidRPr="003B3215">
        <w:rPr>
          <w:bCs/>
        </w:rPr>
        <w:t xml:space="preserve">There are </w:t>
      </w:r>
      <w:r>
        <w:rPr>
          <w:bCs/>
        </w:rPr>
        <w:t xml:space="preserve">currently many competing </w:t>
      </w:r>
      <w:r w:rsidRPr="003B3215">
        <w:rPr>
          <w:bCs/>
        </w:rPr>
        <w:t xml:space="preserve">voices in the scam disruption space, with various </w:t>
      </w:r>
      <w:r>
        <w:rPr>
          <w:bCs/>
        </w:rPr>
        <w:t>perspectives</w:t>
      </w:r>
      <w:r w:rsidRPr="003B3215">
        <w:rPr>
          <w:bCs/>
        </w:rPr>
        <w:t xml:space="preserve"> </w:t>
      </w:r>
      <w:r>
        <w:rPr>
          <w:bCs/>
        </w:rPr>
        <w:t xml:space="preserve">creating confusion and inconsistent messaging for Australians. The Government can provide </w:t>
      </w:r>
      <w:r w:rsidR="001C2B39">
        <w:rPr>
          <w:bCs/>
        </w:rPr>
        <w:t xml:space="preserve">a consistent </w:t>
      </w:r>
      <w:r>
        <w:rPr>
          <w:bCs/>
        </w:rPr>
        <w:t xml:space="preserve">voice of authority </w:t>
      </w:r>
      <w:r w:rsidR="001C2B39">
        <w:rPr>
          <w:bCs/>
        </w:rPr>
        <w:t xml:space="preserve">that </w:t>
      </w:r>
      <w:r w:rsidRPr="00BA52A3">
        <w:rPr>
          <w:bCs/>
        </w:rPr>
        <w:t xml:space="preserve">Australians </w:t>
      </w:r>
      <w:r w:rsidR="001C2B39">
        <w:rPr>
          <w:bCs/>
        </w:rPr>
        <w:t xml:space="preserve">could rely on </w:t>
      </w:r>
      <w:r>
        <w:rPr>
          <w:bCs/>
        </w:rPr>
        <w:t>to improv</w:t>
      </w:r>
      <w:r w:rsidR="008F700E">
        <w:rPr>
          <w:bCs/>
        </w:rPr>
        <w:t>e</w:t>
      </w:r>
      <w:r>
        <w:rPr>
          <w:bCs/>
        </w:rPr>
        <w:t xml:space="preserve"> consumer protections. Government can establish expectations for how businesses respond to scams, support victims and establish pathways for equitable redress where a business has failed to meet these expectations.  </w:t>
      </w:r>
    </w:p>
    <w:p w14:paraId="1FDD4811" w14:textId="504D177C" w:rsidR="00564A37" w:rsidRDefault="00564A37" w:rsidP="00564A37">
      <w:pPr>
        <w:rPr>
          <w:bCs/>
        </w:rPr>
      </w:pPr>
      <w:r>
        <w:rPr>
          <w:bCs/>
        </w:rPr>
        <w:t xml:space="preserve">Government action to set expectations across the entire ecosystem </w:t>
      </w:r>
      <w:r w:rsidR="00A44ABD">
        <w:rPr>
          <w:bCs/>
        </w:rPr>
        <w:t>would</w:t>
      </w:r>
      <w:r>
        <w:rPr>
          <w:bCs/>
        </w:rPr>
        <w:t xml:space="preserve"> </w:t>
      </w:r>
      <w:r w:rsidR="00436C6F">
        <w:rPr>
          <w:bCs/>
        </w:rPr>
        <w:t>reduce</w:t>
      </w:r>
      <w:r>
        <w:rPr>
          <w:bCs/>
        </w:rPr>
        <w:t xml:space="preserve"> confusion and inconstant messages, allowing consumers to:</w:t>
      </w:r>
    </w:p>
    <w:p w14:paraId="07227D03" w14:textId="6A55650E" w:rsidR="00564A37" w:rsidRPr="00084202" w:rsidRDefault="00564A37" w:rsidP="00183D93">
      <w:pPr>
        <w:pStyle w:val="Bullet"/>
        <w:numPr>
          <w:ilvl w:val="0"/>
          <w:numId w:val="23"/>
        </w:numPr>
      </w:pPr>
      <w:r w:rsidRPr="00084202">
        <w:t xml:space="preserve">feel </w:t>
      </w:r>
      <w:r w:rsidR="00384FE6">
        <w:t>more</w:t>
      </w:r>
      <w:r w:rsidRPr="00084202">
        <w:t xml:space="preserve"> confident engaging with the digital economy without being overly exposed to scams;</w:t>
      </w:r>
    </w:p>
    <w:p w14:paraId="51227E7B" w14:textId="5D724AA2" w:rsidR="00564A37" w:rsidRPr="00084202" w:rsidRDefault="00564A37" w:rsidP="00183D93">
      <w:pPr>
        <w:pStyle w:val="Bullet"/>
        <w:numPr>
          <w:ilvl w:val="0"/>
          <w:numId w:val="23"/>
        </w:numPr>
      </w:pPr>
      <w:r w:rsidRPr="00084202">
        <w:t xml:space="preserve">increase trust in communications from government and </w:t>
      </w:r>
      <w:r w:rsidR="00DA7190">
        <w:rPr>
          <w:szCs w:val="22"/>
        </w:rPr>
        <w:t xml:space="preserve">industry </w:t>
      </w:r>
      <w:r w:rsidRPr="00084202">
        <w:t>and feel better protected from scams;</w:t>
      </w:r>
    </w:p>
    <w:p w14:paraId="335B1CD6" w14:textId="0C7C25FA" w:rsidR="00564A37" w:rsidRPr="00084202" w:rsidRDefault="00564A37" w:rsidP="00183D93">
      <w:pPr>
        <w:pStyle w:val="Bullet"/>
        <w:numPr>
          <w:ilvl w:val="0"/>
          <w:numId w:val="23"/>
        </w:numPr>
      </w:pPr>
      <w:r w:rsidRPr="00084202">
        <w:t xml:space="preserve">be less disrupted by scam activity, and </w:t>
      </w:r>
      <w:r w:rsidR="00687A66">
        <w:t xml:space="preserve">the time required to </w:t>
      </w:r>
      <w:r w:rsidR="002C79E5">
        <w:t xml:space="preserve">assess or verify the validity of digital communication or commerce; </w:t>
      </w:r>
      <w:r w:rsidRPr="00084202">
        <w:t>and consequentially result in fewer reports of scams;</w:t>
      </w:r>
    </w:p>
    <w:p w14:paraId="496E03A6" w14:textId="5EAE507F" w:rsidR="00564A37" w:rsidRPr="00084202" w:rsidRDefault="00564A37" w:rsidP="00183D93">
      <w:pPr>
        <w:pStyle w:val="Bullet"/>
        <w:numPr>
          <w:ilvl w:val="0"/>
          <w:numId w:val="23"/>
        </w:numPr>
      </w:pPr>
      <w:r w:rsidRPr="00084202">
        <w:t xml:space="preserve">increase confidence </w:t>
      </w:r>
      <w:r w:rsidR="00566EAD">
        <w:t xml:space="preserve">that </w:t>
      </w:r>
      <w:r w:rsidR="00DA7190">
        <w:rPr>
          <w:szCs w:val="22"/>
        </w:rPr>
        <w:t xml:space="preserve">industry </w:t>
      </w:r>
      <w:r w:rsidRPr="00084202">
        <w:t xml:space="preserve">and government </w:t>
      </w:r>
      <w:r w:rsidR="00566EAD">
        <w:t>will</w:t>
      </w:r>
      <w:r w:rsidRPr="00084202">
        <w:t xml:space="preserve"> respond to scam reports; and</w:t>
      </w:r>
    </w:p>
    <w:p w14:paraId="7A9034A7" w14:textId="709ABCA7" w:rsidR="001903F1" w:rsidRDefault="00564A37" w:rsidP="00183D93">
      <w:pPr>
        <w:pStyle w:val="Bullet"/>
        <w:numPr>
          <w:ilvl w:val="0"/>
          <w:numId w:val="23"/>
        </w:numPr>
      </w:pPr>
      <w:proofErr w:type="gramStart"/>
      <w:r w:rsidRPr="00084202">
        <w:t>incur</w:t>
      </w:r>
      <w:proofErr w:type="gramEnd"/>
      <w:r w:rsidRPr="00084202">
        <w:t xml:space="preserve"> less financial, psychological, emotional and social distress from scam activity.</w:t>
      </w:r>
    </w:p>
    <w:p w14:paraId="2AE473CD" w14:textId="24B35049" w:rsidR="00913EC2" w:rsidRDefault="00954253" w:rsidP="00AE2623">
      <w:pPr>
        <w:pStyle w:val="Heading4"/>
      </w:pPr>
      <w:r>
        <w:t>2.</w:t>
      </w:r>
      <w:r w:rsidR="00E26CEE">
        <w:t>1.4</w:t>
      </w:r>
      <w:r>
        <w:t xml:space="preserve"> </w:t>
      </w:r>
      <w:r w:rsidR="00342218">
        <w:t>Co</w:t>
      </w:r>
      <w:r w:rsidR="00914B37">
        <w:t>-</w:t>
      </w:r>
      <w:r w:rsidR="00342218">
        <w:t xml:space="preserve">ordination </w:t>
      </w:r>
      <w:r w:rsidR="00913EC2">
        <w:t xml:space="preserve">with international anti-scam </w:t>
      </w:r>
      <w:r w:rsidR="004C6B78">
        <w:t>initiatives</w:t>
      </w:r>
    </w:p>
    <w:p w14:paraId="4D8055B0" w14:textId="505464C7" w:rsidR="001E5F17" w:rsidRDefault="0022746F" w:rsidP="00836461">
      <w:r>
        <w:rPr>
          <w:rFonts w:eastAsiaTheme="minorEastAsia"/>
        </w:rPr>
        <w:t xml:space="preserve">Government </w:t>
      </w:r>
      <w:r w:rsidR="001C3EF4">
        <w:rPr>
          <w:rFonts w:eastAsiaTheme="minorEastAsia"/>
        </w:rPr>
        <w:t>action</w:t>
      </w:r>
      <w:r w:rsidR="006D5753">
        <w:rPr>
          <w:rFonts w:eastAsiaTheme="minorEastAsia"/>
        </w:rPr>
        <w:t xml:space="preserve"> is needed to </w:t>
      </w:r>
      <w:r w:rsidR="0007103C">
        <w:rPr>
          <w:rFonts w:eastAsiaTheme="minorEastAsia"/>
        </w:rPr>
        <w:t xml:space="preserve">ensure </w:t>
      </w:r>
      <w:r w:rsidR="005372AC">
        <w:rPr>
          <w:rFonts w:eastAsiaTheme="minorEastAsia"/>
        </w:rPr>
        <w:t xml:space="preserve">scam prevention activities are </w:t>
      </w:r>
      <w:r w:rsidR="0007103C">
        <w:rPr>
          <w:rFonts w:eastAsiaTheme="minorEastAsia"/>
        </w:rPr>
        <w:t xml:space="preserve">co-ordinated </w:t>
      </w:r>
      <w:r w:rsidR="00580BB3">
        <w:rPr>
          <w:rFonts w:eastAsiaTheme="minorEastAsia"/>
        </w:rPr>
        <w:t xml:space="preserve">economy-wide, in alignment with </w:t>
      </w:r>
      <w:r w:rsidR="00221C29">
        <w:rPr>
          <w:rFonts w:eastAsiaTheme="minorEastAsia"/>
        </w:rPr>
        <w:t xml:space="preserve">international </w:t>
      </w:r>
      <w:r w:rsidR="001C3EF4">
        <w:rPr>
          <w:rFonts w:eastAsiaTheme="minorEastAsia"/>
        </w:rPr>
        <w:t>activities</w:t>
      </w:r>
      <w:r w:rsidR="00221C29">
        <w:rPr>
          <w:rFonts w:eastAsiaTheme="minorEastAsia"/>
        </w:rPr>
        <w:t xml:space="preserve"> and commitments. </w:t>
      </w:r>
      <w:r w:rsidR="001E5F17">
        <w:t xml:space="preserve">Internationally, government-initiated actions are being taken to establish pathways for consumers to report scams, and for </w:t>
      </w:r>
      <w:r w:rsidR="00F9062B">
        <w:t>policies</w:t>
      </w:r>
      <w:r w:rsidR="001E5F17">
        <w:t xml:space="preserve"> to tackle </w:t>
      </w:r>
      <w:r w:rsidR="006C452E">
        <w:t xml:space="preserve">scams </w:t>
      </w:r>
      <w:r w:rsidR="001E5F17">
        <w:t>economy-wide</w:t>
      </w:r>
      <w:r w:rsidR="00B27729">
        <w:t xml:space="preserve"> which </w:t>
      </w:r>
      <w:r w:rsidR="00556EB1">
        <w:t>inform the policy approaches in Australia</w:t>
      </w:r>
      <w:r w:rsidR="001E5F17">
        <w:t>.</w:t>
      </w:r>
      <w:r w:rsidR="00556EB1">
        <w:t xml:space="preserve"> In the </w:t>
      </w:r>
      <w:r w:rsidR="00953E67">
        <w:t>United Kingdom</w:t>
      </w:r>
      <w:r w:rsidR="00556EB1">
        <w:t xml:space="preserve"> </w:t>
      </w:r>
      <w:r w:rsidR="004B2EE0">
        <w:t>there a</w:t>
      </w:r>
      <w:r w:rsidR="00263144">
        <w:t>re</w:t>
      </w:r>
      <w:r w:rsidR="00556EB1">
        <w:t xml:space="preserve"> voluntary </w:t>
      </w:r>
      <w:r w:rsidR="00CB6256">
        <w:t>s</w:t>
      </w:r>
      <w:r w:rsidR="00556EB1">
        <w:t xml:space="preserve">ector </w:t>
      </w:r>
      <w:r w:rsidR="00CB6256">
        <w:t>c</w:t>
      </w:r>
      <w:r w:rsidR="00556EB1">
        <w:t>harters</w:t>
      </w:r>
      <w:r w:rsidR="00CB6256">
        <w:t xml:space="preserve"> for fraud</w:t>
      </w:r>
      <w:r w:rsidR="00556EB1">
        <w:t xml:space="preserve"> between the </w:t>
      </w:r>
      <w:r w:rsidR="00953E67">
        <w:t>g</w:t>
      </w:r>
      <w:r w:rsidR="00556EB1">
        <w:t>overnment and industry sectors to address scams.</w:t>
      </w:r>
      <w:r w:rsidR="00CB6256" w:rsidRPr="00DE3172">
        <w:rPr>
          <w:rStyle w:val="FootnoteReference"/>
          <w:vertAlign w:val="superscript"/>
        </w:rPr>
        <w:footnoteReference w:id="22"/>
      </w:r>
      <w:r w:rsidR="00556EB1">
        <w:t xml:space="preserve"> In Singapore, proposals have been put for adoption of a Shared Responsibility Framework to allocate liability for scams across sectors.</w:t>
      </w:r>
      <w:r w:rsidR="00A40603" w:rsidRPr="00A40603">
        <w:rPr>
          <w:rStyle w:val="FootnoteReference"/>
          <w:vertAlign w:val="superscript"/>
        </w:rPr>
        <w:t xml:space="preserve"> </w:t>
      </w:r>
      <w:r w:rsidR="00A40603" w:rsidRPr="00DE3172">
        <w:rPr>
          <w:rStyle w:val="FootnoteReference"/>
          <w:vertAlign w:val="superscript"/>
        </w:rPr>
        <w:footnoteReference w:id="23"/>
      </w:r>
      <w:r w:rsidR="00A40603">
        <w:t xml:space="preserve"> </w:t>
      </w:r>
      <w:r w:rsidR="001E5F17">
        <w:t xml:space="preserve"> </w:t>
      </w:r>
    </w:p>
    <w:p w14:paraId="6BC3C762" w14:textId="74A266B4" w:rsidR="00836461" w:rsidRDefault="00221C29" w:rsidP="00BE17D1">
      <w:pPr>
        <w:rPr>
          <w:rFonts w:eastAsiaTheme="minorEastAsia"/>
        </w:rPr>
      </w:pPr>
      <w:r>
        <w:rPr>
          <w:rFonts w:eastAsiaTheme="minorEastAsia"/>
        </w:rPr>
        <w:t xml:space="preserve">In March 2024, the Government participated in multilateral dialogue at the inaugural Global Fraud Summit hosted by the </w:t>
      </w:r>
      <w:r w:rsidR="00817E27">
        <w:rPr>
          <w:rFonts w:eastAsiaTheme="minorEastAsia"/>
        </w:rPr>
        <w:t xml:space="preserve">United Kingdom </w:t>
      </w:r>
      <w:r>
        <w:rPr>
          <w:rFonts w:eastAsiaTheme="minorEastAsia"/>
        </w:rPr>
        <w:t>Government</w:t>
      </w:r>
      <w:r w:rsidR="00836461">
        <w:rPr>
          <w:rFonts w:eastAsiaTheme="minorEastAsia"/>
        </w:rPr>
        <w:t xml:space="preserve">. The outcomes of the Summit included a communique establishing an agreed global framework </w:t>
      </w:r>
      <w:r w:rsidR="00FF5468">
        <w:rPr>
          <w:rFonts w:eastAsiaTheme="minorEastAsia"/>
        </w:rPr>
        <w:t>for</w:t>
      </w:r>
      <w:r w:rsidR="00DE6E84">
        <w:rPr>
          <w:rFonts w:eastAsiaTheme="minorEastAsia"/>
        </w:rPr>
        <w:t xml:space="preserve"> addressing fraud</w:t>
      </w:r>
      <w:r w:rsidR="000A7B28">
        <w:rPr>
          <w:rFonts w:eastAsiaTheme="minorEastAsia"/>
        </w:rPr>
        <w:t xml:space="preserve">, including </w:t>
      </w:r>
      <w:r w:rsidR="00520173">
        <w:rPr>
          <w:rFonts w:eastAsiaTheme="minorEastAsia"/>
        </w:rPr>
        <w:t xml:space="preserve">commitments to co-ordinate and strengthen international government and industry </w:t>
      </w:r>
      <w:r w:rsidR="0094476E">
        <w:rPr>
          <w:rFonts w:eastAsiaTheme="minorEastAsia"/>
        </w:rPr>
        <w:t xml:space="preserve">collaboration </w:t>
      </w:r>
      <w:r w:rsidR="00520173">
        <w:rPr>
          <w:rFonts w:eastAsiaTheme="minorEastAsia"/>
        </w:rPr>
        <w:t xml:space="preserve">on scam </w:t>
      </w:r>
      <w:r w:rsidR="00E41700">
        <w:rPr>
          <w:rFonts w:eastAsiaTheme="minorEastAsia"/>
        </w:rPr>
        <w:t>prevention</w:t>
      </w:r>
      <w:r w:rsidR="00520173">
        <w:rPr>
          <w:rFonts w:eastAsiaTheme="minorEastAsia"/>
        </w:rPr>
        <w:t xml:space="preserve">. </w:t>
      </w:r>
      <w:r w:rsidR="00005B8A">
        <w:rPr>
          <w:rFonts w:eastAsiaTheme="minorEastAsia"/>
        </w:rPr>
        <w:t xml:space="preserve">These </w:t>
      </w:r>
      <w:r w:rsidR="0094476E">
        <w:rPr>
          <w:rFonts w:eastAsiaTheme="minorEastAsia"/>
        </w:rPr>
        <w:t xml:space="preserve">commitments </w:t>
      </w:r>
      <w:r w:rsidR="00005B8A">
        <w:rPr>
          <w:rFonts w:eastAsiaTheme="minorEastAsia"/>
        </w:rPr>
        <w:t>have been supported by bilateral dialogue with countries, including Singapore</w:t>
      </w:r>
      <w:r w:rsidR="009A50E0">
        <w:rPr>
          <w:rFonts w:eastAsiaTheme="minorEastAsia"/>
        </w:rPr>
        <w:t>,</w:t>
      </w:r>
      <w:r w:rsidR="00453235">
        <w:rPr>
          <w:rFonts w:eastAsiaTheme="minorEastAsia"/>
        </w:rPr>
        <w:t xml:space="preserve"> </w:t>
      </w:r>
      <w:r w:rsidR="00DD2DEE">
        <w:rPr>
          <w:rFonts w:eastAsiaTheme="minorEastAsia"/>
        </w:rPr>
        <w:t>the U</w:t>
      </w:r>
      <w:r w:rsidR="009A50E0">
        <w:rPr>
          <w:rFonts w:eastAsiaTheme="minorEastAsia"/>
        </w:rPr>
        <w:t xml:space="preserve">nited </w:t>
      </w:r>
      <w:r w:rsidR="00DD2DEE">
        <w:rPr>
          <w:rFonts w:eastAsiaTheme="minorEastAsia"/>
        </w:rPr>
        <w:t>K</w:t>
      </w:r>
      <w:r w:rsidR="009A50E0">
        <w:rPr>
          <w:rFonts w:eastAsiaTheme="minorEastAsia"/>
        </w:rPr>
        <w:t xml:space="preserve">ingdom </w:t>
      </w:r>
      <w:r w:rsidR="00453235">
        <w:rPr>
          <w:rFonts w:eastAsiaTheme="minorEastAsia"/>
        </w:rPr>
        <w:t>and New Zealand</w:t>
      </w:r>
      <w:r w:rsidR="00005B8A">
        <w:rPr>
          <w:rFonts w:eastAsiaTheme="minorEastAsia"/>
        </w:rPr>
        <w:t xml:space="preserve">. </w:t>
      </w:r>
    </w:p>
    <w:p w14:paraId="7110D3FD" w14:textId="684DF11C" w:rsidR="007F1D90" w:rsidRDefault="00792FC3" w:rsidP="007F1D90">
      <w:pPr>
        <w:pStyle w:val="Heading3"/>
        <w:rPr>
          <w:rFonts w:eastAsiaTheme="minorEastAsia"/>
        </w:rPr>
      </w:pPr>
      <w:bookmarkStart w:id="19" w:name="_Toc179556397"/>
      <w:r>
        <w:t>2.</w:t>
      </w:r>
      <w:r>
        <w:rPr>
          <w:rFonts w:eastAsiaTheme="minorEastAsia"/>
        </w:rPr>
        <w:t>2</w:t>
      </w:r>
      <w:r>
        <w:t xml:space="preserve"> </w:t>
      </w:r>
      <w:r w:rsidR="0068744A">
        <w:t>S</w:t>
      </w:r>
      <w:r>
        <w:t>uccess</w:t>
      </w:r>
      <w:r w:rsidR="0068744A">
        <w:t>ful government action</w:t>
      </w:r>
      <w:bookmarkEnd w:id="19"/>
    </w:p>
    <w:p w14:paraId="780FDE51" w14:textId="392219D5" w:rsidR="000133CE" w:rsidRDefault="00954253" w:rsidP="00AE2623">
      <w:pPr>
        <w:pStyle w:val="Heading4"/>
      </w:pPr>
      <w:r>
        <w:t>2.</w:t>
      </w:r>
      <w:r w:rsidR="00792FC3">
        <w:t>2.1</w:t>
      </w:r>
      <w:r>
        <w:t xml:space="preserve"> </w:t>
      </w:r>
      <w:r w:rsidR="000133CE">
        <w:t xml:space="preserve">Improvements have been associated with Government action  </w:t>
      </w:r>
    </w:p>
    <w:p w14:paraId="3E7AFA69" w14:textId="4FB18628" w:rsidR="007978EC" w:rsidRDefault="000133CE" w:rsidP="007978EC">
      <w:pPr>
        <w:rPr>
          <w:rFonts w:eastAsiaTheme="minorEastAsia" w:cs="Calibri Light"/>
          <w:szCs w:val="22"/>
        </w:rPr>
      </w:pPr>
      <w:r>
        <w:t>The work by Government to date has had an impact on reducing scam activity</w:t>
      </w:r>
      <w:r w:rsidR="0059103F">
        <w:t xml:space="preserve"> and </w:t>
      </w:r>
      <w:r>
        <w:t xml:space="preserve">losses. </w:t>
      </w:r>
      <w:r w:rsidR="004B48B1">
        <w:rPr>
          <w:rFonts w:eastAsiaTheme="minorEastAsia" w:cs="Calibri Light"/>
          <w:szCs w:val="22"/>
        </w:rPr>
        <w:t>For</w:t>
      </w:r>
      <w:r w:rsidR="00DA3AE0">
        <w:rPr>
          <w:rFonts w:eastAsiaTheme="minorEastAsia" w:cs="Calibri Light"/>
          <w:szCs w:val="22"/>
        </w:rPr>
        <w:t xml:space="preserve"> example</w:t>
      </w:r>
      <w:r w:rsidR="004B48B1">
        <w:rPr>
          <w:rFonts w:eastAsiaTheme="minorEastAsia" w:cs="Calibri Light"/>
          <w:szCs w:val="22"/>
        </w:rPr>
        <w:t>,</w:t>
      </w:r>
      <w:r w:rsidR="00DA3AE0">
        <w:rPr>
          <w:rFonts w:eastAsiaTheme="minorEastAsia" w:cs="Calibri Light"/>
          <w:szCs w:val="22"/>
        </w:rPr>
        <w:t xml:space="preserve"> </w:t>
      </w:r>
      <w:r w:rsidR="007978EC" w:rsidRPr="003212B7">
        <w:rPr>
          <w:rFonts w:eastAsiaTheme="minorEastAsia" w:cs="Calibri Light"/>
          <w:szCs w:val="22"/>
        </w:rPr>
        <w:t>ASIC</w:t>
      </w:r>
      <w:r w:rsidR="004A1896">
        <w:rPr>
          <w:rFonts w:eastAsiaTheme="minorEastAsia" w:cs="Calibri Light"/>
          <w:szCs w:val="22"/>
        </w:rPr>
        <w:t>’s</w:t>
      </w:r>
      <w:r w:rsidR="007978EC" w:rsidRPr="003212B7">
        <w:rPr>
          <w:rFonts w:eastAsiaTheme="minorEastAsia" w:cs="Calibri Light"/>
          <w:szCs w:val="22"/>
        </w:rPr>
        <w:t xml:space="preserve"> </w:t>
      </w:r>
      <w:r w:rsidR="004A1896" w:rsidRPr="004A1896">
        <w:rPr>
          <w:rFonts w:eastAsiaTheme="minorEastAsia" w:cs="Calibri Light"/>
          <w:szCs w:val="22"/>
        </w:rPr>
        <w:t>takedown capability removes or limits access to fraudulent and malicious websites on the internet</w:t>
      </w:r>
      <w:r w:rsidR="004A1896">
        <w:rPr>
          <w:rFonts w:eastAsiaTheme="minorEastAsia" w:cs="Calibri Light"/>
          <w:szCs w:val="22"/>
        </w:rPr>
        <w:t xml:space="preserve"> </w:t>
      </w:r>
      <w:r w:rsidR="007978EC">
        <w:rPr>
          <w:rFonts w:eastAsiaTheme="minorEastAsia" w:cs="Calibri Light"/>
          <w:szCs w:val="22"/>
        </w:rPr>
        <w:t xml:space="preserve">to </w:t>
      </w:r>
      <w:r w:rsidR="007978EC" w:rsidRPr="003212B7">
        <w:rPr>
          <w:rFonts w:eastAsiaTheme="minorEastAsia" w:cs="Calibri Light"/>
          <w:szCs w:val="22"/>
        </w:rPr>
        <w:t>disrupt scam activity</w:t>
      </w:r>
      <w:r w:rsidR="007978EC">
        <w:rPr>
          <w:rFonts w:eastAsiaTheme="minorEastAsia" w:cs="Calibri Light"/>
          <w:szCs w:val="22"/>
        </w:rPr>
        <w:t xml:space="preserve">, </w:t>
      </w:r>
      <w:r w:rsidR="005E6822">
        <w:rPr>
          <w:rFonts w:eastAsiaTheme="minorEastAsia" w:cs="Calibri Light"/>
          <w:szCs w:val="22"/>
        </w:rPr>
        <w:t xml:space="preserve">which has </w:t>
      </w:r>
      <w:r w:rsidR="004B48B1">
        <w:rPr>
          <w:rFonts w:eastAsiaTheme="minorEastAsia" w:cs="Calibri Light"/>
          <w:szCs w:val="22"/>
        </w:rPr>
        <w:t xml:space="preserve">led to </w:t>
      </w:r>
      <w:r w:rsidR="007978EC" w:rsidRPr="003212B7">
        <w:rPr>
          <w:rFonts w:eastAsiaTheme="minorEastAsia" w:cs="Calibri Light"/>
          <w:szCs w:val="22"/>
        </w:rPr>
        <w:t xml:space="preserve">takedowns of more than </w:t>
      </w:r>
      <w:r w:rsidR="00EC4474">
        <w:rPr>
          <w:rFonts w:eastAsiaTheme="minorEastAsia" w:cs="Calibri Light"/>
          <w:szCs w:val="22"/>
        </w:rPr>
        <w:t>7,300</w:t>
      </w:r>
      <w:r w:rsidR="007F565A">
        <w:rPr>
          <w:rFonts w:eastAsiaTheme="minorEastAsia" w:cs="Calibri Light"/>
          <w:szCs w:val="22"/>
        </w:rPr>
        <w:t xml:space="preserve"> </w:t>
      </w:r>
      <w:r w:rsidR="007978EC" w:rsidRPr="003212B7">
        <w:rPr>
          <w:rFonts w:eastAsiaTheme="minorEastAsia" w:cs="Calibri Light"/>
          <w:szCs w:val="22"/>
        </w:rPr>
        <w:t>investment scam and phishing websites</w:t>
      </w:r>
      <w:r w:rsidR="007978EC">
        <w:rPr>
          <w:rFonts w:eastAsiaTheme="minorEastAsia" w:cs="Calibri Light"/>
          <w:szCs w:val="22"/>
        </w:rPr>
        <w:t xml:space="preserve"> </w:t>
      </w:r>
      <w:r w:rsidR="006B759F">
        <w:rPr>
          <w:rFonts w:eastAsiaTheme="minorEastAsia" w:cs="Calibri Light"/>
          <w:szCs w:val="22"/>
        </w:rPr>
        <w:t>between</w:t>
      </w:r>
      <w:r w:rsidR="006B759F" w:rsidRPr="003212B7">
        <w:rPr>
          <w:rFonts w:eastAsiaTheme="minorEastAsia" w:cs="Calibri Light"/>
          <w:szCs w:val="22"/>
        </w:rPr>
        <w:t xml:space="preserve"> </w:t>
      </w:r>
      <w:r w:rsidR="007978EC" w:rsidRPr="003212B7">
        <w:rPr>
          <w:rFonts w:eastAsiaTheme="minorEastAsia" w:cs="Calibri Light"/>
          <w:szCs w:val="22"/>
        </w:rPr>
        <w:t>July 2023</w:t>
      </w:r>
      <w:r w:rsidR="006B759F">
        <w:rPr>
          <w:rFonts w:eastAsiaTheme="minorEastAsia" w:cs="Calibri Light"/>
          <w:szCs w:val="22"/>
        </w:rPr>
        <w:t xml:space="preserve"> and August 2024</w:t>
      </w:r>
      <w:r w:rsidR="007978EC" w:rsidRPr="003212B7">
        <w:rPr>
          <w:rFonts w:eastAsiaTheme="minorEastAsia" w:cs="Calibri Light"/>
          <w:szCs w:val="22"/>
        </w:rPr>
        <w:t>.</w:t>
      </w:r>
      <w:r w:rsidR="007978EC" w:rsidRPr="00C1682B">
        <w:rPr>
          <w:rStyle w:val="FootnoteReference"/>
          <w:rFonts w:eastAsiaTheme="minorEastAsia" w:cs="Calibri Light"/>
          <w:szCs w:val="22"/>
          <w:vertAlign w:val="superscript"/>
        </w:rPr>
        <w:footnoteReference w:id="24"/>
      </w:r>
      <w:r w:rsidR="007978EC">
        <w:rPr>
          <w:rFonts w:eastAsiaTheme="minorEastAsia" w:cs="Calibri Light"/>
          <w:szCs w:val="22"/>
        </w:rPr>
        <w:t xml:space="preserve"> </w:t>
      </w:r>
      <w:r w:rsidR="00311425">
        <w:rPr>
          <w:rFonts w:eastAsiaTheme="minorEastAsia" w:cs="Calibri Light"/>
          <w:szCs w:val="22"/>
        </w:rPr>
        <w:t xml:space="preserve">The takedown service has </w:t>
      </w:r>
      <w:r w:rsidR="007978EC">
        <w:rPr>
          <w:rFonts w:eastAsiaTheme="minorEastAsia" w:cs="Calibri Light"/>
          <w:szCs w:val="22"/>
        </w:rPr>
        <w:t xml:space="preserve">mostly </w:t>
      </w:r>
      <w:r w:rsidR="00311425">
        <w:rPr>
          <w:rFonts w:eastAsiaTheme="minorEastAsia" w:cs="Calibri Light"/>
          <w:szCs w:val="22"/>
        </w:rPr>
        <w:t xml:space="preserve">targeted </w:t>
      </w:r>
      <w:r w:rsidR="007978EC" w:rsidRPr="003212B7">
        <w:rPr>
          <w:rFonts w:eastAsiaTheme="minorEastAsia" w:cs="Calibri Light"/>
          <w:szCs w:val="22"/>
        </w:rPr>
        <w:t>fake investment platforms appearing to offer high</w:t>
      </w:r>
      <w:r w:rsidR="00CC3777">
        <w:rPr>
          <w:rFonts w:eastAsiaTheme="minorEastAsia" w:cs="Calibri Light"/>
          <w:szCs w:val="22"/>
        </w:rPr>
        <w:t>-</w:t>
      </w:r>
      <w:r w:rsidR="007978EC" w:rsidRPr="003212B7">
        <w:rPr>
          <w:rFonts w:eastAsiaTheme="minorEastAsia" w:cs="Calibri Light"/>
          <w:szCs w:val="22"/>
        </w:rPr>
        <w:t>risk products like foreign currency derivatives and crypto assets.</w:t>
      </w:r>
      <w:r w:rsidR="007978EC">
        <w:rPr>
          <w:rFonts w:eastAsiaTheme="minorEastAsia" w:cs="Calibri Light"/>
          <w:szCs w:val="22"/>
        </w:rPr>
        <w:t xml:space="preserve"> </w:t>
      </w:r>
      <w:r w:rsidR="007978EC" w:rsidRPr="003212B7">
        <w:rPr>
          <w:rFonts w:eastAsiaTheme="minorEastAsia" w:cs="Calibri Light"/>
          <w:szCs w:val="22"/>
        </w:rPr>
        <w:t xml:space="preserve">ASIC is also targeting impersonation scams where legitimate businesses are cloned to trick consumers, and fake celebrity endorsements used to fraudulently promote </w:t>
      </w:r>
      <w:r w:rsidR="007978EC" w:rsidRPr="003212B7">
        <w:rPr>
          <w:rFonts w:eastAsiaTheme="minorEastAsia" w:cs="Calibri Light"/>
          <w:szCs w:val="22"/>
        </w:rPr>
        <w:lastRenderedPageBreak/>
        <w:t>financial products.</w:t>
      </w:r>
      <w:r w:rsidR="007978EC" w:rsidRPr="007344FA">
        <w:rPr>
          <w:rStyle w:val="FootnoteReference"/>
          <w:rFonts w:eastAsiaTheme="minorEastAsia" w:cs="Calibri Light"/>
          <w:szCs w:val="22"/>
          <w:vertAlign w:val="superscript"/>
        </w:rPr>
        <w:footnoteReference w:id="25"/>
      </w:r>
      <w:r w:rsidR="007978EC" w:rsidRPr="003212B7">
        <w:rPr>
          <w:rFonts w:eastAsiaTheme="minorEastAsia" w:cs="Calibri Light"/>
          <w:szCs w:val="22"/>
        </w:rPr>
        <w:t xml:space="preserve"> </w:t>
      </w:r>
      <w:r w:rsidR="002552B3">
        <w:rPr>
          <w:rFonts w:eastAsiaTheme="minorEastAsia" w:cs="Calibri Light"/>
          <w:szCs w:val="22"/>
        </w:rPr>
        <w:t xml:space="preserve">These </w:t>
      </w:r>
      <w:r w:rsidR="00311425">
        <w:rPr>
          <w:rFonts w:eastAsiaTheme="minorEastAsia" w:cs="Calibri Light"/>
          <w:szCs w:val="22"/>
        </w:rPr>
        <w:t>actions</w:t>
      </w:r>
      <w:r w:rsidR="002552B3">
        <w:rPr>
          <w:rFonts w:eastAsiaTheme="minorEastAsia" w:cs="Calibri Light"/>
          <w:szCs w:val="22"/>
        </w:rPr>
        <w:t xml:space="preserve"> have helped drive investment scam losses down </w:t>
      </w:r>
      <w:r w:rsidR="00DA3AE0">
        <w:rPr>
          <w:rFonts w:eastAsiaTheme="minorEastAsia" w:cs="Calibri Light"/>
          <w:szCs w:val="22"/>
        </w:rPr>
        <w:t xml:space="preserve">by </w:t>
      </w:r>
      <w:r w:rsidR="00DA4F59">
        <w:rPr>
          <w:rFonts w:eastAsiaTheme="minorEastAsia" w:cs="Calibri Light"/>
          <w:szCs w:val="22"/>
        </w:rPr>
        <w:t>around 60 per cent in the second quarter of 2024 compared to the same quarter in 2022.</w:t>
      </w:r>
      <w:r w:rsidR="00DA4F59" w:rsidRPr="005A16CB">
        <w:rPr>
          <w:rStyle w:val="FootnoteReference"/>
          <w:rFonts w:eastAsiaTheme="minorEastAsia" w:cs="Calibri Light"/>
          <w:szCs w:val="22"/>
          <w:vertAlign w:val="superscript"/>
        </w:rPr>
        <w:footnoteReference w:id="26"/>
      </w:r>
      <w:r w:rsidR="00DA4F59">
        <w:rPr>
          <w:rFonts w:eastAsiaTheme="minorEastAsia" w:cs="Calibri Light"/>
          <w:szCs w:val="22"/>
        </w:rPr>
        <w:t xml:space="preserve"> </w:t>
      </w:r>
    </w:p>
    <w:p w14:paraId="21D21B2F" w14:textId="16623326" w:rsidR="00EA0436" w:rsidRPr="00A9501D" w:rsidRDefault="00EA0436" w:rsidP="00EA0436">
      <w:pPr>
        <w:rPr>
          <w:rFonts w:eastAsiaTheme="minorEastAsia"/>
        </w:rPr>
      </w:pPr>
      <w:r w:rsidRPr="19949E17">
        <w:rPr>
          <w:color w:val="000000" w:themeColor="text1"/>
        </w:rPr>
        <w:t xml:space="preserve">Following the introduction in </w:t>
      </w:r>
      <w:r w:rsidRPr="19949E17">
        <w:rPr>
          <w:rFonts w:eastAsiaTheme="minorEastAsia" w:cs="Calibri Light"/>
        </w:rPr>
        <w:t xml:space="preserve">July 2022 of the </w:t>
      </w:r>
      <w:r w:rsidRPr="00755F68">
        <w:rPr>
          <w:rFonts w:eastAsiaTheme="minorEastAsia"/>
          <w:iCs/>
        </w:rPr>
        <w:t xml:space="preserve">Reducing Scam Calls and Scam </w:t>
      </w:r>
      <w:r w:rsidRPr="19949E17">
        <w:rPr>
          <w:rFonts w:eastAsiaTheme="minorEastAsia"/>
        </w:rPr>
        <w:t>SMs</w:t>
      </w:r>
      <w:r w:rsidRPr="00A9501D">
        <w:rPr>
          <w:rFonts w:eastAsiaTheme="minorEastAsia"/>
          <w:i/>
        </w:rPr>
        <w:t xml:space="preserve"> </w:t>
      </w:r>
      <w:r w:rsidRPr="00A9501D">
        <w:t>industry</w:t>
      </w:r>
      <w:r>
        <w:rPr>
          <w:i/>
          <w:iCs/>
        </w:rPr>
        <w:t xml:space="preserve"> </w:t>
      </w:r>
      <w:r w:rsidRPr="00A9501D">
        <w:t>code</w:t>
      </w:r>
      <w:r w:rsidRPr="19949E17">
        <w:rPr>
          <w:rFonts w:eastAsiaTheme="minorEastAsia" w:cs="Calibri Light"/>
          <w:i/>
        </w:rPr>
        <w:t xml:space="preserve">, </w:t>
      </w:r>
      <w:r w:rsidRPr="19949E17">
        <w:rPr>
          <w:rFonts w:eastAsiaTheme="minorEastAsia" w:cs="Calibri Light"/>
        </w:rPr>
        <w:t>t</w:t>
      </w:r>
      <w:r w:rsidRPr="00B7396E">
        <w:rPr>
          <w:rFonts w:eastAsiaTheme="minorEastAsia" w:cs="Calibri Light"/>
          <w:iCs/>
        </w:rPr>
        <w:t>e</w:t>
      </w:r>
      <w:r w:rsidRPr="30B1ABD1">
        <w:rPr>
          <w:rFonts w:eastAsiaTheme="minorEastAsia" w:cs="Calibri Light"/>
        </w:rPr>
        <w:t xml:space="preserve">lecommunications providers have blocked </w:t>
      </w:r>
      <w:r>
        <w:rPr>
          <w:rFonts w:eastAsiaTheme="minorEastAsia" w:cs="Calibri Light"/>
        </w:rPr>
        <w:t>1.5 billion scam calls and</w:t>
      </w:r>
      <w:r w:rsidRPr="00A9501D">
        <w:rPr>
          <w:rFonts w:eastAsiaTheme="minorEastAsia" w:cs="Calibri Light"/>
        </w:rPr>
        <w:t xml:space="preserve"> </w:t>
      </w:r>
      <w:r>
        <w:rPr>
          <w:rFonts w:eastAsiaTheme="minorEastAsia" w:cs="Calibri Light"/>
        </w:rPr>
        <w:t>668</w:t>
      </w:r>
      <w:r w:rsidRPr="30B1ABD1">
        <w:rPr>
          <w:rFonts w:eastAsiaTheme="minorEastAsia" w:cs="Calibri Light"/>
        </w:rPr>
        <w:t xml:space="preserve"> million scam SMS</w:t>
      </w:r>
      <w:r w:rsidRPr="00A9501D">
        <w:rPr>
          <w:rFonts w:eastAsiaTheme="minorEastAsia" w:cs="Calibri Light"/>
        </w:rPr>
        <w:t>.</w:t>
      </w:r>
      <w:r w:rsidRPr="00743274">
        <w:rPr>
          <w:rStyle w:val="FootnoteReference"/>
          <w:rFonts w:eastAsiaTheme="minorEastAsia" w:cs="Calibri Light"/>
          <w:vertAlign w:val="superscript"/>
        </w:rPr>
        <w:footnoteReference w:id="27"/>
      </w:r>
      <w:r w:rsidRPr="00743274">
        <w:rPr>
          <w:rFonts w:eastAsiaTheme="minorEastAsia" w:cs="Calibri Light"/>
          <w:vertAlign w:val="superscript"/>
        </w:rPr>
        <w:t xml:space="preserve"> </w:t>
      </w:r>
      <w:r>
        <w:rPr>
          <w:rFonts w:eastAsiaTheme="minorEastAsia" w:cs="Calibri Light"/>
        </w:rPr>
        <w:t xml:space="preserve">Between </w:t>
      </w:r>
      <w:r>
        <w:rPr>
          <w:rFonts w:cs="Calibri Light"/>
          <w:color w:val="1A1A1A"/>
        </w:rPr>
        <w:t>April and June 2024</w:t>
      </w:r>
      <w:r w:rsidRPr="00AA5AFC">
        <w:rPr>
          <w:rFonts w:cs="Calibri Light"/>
          <w:color w:val="1A1A1A"/>
        </w:rPr>
        <w:t>, telec</w:t>
      </w:r>
      <w:r>
        <w:rPr>
          <w:rFonts w:cs="Calibri Light"/>
          <w:color w:val="1A1A1A"/>
        </w:rPr>
        <w:t>ommunications provider</w:t>
      </w:r>
      <w:r w:rsidRPr="00AA5AFC">
        <w:rPr>
          <w:rFonts w:cs="Calibri Light"/>
          <w:color w:val="1A1A1A"/>
        </w:rPr>
        <w:t>s reported blocking over </w:t>
      </w:r>
      <w:r>
        <w:rPr>
          <w:rFonts w:cs="Calibri Light"/>
          <w:color w:val="1A1A1A"/>
        </w:rPr>
        <w:t>156</w:t>
      </w:r>
      <w:r w:rsidRPr="00AA5AFC">
        <w:rPr>
          <w:rFonts w:cs="Calibri Light"/>
          <w:color w:val="1A1A1A"/>
        </w:rPr>
        <w:t xml:space="preserve"> million scam calls and over </w:t>
      </w:r>
      <w:r>
        <w:rPr>
          <w:rFonts w:cs="Calibri Light"/>
          <w:color w:val="1A1A1A"/>
        </w:rPr>
        <w:t>134</w:t>
      </w:r>
      <w:r w:rsidRPr="00AA5AFC">
        <w:rPr>
          <w:rFonts w:cs="Calibri Light"/>
          <w:color w:val="1A1A1A"/>
        </w:rPr>
        <w:t xml:space="preserve"> million scam SMS.</w:t>
      </w:r>
      <w:r w:rsidRPr="00AA5AFC">
        <w:rPr>
          <w:rStyle w:val="FootnoteReference"/>
          <w:rFonts w:cs="Calibri Light"/>
          <w:color w:val="1A1A1A"/>
          <w:sz w:val="22"/>
          <w:szCs w:val="22"/>
          <w:shd w:val="clear" w:color="auto" w:fill="FFFFFF" w:themeFill="background1"/>
          <w:vertAlign w:val="superscript"/>
        </w:rPr>
        <w:footnoteReference w:id="28"/>
      </w:r>
    </w:p>
    <w:p w14:paraId="00E1D6FE" w14:textId="68749D85" w:rsidR="00715291" w:rsidRDefault="00715291" w:rsidP="00715291">
      <w:pPr>
        <w:rPr>
          <w:color w:val="000000"/>
          <w:szCs w:val="22"/>
        </w:rPr>
      </w:pPr>
      <w:r>
        <w:t xml:space="preserve">Government </w:t>
      </w:r>
      <w:r w:rsidR="0001460A">
        <w:t xml:space="preserve">provided </w:t>
      </w:r>
      <w:r>
        <w:t xml:space="preserve">$10.9 million over four years to </w:t>
      </w:r>
      <w:r w:rsidRPr="00007318">
        <w:t>launch</w:t>
      </w:r>
      <w:r w:rsidRPr="00697F69">
        <w:rPr>
          <w:rStyle w:val="FootnoteReference"/>
          <w:vertAlign w:val="superscript"/>
        </w:rPr>
        <w:footnoteReference w:id="29"/>
      </w:r>
      <w:r w:rsidRPr="00697F69">
        <w:rPr>
          <w:vertAlign w:val="superscript"/>
        </w:rPr>
        <w:t xml:space="preserve"> </w:t>
      </w:r>
      <w:r w:rsidRPr="00007318">
        <w:t xml:space="preserve">a SMS Sender ID </w:t>
      </w:r>
      <w:r w:rsidR="0055675A">
        <w:t>Register</w:t>
      </w:r>
      <w:r>
        <w:t xml:space="preserve"> to combat </w:t>
      </w:r>
      <w:r w:rsidRPr="00007318">
        <w:t xml:space="preserve">scammers </w:t>
      </w:r>
      <w:r>
        <w:t xml:space="preserve">impersonating </w:t>
      </w:r>
      <w:r w:rsidRPr="00007318">
        <w:t>key industry or government brand names in text message headers</w:t>
      </w:r>
      <w:r>
        <w:t>. The voluntary pilot</w:t>
      </w:r>
      <w:r w:rsidR="00620FBD">
        <w:t>,</w:t>
      </w:r>
      <w:r>
        <w:t xml:space="preserve"> commenced by the Australian Communications Media Authority (ACMA) in </w:t>
      </w:r>
      <w:r>
        <w:rPr>
          <w:rFonts w:eastAsiaTheme="minorEastAsia" w:cs="Calibri Light"/>
          <w:szCs w:val="22"/>
        </w:rPr>
        <w:t>December 2023</w:t>
      </w:r>
      <w:r w:rsidRPr="00C556C3">
        <w:rPr>
          <w:rStyle w:val="FootnoteReference"/>
          <w:rFonts w:eastAsiaTheme="minorEastAsia" w:cs="Calibri Light"/>
          <w:szCs w:val="22"/>
          <w:vertAlign w:val="superscript"/>
        </w:rPr>
        <w:footnoteReference w:id="30"/>
      </w:r>
      <w:r>
        <w:rPr>
          <w:rFonts w:eastAsiaTheme="minorEastAsia" w:cs="Calibri Light"/>
          <w:szCs w:val="22"/>
        </w:rPr>
        <w:t xml:space="preserve">, </w:t>
      </w:r>
      <w:r>
        <w:rPr>
          <w:color w:val="000000"/>
          <w:szCs w:val="22"/>
        </w:rPr>
        <w:t xml:space="preserve">consolidates existing provider-level initiatives to protect participating alphanumeric sender IDs from impersonation by scammers. </w:t>
      </w:r>
      <w:r w:rsidR="00031DEB">
        <w:rPr>
          <w:color w:val="000000"/>
          <w:szCs w:val="22"/>
        </w:rPr>
        <w:t>Following</w:t>
      </w:r>
      <w:r w:rsidR="004503F2">
        <w:rPr>
          <w:color w:val="000000"/>
          <w:szCs w:val="22"/>
        </w:rPr>
        <w:t xml:space="preserve"> an extension of </w:t>
      </w:r>
      <w:r w:rsidR="00D11937">
        <w:rPr>
          <w:color w:val="000000"/>
          <w:szCs w:val="22"/>
        </w:rPr>
        <w:t xml:space="preserve">the </w:t>
      </w:r>
      <w:r w:rsidR="00DD0712">
        <w:rPr>
          <w:color w:val="000000"/>
          <w:szCs w:val="22"/>
        </w:rPr>
        <w:t>pilot</w:t>
      </w:r>
      <w:r w:rsidR="004503F2">
        <w:rPr>
          <w:color w:val="000000"/>
          <w:szCs w:val="22"/>
        </w:rPr>
        <w:t>,</w:t>
      </w:r>
      <w:r w:rsidR="004503F2" w:rsidRPr="002353CD">
        <w:rPr>
          <w:rStyle w:val="FootnoteReference"/>
          <w:color w:val="000000"/>
          <w:szCs w:val="22"/>
          <w:vertAlign w:val="superscript"/>
        </w:rPr>
        <w:footnoteReference w:id="31"/>
      </w:r>
      <w:r w:rsidR="004503F2">
        <w:rPr>
          <w:color w:val="000000"/>
          <w:szCs w:val="22"/>
        </w:rPr>
        <w:t xml:space="preserve"> </w:t>
      </w:r>
      <w:r w:rsidR="007F0E3C">
        <w:rPr>
          <w:color w:val="000000"/>
          <w:szCs w:val="22"/>
        </w:rPr>
        <w:t xml:space="preserve">and </w:t>
      </w:r>
      <w:r w:rsidR="00031DEB">
        <w:rPr>
          <w:color w:val="000000"/>
          <w:szCs w:val="22"/>
        </w:rPr>
        <w:t>a consultation</w:t>
      </w:r>
      <w:r w:rsidR="007F0E3C">
        <w:rPr>
          <w:color w:val="000000"/>
          <w:szCs w:val="22"/>
        </w:rPr>
        <w:t xml:space="preserve"> on </w:t>
      </w:r>
      <w:r w:rsidR="00031DEB">
        <w:rPr>
          <w:color w:val="000000"/>
          <w:szCs w:val="22"/>
        </w:rPr>
        <w:t>the</w:t>
      </w:r>
      <w:r w:rsidR="007F0E3C">
        <w:rPr>
          <w:color w:val="000000"/>
          <w:szCs w:val="22"/>
        </w:rPr>
        <w:t xml:space="preserve"> design</w:t>
      </w:r>
      <w:r w:rsidR="00031DEB">
        <w:rPr>
          <w:color w:val="000000"/>
          <w:szCs w:val="22"/>
        </w:rPr>
        <w:t xml:space="preserve"> of a mandatory Register</w:t>
      </w:r>
      <w:r w:rsidR="007F0E3C">
        <w:rPr>
          <w:color w:val="000000"/>
          <w:szCs w:val="22"/>
        </w:rPr>
        <w:t>,</w:t>
      </w:r>
      <w:r w:rsidR="007F0E3C" w:rsidRPr="002353CD">
        <w:rPr>
          <w:rStyle w:val="FootnoteReference"/>
          <w:color w:val="000000"/>
          <w:szCs w:val="22"/>
          <w:vertAlign w:val="superscript"/>
        </w:rPr>
        <w:footnoteReference w:id="32"/>
      </w:r>
      <w:r w:rsidR="007F0E3C">
        <w:rPr>
          <w:color w:val="000000"/>
          <w:szCs w:val="22"/>
        </w:rPr>
        <w:t xml:space="preserve"> </w:t>
      </w:r>
      <w:r w:rsidR="00724377">
        <w:rPr>
          <w:color w:val="000000"/>
          <w:szCs w:val="22"/>
        </w:rPr>
        <w:t xml:space="preserve">the legislation </w:t>
      </w:r>
      <w:r w:rsidR="0055675A">
        <w:rPr>
          <w:color w:val="000000"/>
          <w:szCs w:val="22"/>
        </w:rPr>
        <w:t xml:space="preserve">amending the </w:t>
      </w:r>
      <w:r w:rsidR="0055675A">
        <w:rPr>
          <w:i/>
          <w:iCs/>
          <w:color w:val="000000"/>
          <w:szCs w:val="22"/>
        </w:rPr>
        <w:t xml:space="preserve">Telecommunications Act </w:t>
      </w:r>
      <w:r w:rsidR="00724377">
        <w:rPr>
          <w:color w:val="000000"/>
          <w:szCs w:val="22"/>
        </w:rPr>
        <w:t xml:space="preserve">to establish the SMS ID Register </w:t>
      </w:r>
      <w:r w:rsidR="007370BC">
        <w:rPr>
          <w:color w:val="000000"/>
          <w:szCs w:val="22"/>
        </w:rPr>
        <w:t xml:space="preserve">received royal assent </w:t>
      </w:r>
      <w:r w:rsidR="0055675A">
        <w:rPr>
          <w:color w:val="000000"/>
          <w:szCs w:val="22"/>
        </w:rPr>
        <w:t>on 22 August 2024.</w:t>
      </w:r>
      <w:r w:rsidR="00086BD2" w:rsidRPr="002353CD">
        <w:rPr>
          <w:rStyle w:val="FootnoteReference"/>
          <w:color w:val="000000"/>
          <w:szCs w:val="22"/>
          <w:vertAlign w:val="superscript"/>
        </w:rPr>
        <w:footnoteReference w:id="33"/>
      </w:r>
      <w:r w:rsidR="0055675A">
        <w:rPr>
          <w:color w:val="000000"/>
          <w:szCs w:val="22"/>
        </w:rPr>
        <w:t xml:space="preserve"> </w:t>
      </w:r>
    </w:p>
    <w:p w14:paraId="3BBEC00F" w14:textId="54E1AC1A" w:rsidR="007010C6" w:rsidRDefault="002F0689" w:rsidP="003D4586">
      <w:r>
        <w:t xml:space="preserve">While </w:t>
      </w:r>
      <w:r w:rsidR="00974592">
        <w:t xml:space="preserve">Australian </w:t>
      </w:r>
      <w:r w:rsidR="003D4586" w:rsidRPr="00C33B95">
        <w:t xml:space="preserve">Government initiatives to combat scams are showing initial signs of reducing the </w:t>
      </w:r>
      <w:r w:rsidR="00C44DB0">
        <w:t>acceleration of</w:t>
      </w:r>
      <w:r w:rsidR="003D4586" w:rsidRPr="00C33B95">
        <w:t xml:space="preserve"> scam losses</w:t>
      </w:r>
      <w:r w:rsidR="0061783E">
        <w:t xml:space="preserve"> and exposure</w:t>
      </w:r>
      <w:r w:rsidR="00472EDD">
        <w:t xml:space="preserve">, </w:t>
      </w:r>
      <w:r w:rsidR="003D4586" w:rsidRPr="00016158">
        <w:t>scam</w:t>
      </w:r>
      <w:r w:rsidR="0061783E">
        <w:t xml:space="preserve"> harms</w:t>
      </w:r>
      <w:r w:rsidR="003D4586" w:rsidRPr="00016158">
        <w:t xml:space="preserve"> remain </w:t>
      </w:r>
      <w:r w:rsidR="0064348E">
        <w:t xml:space="preserve">unacceptably </w:t>
      </w:r>
      <w:r w:rsidR="003D4586" w:rsidRPr="00016158">
        <w:t xml:space="preserve">high. </w:t>
      </w:r>
      <w:r w:rsidR="007010C6">
        <w:t xml:space="preserve">Despite positive signs, </w:t>
      </w:r>
      <w:r w:rsidR="007010C6" w:rsidRPr="000A185F">
        <w:t xml:space="preserve">consistent and integrated economy-wide action is hindered by </w:t>
      </w:r>
      <w:r w:rsidR="007010C6">
        <w:t xml:space="preserve">the lack of incentives some sectors have for </w:t>
      </w:r>
      <w:r w:rsidR="001070E7">
        <w:t xml:space="preserve">robust </w:t>
      </w:r>
      <w:r w:rsidR="007010C6">
        <w:t xml:space="preserve">voluntary action. </w:t>
      </w:r>
    </w:p>
    <w:p w14:paraId="78DD06CC" w14:textId="7FA6D917" w:rsidR="007C335C" w:rsidRDefault="007C335C" w:rsidP="007C335C">
      <w:pPr>
        <w:pStyle w:val="Heading4"/>
      </w:pPr>
      <w:bookmarkStart w:id="20" w:name="_Ref175740920"/>
      <w:r>
        <w:t xml:space="preserve">2.2.2 Objectives for scam </w:t>
      </w:r>
      <w:bookmarkEnd w:id="20"/>
      <w:r w:rsidR="00AF395A">
        <w:t>prevention policy</w:t>
      </w:r>
    </w:p>
    <w:p w14:paraId="2FFD2B6B" w14:textId="2CED0330" w:rsidR="003D4586" w:rsidRDefault="003D4586" w:rsidP="003D4586">
      <w:r w:rsidRPr="00016158">
        <w:t xml:space="preserve">Further </w:t>
      </w:r>
      <w:r w:rsidR="002926D0">
        <w:t>government</w:t>
      </w:r>
      <w:r w:rsidR="002926D0" w:rsidRPr="00016158">
        <w:t xml:space="preserve"> </w:t>
      </w:r>
      <w:r w:rsidRPr="00016158">
        <w:t xml:space="preserve">action is needed to </w:t>
      </w:r>
      <w:r w:rsidR="00535199">
        <w:t xml:space="preserve">make </w:t>
      </w:r>
      <w:r w:rsidRPr="00016158">
        <w:t xml:space="preserve">Australian consumers and small businesses </w:t>
      </w:r>
      <w:r w:rsidR="00EF7794">
        <w:t xml:space="preserve">harder </w:t>
      </w:r>
      <w:r w:rsidR="00C44DB0">
        <w:t>target</w:t>
      </w:r>
      <w:r w:rsidR="00EF7794">
        <w:t xml:space="preserve">s for </w:t>
      </w:r>
      <w:r w:rsidRPr="00016158">
        <w:t>scam</w:t>
      </w:r>
      <w:r w:rsidR="00EF7794">
        <w:t>mers</w:t>
      </w:r>
      <w:r w:rsidRPr="00016158">
        <w:t xml:space="preserve">. Australia needs the ecosystem targeted by scammers to be as robust as possible to </w:t>
      </w:r>
      <w:r w:rsidR="00722DB3">
        <w:t>prevent, detect, report,</w:t>
      </w:r>
      <w:r w:rsidR="007C3F65">
        <w:t xml:space="preserve"> </w:t>
      </w:r>
      <w:r w:rsidRPr="00016158">
        <w:t xml:space="preserve">disrupt and respond to scam activity, </w:t>
      </w:r>
      <w:r w:rsidR="00D2295E" w:rsidRPr="00016158">
        <w:t>and</w:t>
      </w:r>
      <w:r w:rsidRPr="00016158">
        <w:t xml:space="preserve"> </w:t>
      </w:r>
      <w:r w:rsidR="00201090">
        <w:t>provide</w:t>
      </w:r>
      <w:r w:rsidRPr="00016158">
        <w:t xml:space="preserve"> flexibility to </w:t>
      </w:r>
      <w:r w:rsidR="00201090">
        <w:t>adjust</w:t>
      </w:r>
      <w:r w:rsidRPr="00016158">
        <w:t xml:space="preserve"> as scammers adapt to responses by authorities and exploit gaps in protections.</w:t>
      </w:r>
      <w:r w:rsidR="00E621EB">
        <w:t xml:space="preserve"> </w:t>
      </w:r>
    </w:p>
    <w:p w14:paraId="4497CD02" w14:textId="77777777" w:rsidR="00920C75" w:rsidRPr="00FA5C18" w:rsidRDefault="00920C75" w:rsidP="00920C75">
      <w:r>
        <w:t xml:space="preserve">The government has two core objectives to address the rising impact of scams on the economy: </w:t>
      </w:r>
    </w:p>
    <w:p w14:paraId="0EA09E72" w14:textId="77777777" w:rsidR="00920C75" w:rsidRDefault="00920C75" w:rsidP="00920C75">
      <w:pPr>
        <w:pStyle w:val="ListParagraph"/>
        <w:numPr>
          <w:ilvl w:val="0"/>
          <w:numId w:val="56"/>
        </w:numPr>
      </w:pPr>
      <w:r w:rsidRPr="005A16CB">
        <w:rPr>
          <w:b/>
          <w:bCs/>
        </w:rPr>
        <w:t>Reduce scam harms</w:t>
      </w:r>
      <w:r>
        <w:t xml:space="preserve">: Reduction of the </w:t>
      </w:r>
      <w:r w:rsidRPr="0019266E">
        <w:t xml:space="preserve">rates of reported exposure and victimisation </w:t>
      </w:r>
      <w:r>
        <w:t xml:space="preserve">of consumers from scam activity occurring in sectors which are key vectors </w:t>
      </w:r>
      <w:r w:rsidRPr="0019266E">
        <w:t xml:space="preserve">targeted by scammers. Success can be measured by a sustained reduction in the number and size of reported </w:t>
      </w:r>
      <w:r>
        <w:t xml:space="preserve">scam </w:t>
      </w:r>
      <w:r w:rsidRPr="0019266E">
        <w:t>losses</w:t>
      </w:r>
      <w:r>
        <w:t xml:space="preserve"> by consumers</w:t>
      </w:r>
      <w:r w:rsidRPr="0019266E">
        <w:t xml:space="preserve">. </w:t>
      </w:r>
    </w:p>
    <w:p w14:paraId="42EB314A" w14:textId="6E20D1E9" w:rsidR="00920C75" w:rsidRPr="005A16CB" w:rsidRDefault="00920C75" w:rsidP="00920C75">
      <w:pPr>
        <w:pStyle w:val="ListParagraph"/>
        <w:numPr>
          <w:ilvl w:val="0"/>
          <w:numId w:val="56"/>
        </w:numPr>
      </w:pPr>
      <w:r w:rsidRPr="005A16CB">
        <w:rPr>
          <w:b/>
          <w:bCs/>
        </w:rPr>
        <w:t>Align benefits and costs</w:t>
      </w:r>
      <w:r>
        <w:rPr>
          <w:b/>
          <w:bCs/>
        </w:rPr>
        <w:t xml:space="preserve"> of scam prevention</w:t>
      </w:r>
      <w:r>
        <w:t>: Alignment of industry responses as appropriate to the presence of scam activity on platforms and services across the ecosystem. Greater symmetry and co-ordination of anti-scam responses will contribute to reducing the exposure of business activities open to exploitation by scammers. Success can be measured by reduction</w:t>
      </w:r>
      <w:r w:rsidR="00865CD0">
        <w:t>s</w:t>
      </w:r>
      <w:r>
        <w:t xml:space="preserve"> in scams taking place across services as opposed to an aggregate reduction in one area of the economy. </w:t>
      </w:r>
    </w:p>
    <w:p w14:paraId="452D3948" w14:textId="2B30F3B5" w:rsidR="00B330B6" w:rsidRPr="005A16CB" w:rsidRDefault="00F74C6D" w:rsidP="000835F2">
      <w:r w:rsidRPr="00767B62">
        <w:t xml:space="preserve">The </w:t>
      </w:r>
      <w:r w:rsidR="00C415FA">
        <w:t>g</w:t>
      </w:r>
      <w:r w:rsidRPr="00767B62">
        <w:t xml:space="preserve">overnment aims to facilitate </w:t>
      </w:r>
      <w:r w:rsidR="00F056A9" w:rsidRPr="00767B62">
        <w:t xml:space="preserve">improved outcomes against </w:t>
      </w:r>
      <w:r w:rsidR="00771A6F">
        <w:t>these core</w:t>
      </w:r>
      <w:r w:rsidR="00F056A9" w:rsidRPr="00767B62">
        <w:t xml:space="preserve"> objective</w:t>
      </w:r>
      <w:r w:rsidR="00771A6F">
        <w:t>s</w:t>
      </w:r>
      <w:r w:rsidR="00F056A9" w:rsidRPr="00767B62">
        <w:t xml:space="preserve"> through</w:t>
      </w:r>
      <w:r w:rsidR="00657A3A" w:rsidRPr="00767B62">
        <w:t>:</w:t>
      </w:r>
    </w:p>
    <w:p w14:paraId="6932CA43" w14:textId="2E1E106D" w:rsidR="00183D93" w:rsidRPr="005A16CB" w:rsidRDefault="00F3029E" w:rsidP="00AC0CD7">
      <w:pPr>
        <w:pStyle w:val="Bullet"/>
      </w:pPr>
      <w:r w:rsidRPr="005A16CB">
        <w:t xml:space="preserve">Improvements to the consistency, </w:t>
      </w:r>
      <w:r w:rsidR="00CA4E10" w:rsidRPr="005A16CB">
        <w:t>quality,</w:t>
      </w:r>
      <w:r w:rsidRPr="005A16CB">
        <w:t xml:space="preserve"> and timeliness of industry </w:t>
      </w:r>
      <w:r w:rsidR="00177CE6" w:rsidRPr="005A16CB">
        <w:t>response</w:t>
      </w:r>
      <w:r w:rsidR="00BB61E4" w:rsidRPr="005A16CB">
        <w:t>s</w:t>
      </w:r>
      <w:r w:rsidR="00177CE6" w:rsidRPr="005A16CB">
        <w:t xml:space="preserve"> </w:t>
      </w:r>
      <w:r w:rsidR="00BB61E4" w:rsidRPr="005A16CB">
        <w:t>to</w:t>
      </w:r>
      <w:r w:rsidR="00177CE6" w:rsidRPr="005A16CB">
        <w:t xml:space="preserve"> scam activity</w:t>
      </w:r>
      <w:r w:rsidR="000B5221" w:rsidRPr="005A16CB">
        <w:t>.</w:t>
      </w:r>
      <w:r w:rsidR="000B5221" w:rsidRPr="000B5221">
        <w:t xml:space="preserve"> </w:t>
      </w:r>
      <w:r w:rsidR="005141DF">
        <w:t xml:space="preserve">Uplift in </w:t>
      </w:r>
      <w:r w:rsidR="00A456C8">
        <w:t xml:space="preserve">scam prevention </w:t>
      </w:r>
      <w:r w:rsidR="0060599A">
        <w:t xml:space="preserve">action </w:t>
      </w:r>
      <w:r w:rsidR="00A456C8">
        <w:t xml:space="preserve">across the </w:t>
      </w:r>
      <w:r w:rsidR="00D46486">
        <w:t>ecosystem</w:t>
      </w:r>
      <w:r w:rsidR="005141DF">
        <w:t xml:space="preserve"> is required to minimise </w:t>
      </w:r>
      <w:r w:rsidR="00BB61E4">
        <w:t xml:space="preserve">gaps </w:t>
      </w:r>
      <w:r w:rsidR="00975C02">
        <w:t xml:space="preserve">in </w:t>
      </w:r>
      <w:r w:rsidR="00CA4E10">
        <w:t xml:space="preserve">the </w:t>
      </w:r>
      <w:r w:rsidR="00975C02">
        <w:t>responses and protections</w:t>
      </w:r>
      <w:r w:rsidR="00CA4E10">
        <w:t xml:space="preserve"> provided by businesses, with the weakest links in the </w:t>
      </w:r>
      <w:r w:rsidR="005E528B">
        <w:t xml:space="preserve">ecosystem </w:t>
      </w:r>
      <w:r w:rsidR="005E528B">
        <w:lastRenderedPageBreak/>
        <w:t>often</w:t>
      </w:r>
      <w:r w:rsidR="00975C02">
        <w:t xml:space="preserve"> exploited by scammers.</w:t>
      </w:r>
      <w:r w:rsidR="005141DF">
        <w:t xml:space="preserve"> </w:t>
      </w:r>
      <w:r w:rsidR="00D46486">
        <w:t xml:space="preserve">The impact of actions </w:t>
      </w:r>
      <w:r w:rsidR="008A0CB7">
        <w:t xml:space="preserve">would be measured through </w:t>
      </w:r>
      <w:r w:rsidR="00D46486">
        <w:t>analysis of</w:t>
      </w:r>
      <w:r w:rsidR="000B5221">
        <w:t xml:space="preserve"> business </w:t>
      </w:r>
      <w:r w:rsidR="00D46486">
        <w:t xml:space="preserve">practices and the quality of </w:t>
      </w:r>
      <w:r w:rsidR="000B5221">
        <w:t>anti-scam policies, procedures, and resourcing.</w:t>
      </w:r>
    </w:p>
    <w:p w14:paraId="7A55769C" w14:textId="6B1B871E" w:rsidR="00183D93" w:rsidRPr="00177CE6" w:rsidRDefault="00DC5B43" w:rsidP="00CF6E09">
      <w:pPr>
        <w:pStyle w:val="Bullet"/>
      </w:pPr>
      <w:r w:rsidRPr="005A16CB">
        <w:t xml:space="preserve">Greater levels of industry </w:t>
      </w:r>
      <w:r w:rsidR="00333488" w:rsidRPr="005A16CB">
        <w:t>collaboration</w:t>
      </w:r>
      <w:r w:rsidRPr="005A16CB">
        <w:t xml:space="preserve">, reporting and information sharing </w:t>
      </w:r>
      <w:r>
        <w:t xml:space="preserve">between businesses and to regulators about scam activity. Information sharing improves the capability of parties in the scams ecosystem to quickly </w:t>
      </w:r>
      <w:r w:rsidR="00694789">
        <w:t>detect and disrupt</w:t>
      </w:r>
      <w:r>
        <w:t xml:space="preserve"> scam activity as it arises or prevent similar activity by the same perpetrator</w:t>
      </w:r>
      <w:r w:rsidR="00102461">
        <w:t xml:space="preserve">. </w:t>
      </w:r>
      <w:r w:rsidR="001D06D5">
        <w:t>Collaboration would be</w:t>
      </w:r>
      <w:r>
        <w:t xml:space="preserve"> measured through volume, quality, and use of reporting data.  </w:t>
      </w:r>
    </w:p>
    <w:p w14:paraId="530EB6C9" w14:textId="718236D1" w:rsidR="00551A99" w:rsidRDefault="0062534A" w:rsidP="00553616">
      <w:pPr>
        <w:pStyle w:val="Bullet"/>
      </w:pPr>
      <w:r>
        <w:t xml:space="preserve">Increased </w:t>
      </w:r>
      <w:r w:rsidR="009507CB">
        <w:t xml:space="preserve">accessibility and transparency of pathways for </w:t>
      </w:r>
      <w:r w:rsidR="00670253">
        <w:t>consumer</w:t>
      </w:r>
      <w:r w:rsidR="009507CB">
        <w:t>s</w:t>
      </w:r>
      <w:r w:rsidR="00670253">
        <w:t xml:space="preserve"> </w:t>
      </w:r>
      <w:r w:rsidR="003063CE">
        <w:t xml:space="preserve">to report and seek support </w:t>
      </w:r>
      <w:r w:rsidR="003063CE" w:rsidRPr="005A16CB">
        <w:t>when experiencing a scam</w:t>
      </w:r>
      <w:r w:rsidR="003063CE">
        <w:t>.</w:t>
      </w:r>
      <w:r w:rsidR="00623A25">
        <w:t xml:space="preserve"> The impact of scams </w:t>
      </w:r>
      <w:r w:rsidR="0035052F">
        <w:t xml:space="preserve">on consumers </w:t>
      </w:r>
      <w:r w:rsidR="00D80EC9">
        <w:t xml:space="preserve">can be mitigated </w:t>
      </w:r>
      <w:r w:rsidR="0035052F">
        <w:t>when they are</w:t>
      </w:r>
      <w:r w:rsidR="00623A25">
        <w:t xml:space="preserve"> able to </w:t>
      </w:r>
      <w:r w:rsidR="0035052F">
        <w:t xml:space="preserve">quickly report </w:t>
      </w:r>
      <w:r w:rsidR="00670253">
        <w:t xml:space="preserve">scam </w:t>
      </w:r>
      <w:r w:rsidR="00D80EC9">
        <w:t>activity</w:t>
      </w:r>
      <w:r w:rsidR="0003588C">
        <w:t xml:space="preserve"> and receive support</w:t>
      </w:r>
      <w:r w:rsidR="00D46486">
        <w:t xml:space="preserve"> through dispute resolution and redress arrangements</w:t>
      </w:r>
      <w:r w:rsidR="00670253">
        <w:t xml:space="preserve">. </w:t>
      </w:r>
      <w:r w:rsidR="004F3626">
        <w:t xml:space="preserve">Improvements to </w:t>
      </w:r>
      <w:r w:rsidR="0003588C">
        <w:t xml:space="preserve">consumer experience </w:t>
      </w:r>
      <w:r w:rsidR="004F3626">
        <w:t>would be measured</w:t>
      </w:r>
      <w:r w:rsidR="0003588C">
        <w:t xml:space="preserve"> by factor</w:t>
      </w:r>
      <w:r w:rsidR="00975C02">
        <w:t>s, including</w:t>
      </w:r>
      <w:r w:rsidR="009E3DC0">
        <w:t xml:space="preserve"> timeframes, </w:t>
      </w:r>
      <w:r w:rsidR="00975C02">
        <w:t xml:space="preserve">consumer satisfaction, </w:t>
      </w:r>
      <w:r w:rsidR="009E3DC0">
        <w:t xml:space="preserve">and the outcomes of reporting and dispute resolution. </w:t>
      </w:r>
    </w:p>
    <w:p w14:paraId="1FFE7162" w14:textId="63D782EA" w:rsidR="00551A99" w:rsidRDefault="007F179D" w:rsidP="00BE17D1">
      <w:pPr>
        <w:pStyle w:val="Bullet"/>
        <w:numPr>
          <w:ilvl w:val="0"/>
          <w:numId w:val="0"/>
        </w:numPr>
      </w:pPr>
      <w:r w:rsidRPr="00BF32DA">
        <w:t>Government commitments have not set a timeframe for</w:t>
      </w:r>
      <w:r w:rsidR="00551A99" w:rsidRPr="00BF32DA">
        <w:t xml:space="preserve"> achievement </w:t>
      </w:r>
      <w:r w:rsidRPr="00BF32DA">
        <w:t xml:space="preserve">of these </w:t>
      </w:r>
      <w:r w:rsidR="00127CC7" w:rsidRPr="00BE17D1">
        <w:t>objectives</w:t>
      </w:r>
      <w:r w:rsidR="002F4161" w:rsidRPr="00BF32DA">
        <w:t xml:space="preserve">. However, </w:t>
      </w:r>
      <w:r w:rsidRPr="00BF32DA">
        <w:t xml:space="preserve">the </w:t>
      </w:r>
      <w:r w:rsidR="00A77C6A" w:rsidRPr="00BE17D1">
        <w:t xml:space="preserve">Government aims to reduce the impact of scams as a priority </w:t>
      </w:r>
      <w:r w:rsidR="00BF32DA" w:rsidRPr="00BE17D1">
        <w:t>due to</w:t>
      </w:r>
      <w:r w:rsidR="00BF32DA" w:rsidRPr="004A0BF8">
        <w:t xml:space="preserve"> the </w:t>
      </w:r>
      <w:r w:rsidR="002F4161" w:rsidRPr="00BF32DA">
        <w:t>unacceptably high losses experienced to scams in Australia</w:t>
      </w:r>
      <w:r w:rsidR="005A0D9B" w:rsidRPr="00BF32DA">
        <w:t>. These objectives are in line with the aim of the NASC to make Australia the world’s hardest target for scammers by improving co-operation between government, industry and law enforcement to prevent scams and empower Australians to avoid scams.</w:t>
      </w:r>
      <w:r w:rsidR="009B3975" w:rsidRPr="00BE17D1">
        <w:rPr>
          <w:rStyle w:val="FootnoteReference"/>
          <w:vertAlign w:val="superscript"/>
        </w:rPr>
        <w:footnoteReference w:id="34"/>
      </w:r>
      <w:r w:rsidR="005A0D9B">
        <w:t xml:space="preserve"> </w:t>
      </w:r>
    </w:p>
    <w:p w14:paraId="1121735E" w14:textId="103ADC6B" w:rsidR="00C62727" w:rsidRDefault="00DA1BC8" w:rsidP="00160DF9">
      <w:r>
        <w:t xml:space="preserve">For more information about the objectives and evaluation of outcomes, see Appendix 3. </w:t>
      </w:r>
    </w:p>
    <w:p w14:paraId="3D26B29D" w14:textId="77777777" w:rsidR="00C62727" w:rsidRDefault="00C62727">
      <w:pPr>
        <w:spacing w:before="0" w:after="200" w:line="276" w:lineRule="auto"/>
      </w:pPr>
      <w:r>
        <w:br w:type="page"/>
      </w:r>
    </w:p>
    <w:p w14:paraId="12C87B27" w14:textId="671998D7" w:rsidR="000B496F" w:rsidRDefault="00B83FF1" w:rsidP="008F7728">
      <w:pPr>
        <w:pStyle w:val="Heading1"/>
        <w:numPr>
          <w:ilvl w:val="0"/>
          <w:numId w:val="42"/>
        </w:numPr>
        <w:ind w:hanging="720"/>
      </w:pPr>
      <w:bookmarkStart w:id="21" w:name="_Toc179556398"/>
      <w:r>
        <w:lastRenderedPageBreak/>
        <w:t>P</w:t>
      </w:r>
      <w:r w:rsidR="000B496F">
        <w:t>olicy options considered</w:t>
      </w:r>
      <w:bookmarkEnd w:id="21"/>
    </w:p>
    <w:p w14:paraId="2413FC5C" w14:textId="3205DAA7" w:rsidR="00DC0989" w:rsidRDefault="00DC0989" w:rsidP="00BE17D1">
      <w:r>
        <w:t xml:space="preserve">Consistent with guidance from the Office of Impact Analysis (OIA) on election commitments, Treasury has considered </w:t>
      </w:r>
      <w:r w:rsidR="00CD7915">
        <w:t>two</w:t>
      </w:r>
      <w:r>
        <w:t xml:space="preserve"> policy options. The options considered are:</w:t>
      </w:r>
    </w:p>
    <w:p w14:paraId="28BC6FB2" w14:textId="78EECE6D" w:rsidR="00D61C80" w:rsidRDefault="002E1C90" w:rsidP="00BE17D1">
      <w:pPr>
        <w:pStyle w:val="ListParagraph"/>
        <w:numPr>
          <w:ilvl w:val="0"/>
          <w:numId w:val="61"/>
        </w:numPr>
      </w:pPr>
      <w:r>
        <w:t>Option 1:</w:t>
      </w:r>
      <w:r w:rsidR="00D61C80">
        <w:t xml:space="preserve"> </w:t>
      </w:r>
      <w:r>
        <w:t>Maintain</w:t>
      </w:r>
      <w:r w:rsidR="000E51AF">
        <w:t xml:space="preserve"> </w:t>
      </w:r>
      <w:r w:rsidR="00854B01">
        <w:t>the status quo</w:t>
      </w:r>
      <w:r w:rsidR="001E1261">
        <w:t xml:space="preserve">. </w:t>
      </w:r>
    </w:p>
    <w:p w14:paraId="2E178696" w14:textId="14B6F8EF" w:rsidR="007533EA" w:rsidRDefault="002E1C90" w:rsidP="00BE17D1">
      <w:pPr>
        <w:pStyle w:val="ListParagraph"/>
        <w:numPr>
          <w:ilvl w:val="0"/>
          <w:numId w:val="61"/>
        </w:numPr>
      </w:pPr>
      <w:r>
        <w:t>Option 2: I</w:t>
      </w:r>
      <w:r w:rsidR="00854B01">
        <w:t>mplement</w:t>
      </w:r>
      <w:r w:rsidR="001E1261">
        <w:t xml:space="preserve"> </w:t>
      </w:r>
      <w:r w:rsidR="00854B01">
        <w:t>the Government’s election commitment</w:t>
      </w:r>
      <w:r w:rsidR="00592DD7">
        <w:t xml:space="preserve"> to introduce economy</w:t>
      </w:r>
      <w:r w:rsidR="00154BE5">
        <w:t>-</w:t>
      </w:r>
      <w:r w:rsidR="00592DD7">
        <w:t>wide</w:t>
      </w:r>
      <w:r w:rsidR="00154BE5">
        <w:t>,</w:t>
      </w:r>
      <w:r w:rsidR="00592DD7">
        <w:t xml:space="preserve"> mandatory scams codes</w:t>
      </w:r>
      <w:r w:rsidR="000231BE">
        <w:t xml:space="preserve"> by establishing the </w:t>
      </w:r>
      <w:r w:rsidR="006E5FBA">
        <w:t>Scams Prevention Framework (SPF)</w:t>
      </w:r>
      <w:r w:rsidR="00933E71">
        <w:t>.</w:t>
      </w:r>
      <w:r w:rsidR="0057318C">
        <w:t xml:space="preserve"> </w:t>
      </w:r>
    </w:p>
    <w:p w14:paraId="5E7FC677" w14:textId="71299DE0" w:rsidR="00981EAE" w:rsidRDefault="00854B8E" w:rsidP="00854B01">
      <w:r>
        <w:t>Further i</w:t>
      </w:r>
      <w:r w:rsidR="00981EAE">
        <w:t>nd</w:t>
      </w:r>
      <w:r>
        <w:t xml:space="preserve">ustry-led initiatives have not been considered in this IA. </w:t>
      </w:r>
      <w:r w:rsidR="00173084">
        <w:t>While beneficial, e</w:t>
      </w:r>
      <w:r w:rsidR="006F56F4">
        <w:t xml:space="preserve">xisting </w:t>
      </w:r>
      <w:r w:rsidR="000F767B">
        <w:t>industry</w:t>
      </w:r>
      <w:r w:rsidR="004270A8">
        <w:t>-led</w:t>
      </w:r>
      <w:r w:rsidR="000F767B">
        <w:t xml:space="preserve"> actions</w:t>
      </w:r>
      <w:r w:rsidR="004270A8">
        <w:t xml:space="preserve"> </w:t>
      </w:r>
      <w:r w:rsidR="0035085B">
        <w:t xml:space="preserve">are not </w:t>
      </w:r>
      <w:r w:rsidR="0083101E">
        <w:t xml:space="preserve">capable of delivering consistent and co-ordinated ecosystem wide </w:t>
      </w:r>
      <w:r w:rsidR="00D41EFF">
        <w:t>preventions for scam activity.</w:t>
      </w:r>
      <w:r w:rsidR="00373A03">
        <w:t xml:space="preserve"> Current voluntary codes do not deliver comprehensive coverage of the vectors of scam harms, and have limited ability to hold signatories to account creating gaps which can be exploited by scammers. </w:t>
      </w:r>
    </w:p>
    <w:p w14:paraId="6F05E4F6" w14:textId="2CAF432F" w:rsidR="00FD7FAB" w:rsidRDefault="00FD7FAB" w:rsidP="00854B01">
      <w:r>
        <w:t xml:space="preserve">Mandatory </w:t>
      </w:r>
      <w:r w:rsidR="00EF511F">
        <w:t xml:space="preserve">and pre-determined </w:t>
      </w:r>
      <w:r>
        <w:t xml:space="preserve">bank liability </w:t>
      </w:r>
      <w:r w:rsidR="004910AF">
        <w:t xml:space="preserve">is </w:t>
      </w:r>
      <w:r w:rsidR="009E1C0F">
        <w:t xml:space="preserve">not </w:t>
      </w:r>
      <w:r w:rsidR="004910AF">
        <w:t xml:space="preserve">considered in this IA because </w:t>
      </w:r>
      <w:r w:rsidR="000B199E">
        <w:t xml:space="preserve">it is inconsistent with </w:t>
      </w:r>
      <w:r w:rsidR="004910AF">
        <w:t xml:space="preserve">the policy problem </w:t>
      </w:r>
      <w:r w:rsidR="00C82301">
        <w:t xml:space="preserve">of </w:t>
      </w:r>
      <w:r w:rsidR="00D054F8">
        <w:t xml:space="preserve">determining </w:t>
      </w:r>
      <w:r w:rsidR="00183DD1">
        <w:t xml:space="preserve">an appropriate </w:t>
      </w:r>
      <w:r w:rsidR="004910AF">
        <w:t xml:space="preserve">sharing </w:t>
      </w:r>
      <w:r w:rsidR="00183DD1">
        <w:t xml:space="preserve">of responsibilities and incentivising </w:t>
      </w:r>
      <w:r w:rsidR="00C64E89">
        <w:t xml:space="preserve">a </w:t>
      </w:r>
      <w:r w:rsidR="00183DD1">
        <w:t xml:space="preserve">system-wide </w:t>
      </w:r>
      <w:r w:rsidR="00352A48">
        <w:t xml:space="preserve">improvement in </w:t>
      </w:r>
      <w:r w:rsidR="0066419D">
        <w:t>scam prevention.</w:t>
      </w:r>
      <w:r w:rsidR="0027295A">
        <w:t xml:space="preserve"> </w:t>
      </w:r>
      <w:r w:rsidR="00C46B02">
        <w:t>Compensation mechanisms that cover multiple sectors, not just banking, are considered in Option 2.</w:t>
      </w:r>
    </w:p>
    <w:p w14:paraId="5C0245F1" w14:textId="0BC6EBF3" w:rsidR="00F372A0" w:rsidRDefault="00F372A0" w:rsidP="00854B01">
      <w:r>
        <w:t>Additionally, a non-regulatory option has not been considered in this IA, as the government is separately implementing non-regulatory responses to the policy problem, including through the implementation of the NASC and a public awareness campaign.</w:t>
      </w:r>
    </w:p>
    <w:p w14:paraId="2272B57E" w14:textId="77777777" w:rsidR="00FD7FAB" w:rsidRDefault="00FD7FAB" w:rsidP="00854B01"/>
    <w:p w14:paraId="3C6A7332" w14:textId="2FE6FB18" w:rsidR="000B496F" w:rsidRDefault="00AB4DED" w:rsidP="000B496F">
      <w:pPr>
        <w:pStyle w:val="Heading3"/>
      </w:pPr>
      <w:bookmarkStart w:id="22" w:name="_Toc179556399"/>
      <w:r>
        <w:t xml:space="preserve">3.1 </w:t>
      </w:r>
      <w:r w:rsidR="000B496F">
        <w:t>Option 1 – Status quo</w:t>
      </w:r>
      <w:bookmarkEnd w:id="22"/>
      <w:r w:rsidR="000B496F">
        <w:tab/>
      </w:r>
    </w:p>
    <w:p w14:paraId="126EE5B9" w14:textId="6B9F2D64" w:rsidR="00E71837" w:rsidRDefault="00CB506B" w:rsidP="000B496F">
      <w:r>
        <w:t>Without further government action,</w:t>
      </w:r>
      <w:r w:rsidR="00352115">
        <w:t xml:space="preserve"> Australians</w:t>
      </w:r>
      <w:r w:rsidR="000B496F">
        <w:t xml:space="preserve"> will continue to rely </w:t>
      </w:r>
      <w:r w:rsidR="00E71837">
        <w:t xml:space="preserve">predominately on voluntary responses by industry to combat scams. Those efforts would be complemented by existing Government </w:t>
      </w:r>
      <w:r w:rsidR="000B496F">
        <w:t>initiatives introduced to address scams</w:t>
      </w:r>
      <w:r w:rsidR="00E71837">
        <w:t xml:space="preserve"> and the </w:t>
      </w:r>
      <w:r w:rsidR="000B496F">
        <w:t xml:space="preserve">current regulatory oversight and enforcement powers of regulators </w:t>
      </w:r>
      <w:r w:rsidR="00672541">
        <w:t>relating to</w:t>
      </w:r>
      <w:r w:rsidR="00E71837">
        <w:t xml:space="preserve"> more general consumer or financial protections. </w:t>
      </w:r>
    </w:p>
    <w:p w14:paraId="26FEF94D" w14:textId="7A20B8CF" w:rsidR="00E71837" w:rsidRDefault="00E71837" w:rsidP="00E71837">
      <w:r>
        <w:t xml:space="preserve">Protections in Australia for consumers and businesses would </w:t>
      </w:r>
      <w:r w:rsidR="00705C5C">
        <w:t>comprise</w:t>
      </w:r>
      <w:r w:rsidR="00EA5D25">
        <w:t xml:space="preserve"> of</w:t>
      </w:r>
      <w:r>
        <w:t xml:space="preserve"> </w:t>
      </w:r>
      <w:r w:rsidR="006B7C4D">
        <w:t xml:space="preserve">the </w:t>
      </w:r>
      <w:r>
        <w:t xml:space="preserve">following initiatives </w:t>
      </w:r>
      <w:r w:rsidR="00032715">
        <w:t xml:space="preserve">with limited reach </w:t>
      </w:r>
      <w:r>
        <w:t xml:space="preserve">to address and manage scam threats: </w:t>
      </w:r>
    </w:p>
    <w:p w14:paraId="48920B54" w14:textId="77777777" w:rsidR="000B496F" w:rsidRDefault="000B496F" w:rsidP="00A41AE3">
      <w:pPr>
        <w:pStyle w:val="ListParagraph"/>
        <w:numPr>
          <w:ilvl w:val="0"/>
          <w:numId w:val="11"/>
        </w:numPr>
      </w:pPr>
      <w:r>
        <w:t>the NASC in receiving scam intelligence and convening Fusion Cells to target solutions to emerging threats;</w:t>
      </w:r>
    </w:p>
    <w:p w14:paraId="25C98370" w14:textId="246E66DD" w:rsidR="000B496F" w:rsidRDefault="00406191" w:rsidP="00A41AE3">
      <w:pPr>
        <w:pStyle w:val="ListParagraph"/>
        <w:numPr>
          <w:ilvl w:val="0"/>
          <w:numId w:val="11"/>
        </w:numPr>
      </w:pPr>
      <w:r>
        <w:t xml:space="preserve">ACCC/NASC and </w:t>
      </w:r>
      <w:r w:rsidR="000B496F">
        <w:t>ASIC engaging with takedown providers to identify and taken down investment scams and phishing websites;</w:t>
      </w:r>
    </w:p>
    <w:p w14:paraId="3EC42512" w14:textId="32E7B3C6" w:rsidR="000B496F" w:rsidRDefault="000B496F" w:rsidP="00A41AE3">
      <w:pPr>
        <w:pStyle w:val="ListParagraph"/>
        <w:numPr>
          <w:ilvl w:val="0"/>
          <w:numId w:val="11"/>
        </w:numPr>
      </w:pPr>
      <w:r>
        <w:t>the voluntary approach</w:t>
      </w:r>
      <w:r w:rsidR="00406191">
        <w:t>es of industry sectors</w:t>
      </w:r>
      <w:r>
        <w:t>, including the</w:t>
      </w:r>
      <w:r w:rsidR="00406191">
        <w:t xml:space="preserve"> ABA/COBA</w:t>
      </w:r>
      <w:r>
        <w:t xml:space="preserve"> Scam-Safe Accord</w:t>
      </w:r>
      <w:r w:rsidR="00406191">
        <w:t xml:space="preserve"> and the DIGI Australian Online Scams Code</w:t>
      </w:r>
      <w:r>
        <w:t>;</w:t>
      </w:r>
    </w:p>
    <w:p w14:paraId="001501A8" w14:textId="0FC4EBC7" w:rsidR="000B496F" w:rsidRDefault="000B496F" w:rsidP="00A41AE3">
      <w:pPr>
        <w:pStyle w:val="ListParagraph"/>
        <w:numPr>
          <w:ilvl w:val="0"/>
          <w:numId w:val="11"/>
        </w:numPr>
      </w:pPr>
      <w:r>
        <w:t xml:space="preserve">the SMS Sender ID Registry </w:t>
      </w:r>
      <w:r w:rsidR="00BA6FD4">
        <w:rPr>
          <w:color w:val="000000"/>
          <w:szCs w:val="22"/>
        </w:rPr>
        <w:t>protect</w:t>
      </w:r>
      <w:r w:rsidR="00B65BB9">
        <w:rPr>
          <w:color w:val="000000"/>
          <w:szCs w:val="22"/>
        </w:rPr>
        <w:t>ing</w:t>
      </w:r>
      <w:r w:rsidR="00BA6FD4">
        <w:rPr>
          <w:color w:val="000000"/>
          <w:szCs w:val="22"/>
        </w:rPr>
        <w:t xml:space="preserve"> participating sender IDs from impersonation</w:t>
      </w:r>
      <w:r>
        <w:t xml:space="preserve">; </w:t>
      </w:r>
    </w:p>
    <w:p w14:paraId="720076B7" w14:textId="690F48F1" w:rsidR="000B496F" w:rsidRDefault="000B496F" w:rsidP="00A41AE3">
      <w:pPr>
        <w:pStyle w:val="ListParagraph"/>
        <w:numPr>
          <w:ilvl w:val="0"/>
          <w:numId w:val="11"/>
        </w:numPr>
      </w:pPr>
      <w:r>
        <w:t>ACMA enforc</w:t>
      </w:r>
      <w:r w:rsidR="004540C8">
        <w:t>ing</w:t>
      </w:r>
      <w:r>
        <w:t xml:space="preserve"> the </w:t>
      </w:r>
      <w:r>
        <w:rPr>
          <w:i/>
          <w:iCs/>
        </w:rPr>
        <w:t xml:space="preserve">Reducing Scam Calls and Scam </w:t>
      </w:r>
      <w:r w:rsidR="00A9501D" w:rsidRPr="00A9501D">
        <w:rPr>
          <w:i/>
          <w:iCs/>
        </w:rPr>
        <w:t xml:space="preserve">SMs </w:t>
      </w:r>
      <w:r w:rsidR="00A9501D">
        <w:t xml:space="preserve">industry </w:t>
      </w:r>
      <w:r w:rsidR="00A9501D" w:rsidRPr="00A9501D">
        <w:t>code</w:t>
      </w:r>
      <w:r w:rsidR="00CF7C6C">
        <w:t>; and</w:t>
      </w:r>
    </w:p>
    <w:p w14:paraId="00AD7865" w14:textId="42883985" w:rsidR="00CF7C6C" w:rsidRPr="00CA6AC9" w:rsidRDefault="00CF7C6C" w:rsidP="00A41AE3">
      <w:pPr>
        <w:pStyle w:val="ListParagraph"/>
        <w:numPr>
          <w:ilvl w:val="0"/>
          <w:numId w:val="11"/>
        </w:numPr>
      </w:pPr>
      <w:proofErr w:type="gramStart"/>
      <w:r>
        <w:t>existing</w:t>
      </w:r>
      <w:proofErr w:type="gramEnd"/>
      <w:r>
        <w:t xml:space="preserve"> non-targeted consumer protection regulatory and enforcement powers to </w:t>
      </w:r>
      <w:r w:rsidR="00020193">
        <w:t>respond</w:t>
      </w:r>
      <w:r>
        <w:t xml:space="preserve"> where those laws have been breached. </w:t>
      </w:r>
    </w:p>
    <w:p w14:paraId="738DE372" w14:textId="7F13797B" w:rsidR="00912807" w:rsidRPr="00CA6AC9" w:rsidRDefault="00F745C5" w:rsidP="00A41AE3">
      <w:pPr>
        <w:pStyle w:val="ListParagraph"/>
        <w:numPr>
          <w:ilvl w:val="0"/>
          <w:numId w:val="11"/>
        </w:numPr>
      </w:pPr>
      <w:proofErr w:type="gramStart"/>
      <w:r>
        <w:t>e</w:t>
      </w:r>
      <w:r w:rsidR="00912807">
        <w:t>xisting</w:t>
      </w:r>
      <w:proofErr w:type="gramEnd"/>
      <w:r w:rsidR="00912807">
        <w:t xml:space="preserve"> </w:t>
      </w:r>
      <w:r w:rsidR="000E1F9B">
        <w:t xml:space="preserve">consumer dispute and </w:t>
      </w:r>
      <w:r w:rsidR="00912807">
        <w:t>ombud</w:t>
      </w:r>
      <w:r w:rsidR="00406191">
        <w:t>sman</w:t>
      </w:r>
      <w:r w:rsidR="00912807">
        <w:t xml:space="preserve"> schemes for </w:t>
      </w:r>
      <w:r w:rsidR="00406191">
        <w:t>complaints</w:t>
      </w:r>
      <w:r w:rsidR="00D272E8">
        <w:t xml:space="preserve"> in the telecommunications and banking industries. </w:t>
      </w:r>
    </w:p>
    <w:p w14:paraId="212F3D9F" w14:textId="4F61A9AB" w:rsidR="008053E2" w:rsidRDefault="00880C5D" w:rsidP="005B4F8F">
      <w:r>
        <w:t xml:space="preserve">There would be no change to the fragmented response to </w:t>
      </w:r>
      <w:r w:rsidR="00605B61">
        <w:t xml:space="preserve">voluntary </w:t>
      </w:r>
      <w:r w:rsidR="002C2FDC">
        <w:t>anti-</w:t>
      </w:r>
      <w:r>
        <w:t xml:space="preserve">scam activity, where the protections and outcomes for victims could differ greatly depending on the sectors involved in their specific scam experience and </w:t>
      </w:r>
      <w:r w:rsidR="00800F08">
        <w:t xml:space="preserve">processes </w:t>
      </w:r>
      <w:r>
        <w:t xml:space="preserve">of their service providers. </w:t>
      </w:r>
      <w:r w:rsidR="005667EF">
        <w:t xml:space="preserve">Industry would be engaged </w:t>
      </w:r>
      <w:r w:rsidR="002B3D99">
        <w:t xml:space="preserve">further </w:t>
      </w:r>
      <w:r w:rsidR="005667EF">
        <w:t>by government where they offer to take voluntary actions to contribute to national anti-scam measures</w:t>
      </w:r>
      <w:r w:rsidR="00B17AB6">
        <w:t xml:space="preserve">, such as </w:t>
      </w:r>
      <w:r w:rsidR="002B3D99">
        <w:t xml:space="preserve">expanded </w:t>
      </w:r>
      <w:r w:rsidR="00B17AB6">
        <w:t>information sharing with the NA</w:t>
      </w:r>
      <w:r w:rsidR="007B3561">
        <w:t>SC</w:t>
      </w:r>
      <w:r w:rsidR="005667EF">
        <w:t xml:space="preserve">. </w:t>
      </w:r>
    </w:p>
    <w:p w14:paraId="5C86EB40" w14:textId="4C4CD332" w:rsidR="000B496F" w:rsidRDefault="00AB4DED" w:rsidP="00427841">
      <w:pPr>
        <w:pStyle w:val="Heading3"/>
      </w:pPr>
      <w:bookmarkStart w:id="23" w:name="_Toc179556400"/>
      <w:r>
        <w:lastRenderedPageBreak/>
        <w:t xml:space="preserve">3.2 </w:t>
      </w:r>
      <w:r w:rsidR="000B496F">
        <w:t xml:space="preserve">Option 2 – </w:t>
      </w:r>
      <w:r w:rsidR="000A746C">
        <w:t>Scams Prevention</w:t>
      </w:r>
      <w:r w:rsidR="000B496F">
        <w:t xml:space="preserve"> Framework</w:t>
      </w:r>
      <w:bookmarkEnd w:id="23"/>
    </w:p>
    <w:p w14:paraId="0A5DAA20" w14:textId="4BBF9B4B" w:rsidR="007866E7" w:rsidRDefault="007866E7" w:rsidP="000B496F">
      <w:r>
        <w:t xml:space="preserve">Under </w:t>
      </w:r>
      <w:r w:rsidR="005A7DDF">
        <w:t>O</w:t>
      </w:r>
      <w:r>
        <w:t>ption 2, t</w:t>
      </w:r>
      <w:r w:rsidRPr="007866E7">
        <w:t xml:space="preserve">he government </w:t>
      </w:r>
      <w:r>
        <w:t>would</w:t>
      </w:r>
      <w:r w:rsidRPr="007866E7">
        <w:t xml:space="preserve"> introduce new mandatory industry codes to outline the responsibilities of the private sector in relation to scam activity</w:t>
      </w:r>
      <w:r w:rsidR="00A4648A">
        <w:t xml:space="preserve"> under an overarching </w:t>
      </w:r>
      <w:r w:rsidR="00AB609C">
        <w:t>SPF</w:t>
      </w:r>
      <w:r w:rsidRPr="007866E7">
        <w:t>.</w:t>
      </w:r>
      <w:r>
        <w:t xml:space="preserve"> </w:t>
      </w:r>
      <w:r w:rsidR="00D0670D" w:rsidRPr="00D0670D">
        <w:t xml:space="preserve">If the </w:t>
      </w:r>
      <w:r w:rsidR="00D31DD2">
        <w:t>entities in these industries</w:t>
      </w:r>
      <w:r w:rsidR="00D0670D" w:rsidRPr="00D0670D">
        <w:t xml:space="preserve"> fail to comply with their obligations, they </w:t>
      </w:r>
      <w:r w:rsidR="006B6A25">
        <w:t>may be subject to penalties or</w:t>
      </w:r>
      <w:r w:rsidR="00D0670D" w:rsidRPr="00D0670D">
        <w:t xml:space="preserve"> be liable to </w:t>
      </w:r>
      <w:r w:rsidR="006B6A25">
        <w:t>compensate consumers for losses experienced due to these failures</w:t>
      </w:r>
      <w:r w:rsidR="00D0670D" w:rsidRPr="00D0670D">
        <w:t>.</w:t>
      </w:r>
    </w:p>
    <w:p w14:paraId="4C2457BA" w14:textId="438FFAE1" w:rsidR="006927F4" w:rsidRDefault="006927F4" w:rsidP="006927F4">
      <w:r>
        <w:t>A new framework that creates mandatory obligations for sectors targeted by scammers would provide appropriate guardrails to reduce the scam threat activity across key sectors and make Australia</w:t>
      </w:r>
      <w:r w:rsidR="008E6278">
        <w:t xml:space="preserve"> a</w:t>
      </w:r>
      <w:r>
        <w:t xml:space="preserve"> less attractive </w:t>
      </w:r>
      <w:r w:rsidR="008E6278">
        <w:t xml:space="preserve">target </w:t>
      </w:r>
      <w:r>
        <w:t xml:space="preserve">for scammers. </w:t>
      </w:r>
    </w:p>
    <w:p w14:paraId="0BE116ED" w14:textId="67B1EF84" w:rsidR="00F72FDF" w:rsidRDefault="00F72FDF" w:rsidP="000B496F">
      <w:pPr>
        <w:rPr>
          <w:vertAlign w:val="superscript"/>
        </w:rPr>
      </w:pPr>
      <w:r>
        <w:t>The introduction of an overarching regulatory framework, supported by sector-specific mandatory codes, will deliver the Government’s 2022 election commitment of introducing tough, new mandatory industry codes for banks, telecommunication providers and social media companies to combat scams.</w:t>
      </w:r>
      <w:r w:rsidRPr="4ED998E6">
        <w:rPr>
          <w:rStyle w:val="FootnoteReference"/>
          <w:vertAlign w:val="superscript"/>
        </w:rPr>
        <w:footnoteReference w:id="35"/>
      </w:r>
      <w:r w:rsidRPr="4ED998E6">
        <w:rPr>
          <w:vertAlign w:val="superscript"/>
        </w:rPr>
        <w:t xml:space="preserve"> </w:t>
      </w:r>
    </w:p>
    <w:p w14:paraId="77A48499" w14:textId="76EB3FD8" w:rsidR="00535BF5" w:rsidRDefault="000B496F" w:rsidP="000B496F">
      <w:r>
        <w:t xml:space="preserve">This option </w:t>
      </w:r>
      <w:r w:rsidR="003D05DD">
        <w:t>would have</w:t>
      </w:r>
      <w:r>
        <w:t xml:space="preserve"> a two-tiered regulatory design that enables an overarching legislation</w:t>
      </w:r>
      <w:r w:rsidR="005F32ED">
        <w:t xml:space="preserve"> of the</w:t>
      </w:r>
      <w:r>
        <w:t xml:space="preserve"> </w:t>
      </w:r>
      <w:r w:rsidR="00AB609C">
        <w:t>SPF</w:t>
      </w:r>
      <w:r>
        <w:t xml:space="preserve"> in the </w:t>
      </w:r>
      <w:r w:rsidR="00CF5B4A" w:rsidRPr="00CF5B4A">
        <w:rPr>
          <w:i/>
          <w:iCs/>
        </w:rPr>
        <w:t>Competition and Consumer Act 2010</w:t>
      </w:r>
      <w:r w:rsidR="00CF5B4A">
        <w:t xml:space="preserve"> </w:t>
      </w:r>
      <w:r>
        <w:t>and subordinate legislation to introduce sector-specific obligations (</w:t>
      </w:r>
      <w:r w:rsidR="00B1681B">
        <w:fldChar w:fldCharType="begin"/>
      </w:r>
      <w:r w:rsidR="00B1681B">
        <w:instrText xml:space="preserve"> REF _Ref179203814 \h </w:instrText>
      </w:r>
      <w:r w:rsidR="00B1681B">
        <w:fldChar w:fldCharType="separate"/>
      </w:r>
      <w:r w:rsidR="00B1681B">
        <w:t xml:space="preserve">Figure </w:t>
      </w:r>
      <w:r w:rsidR="00B1681B">
        <w:rPr>
          <w:noProof/>
        </w:rPr>
        <w:t>1</w:t>
      </w:r>
      <w:r w:rsidR="00B1681B">
        <w:fldChar w:fldCharType="end"/>
      </w:r>
      <w:r>
        <w:t xml:space="preserve">). This option would promote a whole-of-ecosystem approach to scams by directly legislating minimum standards that are enforceable in the designated sectors where scammers are prevalent. </w:t>
      </w:r>
    </w:p>
    <w:p w14:paraId="469458B1" w14:textId="75540987" w:rsidR="0082510F" w:rsidRDefault="00742C72" w:rsidP="000B496F">
      <w:r>
        <w:t xml:space="preserve">The SPF </w:t>
      </w:r>
      <w:r w:rsidR="000B496F">
        <w:t>design</w:t>
      </w:r>
      <w:r w:rsidR="00535BF5">
        <w:t xml:space="preserve"> will enable flexibility</w:t>
      </w:r>
      <w:r w:rsidR="000B496F">
        <w:t xml:space="preserve"> </w:t>
      </w:r>
      <w:r w:rsidR="00535BF5">
        <w:t>to designate</w:t>
      </w:r>
      <w:r w:rsidR="000B496F">
        <w:t xml:space="preserve"> additional sectors as future challenges arise.</w:t>
      </w:r>
      <w:r w:rsidR="000B496F" w:rsidRPr="00796384">
        <w:t xml:space="preserve"> </w:t>
      </w:r>
      <w:r w:rsidR="000B496F">
        <w:t xml:space="preserve">This approach will fulfil the Government’s election commitment as it would enable the development and enforcement of sector specific codes on banks, telecommunication providers, and digital platform service providers, which at the outset, </w:t>
      </w:r>
      <w:r w:rsidR="00B1681B">
        <w:t xml:space="preserve">would </w:t>
      </w:r>
      <w:r w:rsidR="00225D1A">
        <w:t>cover</w:t>
      </w:r>
      <w:r w:rsidR="000B496F">
        <w:t xml:space="preserve"> social media</w:t>
      </w:r>
      <w:r w:rsidR="00720D17">
        <w:t xml:space="preserve">, </w:t>
      </w:r>
      <w:r w:rsidR="00225D1A">
        <w:t xml:space="preserve">direct </w:t>
      </w:r>
      <w:r w:rsidR="00720D17">
        <w:t>messaging</w:t>
      </w:r>
      <w:r w:rsidR="0043074C">
        <w:t xml:space="preserve"> and </w:t>
      </w:r>
      <w:r w:rsidR="00225D1A">
        <w:t xml:space="preserve">paid </w:t>
      </w:r>
      <w:r w:rsidR="000B496F">
        <w:t xml:space="preserve">search advertising services. </w:t>
      </w:r>
    </w:p>
    <w:p w14:paraId="6002D627" w14:textId="5E85A0AE" w:rsidR="00C964F4" w:rsidRPr="00C964F4" w:rsidRDefault="00F05928" w:rsidP="00C964F4">
      <w:pPr>
        <w:pStyle w:val="Heading8"/>
      </w:pPr>
      <w:bookmarkStart w:id="24" w:name="_Ref179203814"/>
      <w:r>
        <w:t xml:space="preserve">Figure </w:t>
      </w:r>
      <w:fldSimple w:instr=" SEQ Figure \* ARABIC ">
        <w:r>
          <w:rPr>
            <w:noProof/>
          </w:rPr>
          <w:t>1</w:t>
        </w:r>
      </w:fldSimple>
      <w:bookmarkEnd w:id="24"/>
      <w:r w:rsidR="00B1681B">
        <w:t xml:space="preserve"> </w:t>
      </w:r>
      <w:r w:rsidR="000B496F">
        <w:t xml:space="preserve">– </w:t>
      </w:r>
      <w:r w:rsidR="00C53504">
        <w:t xml:space="preserve">The </w:t>
      </w:r>
      <w:r w:rsidR="000A746C">
        <w:t>Scams Prevention</w:t>
      </w:r>
      <w:r w:rsidR="000B496F">
        <w:t xml:space="preserve"> Framework </w:t>
      </w:r>
      <w:r w:rsidR="00C964F4" w:rsidRPr="00CF57D1">
        <w:rPr>
          <w:b/>
          <w:bCs/>
          <w:noProof/>
        </w:rPr>
        <w:drawing>
          <wp:anchor distT="0" distB="0" distL="114300" distR="114300" simplePos="0" relativeHeight="251658240" behindDoc="0" locked="0" layoutInCell="1" allowOverlap="1" wp14:anchorId="34CEB1AD" wp14:editId="788308F8">
            <wp:simplePos x="0" y="0"/>
            <wp:positionH relativeFrom="margin">
              <wp:posOffset>0</wp:posOffset>
            </wp:positionH>
            <wp:positionV relativeFrom="paragraph">
              <wp:posOffset>320675</wp:posOffset>
            </wp:positionV>
            <wp:extent cx="5760720" cy="2476500"/>
            <wp:effectExtent l="0" t="0" r="0" b="0"/>
            <wp:wrapSquare wrapText="bothSides"/>
            <wp:docPr id="1309835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35711" name=""/>
                    <pic:cNvPicPr/>
                  </pic:nvPicPr>
                  <pic:blipFill>
                    <a:blip r:embed="rId35">
                      <a:extLst>
                        <a:ext uri="{28A0092B-C50C-407E-A947-70E740481C1C}">
                          <a14:useLocalDpi xmlns:a14="http://schemas.microsoft.com/office/drawing/2010/main" val="0"/>
                        </a:ext>
                      </a:extLst>
                    </a:blip>
                    <a:stretch>
                      <a:fillRect/>
                    </a:stretch>
                  </pic:blipFill>
                  <pic:spPr>
                    <a:xfrm>
                      <a:off x="0" y="0"/>
                      <a:ext cx="5760720" cy="2476500"/>
                    </a:xfrm>
                    <a:prstGeom prst="rect">
                      <a:avLst/>
                    </a:prstGeom>
                  </pic:spPr>
                </pic:pic>
              </a:graphicData>
            </a:graphic>
            <wp14:sizeRelH relativeFrom="page">
              <wp14:pctWidth>0</wp14:pctWidth>
            </wp14:sizeRelH>
            <wp14:sizeRelV relativeFrom="page">
              <wp14:pctHeight>0</wp14:pctHeight>
            </wp14:sizeRelV>
          </wp:anchor>
        </w:drawing>
      </w:r>
    </w:p>
    <w:p w14:paraId="5C7BA2E3" w14:textId="7E6D9E08" w:rsidR="000B496F" w:rsidRDefault="000B496F" w:rsidP="005C1949">
      <w:pPr>
        <w:pStyle w:val="Heading7"/>
      </w:pPr>
      <w:r>
        <w:t>Overarching framework</w:t>
      </w:r>
    </w:p>
    <w:p w14:paraId="00298091" w14:textId="41B0CEEB" w:rsidR="00AB3BF1" w:rsidRDefault="00AB3BF1" w:rsidP="00AB3BF1">
      <w:r>
        <w:t xml:space="preserve">The </w:t>
      </w:r>
      <w:r w:rsidR="00A92CBD">
        <w:t>SPF establishes an</w:t>
      </w:r>
      <w:r>
        <w:t xml:space="preserve"> overarching </w:t>
      </w:r>
      <w:r w:rsidR="001872E2">
        <w:t>f</w:t>
      </w:r>
      <w:r>
        <w:t xml:space="preserve">ramework </w:t>
      </w:r>
      <w:r w:rsidR="00A92CBD">
        <w:t>to</w:t>
      </w:r>
      <w:r>
        <w:t xml:space="preserve"> set principles-based obligations </w:t>
      </w:r>
      <w:r w:rsidR="002F5553">
        <w:t xml:space="preserve">that would be </w:t>
      </w:r>
      <w:r>
        <w:t>adaptable to the various operating models of regulated businesses</w:t>
      </w:r>
      <w:r w:rsidR="00062599">
        <w:t xml:space="preserve">. The </w:t>
      </w:r>
      <w:r w:rsidR="00C53504">
        <w:t>SPF</w:t>
      </w:r>
      <w:r w:rsidR="00062599">
        <w:t xml:space="preserve"> would</w:t>
      </w:r>
      <w:r w:rsidRPr="00B57E8F">
        <w:t xml:space="preserve"> </w:t>
      </w:r>
      <w:r>
        <w:t>enabl</w:t>
      </w:r>
      <w:r w:rsidR="00062599">
        <w:t>e</w:t>
      </w:r>
      <w:r>
        <w:t xml:space="preserve"> an increase in baseline requirements commensurate with the size and risk profile of the entity targeted by scams </w:t>
      </w:r>
      <w:r>
        <w:lastRenderedPageBreak/>
        <w:t>and allow for consideration of future sectors</w:t>
      </w:r>
      <w:r w:rsidR="001A3E03">
        <w:t xml:space="preserve"> to be designated</w:t>
      </w:r>
      <w:r w:rsidR="00285A9E">
        <w:t xml:space="preserve"> by government</w:t>
      </w:r>
      <w:r>
        <w:t xml:space="preserve">. </w:t>
      </w:r>
      <w:r w:rsidR="002D5FC0">
        <w:t xml:space="preserve">The SPF would </w:t>
      </w:r>
      <w:r w:rsidR="002D5FC0" w:rsidRPr="002D5FC0">
        <w:t>drive consistency in expectations and response</w:t>
      </w:r>
      <w:r w:rsidR="00575836">
        <w:t>s</w:t>
      </w:r>
      <w:r w:rsidR="002D5FC0" w:rsidRPr="002D5FC0">
        <w:t xml:space="preserve"> across sector</w:t>
      </w:r>
      <w:r w:rsidR="002D5FC0">
        <w:t>s.</w:t>
      </w:r>
    </w:p>
    <w:p w14:paraId="6371EE0A" w14:textId="3B0095DC" w:rsidR="00902371" w:rsidRDefault="00902371" w:rsidP="00AB3BF1">
      <w:r>
        <w:t xml:space="preserve">Under the </w:t>
      </w:r>
      <w:r w:rsidR="00AB609C">
        <w:t>SPF</w:t>
      </w:r>
      <w:r>
        <w:t xml:space="preserve"> there would be</w:t>
      </w:r>
      <w:r w:rsidR="00832EA2">
        <w:t xml:space="preserve"> 6 types of</w:t>
      </w:r>
      <w:r>
        <w:t xml:space="preserve"> </w:t>
      </w:r>
      <w:r w:rsidR="00452AE0">
        <w:t xml:space="preserve">obligations </w:t>
      </w:r>
      <w:r w:rsidR="00611E79">
        <w:t>for regulated entities:</w:t>
      </w:r>
      <w:r w:rsidR="0042232C">
        <w:t xml:space="preserve"> </w:t>
      </w:r>
    </w:p>
    <w:p w14:paraId="4C0DCFFA" w14:textId="2E3862A5" w:rsidR="00AB3BF1" w:rsidRPr="00084202" w:rsidRDefault="002A2F28" w:rsidP="00183D93">
      <w:pPr>
        <w:pStyle w:val="Bullet"/>
        <w:numPr>
          <w:ilvl w:val="0"/>
          <w:numId w:val="16"/>
        </w:numPr>
      </w:pPr>
      <w:r w:rsidRPr="002A2F28">
        <w:t>Prevent</w:t>
      </w:r>
      <w:r>
        <w:t xml:space="preserve">: </w:t>
      </w:r>
      <w:r w:rsidR="00104FDF">
        <w:t>I</w:t>
      </w:r>
      <w:r w:rsidR="00AB3BF1" w:rsidRPr="00084202">
        <w:t>mplement</w:t>
      </w:r>
      <w:r w:rsidR="00B226B4">
        <w:t xml:space="preserve">ation of </w:t>
      </w:r>
      <w:r w:rsidR="00AB3BF1" w:rsidRPr="00084202">
        <w:t>responsive anti-scam processes, procedures and/or systems, and make information available to consumers in relation to the steps they can take to minimise the risk of scams.</w:t>
      </w:r>
    </w:p>
    <w:p w14:paraId="5C7DE9E1" w14:textId="0D65C5F5" w:rsidR="00AB3BF1" w:rsidRPr="00084202" w:rsidRDefault="002A2F28" w:rsidP="00183D93">
      <w:pPr>
        <w:pStyle w:val="Bullet"/>
        <w:numPr>
          <w:ilvl w:val="0"/>
          <w:numId w:val="16"/>
        </w:numPr>
      </w:pPr>
      <w:r w:rsidRPr="002A2F28">
        <w:t>Detect</w:t>
      </w:r>
      <w:r>
        <w:t xml:space="preserve">: </w:t>
      </w:r>
      <w:r w:rsidR="001F6597">
        <w:t>T</w:t>
      </w:r>
      <w:r w:rsidR="00AB3BF1" w:rsidRPr="00084202">
        <w:t>ak</w:t>
      </w:r>
      <w:r w:rsidR="001F6597">
        <w:t>ing</w:t>
      </w:r>
      <w:r w:rsidR="00AB3BF1" w:rsidRPr="00084202">
        <w:t xml:space="preserve"> proactive steps to detect scam activity on its platform and/or service, and act in a timely manner on scam intelligence received to prevent further loss to impacted consumers.</w:t>
      </w:r>
    </w:p>
    <w:p w14:paraId="6582348D" w14:textId="7EFD22B1" w:rsidR="00AB3BF1" w:rsidRPr="00084202" w:rsidRDefault="002A2F28" w:rsidP="00183D93">
      <w:pPr>
        <w:pStyle w:val="Bullet"/>
        <w:numPr>
          <w:ilvl w:val="0"/>
          <w:numId w:val="16"/>
        </w:numPr>
      </w:pPr>
      <w:r>
        <w:t xml:space="preserve">Disrupt: </w:t>
      </w:r>
      <w:r w:rsidR="001F6597" w:rsidRPr="001F6597">
        <w:t>T</w:t>
      </w:r>
      <w:r w:rsidR="00AB3BF1" w:rsidRPr="00084202">
        <w:t>ak</w:t>
      </w:r>
      <w:r w:rsidR="001F6597">
        <w:t>ing</w:t>
      </w:r>
      <w:r w:rsidR="00AB3BF1" w:rsidRPr="00084202">
        <w:t xml:space="preserve"> proactive and timely steps to disrupt scam activity identified on its platform</w:t>
      </w:r>
      <w:r w:rsidR="00801CDC">
        <w:t xml:space="preserve"> </w:t>
      </w:r>
      <w:r w:rsidR="00AB3BF1" w:rsidRPr="00084202">
        <w:t>and</w:t>
      </w:r>
      <w:r w:rsidR="00801CDC">
        <w:t>/</w:t>
      </w:r>
      <w:r w:rsidR="00AB3BF1" w:rsidRPr="00084202">
        <w:t>or service and share relevant scam intelligence with impacted consumers in a timely manner.</w:t>
      </w:r>
    </w:p>
    <w:p w14:paraId="48F07AD1" w14:textId="36FEE0D8" w:rsidR="00AB3BF1" w:rsidRPr="00874346" w:rsidRDefault="005768A3" w:rsidP="00183D93">
      <w:pPr>
        <w:pStyle w:val="Bullet"/>
        <w:numPr>
          <w:ilvl w:val="0"/>
          <w:numId w:val="16"/>
        </w:numPr>
      </w:pPr>
      <w:r w:rsidRPr="00874346">
        <w:t xml:space="preserve">Respond: </w:t>
      </w:r>
      <w:r w:rsidR="00E61924">
        <w:t>Having an a</w:t>
      </w:r>
      <w:r w:rsidR="00A00C82" w:rsidRPr="00874346">
        <w:t>cce</w:t>
      </w:r>
      <w:r w:rsidR="00DF129D" w:rsidRPr="00874346">
        <w:t>ssible</w:t>
      </w:r>
      <w:r w:rsidR="00AB3BF1" w:rsidRPr="00874346">
        <w:t xml:space="preserve"> mechanism for consumers to report a scam, an </w:t>
      </w:r>
      <w:r w:rsidR="00F0150D" w:rsidRPr="00874346">
        <w:t xml:space="preserve">IDR </w:t>
      </w:r>
      <w:r w:rsidR="00AB3BF1" w:rsidRPr="00874346">
        <w:t>mechanism for a consumer to make a complaint</w:t>
      </w:r>
      <w:r w:rsidR="00E27D33" w:rsidRPr="00874346">
        <w:t>,</w:t>
      </w:r>
      <w:r w:rsidR="00AB3BF1" w:rsidRPr="00874346">
        <w:t xml:space="preserve"> and membership of </w:t>
      </w:r>
      <w:r w:rsidR="00BC0694" w:rsidRPr="00874346">
        <w:t xml:space="preserve">the </w:t>
      </w:r>
      <w:r w:rsidR="00B111D4" w:rsidRPr="00874346">
        <w:t>prescribed</w:t>
      </w:r>
      <w:r w:rsidR="00AB3BF1" w:rsidRPr="00874346">
        <w:t xml:space="preserve"> </w:t>
      </w:r>
      <w:r w:rsidR="00C803D6" w:rsidRPr="00874346">
        <w:t xml:space="preserve">EDR </w:t>
      </w:r>
      <w:r w:rsidR="00E27D33" w:rsidRPr="00874346">
        <w:t>scheme</w:t>
      </w:r>
      <w:r w:rsidR="00BC0694" w:rsidRPr="00874346">
        <w:t xml:space="preserve"> for </w:t>
      </w:r>
      <w:r w:rsidR="005577A8" w:rsidRPr="00874346">
        <w:t>their</w:t>
      </w:r>
      <w:r w:rsidR="005B470F" w:rsidRPr="00874346">
        <w:t xml:space="preserve"> sector</w:t>
      </w:r>
      <w:r w:rsidR="00AB3BF1" w:rsidRPr="00874346">
        <w:t>.</w:t>
      </w:r>
    </w:p>
    <w:p w14:paraId="4CA48B54" w14:textId="6E22C95F" w:rsidR="00AB3BF1" w:rsidRDefault="003E068C" w:rsidP="00183D93">
      <w:pPr>
        <w:pStyle w:val="Bullet"/>
        <w:numPr>
          <w:ilvl w:val="0"/>
          <w:numId w:val="16"/>
        </w:numPr>
      </w:pPr>
      <w:r>
        <w:t xml:space="preserve">Report: </w:t>
      </w:r>
      <w:r w:rsidR="00A745FA" w:rsidRPr="00A745FA">
        <w:t>S</w:t>
      </w:r>
      <w:r w:rsidR="00AB3BF1" w:rsidRPr="00084202">
        <w:t>har</w:t>
      </w:r>
      <w:r w:rsidR="00A745FA">
        <w:t>ing</w:t>
      </w:r>
      <w:r w:rsidR="00AB3BF1" w:rsidRPr="00084202">
        <w:t xml:space="preserve"> scam intelligence with </w:t>
      </w:r>
      <w:r w:rsidR="00743EAC">
        <w:t>a</w:t>
      </w:r>
      <w:r w:rsidR="00AB3BF1" w:rsidRPr="00084202">
        <w:t xml:space="preserve"> </w:t>
      </w:r>
      <w:r w:rsidR="00C20E6C">
        <w:t>government</w:t>
      </w:r>
      <w:r w:rsidR="003334F0">
        <w:t xml:space="preserve"> regulator in real-time</w:t>
      </w:r>
      <w:r w:rsidR="00AB3BF1" w:rsidRPr="00084202">
        <w:t xml:space="preserve"> and respond</w:t>
      </w:r>
      <w:r w:rsidR="00E61924">
        <w:t>ing</w:t>
      </w:r>
      <w:r w:rsidR="00AB3BF1" w:rsidRPr="00084202">
        <w:t xml:space="preserve"> to information requests from regulators within </w:t>
      </w:r>
      <w:r w:rsidR="00100BD6">
        <w:t>a</w:t>
      </w:r>
      <w:r w:rsidR="00AB3BF1" w:rsidRPr="00084202">
        <w:t xml:space="preserve"> </w:t>
      </w:r>
      <w:r w:rsidR="005F1F87" w:rsidRPr="00084202">
        <w:t xml:space="preserve">specified </w:t>
      </w:r>
      <w:r w:rsidR="00AB3BF1" w:rsidRPr="00084202">
        <w:t>timeframe.</w:t>
      </w:r>
      <w:r w:rsidR="00743EAC">
        <w:t xml:space="preserve"> Government regulators would also </w:t>
      </w:r>
      <w:r w:rsidR="00CA08F4">
        <w:t xml:space="preserve">be expected to share scam intelligence </w:t>
      </w:r>
      <w:r w:rsidR="00265EAB">
        <w:t xml:space="preserve">with other entities, government agencies and people who may be able to respond to </w:t>
      </w:r>
      <w:r w:rsidR="001429E9">
        <w:t>the scam activity.</w:t>
      </w:r>
    </w:p>
    <w:p w14:paraId="37DC47F0" w14:textId="40F96ED5" w:rsidR="00E6461B" w:rsidRDefault="00E6461B" w:rsidP="00183D93">
      <w:pPr>
        <w:pStyle w:val="Bullet"/>
        <w:numPr>
          <w:ilvl w:val="0"/>
          <w:numId w:val="16"/>
        </w:numPr>
      </w:pPr>
      <w:r w:rsidRPr="002A2F28">
        <w:t>Governance</w:t>
      </w:r>
      <w:r>
        <w:t>:</w:t>
      </w:r>
      <w:r w:rsidRPr="00084202">
        <w:t xml:space="preserve"> </w:t>
      </w:r>
      <w:r>
        <w:t>D</w:t>
      </w:r>
      <w:r w:rsidRPr="00084202">
        <w:t>ocument</w:t>
      </w:r>
      <w:r>
        <w:t>ation of</w:t>
      </w:r>
      <w:r w:rsidRPr="00084202">
        <w:t xml:space="preserve"> policies and procedures for managing the risk of scams on their platform and/or service and regularly review their effectiveness against established performance metrics</w:t>
      </w:r>
      <w:r>
        <w:t xml:space="preserve"> and targets</w:t>
      </w:r>
      <w:r w:rsidRPr="00084202">
        <w:t xml:space="preserve">. </w:t>
      </w:r>
    </w:p>
    <w:p w14:paraId="60531D46" w14:textId="2454EDB2" w:rsidR="009A653A" w:rsidRDefault="00396C66" w:rsidP="009A653A">
      <w:r w:rsidRPr="00874346">
        <w:t xml:space="preserve">IDR and EDR requirements </w:t>
      </w:r>
      <w:r w:rsidR="00844271" w:rsidRPr="00874346">
        <w:t>would</w:t>
      </w:r>
      <w:r w:rsidRPr="00874346">
        <w:t xml:space="preserve"> </w:t>
      </w:r>
      <w:r w:rsidR="00B32C0D" w:rsidRPr="00874346">
        <w:t>apply</w:t>
      </w:r>
      <w:r w:rsidRPr="00874346">
        <w:t xml:space="preserve"> consistently across all designated entities. </w:t>
      </w:r>
      <w:r w:rsidR="00C803D6" w:rsidRPr="00874346">
        <w:t>Where a consumer has experience</w:t>
      </w:r>
      <w:r w:rsidR="00A67220" w:rsidRPr="00874346">
        <w:t>d</w:t>
      </w:r>
      <w:r w:rsidR="00C803D6" w:rsidRPr="00874346">
        <w:t xml:space="preserve"> loss due to a scam, they </w:t>
      </w:r>
      <w:r w:rsidR="00790030" w:rsidRPr="00874346">
        <w:t xml:space="preserve">would </w:t>
      </w:r>
      <w:r w:rsidR="00C803D6" w:rsidRPr="00874346">
        <w:t>first approach a relevant regulated entity for redress through the entity’s IDR mechanism.</w:t>
      </w:r>
      <w:r w:rsidR="0034724D" w:rsidRPr="00874346">
        <w:t xml:space="preserve"> If </w:t>
      </w:r>
      <w:r w:rsidR="00F972B7" w:rsidRPr="00874346">
        <w:t xml:space="preserve">a consumer complaint is not resolved or if the consumer is not satisfied with the outcome </w:t>
      </w:r>
      <w:r w:rsidR="00A53026" w:rsidRPr="00874346">
        <w:t>at the IDR stage</w:t>
      </w:r>
      <w:r w:rsidR="00F972B7" w:rsidRPr="00874346">
        <w:t xml:space="preserve">, they will have an option to escalate their complaint to EDR. </w:t>
      </w:r>
      <w:r w:rsidR="00FA4DD5" w:rsidRPr="00874346">
        <w:t>All e</w:t>
      </w:r>
      <w:r w:rsidR="00790AA9" w:rsidRPr="00874346">
        <w:t xml:space="preserve">ntities that provide a service that is regulated by the SPF would be required to become a member of an </w:t>
      </w:r>
      <w:r w:rsidR="00041338">
        <w:t xml:space="preserve">authorised </w:t>
      </w:r>
      <w:r w:rsidR="00790AA9" w:rsidRPr="00874346">
        <w:t xml:space="preserve">EDR scheme. </w:t>
      </w:r>
      <w:r w:rsidR="00656CC6" w:rsidRPr="00874346">
        <w:t>An EDR mechanism</w:t>
      </w:r>
      <w:r w:rsidR="00656CC6" w:rsidRPr="00874346" w:rsidDel="00790AA9">
        <w:t xml:space="preserve"> </w:t>
      </w:r>
      <w:r w:rsidR="00790AA9" w:rsidRPr="00874346">
        <w:t xml:space="preserve">would </w:t>
      </w:r>
      <w:r w:rsidR="00656CC6" w:rsidRPr="00874346">
        <w:t xml:space="preserve">provide pathways for redress (including compensation) where regulated entities have not met their </w:t>
      </w:r>
      <w:r w:rsidR="00AB609C" w:rsidRPr="00874346">
        <w:t>SPF</w:t>
      </w:r>
      <w:r w:rsidR="00656CC6" w:rsidRPr="00874346">
        <w:t xml:space="preserve"> obligations. </w:t>
      </w:r>
      <w:r w:rsidR="006774AF" w:rsidRPr="00874346">
        <w:t xml:space="preserve">AFCA </w:t>
      </w:r>
      <w:r w:rsidR="00106534" w:rsidRPr="00874346">
        <w:t>would</w:t>
      </w:r>
      <w:r w:rsidR="008902E1" w:rsidRPr="00874346">
        <w:t xml:space="preserve"> become the</w:t>
      </w:r>
      <w:r w:rsidR="00FA343C" w:rsidRPr="00874346">
        <w:t xml:space="preserve"> single EDR </w:t>
      </w:r>
      <w:r w:rsidR="006774AF" w:rsidRPr="00874346">
        <w:t xml:space="preserve">body </w:t>
      </w:r>
      <w:r w:rsidR="008902E1" w:rsidRPr="00874346">
        <w:t xml:space="preserve">for the three sectors initially </w:t>
      </w:r>
      <w:r w:rsidR="00C90B2E" w:rsidRPr="00874346">
        <w:t xml:space="preserve">designated under the </w:t>
      </w:r>
      <w:r w:rsidR="00565F69">
        <w:t>SPF</w:t>
      </w:r>
      <w:r w:rsidR="00FA343C" w:rsidRPr="00874346">
        <w:t xml:space="preserve">. </w:t>
      </w:r>
      <w:r w:rsidR="00897BE3" w:rsidRPr="00874346">
        <w:t>Consumers</w:t>
      </w:r>
      <w:r w:rsidR="00897BE3" w:rsidRPr="00874346" w:rsidDel="00034021">
        <w:t xml:space="preserve"> </w:t>
      </w:r>
      <w:r w:rsidR="00034021" w:rsidRPr="00874346">
        <w:t xml:space="preserve">would </w:t>
      </w:r>
      <w:r w:rsidR="00897BE3" w:rsidRPr="00874346">
        <w:t>be able to raise scam complaints related to banks, telecommunication providers and certain digital platforms, ensuring a holistic ‘no wrong door’ approach to see</w:t>
      </w:r>
      <w:r w:rsidR="00B066F7" w:rsidRPr="00874346">
        <w:t>k</w:t>
      </w:r>
      <w:r w:rsidR="00897BE3" w:rsidRPr="00874346">
        <w:t xml:space="preserve"> redress. </w:t>
      </w:r>
    </w:p>
    <w:p w14:paraId="26902B49" w14:textId="4EF494A1" w:rsidR="004D3181" w:rsidRDefault="006F102D" w:rsidP="009A653A">
      <w:r>
        <w:t>T</w:t>
      </w:r>
      <w:r w:rsidR="004D3181">
        <w:t xml:space="preserve">he </w:t>
      </w:r>
      <w:r w:rsidR="00AB609C">
        <w:t>SPF</w:t>
      </w:r>
      <w:r w:rsidR="004D3181">
        <w:t xml:space="preserve"> </w:t>
      </w:r>
      <w:r>
        <w:t>would also establish</w:t>
      </w:r>
      <w:r w:rsidR="004D3181" w:rsidRPr="004D3181">
        <w:t xml:space="preserve"> a network for reporting intelligence to protect against scams.</w:t>
      </w:r>
      <w:r>
        <w:t xml:space="preserve"> </w:t>
      </w:r>
      <w:r w:rsidR="00C37CAB">
        <w:t xml:space="preserve">By requiring entities which </w:t>
      </w:r>
      <w:r w:rsidR="00C20E6C">
        <w:t>detect scam activities to share information with a government regulator</w:t>
      </w:r>
      <w:r w:rsidR="00743EAC">
        <w:t xml:space="preserve">, and establishing </w:t>
      </w:r>
      <w:r w:rsidR="009B4B47">
        <w:t xml:space="preserve">systems for </w:t>
      </w:r>
      <w:r w:rsidR="00C80AEE">
        <w:t xml:space="preserve">such intelligence to be shared with relevant entities </w:t>
      </w:r>
      <w:r w:rsidR="003331C3">
        <w:t xml:space="preserve">across the scam ecosystem; </w:t>
      </w:r>
      <w:r w:rsidR="00C80AEE">
        <w:t xml:space="preserve">anti-scam activities </w:t>
      </w:r>
      <w:r w:rsidR="00BC24FE">
        <w:t>can be coordinated across multiple entities, industry sectors and potentially with international partners.</w:t>
      </w:r>
    </w:p>
    <w:p w14:paraId="00EE78E8" w14:textId="6B047F48" w:rsidR="009A653A" w:rsidRDefault="009A653A" w:rsidP="009A653A">
      <w:r>
        <w:t xml:space="preserve">Certain requirements around scam disruption and response action will be framed as principles-based obligations, leaving open the potential for more prescriptive details in sector-specific codes. </w:t>
      </w:r>
    </w:p>
    <w:p w14:paraId="31192EA4" w14:textId="218FE319" w:rsidR="00F973E5" w:rsidRDefault="00F973E5" w:rsidP="009A653A">
      <w:r w:rsidRPr="00F973E5">
        <w:t xml:space="preserve">The </w:t>
      </w:r>
      <w:r w:rsidR="00AB609C">
        <w:t>SPF</w:t>
      </w:r>
      <w:r w:rsidRPr="00F973E5">
        <w:t xml:space="preserve"> </w:t>
      </w:r>
      <w:r>
        <w:t>would</w:t>
      </w:r>
      <w:r w:rsidRPr="00F973E5">
        <w:t xml:space="preserve"> introduce a responsive and adaptable framework that allows the Government</w:t>
      </w:r>
      <w:r w:rsidR="00B04D88">
        <w:t>, industry</w:t>
      </w:r>
      <w:r w:rsidRPr="00F973E5">
        <w:t xml:space="preserve"> and regulators to respond to changes in scam activity in the economy, by allowing for additional sectors or services of the economy to be regulated, and for sector-specific codes to be made and enforced for that sector.</w:t>
      </w:r>
    </w:p>
    <w:p w14:paraId="31DECA72" w14:textId="3437335A" w:rsidR="000B496F" w:rsidRDefault="000B496F" w:rsidP="005C1949">
      <w:pPr>
        <w:pStyle w:val="Heading7"/>
      </w:pPr>
      <w:r>
        <w:t>Mandatory sector-specific codes</w:t>
      </w:r>
    </w:p>
    <w:p w14:paraId="0E558BFA" w14:textId="7A1440FE" w:rsidR="0060577E" w:rsidRDefault="004D405A" w:rsidP="00A50C8F">
      <w:r>
        <w:t xml:space="preserve">In addition </w:t>
      </w:r>
      <w:r w:rsidR="00C17E63">
        <w:t>to the</w:t>
      </w:r>
      <w:r>
        <w:t xml:space="preserve"> </w:t>
      </w:r>
      <w:r w:rsidR="00AA4129">
        <w:t>principles-based obligations</w:t>
      </w:r>
      <w:r w:rsidR="00C571BA">
        <w:t>,</w:t>
      </w:r>
      <w:r w:rsidR="00AA4129">
        <w:t xml:space="preserve"> the </w:t>
      </w:r>
      <w:r w:rsidR="00565F69">
        <w:t xml:space="preserve">SPF </w:t>
      </w:r>
      <w:r w:rsidR="00AA4129">
        <w:t xml:space="preserve">would </w:t>
      </w:r>
      <w:r w:rsidR="00B11F8F">
        <w:t>introduce</w:t>
      </w:r>
      <w:r w:rsidR="00AA4129">
        <w:t xml:space="preserve"> mandatory sector-specific codes, setting out </w:t>
      </w:r>
      <w:r w:rsidR="00C17E63">
        <w:t>more specific</w:t>
      </w:r>
      <w:r w:rsidR="00AA4129">
        <w:t xml:space="preserve"> obligations </w:t>
      </w:r>
      <w:r w:rsidR="00B73819">
        <w:t>for</w:t>
      </w:r>
      <w:r w:rsidR="00AA4129">
        <w:t xml:space="preserve"> each sector</w:t>
      </w:r>
      <w:r w:rsidR="007A6544">
        <w:t xml:space="preserve">. </w:t>
      </w:r>
    </w:p>
    <w:p w14:paraId="667AC3A1" w14:textId="7342B543" w:rsidR="00A51DB5" w:rsidRDefault="007A6544" w:rsidP="00A50C8F">
      <w:r>
        <w:lastRenderedPageBreak/>
        <w:t>Sector-specific</w:t>
      </w:r>
      <w:r w:rsidR="00A50C8F" w:rsidRPr="00811DEF">
        <w:t xml:space="preserve"> </w:t>
      </w:r>
      <w:r>
        <w:t>codes would</w:t>
      </w:r>
      <w:r w:rsidR="00A50C8F">
        <w:t xml:space="preserve"> </w:t>
      </w:r>
      <w:r w:rsidR="00A50C8F" w:rsidRPr="00811DEF">
        <w:t>ensure</w:t>
      </w:r>
      <w:r w:rsidR="00A50C8F">
        <w:t xml:space="preserve"> </w:t>
      </w:r>
      <w:r w:rsidRPr="00811DEF">
        <w:t xml:space="preserve">measures are appropriate </w:t>
      </w:r>
      <w:r>
        <w:t xml:space="preserve">for each </w:t>
      </w:r>
      <w:r w:rsidR="00A50C8F" w:rsidRPr="00811DEF">
        <w:t>industry,</w:t>
      </w:r>
      <w:r>
        <w:t xml:space="preserve"> as well as providing</w:t>
      </w:r>
      <w:r w:rsidR="00A50C8F" w:rsidRPr="00811DEF">
        <w:t xml:space="preserve"> flexib</w:t>
      </w:r>
      <w:r>
        <w:t>i</w:t>
      </w:r>
      <w:r w:rsidR="00A50C8F" w:rsidRPr="00811DEF">
        <w:t>l</w:t>
      </w:r>
      <w:r>
        <w:t>ity</w:t>
      </w:r>
      <w:r w:rsidR="00A50C8F" w:rsidRPr="00811DEF">
        <w:t xml:space="preserve"> </w:t>
      </w:r>
      <w:r w:rsidR="00460D08">
        <w:t>for</w:t>
      </w:r>
      <w:r w:rsidR="00A50C8F">
        <w:t xml:space="preserve"> </w:t>
      </w:r>
      <w:r w:rsidR="00460D08" w:rsidRPr="00811DEF">
        <w:t xml:space="preserve">obligations </w:t>
      </w:r>
      <w:r w:rsidR="00460D08">
        <w:t xml:space="preserve">to be developed in </w:t>
      </w:r>
      <w:r w:rsidR="00A50C8F" w:rsidRPr="00811DEF">
        <w:t>further detail as scams evolve</w:t>
      </w:r>
      <w:r w:rsidR="00A50C8F">
        <w:t xml:space="preserve">. This design is intended to enable rapid response to evolving scam patterns, </w:t>
      </w:r>
      <w:r w:rsidR="005A020C">
        <w:t>without</w:t>
      </w:r>
      <w:r w:rsidR="00A50C8F">
        <w:t xml:space="preserve"> requiring </w:t>
      </w:r>
      <w:r w:rsidR="00A50C8F" w:rsidRPr="00811DEF">
        <w:t xml:space="preserve">changes to the primary law. </w:t>
      </w:r>
    </w:p>
    <w:p w14:paraId="0B84A78A" w14:textId="7FA67C64" w:rsidR="00A50C8F" w:rsidRDefault="005F2000" w:rsidP="00A50C8F">
      <w:r>
        <w:t>Sector-specific</w:t>
      </w:r>
      <w:r w:rsidR="00A50C8F">
        <w:t xml:space="preserve"> codes </w:t>
      </w:r>
      <w:r w:rsidR="001A06AE">
        <w:t>may incorporate</w:t>
      </w:r>
      <w:r w:rsidR="00A50C8F">
        <w:t xml:space="preserve"> </w:t>
      </w:r>
      <w:r w:rsidR="001A06AE">
        <w:t xml:space="preserve">prescriptive </w:t>
      </w:r>
      <w:r w:rsidR="00A50C8F">
        <w:t>expectations on businesses to:</w:t>
      </w:r>
      <w:r w:rsidR="002D7A5B">
        <w:t xml:space="preserve"> </w:t>
      </w:r>
    </w:p>
    <w:p w14:paraId="5F81E277" w14:textId="1F7C77CB" w:rsidR="00A50C8F" w:rsidRPr="00084202" w:rsidRDefault="00A50C8F" w:rsidP="00183D93">
      <w:pPr>
        <w:pStyle w:val="Bullet"/>
        <w:numPr>
          <w:ilvl w:val="0"/>
          <w:numId w:val="17"/>
        </w:numPr>
      </w:pPr>
      <w:r w:rsidRPr="00084202">
        <w:t>Document policies and procedures setting out their approach to managing scam-related risks in their business</w:t>
      </w:r>
      <w:r w:rsidR="001A06AE">
        <w:t>;</w:t>
      </w:r>
    </w:p>
    <w:p w14:paraId="7F3361CC" w14:textId="050C6637" w:rsidR="00A50C8F" w:rsidRPr="00874346" w:rsidRDefault="00DD2FE5" w:rsidP="00183D93">
      <w:pPr>
        <w:pStyle w:val="Bullet"/>
        <w:numPr>
          <w:ilvl w:val="0"/>
          <w:numId w:val="17"/>
        </w:numPr>
      </w:pPr>
      <w:r w:rsidRPr="00874346">
        <w:t xml:space="preserve">Comply with certain obligations related to IDR and EDR, including timeframes for response </w:t>
      </w:r>
      <w:r w:rsidR="003508E7">
        <w:t>to</w:t>
      </w:r>
      <w:r w:rsidRPr="00874346">
        <w:t xml:space="preserve"> consumer complaints</w:t>
      </w:r>
      <w:r w:rsidR="0035647D" w:rsidRPr="00874346">
        <w:t xml:space="preserve"> at the IDR level</w:t>
      </w:r>
      <w:r w:rsidRPr="00874346">
        <w:t>,</w:t>
      </w:r>
      <w:r w:rsidR="0035647D" w:rsidRPr="00874346">
        <w:t xml:space="preserve"> </w:t>
      </w:r>
      <w:r w:rsidR="00C05A77" w:rsidRPr="00874346">
        <w:t xml:space="preserve">and </w:t>
      </w:r>
      <w:r w:rsidR="0035647D" w:rsidRPr="00874346">
        <w:t>cooperating and providing reasonable assistance to the prescribed EDR scheme</w:t>
      </w:r>
      <w:r w:rsidR="001A06AE" w:rsidRPr="00874346">
        <w:t>; and</w:t>
      </w:r>
    </w:p>
    <w:p w14:paraId="4AA051D7" w14:textId="2E94A728" w:rsidR="00A50C8F" w:rsidRDefault="00DF6F90" w:rsidP="00183D93">
      <w:pPr>
        <w:pStyle w:val="Bullet"/>
        <w:numPr>
          <w:ilvl w:val="0"/>
          <w:numId w:val="17"/>
        </w:numPr>
      </w:pPr>
      <w:r>
        <w:t>A</w:t>
      </w:r>
      <w:r w:rsidR="00A50C8F" w:rsidRPr="00084202">
        <w:t xml:space="preserve">ct on scam intelligence, supported by </w:t>
      </w:r>
      <w:proofErr w:type="gramStart"/>
      <w:r w:rsidR="00A50C8F" w:rsidRPr="00084202">
        <w:t>guidance  on</w:t>
      </w:r>
      <w:proofErr w:type="gramEnd"/>
      <w:r w:rsidR="00A50C8F" w:rsidRPr="00084202">
        <w:t xml:space="preserve"> the actions expected of businesses.</w:t>
      </w:r>
    </w:p>
    <w:p w14:paraId="06E7F1F3" w14:textId="17DD8146" w:rsidR="0031514C" w:rsidRDefault="00A50C8F" w:rsidP="00A50C8F">
      <w:pPr>
        <w:spacing w:before="0" w:after="160" w:line="259" w:lineRule="auto"/>
      </w:pPr>
      <w:r>
        <w:t xml:space="preserve">The mandatory sector-specific codes will initially </w:t>
      </w:r>
      <w:r w:rsidR="00F87611">
        <w:t xml:space="preserve">apply to sectors designated to be covered under the </w:t>
      </w:r>
      <w:r w:rsidR="00AB609C">
        <w:t>SPF</w:t>
      </w:r>
      <w:r w:rsidR="00F47C88">
        <w:t xml:space="preserve"> (banks, telecommunication providers and digital platform service providers)</w:t>
      </w:r>
      <w:r w:rsidR="00F87611">
        <w:t xml:space="preserve">. </w:t>
      </w:r>
      <w:r w:rsidR="004D03AC">
        <w:t>C</w:t>
      </w:r>
      <w:r>
        <w:t xml:space="preserve">onsideration of designating additional sectors and introducing sector-specific codes </w:t>
      </w:r>
      <w:r w:rsidR="00BD726B">
        <w:t>would be</w:t>
      </w:r>
      <w:r>
        <w:t xml:space="preserve"> available under the proposed </w:t>
      </w:r>
      <w:r w:rsidR="00C571BA">
        <w:t xml:space="preserve">SPF </w:t>
      </w:r>
      <w:r>
        <w:t xml:space="preserve">model </w:t>
      </w:r>
      <w:r w:rsidR="005C3750">
        <w:t xml:space="preserve">where </w:t>
      </w:r>
      <w:r>
        <w:t>there is a constitutional basis to do so.</w:t>
      </w:r>
    </w:p>
    <w:p w14:paraId="0746B9A4" w14:textId="6B0D32A9" w:rsidR="008F35AA" w:rsidRPr="008F35AA" w:rsidRDefault="008F35AA" w:rsidP="008F35AA">
      <w:pPr>
        <w:sectPr w:rsidR="008F35AA" w:rsidRPr="008F35AA" w:rsidSect="00C0677A">
          <w:headerReference w:type="even" r:id="rId36"/>
          <w:headerReference w:type="default" r:id="rId37"/>
          <w:footerReference w:type="even" r:id="rId38"/>
          <w:footerReference w:type="default" r:id="rId39"/>
          <w:headerReference w:type="first" r:id="rId40"/>
          <w:footerReference w:type="first" r:id="rId41"/>
          <w:pgSz w:w="11906" w:h="16838"/>
          <w:pgMar w:top="1418" w:right="1418" w:bottom="1418" w:left="1418" w:header="709" w:footer="709" w:gutter="0"/>
          <w:pgNumType w:start="1"/>
          <w:cols w:space="708"/>
          <w:titlePg/>
          <w:docGrid w:linePitch="360"/>
        </w:sectPr>
      </w:pPr>
    </w:p>
    <w:p w14:paraId="3CB7D42C" w14:textId="3A9DF850" w:rsidR="00654711" w:rsidRDefault="00B83FF1" w:rsidP="008F7728">
      <w:pPr>
        <w:pStyle w:val="Heading1"/>
        <w:numPr>
          <w:ilvl w:val="0"/>
          <w:numId w:val="42"/>
        </w:numPr>
        <w:ind w:hanging="720"/>
      </w:pPr>
      <w:bookmarkStart w:id="25" w:name="_Toc179556401"/>
      <w:r>
        <w:lastRenderedPageBreak/>
        <w:t>N</w:t>
      </w:r>
      <w:r w:rsidR="00654711">
        <w:t>et benefit of each option</w:t>
      </w:r>
      <w:bookmarkEnd w:id="25"/>
      <w:r w:rsidR="00654711">
        <w:t xml:space="preserve"> </w:t>
      </w:r>
    </w:p>
    <w:p w14:paraId="1A544553" w14:textId="1DCA70B0" w:rsidR="00F07EB6" w:rsidRDefault="00282DBF" w:rsidP="00654711">
      <w:r>
        <w:t>The n</w:t>
      </w:r>
      <w:r w:rsidR="00F07EB6">
        <w:t xml:space="preserve">et benefit of each option </w:t>
      </w:r>
      <w:r w:rsidR="00947EEC">
        <w:t>is</w:t>
      </w:r>
      <w:r w:rsidR="00E66348">
        <w:t xml:space="preserve"> </w:t>
      </w:r>
      <w:r w:rsidR="00CF2643">
        <w:t xml:space="preserve">assessed </w:t>
      </w:r>
      <w:r w:rsidR="00ED6DEA">
        <w:t xml:space="preserve">through </w:t>
      </w:r>
      <w:r w:rsidR="00651CCA">
        <w:t xml:space="preserve">analysis of </w:t>
      </w:r>
      <w:r w:rsidR="00ED6DEA">
        <w:t>expected:</w:t>
      </w:r>
    </w:p>
    <w:p w14:paraId="7865AA72" w14:textId="5DA5ABF2" w:rsidR="008F16A0" w:rsidRDefault="00760D17" w:rsidP="00E004C0">
      <w:pPr>
        <w:pStyle w:val="ListParagraph"/>
        <w:numPr>
          <w:ilvl w:val="0"/>
          <w:numId w:val="43"/>
        </w:numPr>
      </w:pPr>
      <w:r w:rsidRPr="00163C1A">
        <w:rPr>
          <w:b/>
          <w:bCs/>
        </w:rPr>
        <w:fldChar w:fldCharType="begin"/>
      </w:r>
      <w:r w:rsidRPr="00163C1A">
        <w:rPr>
          <w:b/>
          <w:bCs/>
        </w:rPr>
        <w:instrText xml:space="preserve"> REF _Ref177024156 \h </w:instrText>
      </w:r>
      <w:r w:rsidR="00163C1A">
        <w:rPr>
          <w:b/>
          <w:bCs/>
        </w:rPr>
        <w:instrText xml:space="preserve"> \* MERGEFORMAT </w:instrText>
      </w:r>
      <w:r w:rsidRPr="00163C1A">
        <w:rPr>
          <w:b/>
          <w:bCs/>
        </w:rPr>
      </w:r>
      <w:r w:rsidRPr="00163C1A">
        <w:rPr>
          <w:b/>
          <w:bCs/>
        </w:rPr>
        <w:fldChar w:fldCharType="end"/>
      </w:r>
      <w:r w:rsidR="00ED6DEA">
        <w:t xml:space="preserve"> </w:t>
      </w:r>
      <w:r w:rsidR="009F3359">
        <w:t>Regulatory costs incurred by:</w:t>
      </w:r>
    </w:p>
    <w:p w14:paraId="6E51EB45" w14:textId="2FF5F1D5" w:rsidR="008F16A0" w:rsidRPr="008F16A0" w:rsidRDefault="000B056E" w:rsidP="00E004C0">
      <w:pPr>
        <w:pStyle w:val="ListParagraph"/>
        <w:numPr>
          <w:ilvl w:val="1"/>
          <w:numId w:val="43"/>
        </w:numPr>
      </w:pPr>
      <w:r w:rsidRPr="005A16CB">
        <w:t>Banks</w:t>
      </w:r>
    </w:p>
    <w:p w14:paraId="1B33B729" w14:textId="094B4FD3" w:rsidR="008F16A0" w:rsidRPr="008F16A0" w:rsidRDefault="00484235" w:rsidP="00E004C0">
      <w:pPr>
        <w:pStyle w:val="ListParagraph"/>
        <w:numPr>
          <w:ilvl w:val="1"/>
          <w:numId w:val="43"/>
        </w:numPr>
      </w:pPr>
      <w:r w:rsidRPr="005A16CB">
        <w:t>Telecommunication providers</w:t>
      </w:r>
    </w:p>
    <w:p w14:paraId="446418F5" w14:textId="64A63657" w:rsidR="008F16A0" w:rsidRDefault="00484235" w:rsidP="00E004C0">
      <w:pPr>
        <w:pStyle w:val="ListParagraph"/>
        <w:numPr>
          <w:ilvl w:val="1"/>
          <w:numId w:val="43"/>
        </w:numPr>
      </w:pPr>
      <w:r>
        <w:t>Digital platforms</w:t>
      </w:r>
    </w:p>
    <w:p w14:paraId="3FF1FD3D" w14:textId="577F9034" w:rsidR="00ED6DEA" w:rsidRDefault="00484235" w:rsidP="00E004C0">
      <w:pPr>
        <w:pStyle w:val="ListParagraph"/>
        <w:numPr>
          <w:ilvl w:val="1"/>
          <w:numId w:val="43"/>
        </w:numPr>
      </w:pPr>
      <w:r w:rsidRPr="005A16CB">
        <w:t>Consumers</w:t>
      </w:r>
    </w:p>
    <w:p w14:paraId="1FE74E8B" w14:textId="55BFD5D7" w:rsidR="00760D17" w:rsidRPr="00163C1A" w:rsidRDefault="00595C56" w:rsidP="00E004C0">
      <w:pPr>
        <w:pStyle w:val="ListParagraph"/>
        <w:numPr>
          <w:ilvl w:val="0"/>
          <w:numId w:val="43"/>
        </w:numPr>
        <w:rPr>
          <w:b/>
          <w:bCs/>
        </w:rPr>
      </w:pPr>
      <w:r w:rsidRPr="005A16CB">
        <w:t>Government costs</w:t>
      </w:r>
    </w:p>
    <w:p w14:paraId="23943003" w14:textId="25A4001D" w:rsidR="00ED6DEA" w:rsidRDefault="00254BBA" w:rsidP="00E004C0">
      <w:pPr>
        <w:pStyle w:val="ListParagraph"/>
        <w:numPr>
          <w:ilvl w:val="0"/>
          <w:numId w:val="43"/>
        </w:numPr>
      </w:pPr>
      <w:r>
        <w:t xml:space="preserve">Benefits </w:t>
      </w:r>
      <w:r w:rsidR="00856F35">
        <w:t>of:</w:t>
      </w:r>
    </w:p>
    <w:p w14:paraId="58EA326C" w14:textId="1E680B9C" w:rsidR="00760D17" w:rsidRPr="00163C1A" w:rsidRDefault="00484235" w:rsidP="00E004C0">
      <w:pPr>
        <w:pStyle w:val="ListParagraph"/>
        <w:numPr>
          <w:ilvl w:val="1"/>
          <w:numId w:val="43"/>
        </w:numPr>
        <w:rPr>
          <w:b/>
          <w:bCs/>
        </w:rPr>
      </w:pPr>
      <w:r w:rsidRPr="005A16CB">
        <w:t>Reducing exposure to scams</w:t>
      </w:r>
    </w:p>
    <w:p w14:paraId="753E14F7" w14:textId="3BC692FF" w:rsidR="00760D17" w:rsidRPr="00163C1A" w:rsidRDefault="008827FF" w:rsidP="00E004C0">
      <w:pPr>
        <w:pStyle w:val="ListParagraph"/>
        <w:numPr>
          <w:ilvl w:val="1"/>
          <w:numId w:val="43"/>
        </w:numPr>
        <w:rPr>
          <w:b/>
          <w:bCs/>
        </w:rPr>
      </w:pPr>
      <w:r w:rsidRPr="005A16CB">
        <w:t>Reducing scam losses</w:t>
      </w:r>
    </w:p>
    <w:p w14:paraId="72488BDA" w14:textId="4C0216CE" w:rsidR="00760D17" w:rsidRPr="00163C1A" w:rsidRDefault="00685826" w:rsidP="00E004C0">
      <w:pPr>
        <w:pStyle w:val="ListParagraph"/>
        <w:numPr>
          <w:ilvl w:val="1"/>
          <w:numId w:val="43"/>
        </w:numPr>
        <w:rPr>
          <w:b/>
          <w:bCs/>
        </w:rPr>
      </w:pPr>
      <w:r w:rsidRPr="005A16CB">
        <w:t>Improving redress for victims of scam losses</w:t>
      </w:r>
    </w:p>
    <w:p w14:paraId="42DFA104" w14:textId="239A3088" w:rsidR="002471A4" w:rsidRDefault="008871D4" w:rsidP="00654711">
      <w:r>
        <w:t>T</w:t>
      </w:r>
      <w:r w:rsidR="00D42B32">
        <w:t xml:space="preserve">he </w:t>
      </w:r>
      <w:r w:rsidR="00163C1A">
        <w:fldChar w:fldCharType="begin"/>
      </w:r>
      <w:r w:rsidR="00163C1A">
        <w:instrText xml:space="preserve"> REF _Ref177024323 \h </w:instrText>
      </w:r>
      <w:r w:rsidR="00163C1A">
        <w:fldChar w:fldCharType="separate"/>
      </w:r>
      <w:r w:rsidR="006B6A25">
        <w:t>n</w:t>
      </w:r>
      <w:r w:rsidR="00163C1A">
        <w:t>et benefit</w:t>
      </w:r>
      <w:r w:rsidR="00163C1A">
        <w:fldChar w:fldCharType="end"/>
      </w:r>
      <w:r w:rsidR="00D42B32">
        <w:t xml:space="preserve"> of option</w:t>
      </w:r>
      <w:r w:rsidR="00163C1A">
        <w:t xml:space="preserve">s 2 </w:t>
      </w:r>
      <w:r w:rsidR="00D42B32">
        <w:t xml:space="preserve">has </w:t>
      </w:r>
      <w:r w:rsidR="00FC0069">
        <w:t xml:space="preserve">been </w:t>
      </w:r>
      <w:r w:rsidR="00293678">
        <w:t>assessed using a</w:t>
      </w:r>
      <w:r w:rsidR="00005D42">
        <w:t xml:space="preserve"> </w:t>
      </w:r>
      <w:r w:rsidR="007E5529">
        <w:t>break-even analysis</w:t>
      </w:r>
      <w:r w:rsidR="00394789">
        <w:t xml:space="preserve">. </w:t>
      </w:r>
      <w:r w:rsidR="00666BE4">
        <w:t xml:space="preserve">This method is chosen as the benefits of </w:t>
      </w:r>
      <w:r w:rsidR="00E660D6">
        <w:t>each</w:t>
      </w:r>
      <w:r w:rsidR="0007096E">
        <w:t xml:space="preserve"> policy </w:t>
      </w:r>
      <w:r w:rsidR="00E660D6">
        <w:t>option are highly uncertain</w:t>
      </w:r>
      <w:r w:rsidR="00E96650">
        <w:t xml:space="preserve"> and </w:t>
      </w:r>
      <w:r w:rsidR="00F608FC">
        <w:t xml:space="preserve">not fully </w:t>
      </w:r>
      <w:r w:rsidR="00E96650">
        <w:t>un</w:t>
      </w:r>
      <w:r w:rsidR="007F53AF">
        <w:t>quantifiable</w:t>
      </w:r>
      <w:r w:rsidR="00134DC6">
        <w:t xml:space="preserve">. </w:t>
      </w:r>
    </w:p>
    <w:p w14:paraId="568E7B05" w14:textId="6D4484CE" w:rsidR="002C6F32" w:rsidRDefault="00E265E6" w:rsidP="002C6F32">
      <w:r>
        <w:t xml:space="preserve">The following evaluation establishes the threshold </w:t>
      </w:r>
      <w:r w:rsidR="002C6F32">
        <w:t xml:space="preserve">break-even </w:t>
      </w:r>
      <w:r>
        <w:t xml:space="preserve">level of reduction in scam losses required to achieve a net benefit, considering the expected costs of each option. </w:t>
      </w:r>
      <w:r w:rsidR="002C6F32">
        <w:t>Although there are other monetary and non-monetary benefits from reducing scam harms</w:t>
      </w:r>
      <w:r w:rsidR="00633C2A">
        <w:t xml:space="preserve"> (see</w:t>
      </w:r>
      <w:r w:rsidR="003817A5">
        <w:t xml:space="preserve"> section</w:t>
      </w:r>
      <w:r w:rsidR="00633C2A">
        <w:t xml:space="preserve"> </w:t>
      </w:r>
      <w:r w:rsidR="003817A5">
        <w:fldChar w:fldCharType="begin"/>
      </w:r>
      <w:r w:rsidR="003817A5">
        <w:instrText xml:space="preserve"> REF _Ref179203992 \h </w:instrText>
      </w:r>
      <w:r w:rsidR="003817A5">
        <w:fldChar w:fldCharType="separate"/>
      </w:r>
      <w:r w:rsidR="003817A5">
        <w:t>1.1.2 Scams inflict a broad range of harms</w:t>
      </w:r>
      <w:r w:rsidR="003817A5">
        <w:fldChar w:fldCharType="end"/>
      </w:r>
      <w:r w:rsidR="00633C2A">
        <w:t>)</w:t>
      </w:r>
      <w:r w:rsidR="002C6F32">
        <w:t>, the dollar amount of losses to scams is a clear measure of the level of benefit related to each option.</w:t>
      </w:r>
      <w:r w:rsidR="00273828">
        <w:t xml:space="preserve"> </w:t>
      </w:r>
    </w:p>
    <w:p w14:paraId="1A13E399" w14:textId="78A7C3E6" w:rsidR="00F32DFA" w:rsidRDefault="00F32DFA" w:rsidP="00F32DFA">
      <w:r>
        <w:t xml:space="preserve">The </w:t>
      </w:r>
      <w:r w:rsidR="009607A3">
        <w:t>likely effectiveness</w:t>
      </w:r>
      <w:r>
        <w:t xml:space="preserve"> of each option </w:t>
      </w:r>
      <w:r w:rsidR="00D54B7B">
        <w:t>reducing</w:t>
      </w:r>
      <w:r>
        <w:t xml:space="preserve"> scam losses </w:t>
      </w:r>
      <w:r w:rsidR="00BB7D7A">
        <w:t xml:space="preserve">to </w:t>
      </w:r>
      <w:r w:rsidR="000C19D9">
        <w:t>outweigh its overall costs</w:t>
      </w:r>
      <w:r>
        <w:t xml:space="preserve"> is assessed to establish which option would achieve the greatest net benefit.</w:t>
      </w:r>
      <w:r w:rsidR="00635E32" w:rsidRPr="00635E32">
        <w:t xml:space="preserve"> </w:t>
      </w:r>
      <w:r w:rsidR="00D645BE">
        <w:t>E</w:t>
      </w:r>
      <w:r w:rsidR="00BE18B1">
        <w:t>xpected change in</w:t>
      </w:r>
      <w:r w:rsidR="00D645BE">
        <w:t xml:space="preserve"> the</w:t>
      </w:r>
      <w:r w:rsidR="00BE18B1">
        <w:t xml:space="preserve"> </w:t>
      </w:r>
      <w:r w:rsidR="00635E32">
        <w:t>volume of amounts reimbursed to scam victims from relevant</w:t>
      </w:r>
      <w:r w:rsidR="00FA2E23">
        <w:t xml:space="preserve"> entities </w:t>
      </w:r>
      <w:r w:rsidR="001538DC">
        <w:t xml:space="preserve">has </w:t>
      </w:r>
      <w:r w:rsidR="007D2418">
        <w:t>not</w:t>
      </w:r>
      <w:r w:rsidR="001538DC">
        <w:t xml:space="preserve"> been</w:t>
      </w:r>
      <w:r w:rsidR="007D2418">
        <w:t xml:space="preserve"> </w:t>
      </w:r>
      <w:r w:rsidR="00E03F4D">
        <w:t>considered</w:t>
      </w:r>
      <w:r w:rsidR="007D2418">
        <w:t xml:space="preserve"> as the primary objective of </w:t>
      </w:r>
      <w:r w:rsidR="00640A20">
        <w:t>anti-</w:t>
      </w:r>
      <w:r w:rsidR="007D2418">
        <w:t xml:space="preserve">scam </w:t>
      </w:r>
      <w:r w:rsidR="00640A20">
        <w:t>actions</w:t>
      </w:r>
      <w:r w:rsidR="00461F50">
        <w:t xml:space="preserve"> and </w:t>
      </w:r>
      <w:r w:rsidR="00AA1BF1">
        <w:t>are not considered as benefits or costs of each option</w:t>
      </w:r>
      <w:r w:rsidR="0003282C">
        <w:t xml:space="preserve">. </w:t>
      </w:r>
      <w:r w:rsidR="005733B8">
        <w:t>T</w:t>
      </w:r>
      <w:r w:rsidR="00A51A0B">
        <w:t>he dollar amounts paid</w:t>
      </w:r>
      <w:r w:rsidR="00681D2E">
        <w:t xml:space="preserve"> </w:t>
      </w:r>
      <w:r w:rsidR="005733B8">
        <w:t xml:space="preserve">as reimbursements </w:t>
      </w:r>
      <w:r w:rsidR="00681D2E">
        <w:t>are equally a benefit to victims and a cost to regulated entities</w:t>
      </w:r>
      <w:r w:rsidR="0069096A">
        <w:t>.</w:t>
      </w:r>
      <w:r w:rsidR="00730722" w:rsidRPr="009E21BA">
        <w:rPr>
          <w:rStyle w:val="FootnoteReference"/>
          <w:vertAlign w:val="superscript"/>
        </w:rPr>
        <w:footnoteReference w:id="36"/>
      </w:r>
    </w:p>
    <w:p w14:paraId="6B08BBA4" w14:textId="1C883F4D" w:rsidR="00BD754D" w:rsidRDefault="009804D4" w:rsidP="00002402">
      <w:r>
        <w:t>As quantification of</w:t>
      </w:r>
      <w:r w:rsidR="002471A4">
        <w:t xml:space="preserve"> </w:t>
      </w:r>
      <w:r w:rsidR="00E96650">
        <w:t>the</w:t>
      </w:r>
      <w:r w:rsidR="002471A4">
        <w:t xml:space="preserve"> benefit</w:t>
      </w:r>
      <w:r w:rsidR="00E96650">
        <w:t>s</w:t>
      </w:r>
      <w:r w:rsidR="002471A4">
        <w:t xml:space="preserve"> of anti-scam activities </w:t>
      </w:r>
      <w:r>
        <w:t>is</w:t>
      </w:r>
      <w:r w:rsidR="002471A4">
        <w:t xml:space="preserve"> not possible</w:t>
      </w:r>
      <w:r w:rsidR="00685C75">
        <w:t xml:space="preserve"> a cost-benefit analysis</w:t>
      </w:r>
      <w:r w:rsidR="002471A4">
        <w:t xml:space="preserve"> </w:t>
      </w:r>
      <w:r w:rsidR="00E96650">
        <w:t>is not a</w:t>
      </w:r>
      <w:r w:rsidR="00685C75">
        <w:t>ppropriate</w:t>
      </w:r>
      <w:r w:rsidR="00E96650">
        <w:t xml:space="preserve"> in this case</w:t>
      </w:r>
      <w:r w:rsidR="00685C75">
        <w:t xml:space="preserve">. </w:t>
      </w:r>
      <w:r w:rsidR="007770E6">
        <w:t xml:space="preserve">As policy options </w:t>
      </w:r>
      <w:r w:rsidR="0042272E">
        <w:t>2</w:t>
      </w:r>
      <w:r w:rsidR="007770E6">
        <w:t xml:space="preserve"> would be</w:t>
      </w:r>
      <w:r w:rsidR="00B454E1">
        <w:t xml:space="preserve"> an</w:t>
      </w:r>
      <w:r w:rsidR="007770E6">
        <w:t xml:space="preserve"> innovative approach to</w:t>
      </w:r>
      <w:r w:rsidR="00CE0219" w:rsidRPr="00CE0219">
        <w:t xml:space="preserve"> </w:t>
      </w:r>
      <w:r w:rsidR="00CE0219">
        <w:t xml:space="preserve">strengthening protections </w:t>
      </w:r>
      <w:r w:rsidR="007770E6">
        <w:t xml:space="preserve">from scam activity, </w:t>
      </w:r>
      <w:r w:rsidR="00301F35">
        <w:t xml:space="preserve">there is a lack of evidence </w:t>
      </w:r>
      <w:r w:rsidR="007770E6" w:rsidDel="00301F35">
        <w:t xml:space="preserve">on the level to which these approaches would be effective. </w:t>
      </w:r>
    </w:p>
    <w:p w14:paraId="58753FA3" w14:textId="68498B3F" w:rsidR="00002402" w:rsidRDefault="00E265E6" w:rsidP="00002402">
      <w:r>
        <w:t xml:space="preserve">The broad reach of benefits, including non-monetary impacts in areas like consumer confidence or businesses’ reputational damage, </w:t>
      </w:r>
      <w:r w:rsidR="00F32DFA">
        <w:t>also</w:t>
      </w:r>
      <w:r>
        <w:t xml:space="preserve"> </w:t>
      </w:r>
      <w:r w:rsidR="00D111C6">
        <w:t xml:space="preserve">means </w:t>
      </w:r>
      <w:r w:rsidR="00F32DFA">
        <w:t xml:space="preserve">it </w:t>
      </w:r>
      <w:r w:rsidR="00D111C6">
        <w:t>is</w:t>
      </w:r>
      <w:r w:rsidR="00F32DFA">
        <w:t xml:space="preserve"> not possible to make a </w:t>
      </w:r>
      <w:r>
        <w:t xml:space="preserve">quantitative assessment of all benefits. </w:t>
      </w:r>
      <w:r w:rsidR="00685C75">
        <w:t xml:space="preserve">Benefits would apply to a diverse group of Australian society, including individual consumers, sectors in the scams ecosystem and legitimate businesses at risk of impersonation. </w:t>
      </w:r>
      <w:r w:rsidR="00F5623C">
        <w:t>T</w:t>
      </w:r>
      <w:r w:rsidR="007263A7">
        <w:t>hese broader</w:t>
      </w:r>
      <w:r w:rsidR="002F4E61">
        <w:t xml:space="preserve"> benefits</w:t>
      </w:r>
      <w:r w:rsidR="007263A7">
        <w:t xml:space="preserve"> would </w:t>
      </w:r>
      <w:r w:rsidR="00281026">
        <w:t>be result</w:t>
      </w:r>
      <w:r w:rsidR="007263A7">
        <w:t xml:space="preserve"> from improvements in the </w:t>
      </w:r>
      <w:r w:rsidR="002F4E61">
        <w:t>3 types of</w:t>
      </w:r>
      <w:r w:rsidR="007263A7">
        <w:t xml:space="preserve"> benefit assessed.</w:t>
      </w:r>
    </w:p>
    <w:p w14:paraId="216EA150" w14:textId="74ACAAE1" w:rsidR="00A0278D" w:rsidRPr="008108EA" w:rsidRDefault="00A0278D" w:rsidP="00002402">
      <w:r>
        <w:t>Details of the assumptions used i</w:t>
      </w:r>
      <w:r w:rsidR="008A65E4">
        <w:t xml:space="preserve">n calculations of regulatory costs are included in </w:t>
      </w:r>
      <w:r w:rsidR="006726CD" w:rsidRPr="006726CD">
        <w:rPr>
          <w:b/>
          <w:bCs/>
        </w:rPr>
        <w:fldChar w:fldCharType="begin"/>
      </w:r>
      <w:r w:rsidR="006726CD" w:rsidRPr="006726CD">
        <w:rPr>
          <w:b/>
          <w:bCs/>
        </w:rPr>
        <w:instrText xml:space="preserve"> REF _Ref177135282 \h </w:instrText>
      </w:r>
      <w:r w:rsidR="006726CD">
        <w:rPr>
          <w:b/>
          <w:bCs/>
        </w:rPr>
        <w:instrText xml:space="preserve"> \* MERGEFORMAT </w:instrText>
      </w:r>
      <w:r w:rsidR="006726CD" w:rsidRPr="006726CD">
        <w:rPr>
          <w:b/>
          <w:bCs/>
        </w:rPr>
      </w:r>
      <w:r w:rsidR="006726CD" w:rsidRPr="006726CD">
        <w:rPr>
          <w:b/>
          <w:bCs/>
        </w:rPr>
        <w:fldChar w:fldCharType="separate"/>
      </w:r>
      <w:r w:rsidR="006726CD" w:rsidRPr="006726CD">
        <w:rPr>
          <w:b/>
          <w:bCs/>
        </w:rPr>
        <w:t xml:space="preserve">Appendix </w:t>
      </w:r>
      <w:r w:rsidR="006726CD" w:rsidRPr="006726CD">
        <w:rPr>
          <w:b/>
          <w:bCs/>
          <w:noProof/>
        </w:rPr>
        <w:t>2</w:t>
      </w:r>
      <w:r w:rsidR="006726CD" w:rsidRPr="006726CD">
        <w:rPr>
          <w:b/>
          <w:bCs/>
        </w:rPr>
        <w:t xml:space="preserve"> – Regulatory cost calculations</w:t>
      </w:r>
      <w:r w:rsidR="006726CD" w:rsidRPr="006726CD">
        <w:rPr>
          <w:b/>
          <w:bCs/>
        </w:rPr>
        <w:fldChar w:fldCharType="end"/>
      </w:r>
      <w:r w:rsidR="006726CD">
        <w:t>.</w:t>
      </w:r>
    </w:p>
    <w:p w14:paraId="3D8443EB" w14:textId="238537F5" w:rsidR="00B94385" w:rsidRDefault="00AC262D" w:rsidP="00654711">
      <w:pPr>
        <w:pStyle w:val="Heading3"/>
      </w:pPr>
      <w:bookmarkStart w:id="26" w:name="_Ref177024156"/>
      <w:bookmarkStart w:id="27" w:name="_Toc179556402"/>
      <w:r>
        <w:lastRenderedPageBreak/>
        <w:t xml:space="preserve">4.1 </w:t>
      </w:r>
      <w:r w:rsidR="002513EE">
        <w:t>Regulatory costs</w:t>
      </w:r>
      <w:bookmarkEnd w:id="26"/>
      <w:bookmarkEnd w:id="27"/>
    </w:p>
    <w:p w14:paraId="194B2003" w14:textId="39190B14" w:rsidR="006B079A" w:rsidRPr="00B66235" w:rsidRDefault="00FD11DF" w:rsidP="00DA1E3F">
      <w:pPr>
        <w:pStyle w:val="Heading4"/>
        <w:rPr>
          <w:b w:val="0"/>
          <w:bCs w:val="0"/>
        </w:rPr>
      </w:pPr>
      <w:bookmarkStart w:id="28" w:name="_Ref177024374"/>
      <w:r>
        <w:t xml:space="preserve">4.1.1 </w:t>
      </w:r>
      <w:r w:rsidR="006B079A">
        <w:t>Banks</w:t>
      </w:r>
      <w:bookmarkEnd w:id="28"/>
    </w:p>
    <w:p w14:paraId="42E56CCE" w14:textId="77777777" w:rsidR="00D2700C" w:rsidRDefault="00D2700C" w:rsidP="00DA1E3F">
      <w:pPr>
        <w:pStyle w:val="Heading7"/>
      </w:pPr>
      <w:r>
        <w:t>Option 1 – Status quo</w:t>
      </w:r>
    </w:p>
    <w:p w14:paraId="11F8953E" w14:textId="686FCEF8" w:rsidR="00544B1D" w:rsidRPr="000A18CB" w:rsidRDefault="006E7188" w:rsidP="00D2700C">
      <w:r w:rsidRPr="00E92DD8">
        <w:t xml:space="preserve">Under </w:t>
      </w:r>
      <w:r w:rsidR="00544B1D" w:rsidRPr="000A18CB">
        <w:t>the</w:t>
      </w:r>
      <w:r w:rsidRPr="000A18CB">
        <w:t xml:space="preserve"> status quo, </w:t>
      </w:r>
      <w:r w:rsidR="00890FAD" w:rsidRPr="000A18CB">
        <w:t>banks would maintain current commitments to address scams on their services</w:t>
      </w:r>
      <w:r w:rsidR="00544B1D" w:rsidRPr="000A18CB">
        <w:t>, including implementation of the Scam-Safe Accord.</w:t>
      </w:r>
    </w:p>
    <w:p w14:paraId="2481A7DC" w14:textId="0CDCB6E5" w:rsidR="00A1756B" w:rsidRPr="00B66235" w:rsidRDefault="00544B1D" w:rsidP="00D2700C">
      <w:pPr>
        <w:rPr>
          <w:b/>
          <w:bCs/>
        </w:rPr>
      </w:pPr>
      <w:r>
        <w:t>Banks currently dedicate significant resourcing to fraud prevention</w:t>
      </w:r>
      <w:r w:rsidR="005F0D7F">
        <w:t xml:space="preserve"> and account verification</w:t>
      </w:r>
      <w:r w:rsidR="00114171">
        <w:t xml:space="preserve"> activities</w:t>
      </w:r>
      <w:r w:rsidR="00E66391">
        <w:t>.</w:t>
      </w:r>
      <w:r w:rsidR="006B5B2E">
        <w:t xml:space="preserve"> In recent years,</w:t>
      </w:r>
      <w:r w:rsidR="004F15D7">
        <w:t xml:space="preserve"> individual banks have introduced measures i</w:t>
      </w:r>
      <w:r w:rsidR="00376AB1">
        <w:t>n response to the rising impact of scams</w:t>
      </w:r>
      <w:r w:rsidR="00114171">
        <w:t xml:space="preserve">, including new measures to </w:t>
      </w:r>
      <w:r w:rsidR="002A6FED">
        <w:t xml:space="preserve">detect scams, </w:t>
      </w:r>
      <w:r w:rsidR="00114171">
        <w:t>verify accounts</w:t>
      </w:r>
      <w:r w:rsidR="00CE4EB2">
        <w:t xml:space="preserve">, </w:t>
      </w:r>
      <w:r w:rsidR="002A6FED">
        <w:t xml:space="preserve">and </w:t>
      </w:r>
      <w:r w:rsidR="00CE4EB2">
        <w:t>share</w:t>
      </w:r>
      <w:r w:rsidR="002A6FED">
        <w:t xml:space="preserve"> and receive intelligence. </w:t>
      </w:r>
      <w:r w:rsidR="00A1756B">
        <w:t xml:space="preserve">An overview of </w:t>
      </w:r>
      <w:r w:rsidR="00E503F7">
        <w:t xml:space="preserve">current sector uplift across </w:t>
      </w:r>
      <w:r w:rsidR="00A1756B">
        <w:t xml:space="preserve">various banking sector </w:t>
      </w:r>
      <w:r w:rsidR="008159BA">
        <w:t xml:space="preserve">initiatives is provided below at </w:t>
      </w:r>
      <w:r w:rsidR="00500321" w:rsidRPr="00EA4A04">
        <w:fldChar w:fldCharType="begin"/>
      </w:r>
      <w:r w:rsidR="00500321" w:rsidRPr="00EA4A04">
        <w:instrText xml:space="preserve"> REF _Ref175647572 \h  \* MERGEFORMAT </w:instrText>
      </w:r>
      <w:r w:rsidR="00500321" w:rsidRPr="00EA4A04">
        <w:fldChar w:fldCharType="separate"/>
      </w:r>
      <w:r w:rsidR="00EA4A04" w:rsidRPr="00EA4A04">
        <w:t xml:space="preserve">Table </w:t>
      </w:r>
      <w:r w:rsidR="00EA4A04" w:rsidRPr="00EA4A04">
        <w:rPr>
          <w:noProof/>
        </w:rPr>
        <w:t>3</w:t>
      </w:r>
      <w:r w:rsidR="00500321" w:rsidRPr="00EA4A04">
        <w:fldChar w:fldCharType="end"/>
      </w:r>
      <w:r w:rsidR="008159BA" w:rsidRPr="006C76EC">
        <w:rPr>
          <w:b/>
          <w:bCs/>
        </w:rPr>
        <w:t>.</w:t>
      </w:r>
      <w:r w:rsidR="008159BA">
        <w:rPr>
          <w:b/>
          <w:bCs/>
        </w:rPr>
        <w:t xml:space="preserve"> </w:t>
      </w:r>
    </w:p>
    <w:p w14:paraId="70D820FD" w14:textId="288F3643" w:rsidR="00CD340B" w:rsidRDefault="002A6FED" w:rsidP="00EB63FE">
      <w:r>
        <w:t xml:space="preserve">Most </w:t>
      </w:r>
      <w:r w:rsidR="001B4BF9">
        <w:t>domestic banks</w:t>
      </w:r>
      <w:r w:rsidR="00FC05D9">
        <w:t xml:space="preserve"> are members of </w:t>
      </w:r>
      <w:r w:rsidR="00A65179">
        <w:t xml:space="preserve">industry associations ABA and COBA, who have </w:t>
      </w:r>
      <w:r w:rsidR="00C660FD">
        <w:t xml:space="preserve">co-ordinated sector-wide commitments under the Scam-Safe Accord to commit </w:t>
      </w:r>
      <w:r w:rsidR="0089566D">
        <w:t>members to anti-scam measures</w:t>
      </w:r>
      <w:r w:rsidR="00D8293A">
        <w:t xml:space="preserve">. </w:t>
      </w:r>
      <w:r w:rsidR="00AA256B">
        <w:t>The Scam-Safe Accord</w:t>
      </w:r>
      <w:r w:rsidR="0089566D">
        <w:t xml:space="preserve"> includ</w:t>
      </w:r>
      <w:r w:rsidR="00AA256B">
        <w:t>es</w:t>
      </w:r>
      <w:r w:rsidR="0089566D">
        <w:t xml:space="preserve"> a confirmation of payee system with </w:t>
      </w:r>
      <w:r w:rsidR="00C77C32">
        <w:t xml:space="preserve">an </w:t>
      </w:r>
      <w:r w:rsidR="007221B5">
        <w:t>industry-</w:t>
      </w:r>
      <w:r w:rsidR="00C77C32">
        <w:t xml:space="preserve">estimated </w:t>
      </w:r>
      <w:r w:rsidR="007B66F8">
        <w:t xml:space="preserve">cost to the sector of </w:t>
      </w:r>
      <w:r w:rsidR="00C77C32">
        <w:t>$100</w:t>
      </w:r>
      <w:r w:rsidR="0059291C">
        <w:t> </w:t>
      </w:r>
      <w:r w:rsidR="00C77C32">
        <w:t>million.</w:t>
      </w:r>
      <w:r w:rsidR="007221B5" w:rsidRPr="00107677">
        <w:rPr>
          <w:rStyle w:val="FootnoteReference"/>
          <w:vertAlign w:val="superscript"/>
        </w:rPr>
        <w:footnoteReference w:id="37"/>
      </w:r>
      <w:r w:rsidR="00C77C32">
        <w:t xml:space="preserve"> More information on </w:t>
      </w:r>
      <w:r w:rsidR="00A1756B">
        <w:t xml:space="preserve">the </w:t>
      </w:r>
      <w:r w:rsidR="00332B77" w:rsidRPr="0064472B">
        <w:rPr>
          <w:rFonts w:eastAsiaTheme="minorEastAsia"/>
          <w:iCs/>
        </w:rPr>
        <w:t>Scam-Safe Accord</w:t>
      </w:r>
      <w:r w:rsidR="00332B77">
        <w:t xml:space="preserve"> </w:t>
      </w:r>
      <w:r w:rsidR="00A1756B">
        <w:t>and relevant commitments for banking sector members is at</w:t>
      </w:r>
      <w:r w:rsidR="00605CB3">
        <w:t xml:space="preserve"> </w:t>
      </w:r>
      <w:r w:rsidR="00605CB3" w:rsidRPr="00605CB3">
        <w:rPr>
          <w:b/>
          <w:bCs/>
        </w:rPr>
        <w:fldChar w:fldCharType="begin"/>
      </w:r>
      <w:r w:rsidR="00605CB3" w:rsidRPr="00605CB3">
        <w:rPr>
          <w:b/>
          <w:bCs/>
        </w:rPr>
        <w:instrText xml:space="preserve"> REF _Ref175647453 \h </w:instrText>
      </w:r>
      <w:r w:rsidR="00605CB3">
        <w:rPr>
          <w:b/>
          <w:bCs/>
        </w:rPr>
        <w:instrText xml:space="preserve"> \* MERGEFORMAT </w:instrText>
      </w:r>
      <w:r w:rsidR="00605CB3" w:rsidRPr="00605CB3">
        <w:rPr>
          <w:b/>
          <w:bCs/>
        </w:rPr>
      </w:r>
      <w:r w:rsidR="00605CB3" w:rsidRPr="00605CB3">
        <w:rPr>
          <w:b/>
          <w:bCs/>
        </w:rPr>
        <w:fldChar w:fldCharType="separate"/>
      </w:r>
      <w:r w:rsidR="00605CB3" w:rsidRPr="00605CB3">
        <w:rPr>
          <w:b/>
          <w:bCs/>
        </w:rPr>
        <w:t xml:space="preserve">Appendix </w:t>
      </w:r>
      <w:r w:rsidR="00605CB3" w:rsidRPr="00605CB3">
        <w:rPr>
          <w:b/>
          <w:bCs/>
          <w:noProof/>
        </w:rPr>
        <w:t>1</w:t>
      </w:r>
      <w:r w:rsidR="00605CB3" w:rsidRPr="00605CB3">
        <w:rPr>
          <w:b/>
          <w:bCs/>
        </w:rPr>
        <w:fldChar w:fldCharType="end"/>
      </w:r>
      <w:r w:rsidR="00A1756B">
        <w:t xml:space="preserve">. </w:t>
      </w:r>
    </w:p>
    <w:p w14:paraId="0E411EF5" w14:textId="27F4095E" w:rsidR="00A94CBB" w:rsidRPr="00A94CBB" w:rsidRDefault="00500321" w:rsidP="00500321">
      <w:pPr>
        <w:pStyle w:val="Heading8"/>
      </w:pPr>
      <w:bookmarkStart w:id="29" w:name="_Ref175647572"/>
      <w:r>
        <w:t xml:space="preserve">Table </w:t>
      </w:r>
      <w:fldSimple w:instr=" SEQ Table \* ARABIC ">
        <w:r w:rsidR="002C1AD8">
          <w:rPr>
            <w:noProof/>
          </w:rPr>
          <w:t>3</w:t>
        </w:r>
      </w:fldSimple>
      <w:bookmarkEnd w:id="29"/>
      <w:r w:rsidR="00EB63FE">
        <w:t xml:space="preserve"> – Banking sector initiatives </w:t>
      </w:r>
    </w:p>
    <w:tbl>
      <w:tblPr>
        <w:tblStyle w:val="Custom1"/>
        <w:tblW w:w="9072" w:type="dxa"/>
        <w:tblInd w:w="0" w:type="dxa"/>
        <w:tblLook w:val="04A0" w:firstRow="1" w:lastRow="0" w:firstColumn="1" w:lastColumn="0" w:noHBand="0" w:noVBand="1"/>
      </w:tblPr>
      <w:tblGrid>
        <w:gridCol w:w="2268"/>
        <w:gridCol w:w="6804"/>
      </w:tblGrid>
      <w:tr w:rsidR="009C69FD" w:rsidRPr="00987834" w14:paraId="24B7B596" w14:textId="77777777" w:rsidTr="00B66235">
        <w:trPr>
          <w:cnfStyle w:val="100000000000" w:firstRow="1" w:lastRow="0" w:firstColumn="0" w:lastColumn="0" w:oddVBand="0" w:evenVBand="0" w:oddHBand="0" w:evenHBand="0" w:firstRowFirstColumn="0" w:firstRowLastColumn="0" w:lastRowFirstColumn="0" w:lastRowLastColumn="0"/>
        </w:trPr>
        <w:tc>
          <w:tcPr>
            <w:tcW w:w="2268" w:type="dxa"/>
            <w:vAlign w:val="center"/>
          </w:tcPr>
          <w:p w14:paraId="3B6216AD" w14:textId="55B9FD1F" w:rsidR="009C69FD" w:rsidRPr="00987834" w:rsidRDefault="00E36B9A" w:rsidP="00B66235">
            <w:pPr>
              <w:contextualSpacing/>
              <w:rPr>
                <w:sz w:val="22"/>
                <w:szCs w:val="22"/>
              </w:rPr>
            </w:pPr>
            <w:r w:rsidRPr="00987834">
              <w:rPr>
                <w:sz w:val="22"/>
                <w:szCs w:val="22"/>
              </w:rPr>
              <w:t xml:space="preserve">Activities </w:t>
            </w:r>
          </w:p>
        </w:tc>
        <w:tc>
          <w:tcPr>
            <w:tcW w:w="6804" w:type="dxa"/>
            <w:vAlign w:val="center"/>
          </w:tcPr>
          <w:p w14:paraId="3D0CB541" w14:textId="2F3FC453" w:rsidR="009C69FD" w:rsidRPr="00987834" w:rsidRDefault="009C69FD" w:rsidP="00B66235">
            <w:pPr>
              <w:contextualSpacing/>
              <w:rPr>
                <w:sz w:val="22"/>
                <w:szCs w:val="22"/>
              </w:rPr>
            </w:pPr>
            <w:r w:rsidRPr="00987834">
              <w:rPr>
                <w:sz w:val="22"/>
                <w:szCs w:val="22"/>
              </w:rPr>
              <w:t xml:space="preserve">Examples of </w:t>
            </w:r>
            <w:r w:rsidR="005C1F60" w:rsidRPr="00987834">
              <w:rPr>
                <w:sz w:val="22"/>
                <w:szCs w:val="22"/>
              </w:rPr>
              <w:t>sector</w:t>
            </w:r>
            <w:r w:rsidRPr="00987834">
              <w:rPr>
                <w:sz w:val="22"/>
                <w:szCs w:val="22"/>
              </w:rPr>
              <w:t xml:space="preserve"> initiatives</w:t>
            </w:r>
          </w:p>
        </w:tc>
      </w:tr>
      <w:tr w:rsidR="009924B9" w:rsidRPr="00987834" w14:paraId="3D54D442" w14:textId="77777777" w:rsidTr="005C1F60">
        <w:trPr>
          <w:cnfStyle w:val="000000100000" w:firstRow="0" w:lastRow="0" w:firstColumn="0" w:lastColumn="0" w:oddVBand="0" w:evenVBand="0" w:oddHBand="1" w:evenHBand="0" w:firstRowFirstColumn="0" w:firstRowLastColumn="0" w:lastRowFirstColumn="0" w:lastRowLastColumn="0"/>
        </w:trPr>
        <w:tc>
          <w:tcPr>
            <w:tcW w:w="2268" w:type="dxa"/>
          </w:tcPr>
          <w:p w14:paraId="580BF609" w14:textId="51495D9E" w:rsidR="009924B9" w:rsidRPr="00D951DD" w:rsidRDefault="0082327E" w:rsidP="00535C70">
            <w:pPr>
              <w:contextualSpacing/>
              <w:rPr>
                <w:sz w:val="22"/>
                <w:szCs w:val="22"/>
              </w:rPr>
            </w:pPr>
            <w:r w:rsidRPr="00D951DD">
              <w:rPr>
                <w:sz w:val="22"/>
                <w:szCs w:val="22"/>
              </w:rPr>
              <w:t xml:space="preserve">Detection measures </w:t>
            </w:r>
          </w:p>
          <w:p w14:paraId="57C9A380" w14:textId="77777777" w:rsidR="009924B9" w:rsidRPr="00D951DD" w:rsidRDefault="009924B9" w:rsidP="00535C70">
            <w:pPr>
              <w:contextualSpacing/>
              <w:rPr>
                <w:sz w:val="22"/>
                <w:szCs w:val="22"/>
              </w:rPr>
            </w:pPr>
          </w:p>
          <w:p w14:paraId="77E4EEFC" w14:textId="77777777" w:rsidR="009924B9" w:rsidRPr="00D951DD" w:rsidRDefault="009924B9" w:rsidP="00535C70">
            <w:pPr>
              <w:contextualSpacing/>
              <w:rPr>
                <w:sz w:val="22"/>
                <w:szCs w:val="22"/>
              </w:rPr>
            </w:pPr>
          </w:p>
        </w:tc>
        <w:tc>
          <w:tcPr>
            <w:tcW w:w="6804" w:type="dxa"/>
          </w:tcPr>
          <w:p w14:paraId="24B13541" w14:textId="21122C9E" w:rsidR="009924B9" w:rsidRPr="00D951DD" w:rsidRDefault="005B68D4" w:rsidP="00535C70">
            <w:pPr>
              <w:contextualSpacing/>
              <w:rPr>
                <w:sz w:val="22"/>
                <w:szCs w:val="22"/>
              </w:rPr>
            </w:pPr>
            <w:r w:rsidRPr="00D951DD">
              <w:rPr>
                <w:sz w:val="22"/>
                <w:szCs w:val="22"/>
              </w:rPr>
              <w:t>Some banks</w:t>
            </w:r>
            <w:r w:rsidR="00051D0B" w:rsidRPr="00D951DD">
              <w:rPr>
                <w:sz w:val="22"/>
                <w:szCs w:val="22"/>
              </w:rPr>
              <w:t xml:space="preserve"> have announced the use of new technologies, including artificial intelligence, </w:t>
            </w:r>
            <w:r w:rsidR="008E25B8" w:rsidRPr="00D951DD">
              <w:rPr>
                <w:sz w:val="22"/>
                <w:szCs w:val="22"/>
              </w:rPr>
              <w:t>to detect suspicious and unusual behaviour on its platform</w:t>
            </w:r>
            <w:r w:rsidR="00EC5B47" w:rsidRPr="00D951DD">
              <w:rPr>
                <w:sz w:val="22"/>
                <w:szCs w:val="22"/>
              </w:rPr>
              <w:t>s</w:t>
            </w:r>
            <w:r w:rsidR="00D00C5B" w:rsidRPr="00D951DD">
              <w:rPr>
                <w:sz w:val="22"/>
                <w:szCs w:val="22"/>
              </w:rPr>
              <w:t xml:space="preserve"> and </w:t>
            </w:r>
            <w:r w:rsidR="00C32F07" w:rsidRPr="00D951DD">
              <w:rPr>
                <w:sz w:val="22"/>
                <w:szCs w:val="22"/>
              </w:rPr>
              <w:t>use</w:t>
            </w:r>
            <w:r w:rsidR="00D00C5B" w:rsidRPr="00D951DD">
              <w:rPr>
                <w:sz w:val="22"/>
                <w:szCs w:val="22"/>
              </w:rPr>
              <w:t xml:space="preserve"> analytics to </w:t>
            </w:r>
            <w:r w:rsidR="00A468AB" w:rsidRPr="00D951DD">
              <w:rPr>
                <w:sz w:val="22"/>
                <w:szCs w:val="22"/>
              </w:rPr>
              <w:t>predict the</w:t>
            </w:r>
            <w:r w:rsidR="00AE5D17" w:rsidRPr="00D951DD">
              <w:rPr>
                <w:sz w:val="22"/>
                <w:szCs w:val="22"/>
              </w:rPr>
              <w:t xml:space="preserve"> risk level of potential scam activity</w:t>
            </w:r>
            <w:r w:rsidR="000B0EEB" w:rsidRPr="00D951DD">
              <w:rPr>
                <w:sz w:val="22"/>
                <w:szCs w:val="22"/>
              </w:rPr>
              <w:t>,</w:t>
            </w:r>
            <w:r w:rsidR="00EC5B47" w:rsidRPr="00D951DD">
              <w:rPr>
                <w:sz w:val="22"/>
                <w:szCs w:val="22"/>
              </w:rPr>
              <w:t xml:space="preserve"> </w:t>
            </w:r>
            <w:r w:rsidR="000B0EEB" w:rsidRPr="00D951DD">
              <w:rPr>
                <w:sz w:val="22"/>
                <w:szCs w:val="22"/>
              </w:rPr>
              <w:t>including</w:t>
            </w:r>
            <w:r w:rsidR="00C77374" w:rsidRPr="00D951DD">
              <w:rPr>
                <w:sz w:val="22"/>
                <w:szCs w:val="22"/>
              </w:rPr>
              <w:t xml:space="preserve"> a </w:t>
            </w:r>
            <w:r w:rsidR="00C77374" w:rsidRPr="00D951DD">
              <w:rPr>
                <w:i/>
                <w:iCs/>
                <w:sz w:val="22"/>
                <w:szCs w:val="22"/>
              </w:rPr>
              <w:t xml:space="preserve">Scam Scoring </w:t>
            </w:r>
            <w:r w:rsidR="000B0EEB" w:rsidRPr="00D951DD">
              <w:rPr>
                <w:sz w:val="22"/>
                <w:szCs w:val="22"/>
              </w:rPr>
              <w:t>model announced by ANZ in April 2024.</w:t>
            </w:r>
          </w:p>
        </w:tc>
      </w:tr>
      <w:tr w:rsidR="009C69FD" w:rsidRPr="00987834" w14:paraId="669E9D9D" w14:textId="77777777" w:rsidTr="00B66235">
        <w:tc>
          <w:tcPr>
            <w:tcW w:w="2268" w:type="dxa"/>
          </w:tcPr>
          <w:p w14:paraId="36BE0945" w14:textId="54FFFF74" w:rsidR="009C69FD" w:rsidRPr="00D951DD" w:rsidRDefault="009C69FD" w:rsidP="00B66235">
            <w:pPr>
              <w:contextualSpacing/>
              <w:rPr>
                <w:sz w:val="22"/>
                <w:szCs w:val="22"/>
              </w:rPr>
            </w:pPr>
            <w:r w:rsidRPr="00D951DD">
              <w:rPr>
                <w:sz w:val="22"/>
                <w:szCs w:val="22"/>
              </w:rPr>
              <w:t>Payee verification</w:t>
            </w:r>
          </w:p>
        </w:tc>
        <w:tc>
          <w:tcPr>
            <w:tcW w:w="6804" w:type="dxa"/>
          </w:tcPr>
          <w:p w14:paraId="33766460" w14:textId="0680602B" w:rsidR="009C69FD" w:rsidRPr="00D951DD" w:rsidRDefault="005B68D4" w:rsidP="00B66235">
            <w:pPr>
              <w:contextualSpacing/>
              <w:rPr>
                <w:sz w:val="22"/>
                <w:szCs w:val="22"/>
              </w:rPr>
            </w:pPr>
            <w:r w:rsidRPr="00D951DD">
              <w:rPr>
                <w:sz w:val="22"/>
                <w:szCs w:val="22"/>
              </w:rPr>
              <w:t>Some banks</w:t>
            </w:r>
            <w:r w:rsidR="002D12D4" w:rsidRPr="00D951DD">
              <w:rPr>
                <w:sz w:val="22"/>
                <w:szCs w:val="22"/>
              </w:rPr>
              <w:t xml:space="preserve"> have </w:t>
            </w:r>
            <w:r w:rsidR="006F3642" w:rsidRPr="00D951DD">
              <w:rPr>
                <w:sz w:val="22"/>
                <w:szCs w:val="22"/>
              </w:rPr>
              <w:t>announced</w:t>
            </w:r>
            <w:r w:rsidR="006F118F" w:rsidRPr="00D951DD">
              <w:rPr>
                <w:sz w:val="22"/>
                <w:szCs w:val="22"/>
              </w:rPr>
              <w:t xml:space="preserve"> additional checks and warnings for</w:t>
            </w:r>
            <w:r w:rsidR="002D12D4" w:rsidRPr="00D951DD">
              <w:rPr>
                <w:sz w:val="22"/>
                <w:szCs w:val="22"/>
              </w:rPr>
              <w:t xml:space="preserve"> </w:t>
            </w:r>
            <w:r w:rsidR="005150BA" w:rsidRPr="00D951DD">
              <w:rPr>
                <w:sz w:val="22"/>
                <w:szCs w:val="22"/>
              </w:rPr>
              <w:t>payment</w:t>
            </w:r>
            <w:r w:rsidR="006F118F" w:rsidRPr="00D951DD">
              <w:rPr>
                <w:sz w:val="22"/>
                <w:szCs w:val="22"/>
              </w:rPr>
              <w:t xml:space="preserve">s, including </w:t>
            </w:r>
            <w:r w:rsidR="00B25AEA" w:rsidRPr="00D951DD">
              <w:rPr>
                <w:sz w:val="22"/>
                <w:szCs w:val="22"/>
              </w:rPr>
              <w:t xml:space="preserve">account </w:t>
            </w:r>
            <w:r w:rsidR="006F118F" w:rsidRPr="00D951DD">
              <w:rPr>
                <w:sz w:val="22"/>
                <w:szCs w:val="22"/>
              </w:rPr>
              <w:t xml:space="preserve">name matching measures </w:t>
            </w:r>
            <w:r w:rsidR="006C5DBE" w:rsidRPr="00D951DD">
              <w:rPr>
                <w:sz w:val="22"/>
                <w:szCs w:val="22"/>
              </w:rPr>
              <w:t xml:space="preserve">including </w:t>
            </w:r>
            <w:proofErr w:type="spellStart"/>
            <w:r w:rsidR="006C5DBE" w:rsidRPr="00D951DD">
              <w:rPr>
                <w:sz w:val="22"/>
                <w:szCs w:val="22"/>
              </w:rPr>
              <w:t>CommBank</w:t>
            </w:r>
            <w:proofErr w:type="spellEnd"/>
            <w:r w:rsidR="006C5DBE" w:rsidRPr="00D951DD">
              <w:rPr>
                <w:sz w:val="22"/>
                <w:szCs w:val="22"/>
              </w:rPr>
              <w:t xml:space="preserve"> </w:t>
            </w:r>
            <w:proofErr w:type="spellStart"/>
            <w:r w:rsidR="006C5DBE" w:rsidRPr="00D951DD">
              <w:rPr>
                <w:i/>
                <w:iCs/>
                <w:sz w:val="22"/>
                <w:szCs w:val="22"/>
              </w:rPr>
              <w:t>NameCheck</w:t>
            </w:r>
            <w:proofErr w:type="spellEnd"/>
            <w:r w:rsidR="006C5DBE" w:rsidRPr="00D951DD">
              <w:rPr>
                <w:i/>
                <w:iCs/>
                <w:sz w:val="22"/>
                <w:szCs w:val="22"/>
              </w:rPr>
              <w:t xml:space="preserve"> </w:t>
            </w:r>
            <w:r w:rsidR="006C5DBE" w:rsidRPr="00D951DD">
              <w:rPr>
                <w:sz w:val="22"/>
                <w:szCs w:val="22"/>
              </w:rPr>
              <w:t xml:space="preserve">and </w:t>
            </w:r>
            <w:r w:rsidR="006F118F" w:rsidRPr="00D951DD">
              <w:rPr>
                <w:sz w:val="22"/>
                <w:szCs w:val="22"/>
              </w:rPr>
              <w:t xml:space="preserve">Westpac </w:t>
            </w:r>
            <w:r w:rsidR="006F118F" w:rsidRPr="00D951DD">
              <w:rPr>
                <w:i/>
                <w:iCs/>
                <w:sz w:val="22"/>
                <w:szCs w:val="22"/>
              </w:rPr>
              <w:t xml:space="preserve">Verify </w:t>
            </w:r>
            <w:r w:rsidR="00E37EED" w:rsidRPr="00D951DD">
              <w:rPr>
                <w:sz w:val="22"/>
                <w:szCs w:val="22"/>
              </w:rPr>
              <w:t xml:space="preserve">initiatives </w:t>
            </w:r>
            <w:r w:rsidR="00112CBF" w:rsidRPr="00D951DD">
              <w:rPr>
                <w:sz w:val="22"/>
                <w:szCs w:val="22"/>
              </w:rPr>
              <w:t xml:space="preserve">in March 2023. </w:t>
            </w:r>
          </w:p>
        </w:tc>
      </w:tr>
      <w:tr w:rsidR="009C69FD" w:rsidRPr="00987834" w14:paraId="12C447A2" w14:textId="77777777" w:rsidTr="00B66235">
        <w:trPr>
          <w:cnfStyle w:val="000000100000" w:firstRow="0" w:lastRow="0" w:firstColumn="0" w:lastColumn="0" w:oddVBand="0" w:evenVBand="0" w:oddHBand="1" w:evenHBand="0" w:firstRowFirstColumn="0" w:firstRowLastColumn="0" w:lastRowFirstColumn="0" w:lastRowLastColumn="0"/>
        </w:trPr>
        <w:tc>
          <w:tcPr>
            <w:tcW w:w="2268" w:type="dxa"/>
          </w:tcPr>
          <w:p w14:paraId="6E1179AE" w14:textId="47E51EE5" w:rsidR="009C69FD" w:rsidRPr="00D951DD" w:rsidRDefault="005B68D4" w:rsidP="00B66235">
            <w:pPr>
              <w:contextualSpacing/>
              <w:rPr>
                <w:sz w:val="22"/>
                <w:szCs w:val="22"/>
              </w:rPr>
            </w:pPr>
            <w:r w:rsidRPr="00D951DD">
              <w:rPr>
                <w:sz w:val="22"/>
                <w:szCs w:val="22"/>
              </w:rPr>
              <w:t xml:space="preserve">High-risk transaction controls </w:t>
            </w:r>
          </w:p>
        </w:tc>
        <w:tc>
          <w:tcPr>
            <w:tcW w:w="6804" w:type="dxa"/>
          </w:tcPr>
          <w:p w14:paraId="2F760CC3" w14:textId="0BE948AB" w:rsidR="009C69FD" w:rsidRPr="00D951DD" w:rsidRDefault="0083712F" w:rsidP="00B66235">
            <w:pPr>
              <w:contextualSpacing/>
              <w:rPr>
                <w:sz w:val="22"/>
                <w:szCs w:val="22"/>
              </w:rPr>
            </w:pPr>
            <w:r w:rsidRPr="00D951DD">
              <w:rPr>
                <w:sz w:val="22"/>
                <w:szCs w:val="22"/>
              </w:rPr>
              <w:t>B</w:t>
            </w:r>
            <w:r w:rsidR="005B68D4" w:rsidRPr="00D951DD">
              <w:rPr>
                <w:sz w:val="22"/>
                <w:szCs w:val="22"/>
              </w:rPr>
              <w:t xml:space="preserve">anks have </w:t>
            </w:r>
            <w:r w:rsidR="00B172A8" w:rsidRPr="00D951DD">
              <w:rPr>
                <w:sz w:val="22"/>
                <w:szCs w:val="22"/>
              </w:rPr>
              <w:t>announced a series</w:t>
            </w:r>
            <w:r w:rsidR="005B68D4" w:rsidRPr="00D951DD">
              <w:rPr>
                <w:sz w:val="22"/>
                <w:szCs w:val="22"/>
              </w:rPr>
              <w:t xml:space="preserve"> </w:t>
            </w:r>
            <w:r w:rsidR="005D6F94" w:rsidRPr="00D951DD">
              <w:rPr>
                <w:sz w:val="22"/>
                <w:szCs w:val="22"/>
              </w:rPr>
              <w:t xml:space="preserve">of </w:t>
            </w:r>
            <w:r w:rsidR="005B68D4" w:rsidRPr="00D951DD">
              <w:rPr>
                <w:sz w:val="22"/>
                <w:szCs w:val="22"/>
              </w:rPr>
              <w:t xml:space="preserve">new holds, declines and limits on high-risk transactions, </w:t>
            </w:r>
            <w:r w:rsidR="00B172A8" w:rsidRPr="00D951DD">
              <w:rPr>
                <w:sz w:val="22"/>
                <w:szCs w:val="22"/>
              </w:rPr>
              <w:t xml:space="preserve">including </w:t>
            </w:r>
            <w:r w:rsidR="0002392D" w:rsidRPr="00D951DD">
              <w:rPr>
                <w:sz w:val="22"/>
                <w:szCs w:val="22"/>
              </w:rPr>
              <w:t>changes for payments to</w:t>
            </w:r>
            <w:r w:rsidR="00CA1381" w:rsidRPr="00D951DD">
              <w:rPr>
                <w:sz w:val="22"/>
                <w:szCs w:val="22"/>
              </w:rPr>
              <w:t xml:space="preserve"> high-risk</w:t>
            </w:r>
            <w:r w:rsidR="00B172A8" w:rsidRPr="00D951DD">
              <w:rPr>
                <w:sz w:val="22"/>
                <w:szCs w:val="22"/>
              </w:rPr>
              <w:t xml:space="preserve"> cryptocurrency </w:t>
            </w:r>
            <w:r w:rsidR="0002392D" w:rsidRPr="00D951DD">
              <w:rPr>
                <w:sz w:val="22"/>
                <w:szCs w:val="22"/>
              </w:rPr>
              <w:t xml:space="preserve">exchanges announced by </w:t>
            </w:r>
            <w:r w:rsidR="005D6F94" w:rsidRPr="00D951DD">
              <w:rPr>
                <w:sz w:val="22"/>
                <w:szCs w:val="22"/>
              </w:rPr>
              <w:t xml:space="preserve">all major banks over 2023-24. </w:t>
            </w:r>
            <w:r w:rsidR="000746FE" w:rsidRPr="00D951DD">
              <w:rPr>
                <w:sz w:val="22"/>
                <w:szCs w:val="22"/>
              </w:rPr>
              <w:t xml:space="preserve">  </w:t>
            </w:r>
          </w:p>
        </w:tc>
      </w:tr>
      <w:tr w:rsidR="009C69FD" w:rsidRPr="00987834" w14:paraId="375BC677" w14:textId="77777777" w:rsidTr="00B66235">
        <w:tc>
          <w:tcPr>
            <w:tcW w:w="2268" w:type="dxa"/>
          </w:tcPr>
          <w:p w14:paraId="0EFCCB53" w14:textId="77424670" w:rsidR="009C69FD" w:rsidRPr="00D951DD" w:rsidRDefault="00917A9A" w:rsidP="00B66235">
            <w:pPr>
              <w:contextualSpacing/>
              <w:rPr>
                <w:sz w:val="22"/>
                <w:szCs w:val="22"/>
              </w:rPr>
            </w:pPr>
            <w:r w:rsidRPr="00D951DD">
              <w:rPr>
                <w:sz w:val="22"/>
                <w:szCs w:val="22"/>
              </w:rPr>
              <w:t>Call</w:t>
            </w:r>
            <w:r w:rsidR="005D5379" w:rsidRPr="00D951DD">
              <w:rPr>
                <w:sz w:val="22"/>
                <w:szCs w:val="22"/>
              </w:rPr>
              <w:t>er</w:t>
            </w:r>
            <w:r w:rsidRPr="00D951DD">
              <w:rPr>
                <w:sz w:val="22"/>
                <w:szCs w:val="22"/>
              </w:rPr>
              <w:t xml:space="preserve"> identification </w:t>
            </w:r>
            <w:r w:rsidR="0083712F" w:rsidRPr="00D951DD">
              <w:rPr>
                <w:sz w:val="22"/>
                <w:szCs w:val="22"/>
              </w:rPr>
              <w:t>and verification</w:t>
            </w:r>
          </w:p>
        </w:tc>
        <w:tc>
          <w:tcPr>
            <w:tcW w:w="6804" w:type="dxa"/>
          </w:tcPr>
          <w:p w14:paraId="1310EED8" w14:textId="28D646E2" w:rsidR="009C69FD" w:rsidRPr="00D951DD" w:rsidRDefault="0083712F" w:rsidP="00B66235">
            <w:pPr>
              <w:contextualSpacing/>
              <w:rPr>
                <w:sz w:val="22"/>
                <w:szCs w:val="22"/>
              </w:rPr>
            </w:pPr>
            <w:r w:rsidRPr="00D951DD">
              <w:rPr>
                <w:sz w:val="22"/>
                <w:szCs w:val="22"/>
              </w:rPr>
              <w:t xml:space="preserve">Some banks have </w:t>
            </w:r>
            <w:r w:rsidR="006F3642" w:rsidRPr="00D951DD">
              <w:rPr>
                <w:sz w:val="22"/>
                <w:szCs w:val="22"/>
              </w:rPr>
              <w:t>announced</w:t>
            </w:r>
            <w:r w:rsidRPr="00D951DD">
              <w:rPr>
                <w:sz w:val="22"/>
                <w:szCs w:val="22"/>
              </w:rPr>
              <w:t xml:space="preserve"> in-app communications and </w:t>
            </w:r>
            <w:r w:rsidR="003806DF" w:rsidRPr="00D951DD">
              <w:rPr>
                <w:sz w:val="22"/>
                <w:szCs w:val="22"/>
              </w:rPr>
              <w:t>partnered</w:t>
            </w:r>
            <w:r w:rsidR="00E0461E" w:rsidRPr="00D951DD">
              <w:rPr>
                <w:sz w:val="22"/>
                <w:szCs w:val="22"/>
              </w:rPr>
              <w:t xml:space="preserve"> with telecommunications providers to verify </w:t>
            </w:r>
            <w:r w:rsidR="006F3642" w:rsidRPr="00D951DD">
              <w:rPr>
                <w:sz w:val="22"/>
                <w:szCs w:val="22"/>
              </w:rPr>
              <w:t xml:space="preserve">bank calls, including </w:t>
            </w:r>
            <w:proofErr w:type="spellStart"/>
            <w:r w:rsidR="009C69FD" w:rsidRPr="00D951DD">
              <w:rPr>
                <w:sz w:val="22"/>
                <w:szCs w:val="22"/>
              </w:rPr>
              <w:t>CommBank</w:t>
            </w:r>
            <w:proofErr w:type="spellEnd"/>
            <w:r w:rsidR="009C69FD" w:rsidRPr="00D951DD">
              <w:rPr>
                <w:sz w:val="22"/>
                <w:szCs w:val="22"/>
              </w:rPr>
              <w:t xml:space="preserve"> </w:t>
            </w:r>
            <w:proofErr w:type="spellStart"/>
            <w:r w:rsidR="009C69FD" w:rsidRPr="00D951DD">
              <w:rPr>
                <w:i/>
                <w:iCs/>
                <w:sz w:val="22"/>
                <w:szCs w:val="22"/>
              </w:rPr>
              <w:t>CallerCheck</w:t>
            </w:r>
            <w:proofErr w:type="spellEnd"/>
            <w:r w:rsidR="009C69FD" w:rsidRPr="00D951DD">
              <w:rPr>
                <w:i/>
                <w:iCs/>
                <w:sz w:val="22"/>
                <w:szCs w:val="22"/>
              </w:rPr>
              <w:t xml:space="preserve"> </w:t>
            </w:r>
            <w:r w:rsidR="006F3642" w:rsidRPr="00D951DD">
              <w:rPr>
                <w:sz w:val="22"/>
                <w:szCs w:val="22"/>
              </w:rPr>
              <w:t xml:space="preserve">in February 2023 </w:t>
            </w:r>
            <w:r w:rsidR="00CA6F55" w:rsidRPr="00D951DD">
              <w:rPr>
                <w:i/>
                <w:iCs/>
                <w:sz w:val="22"/>
                <w:szCs w:val="22"/>
              </w:rPr>
              <w:t xml:space="preserve">and Westpac </w:t>
            </w:r>
            <w:proofErr w:type="spellStart"/>
            <w:r w:rsidR="00CA6F55" w:rsidRPr="00D951DD">
              <w:rPr>
                <w:i/>
                <w:iCs/>
                <w:sz w:val="22"/>
                <w:szCs w:val="22"/>
              </w:rPr>
              <w:t>Safecall</w:t>
            </w:r>
            <w:proofErr w:type="spellEnd"/>
            <w:r w:rsidR="00CA6F55" w:rsidRPr="00D951DD">
              <w:rPr>
                <w:i/>
                <w:iCs/>
                <w:sz w:val="22"/>
                <w:szCs w:val="22"/>
              </w:rPr>
              <w:t xml:space="preserve"> </w:t>
            </w:r>
            <w:r w:rsidR="0019489D" w:rsidRPr="00D951DD">
              <w:rPr>
                <w:sz w:val="22"/>
                <w:szCs w:val="22"/>
              </w:rPr>
              <w:t xml:space="preserve">in July 2024. </w:t>
            </w:r>
          </w:p>
        </w:tc>
      </w:tr>
    </w:tbl>
    <w:p w14:paraId="345ADAAA" w14:textId="19216A6E" w:rsidR="00C638F3" w:rsidRDefault="00944C85" w:rsidP="008E3E67">
      <w:r w:rsidRPr="00874346">
        <w:t>Under status quo arrangements</w:t>
      </w:r>
      <w:r w:rsidR="004065CC" w:rsidRPr="00874346">
        <w:t>,</w:t>
      </w:r>
      <w:r w:rsidR="000230F7" w:rsidRPr="00874346">
        <w:t xml:space="preserve"> industry</w:t>
      </w:r>
      <w:r w:rsidR="004065CC" w:rsidRPr="00874346">
        <w:t xml:space="preserve"> </w:t>
      </w:r>
      <w:r w:rsidR="00DA2BB9">
        <w:t xml:space="preserve">voluntary </w:t>
      </w:r>
      <w:r w:rsidR="004065CC" w:rsidRPr="00874346">
        <w:t xml:space="preserve">information sharing </w:t>
      </w:r>
      <w:r w:rsidR="000230F7" w:rsidRPr="00874346">
        <w:t>arrangements</w:t>
      </w:r>
      <w:r w:rsidR="004065CC" w:rsidRPr="00874346">
        <w:t xml:space="preserve"> will continue to develop</w:t>
      </w:r>
      <w:r w:rsidR="00583350" w:rsidRPr="00874346">
        <w:t xml:space="preserve">, with </w:t>
      </w:r>
      <w:r w:rsidR="00540071" w:rsidRPr="00874346">
        <w:t xml:space="preserve">all Scam-Safe Accord signatories committing to join the AFCX. </w:t>
      </w:r>
      <w:r w:rsidR="003111B4">
        <w:t>In May 2023, the ABA reported that 14 of its 20 members were, or were in the process of, entering membership with the Fraud Reporting Exchange</w:t>
      </w:r>
      <w:r w:rsidR="00611C9A">
        <w:t xml:space="preserve"> of the AFCX</w:t>
      </w:r>
      <w:r w:rsidR="003111B4">
        <w:t xml:space="preserve">. </w:t>
      </w:r>
      <w:r w:rsidR="00DA2BB9">
        <w:t xml:space="preserve">Under the </w:t>
      </w:r>
      <w:r w:rsidR="006B6A25">
        <w:t>Scam-Safe</w:t>
      </w:r>
      <w:r w:rsidR="00DA2BB9">
        <w:t xml:space="preserve"> Accord, participating banks committed to join the AFCX by mid-2024 and its Fraud Reporting Exchange over 2024-25.</w:t>
      </w:r>
    </w:p>
    <w:p w14:paraId="2B948C21" w14:textId="7E483D0B" w:rsidR="00540071" w:rsidRPr="00874346" w:rsidRDefault="00AF7998" w:rsidP="008E3E67">
      <w:r w:rsidRPr="00874346">
        <w:t xml:space="preserve">Banks </w:t>
      </w:r>
      <w:r w:rsidR="006E55EA" w:rsidRPr="00874346">
        <w:t>play a pivotal role in economy-wide information sharing arrangements</w:t>
      </w:r>
      <w:r w:rsidR="000230F7" w:rsidRPr="00874346">
        <w:t xml:space="preserve"> and </w:t>
      </w:r>
      <w:r w:rsidR="00A9799F" w:rsidRPr="00874346">
        <w:t xml:space="preserve">have developed more standardised sets of data </w:t>
      </w:r>
      <w:r w:rsidR="004E2F29" w:rsidRPr="00874346">
        <w:t xml:space="preserve">and processes compared to other sectors. However, banks </w:t>
      </w:r>
      <w:r w:rsidR="006E55EA" w:rsidRPr="00874346">
        <w:t xml:space="preserve">have less visibility of intelligence relating to </w:t>
      </w:r>
      <w:r w:rsidR="001942B4" w:rsidRPr="00874346">
        <w:t xml:space="preserve">contact or communication methods for scams beyond self-reported </w:t>
      </w:r>
      <w:r w:rsidR="00E94AFA" w:rsidRPr="00874346">
        <w:t>information from consumers</w:t>
      </w:r>
      <w:r w:rsidR="004E2F29" w:rsidRPr="00874346">
        <w:t>, which is highly useful for early identification.</w:t>
      </w:r>
    </w:p>
    <w:p w14:paraId="6464F81A" w14:textId="31FCB961" w:rsidR="00BC3445" w:rsidRDefault="006A23B9" w:rsidP="008E3E67">
      <w:pPr>
        <w:rPr>
          <w:highlight w:val="yellow"/>
        </w:rPr>
      </w:pPr>
      <w:r w:rsidRPr="004B5094">
        <w:t xml:space="preserve">Under </w:t>
      </w:r>
      <w:r w:rsidR="005D7C4E">
        <w:t>the</w:t>
      </w:r>
      <w:r w:rsidRPr="004B5094">
        <w:t xml:space="preserve"> status quo, banks would be subject to existing requirements to have appropriate IDR mechanisms in place and </w:t>
      </w:r>
      <w:r w:rsidR="00BE3141" w:rsidRPr="004B5094">
        <w:t>be a member of AFCA</w:t>
      </w:r>
      <w:r w:rsidR="00AE15EA">
        <w:t>. Both of these obligations are set out in</w:t>
      </w:r>
      <w:r w:rsidR="00BE3141" w:rsidRPr="004B5094">
        <w:t xml:space="preserve"> </w:t>
      </w:r>
      <w:r w:rsidR="00BC3445" w:rsidRPr="004B5094">
        <w:t>section 912A of</w:t>
      </w:r>
      <w:r w:rsidR="00BE3141" w:rsidRPr="004B5094">
        <w:t xml:space="preserve"> the </w:t>
      </w:r>
      <w:r w:rsidR="00BE3141" w:rsidRPr="004B5094">
        <w:rPr>
          <w:i/>
        </w:rPr>
        <w:t>Corporations Act 2001</w:t>
      </w:r>
      <w:r w:rsidR="00BE3141" w:rsidRPr="004B5094">
        <w:t xml:space="preserve">. </w:t>
      </w:r>
      <w:r w:rsidR="006951B3" w:rsidRPr="00874346">
        <w:t>However, c</w:t>
      </w:r>
      <w:r w:rsidR="00BC3445" w:rsidRPr="00874346">
        <w:t xml:space="preserve">ertain branches of foreign-owned </w:t>
      </w:r>
      <w:r w:rsidR="009264DB">
        <w:t>authorised deposit</w:t>
      </w:r>
      <w:r w:rsidR="002229B3">
        <w:t>-</w:t>
      </w:r>
      <w:r w:rsidR="009264DB">
        <w:t xml:space="preserve">taking </w:t>
      </w:r>
      <w:r w:rsidR="009264DB">
        <w:lastRenderedPageBreak/>
        <w:t xml:space="preserve">institutions </w:t>
      </w:r>
      <w:r w:rsidR="00FD07CE">
        <w:t>(</w:t>
      </w:r>
      <w:r w:rsidR="00BC3445" w:rsidRPr="00874346">
        <w:t>ADIs</w:t>
      </w:r>
      <w:r w:rsidR="009264DB">
        <w:t>)</w:t>
      </w:r>
      <w:r w:rsidR="00BC3445" w:rsidRPr="00874346">
        <w:t xml:space="preserve"> </w:t>
      </w:r>
      <w:r w:rsidR="006951B3" w:rsidRPr="00874346">
        <w:t xml:space="preserve">that </w:t>
      </w:r>
      <w:r w:rsidR="00BF5C12" w:rsidRPr="00874346">
        <w:t xml:space="preserve">generally </w:t>
      </w:r>
      <w:r w:rsidR="006951B3" w:rsidRPr="00874346">
        <w:t xml:space="preserve">service wholesale clients </w:t>
      </w:r>
      <w:r w:rsidR="00BC3445" w:rsidRPr="00874346">
        <w:t>and ADIs that provides services to industry (e.g. the Australian Settlements Ltd) do not hold a</w:t>
      </w:r>
      <w:r w:rsidR="00D151A3" w:rsidRPr="00874346">
        <w:t>n</w:t>
      </w:r>
      <w:r w:rsidR="00BC3445" w:rsidRPr="00874346">
        <w:t xml:space="preserve"> AFCA </w:t>
      </w:r>
      <w:r w:rsidR="00D151A3" w:rsidRPr="00874346">
        <w:t>membership</w:t>
      </w:r>
      <w:r w:rsidR="00BC3445" w:rsidRPr="00874346">
        <w:t xml:space="preserve">. </w:t>
      </w:r>
    </w:p>
    <w:p w14:paraId="32884068" w14:textId="2F43AF3F" w:rsidR="00D01078" w:rsidRPr="008E3E67" w:rsidRDefault="00E00052" w:rsidP="008E3E67">
      <w:r w:rsidRPr="004B5094">
        <w:t>Being a member of AFCA</w:t>
      </w:r>
      <w:r w:rsidR="00223F44" w:rsidRPr="004B5094">
        <w:t xml:space="preserve"> includes paying</w:t>
      </w:r>
      <w:r w:rsidR="002C25AC" w:rsidRPr="004B5094">
        <w:t xml:space="preserve"> AFCA’s</w:t>
      </w:r>
      <w:r w:rsidR="00223F44" w:rsidRPr="004B5094">
        <w:t xml:space="preserve"> annual membership fee</w:t>
      </w:r>
      <w:r w:rsidR="008E3E67" w:rsidRPr="004B5094">
        <w:t xml:space="preserve"> (~</w:t>
      </w:r>
      <w:r w:rsidR="000606FF">
        <w:t>$</w:t>
      </w:r>
      <w:r w:rsidR="00033276">
        <w:t>38</w:t>
      </w:r>
      <w:r w:rsidR="008E50C0">
        <w:t>9</w:t>
      </w:r>
      <w:r w:rsidR="00033276" w:rsidRPr="004B5094">
        <w:t xml:space="preserve"> </w:t>
      </w:r>
      <w:r w:rsidR="008E3E67" w:rsidRPr="004B5094">
        <w:t>for FY 2024-25)</w:t>
      </w:r>
      <w:r w:rsidR="00223F44" w:rsidRPr="004B5094">
        <w:t xml:space="preserve">, complaint handling fees and </w:t>
      </w:r>
      <w:r w:rsidR="001378B6" w:rsidRPr="004B5094">
        <w:t>a</w:t>
      </w:r>
      <w:r w:rsidR="0025715A" w:rsidRPr="004B5094">
        <w:t>n annual proportionate user charge that is calculated based on prior year’s AFCA dispute handling data.</w:t>
      </w:r>
      <w:r w:rsidR="008E3E67" w:rsidRPr="004B5094">
        <w:t xml:space="preserve"> AFCA does not charge for the first five complaints against a member in a financial year. After that, the complaint handling fees vary on a case-by-case basis, depending on the stage the complaint is closed.</w:t>
      </w:r>
      <w:r w:rsidR="006A23B9">
        <w:t xml:space="preserve"> </w:t>
      </w:r>
      <w:r w:rsidR="00D01078">
        <w:t xml:space="preserve">Under status quo, AFCA would maintain its current jurisdiction as the EDR scheme for financial sector firms, including in relation to complaints involving scams. </w:t>
      </w:r>
    </w:p>
    <w:p w14:paraId="607C002E" w14:textId="633A81A6" w:rsidR="00D2700C" w:rsidRDefault="00D2700C" w:rsidP="00DA1E3F">
      <w:pPr>
        <w:pStyle w:val="Heading7"/>
      </w:pPr>
      <w:r>
        <w:t xml:space="preserve">Option 2 – Scams </w:t>
      </w:r>
      <w:r w:rsidR="00EA4A0B">
        <w:t>Prevention</w:t>
      </w:r>
      <w:r>
        <w:t xml:space="preserve"> Framework</w:t>
      </w:r>
    </w:p>
    <w:p w14:paraId="6DAEE440" w14:textId="61328F84" w:rsidR="00C46602" w:rsidRDefault="00A00CEA" w:rsidP="00701A29">
      <w:r>
        <w:t xml:space="preserve">The impact of the </w:t>
      </w:r>
      <w:r w:rsidR="00EA4A0B">
        <w:t>SPF</w:t>
      </w:r>
      <w:r>
        <w:t xml:space="preserve"> on </w:t>
      </w:r>
      <w:r w:rsidR="00C46602">
        <w:t>the banking sector</w:t>
      </w:r>
      <w:r>
        <w:t xml:space="preserve"> would </w:t>
      </w:r>
      <w:r w:rsidR="00A21362">
        <w:t>result in</w:t>
      </w:r>
      <w:r w:rsidR="009B7BBF">
        <w:t xml:space="preserve"> a</w:t>
      </w:r>
      <w:r w:rsidR="00C46602">
        <w:t xml:space="preserve"> </w:t>
      </w:r>
      <w:r w:rsidR="005570E8">
        <w:t>consistent standard</w:t>
      </w:r>
      <w:r w:rsidR="00E93C02">
        <w:t xml:space="preserve"> of</w:t>
      </w:r>
      <w:r>
        <w:t xml:space="preserve"> </w:t>
      </w:r>
      <w:r w:rsidR="00587425">
        <w:t xml:space="preserve">measures to prevent, detect, </w:t>
      </w:r>
      <w:r w:rsidR="005679B2">
        <w:t>report</w:t>
      </w:r>
      <w:r w:rsidR="008552E2">
        <w:t xml:space="preserve">, </w:t>
      </w:r>
      <w:r w:rsidR="00587425">
        <w:t>disrupt</w:t>
      </w:r>
      <w:r w:rsidR="00E02B86">
        <w:t>,</w:t>
      </w:r>
      <w:r w:rsidR="00587425">
        <w:t xml:space="preserve"> and respond to scams</w:t>
      </w:r>
      <w:r w:rsidR="00C46602">
        <w:t xml:space="preserve"> additional </w:t>
      </w:r>
      <w:r w:rsidR="009B7BBF">
        <w:t>to voluntary commitments</w:t>
      </w:r>
      <w:r w:rsidR="00E93C02">
        <w:t xml:space="preserve"> or industry self-regulation</w:t>
      </w:r>
      <w:r w:rsidR="009B7BBF">
        <w:t xml:space="preserve">. </w:t>
      </w:r>
      <w:r w:rsidR="00713BC4">
        <w:t xml:space="preserve">The </w:t>
      </w:r>
      <w:r w:rsidR="00E93C02">
        <w:t xml:space="preserve">uplift approach to the </w:t>
      </w:r>
      <w:r w:rsidR="00252243">
        <w:t>initial</w:t>
      </w:r>
      <w:r w:rsidR="00E93C02">
        <w:t xml:space="preserve"> </w:t>
      </w:r>
      <w:r w:rsidR="00C571BA">
        <w:t xml:space="preserve">SPF </w:t>
      </w:r>
      <w:r w:rsidR="00E93C02">
        <w:t xml:space="preserve">would </w:t>
      </w:r>
      <w:r w:rsidR="00252243">
        <w:t>see</w:t>
      </w:r>
      <w:r w:rsidR="00E93C02">
        <w:t xml:space="preserve"> the most </w:t>
      </w:r>
      <w:r w:rsidR="00A21362">
        <w:t>changes</w:t>
      </w:r>
      <w:r w:rsidR="00E93C02">
        <w:t xml:space="preserve"> in </w:t>
      </w:r>
      <w:r w:rsidR="00252243">
        <w:t>its capture of</w:t>
      </w:r>
      <w:r w:rsidR="00E93C02">
        <w:t xml:space="preserve"> </w:t>
      </w:r>
      <w:r w:rsidR="00E02B86">
        <w:t>banks</w:t>
      </w:r>
      <w:r w:rsidR="00E93C02">
        <w:t xml:space="preserve"> that do not </w:t>
      </w:r>
      <w:r w:rsidR="00E02B86">
        <w:t xml:space="preserve">participate in or </w:t>
      </w:r>
      <w:r w:rsidR="00E93C02">
        <w:t xml:space="preserve">meet </w:t>
      </w:r>
      <w:r w:rsidR="00E02B86">
        <w:t>current industry standards relating to scams</w:t>
      </w:r>
      <w:r w:rsidR="00996078">
        <w:t xml:space="preserve"> as all </w:t>
      </w:r>
      <w:r w:rsidR="002B4AFF">
        <w:t xml:space="preserve">businesses </w:t>
      </w:r>
      <w:r w:rsidR="00A21362">
        <w:t>would be mandated to adopt new policies and procedures.</w:t>
      </w:r>
    </w:p>
    <w:p w14:paraId="54CC2E14" w14:textId="153ABB6C" w:rsidR="00143B88" w:rsidRDefault="00982B1B" w:rsidP="00701A29">
      <w:r>
        <w:t xml:space="preserve">Under the </w:t>
      </w:r>
      <w:r w:rsidR="00EA4A0B">
        <w:t>SPF</w:t>
      </w:r>
      <w:r>
        <w:t xml:space="preserve">, </w:t>
      </w:r>
      <w:r w:rsidR="001E6B33">
        <w:t>the banking sector may be required to undertake</w:t>
      </w:r>
      <w:r>
        <w:t xml:space="preserve"> </w:t>
      </w:r>
      <w:r w:rsidR="00FE146B">
        <w:t xml:space="preserve">additional activities </w:t>
      </w:r>
      <w:r w:rsidR="001E6B33">
        <w:t>to demonstrate compliance</w:t>
      </w:r>
      <w:r w:rsidR="00FE146B">
        <w:t xml:space="preserve"> </w:t>
      </w:r>
      <w:r w:rsidR="00F1662B">
        <w:t xml:space="preserve">with its principles-based obligations, including the following: </w:t>
      </w:r>
    </w:p>
    <w:p w14:paraId="37184606" w14:textId="60E1FAED" w:rsidR="000D2443" w:rsidRPr="003C526C" w:rsidRDefault="000838AE" w:rsidP="00183D93">
      <w:pPr>
        <w:pStyle w:val="Bullet"/>
        <w:numPr>
          <w:ilvl w:val="0"/>
          <w:numId w:val="50"/>
        </w:numPr>
      </w:pPr>
      <w:r w:rsidRPr="005A16CB">
        <w:rPr>
          <w:b/>
          <w:bCs/>
        </w:rPr>
        <w:t>Prevention activities</w:t>
      </w:r>
      <w:r w:rsidRPr="003C526C">
        <w:t xml:space="preserve">, </w:t>
      </w:r>
      <w:r w:rsidR="00830C8E" w:rsidRPr="003C526C">
        <w:t xml:space="preserve">including the design of appropriate </w:t>
      </w:r>
      <w:r w:rsidR="00290435" w:rsidRPr="003C526C">
        <w:t>banking</w:t>
      </w:r>
      <w:r w:rsidR="00830C8E" w:rsidRPr="003C526C">
        <w:t xml:space="preserve"> in-app communication</w:t>
      </w:r>
      <w:r w:rsidR="00B32674" w:rsidRPr="003C526C">
        <w:t>s</w:t>
      </w:r>
      <w:r w:rsidR="00830C8E" w:rsidRPr="003C526C">
        <w:t xml:space="preserve"> and warnings to </w:t>
      </w:r>
      <w:r w:rsidR="00B32674" w:rsidRPr="003C526C">
        <w:t xml:space="preserve">consumers to </w:t>
      </w:r>
      <w:r w:rsidR="0037508A" w:rsidRPr="003C526C">
        <w:t xml:space="preserve">reduce the risk </w:t>
      </w:r>
      <w:r w:rsidR="00D2116E" w:rsidRPr="003C526C">
        <w:t xml:space="preserve">that consumers will be </w:t>
      </w:r>
      <w:r w:rsidR="00290435" w:rsidRPr="003C526C">
        <w:t>exposed to a scam attempt</w:t>
      </w:r>
      <w:r w:rsidR="00480D1A" w:rsidRPr="003C526C">
        <w:t>.</w:t>
      </w:r>
      <w:r w:rsidR="0037508A" w:rsidRPr="003C526C">
        <w:t xml:space="preserve"> </w:t>
      </w:r>
    </w:p>
    <w:p w14:paraId="58C61DEB" w14:textId="030FFB57" w:rsidR="000D2443" w:rsidRPr="003C526C" w:rsidRDefault="000838AE" w:rsidP="00183D93">
      <w:pPr>
        <w:pStyle w:val="Bullet"/>
        <w:numPr>
          <w:ilvl w:val="0"/>
          <w:numId w:val="50"/>
        </w:numPr>
      </w:pPr>
      <w:r w:rsidRPr="005A16CB">
        <w:rPr>
          <w:b/>
          <w:bCs/>
        </w:rPr>
        <w:t>Detection activities</w:t>
      </w:r>
      <w:r w:rsidRPr="003C526C">
        <w:t xml:space="preserve">, including </w:t>
      </w:r>
      <w:r w:rsidR="00290435" w:rsidRPr="003C526C">
        <w:t xml:space="preserve">information sharing and </w:t>
      </w:r>
      <w:r w:rsidR="002D090F" w:rsidRPr="003C526C">
        <w:t xml:space="preserve">improving </w:t>
      </w:r>
      <w:r w:rsidR="009330FE" w:rsidRPr="003C526C">
        <w:t>respons</w:t>
      </w:r>
      <w:r w:rsidR="009330FE">
        <w:t xml:space="preserve">iveness </w:t>
      </w:r>
      <w:r w:rsidR="008D0FF9" w:rsidRPr="003C526C">
        <w:t xml:space="preserve">to trace and action credible intelligence </w:t>
      </w:r>
      <w:r w:rsidR="008D0FF9">
        <w:t xml:space="preserve">from </w:t>
      </w:r>
      <w:r w:rsidR="002D090F" w:rsidRPr="003C526C">
        <w:t xml:space="preserve">consumer </w:t>
      </w:r>
      <w:r w:rsidR="00AF132C" w:rsidRPr="003C526C">
        <w:t xml:space="preserve">and industry </w:t>
      </w:r>
      <w:r w:rsidR="002D090F" w:rsidRPr="003C526C">
        <w:t>reports</w:t>
      </w:r>
      <w:r w:rsidR="00B32674" w:rsidRPr="003C526C">
        <w:t xml:space="preserve"> </w:t>
      </w:r>
      <w:r w:rsidR="008D0FF9">
        <w:t xml:space="preserve">of </w:t>
      </w:r>
      <w:r w:rsidR="0056062C">
        <w:t>reasonably suspected scam activity</w:t>
      </w:r>
      <w:r w:rsidR="00290435" w:rsidRPr="003C526C">
        <w:t>.</w:t>
      </w:r>
      <w:r w:rsidR="00AF132C" w:rsidRPr="003C526C">
        <w:t xml:space="preserve"> </w:t>
      </w:r>
    </w:p>
    <w:p w14:paraId="6E768D7C" w14:textId="1729F6E0" w:rsidR="000838AE" w:rsidRPr="003C526C" w:rsidRDefault="000838AE" w:rsidP="00183D93">
      <w:pPr>
        <w:pStyle w:val="Bullet"/>
        <w:numPr>
          <w:ilvl w:val="0"/>
          <w:numId w:val="50"/>
        </w:numPr>
      </w:pPr>
      <w:r w:rsidRPr="005A16CB">
        <w:rPr>
          <w:b/>
          <w:bCs/>
        </w:rPr>
        <w:t>Disruption activities</w:t>
      </w:r>
      <w:r w:rsidRPr="003C526C">
        <w:t xml:space="preserve">, including ensuring appropriate frictions are in place for transactions </w:t>
      </w:r>
      <w:r w:rsidR="00B351D4" w:rsidRPr="003C526C">
        <w:t xml:space="preserve">reasonably at risk of being a scam, </w:t>
      </w:r>
      <w:r w:rsidR="00423665">
        <w:t>which may include</w:t>
      </w:r>
      <w:r w:rsidR="00423665" w:rsidRPr="003C526C">
        <w:t xml:space="preserve"> </w:t>
      </w:r>
      <w:r w:rsidR="000D2443" w:rsidRPr="003C526C">
        <w:t xml:space="preserve">placing holds, delays and limits </w:t>
      </w:r>
      <w:r w:rsidR="00290435" w:rsidRPr="003C526C">
        <w:t>on</w:t>
      </w:r>
      <w:r w:rsidRPr="003C526C">
        <w:t xml:space="preserve"> </w:t>
      </w:r>
      <w:r w:rsidR="00D34CB9" w:rsidRPr="003C526C">
        <w:t>accounts</w:t>
      </w:r>
      <w:r w:rsidR="00D73F97">
        <w:t xml:space="preserve"> or transactions</w:t>
      </w:r>
      <w:r w:rsidR="00D34CB9" w:rsidRPr="003C526C">
        <w:t xml:space="preserve">. </w:t>
      </w:r>
    </w:p>
    <w:p w14:paraId="54353CA0" w14:textId="476099A7" w:rsidR="00226994" w:rsidRDefault="0026293F" w:rsidP="00701A29">
      <w:r>
        <w:t xml:space="preserve">To document and review these activities, banks </w:t>
      </w:r>
      <w:r w:rsidR="00B13DC8">
        <w:t xml:space="preserve">would </w:t>
      </w:r>
      <w:r>
        <w:t xml:space="preserve">also have overarching governance obligations </w:t>
      </w:r>
      <w:r w:rsidR="00A72C10">
        <w:t xml:space="preserve">to </w:t>
      </w:r>
      <w:r w:rsidR="0019163F">
        <w:t>develop and implement governance policies, procedures, metrics and targets to combat scams</w:t>
      </w:r>
      <w:r w:rsidR="00A72C10">
        <w:t xml:space="preserve">. </w:t>
      </w:r>
      <w:r w:rsidR="00210990">
        <w:t xml:space="preserve">Whilst compliance costs for </w:t>
      </w:r>
      <w:r w:rsidR="00FD6017">
        <w:rPr>
          <w:szCs w:val="22"/>
        </w:rPr>
        <w:t xml:space="preserve">industry </w:t>
      </w:r>
      <w:r w:rsidR="003B2503">
        <w:t xml:space="preserve">to perform governance obligations </w:t>
      </w:r>
      <w:r w:rsidR="00210990">
        <w:t>will vary</w:t>
      </w:r>
      <w:r w:rsidR="003B2503">
        <w:t xml:space="preserve"> based on the maturity of existing internal governance</w:t>
      </w:r>
      <w:r w:rsidR="00194942">
        <w:t xml:space="preserve"> arrangements. </w:t>
      </w:r>
      <w:r w:rsidR="00D6465D">
        <w:t>Most banks have</w:t>
      </w:r>
      <w:r w:rsidR="00226994">
        <w:t xml:space="preserve"> or have already voluntarily committed to implementing anti-scam </w:t>
      </w:r>
      <w:r w:rsidR="00F161A2">
        <w:t xml:space="preserve">activities </w:t>
      </w:r>
      <w:r w:rsidR="00226994">
        <w:t>under the Scam-Safe Accord</w:t>
      </w:r>
      <w:r w:rsidR="00E3354B">
        <w:t>, reducing the anticipated impacts.</w:t>
      </w:r>
    </w:p>
    <w:p w14:paraId="4276F7CC" w14:textId="3359D5A9" w:rsidR="0026293F" w:rsidRDefault="008B2B96" w:rsidP="00701A29">
      <w:r>
        <w:t>Assuming existing strategies are in place,</w:t>
      </w:r>
      <w:r w:rsidR="00226994">
        <w:t xml:space="preserve"> governance </w:t>
      </w:r>
      <w:r>
        <w:t>impacts</w:t>
      </w:r>
      <w:r w:rsidR="00226994">
        <w:t xml:space="preserve"> additional to status quo governance activities may include</w:t>
      </w:r>
      <w:r w:rsidR="002857C0">
        <w:t xml:space="preserve"> capability and staffing to ensure the following functions can be performed</w:t>
      </w:r>
      <w:r w:rsidR="00226994">
        <w:t xml:space="preserve">: </w:t>
      </w:r>
    </w:p>
    <w:p w14:paraId="1D497A17" w14:textId="77777777" w:rsidR="00B7171C" w:rsidRPr="003C526C" w:rsidRDefault="00B7171C" w:rsidP="00183D93">
      <w:pPr>
        <w:pStyle w:val="Bullet"/>
      </w:pPr>
      <w:r w:rsidRPr="003C526C">
        <w:t>a</w:t>
      </w:r>
      <w:r w:rsidR="008B2B96" w:rsidRPr="003C526C">
        <w:t>nnual review of anti-scam policies and procedures by a s</w:t>
      </w:r>
      <w:r w:rsidR="006436E5" w:rsidRPr="003C526C">
        <w:t>enior officer</w:t>
      </w:r>
      <w:r w:rsidRPr="003C526C">
        <w:t xml:space="preserve"> within the entity,</w:t>
      </w:r>
    </w:p>
    <w:p w14:paraId="750AAFE5" w14:textId="39A881AC" w:rsidR="008C0AD2" w:rsidRPr="003C526C" w:rsidRDefault="00B7171C" w:rsidP="00183D93">
      <w:pPr>
        <w:pStyle w:val="Bullet"/>
      </w:pPr>
      <w:r w:rsidRPr="003C526C">
        <w:t xml:space="preserve">maintenance and record-keeping of documents relating to anti-scam policies and procedures, </w:t>
      </w:r>
    </w:p>
    <w:p w14:paraId="593C694E" w14:textId="05035C13" w:rsidR="0026293F" w:rsidRPr="003C526C" w:rsidRDefault="0018685D" w:rsidP="00183D93">
      <w:pPr>
        <w:pStyle w:val="Bullet"/>
      </w:pPr>
      <w:proofErr w:type="gramStart"/>
      <w:r w:rsidRPr="003C526C">
        <w:t>drafting</w:t>
      </w:r>
      <w:proofErr w:type="gramEnd"/>
      <w:r w:rsidRPr="003C526C">
        <w:t xml:space="preserve"> and publication of information on how businesses are</w:t>
      </w:r>
      <w:r w:rsidR="00B054B4" w:rsidRPr="003C526C">
        <w:t xml:space="preserve"> protecting consumers, as well as </w:t>
      </w:r>
      <w:r w:rsidR="008614A0" w:rsidRPr="003C526C">
        <w:t>ensuring information is available to consumers on rights</w:t>
      </w:r>
      <w:r w:rsidR="00B054B4" w:rsidRPr="003C526C">
        <w:t xml:space="preserve"> and </w:t>
      </w:r>
      <w:r w:rsidR="008614A0" w:rsidRPr="003C526C">
        <w:t xml:space="preserve">available complaints avenues. </w:t>
      </w:r>
    </w:p>
    <w:p w14:paraId="5FF5E7C2" w14:textId="4F8F80A3" w:rsidR="00DD54D5" w:rsidRDefault="00DD54D5" w:rsidP="00701A29">
      <w:r>
        <w:t xml:space="preserve">Information sharing requirements would create additional impacts relevant to new policies and procedures relating to </w:t>
      </w:r>
      <w:r w:rsidR="002C37B3">
        <w:t xml:space="preserve">escalating actionable scam intelligence. However, the costs of these arrangements </w:t>
      </w:r>
      <w:r w:rsidR="00C13BE6">
        <w:t xml:space="preserve">are </w:t>
      </w:r>
      <w:r w:rsidR="002C37B3">
        <w:t xml:space="preserve">mitigated due to existing Accord banking sector commitments to join in the AFCX. </w:t>
      </w:r>
    </w:p>
    <w:p w14:paraId="0A888D95" w14:textId="3B122DC7" w:rsidR="00445207" w:rsidRDefault="001413FF" w:rsidP="00701A29">
      <w:r>
        <w:t>T</w:t>
      </w:r>
      <w:r w:rsidR="00445207">
        <w:t xml:space="preserve">he extent to which banks would be required to incur additional costs is mitigated by </w:t>
      </w:r>
      <w:r w:rsidR="00DF56AF">
        <w:t xml:space="preserve">the considerable extent of </w:t>
      </w:r>
      <w:r w:rsidR="00AF0209">
        <w:t xml:space="preserve">independent and self-regulated activity in the sector, </w:t>
      </w:r>
      <w:r w:rsidR="00287208">
        <w:t xml:space="preserve">and parallel regulatory obligations </w:t>
      </w:r>
      <w:r w:rsidR="00ED46DA">
        <w:t xml:space="preserve">for similar harms, including those relating to money laundering offences covered under the </w:t>
      </w:r>
      <w:r w:rsidR="00ED46DA">
        <w:rPr>
          <w:i/>
          <w:iCs/>
        </w:rPr>
        <w:t>Anti-Money Laundering and Counter Terrorism Financing Act</w:t>
      </w:r>
      <w:r w:rsidR="00ED46DA">
        <w:t xml:space="preserve">. </w:t>
      </w:r>
    </w:p>
    <w:p w14:paraId="2F3632CB" w14:textId="6A14026E" w:rsidR="00244B4E" w:rsidRDefault="002B4AFF" w:rsidP="00701A29">
      <w:r>
        <w:t xml:space="preserve">The </w:t>
      </w:r>
      <w:r w:rsidR="00C571BA">
        <w:t>SPF</w:t>
      </w:r>
      <w:r>
        <w:t xml:space="preserve"> </w:t>
      </w:r>
      <w:r w:rsidR="009914C4">
        <w:t>will</w:t>
      </w:r>
      <w:r>
        <w:t xml:space="preserve"> </w:t>
      </w:r>
      <w:r w:rsidR="009914C4">
        <w:t xml:space="preserve">capture businesses in </w:t>
      </w:r>
      <w:r>
        <w:t xml:space="preserve">the banking sector by designating </w:t>
      </w:r>
      <w:r w:rsidR="00974FB5">
        <w:t>all ADIs overseen by the Australian Prudential Regulation Authority (APRA).</w:t>
      </w:r>
      <w:r w:rsidR="008601C1" w:rsidDel="00974FB5">
        <w:t xml:space="preserve"> </w:t>
      </w:r>
      <w:r w:rsidR="00DF3D12">
        <w:t xml:space="preserve">As outlined in </w:t>
      </w:r>
      <w:r w:rsidR="003078B7">
        <w:fldChar w:fldCharType="begin"/>
      </w:r>
      <w:r w:rsidR="003078B7">
        <w:instrText xml:space="preserve"> REF _Ref177675226 \h </w:instrText>
      </w:r>
      <w:r w:rsidR="003078B7">
        <w:fldChar w:fldCharType="separate"/>
      </w:r>
      <w:r w:rsidR="003078B7">
        <w:t xml:space="preserve">Table </w:t>
      </w:r>
      <w:r w:rsidR="003078B7">
        <w:rPr>
          <w:noProof/>
        </w:rPr>
        <w:t>4</w:t>
      </w:r>
      <w:r w:rsidR="003078B7">
        <w:fldChar w:fldCharType="end"/>
      </w:r>
      <w:r w:rsidR="003078B7">
        <w:t xml:space="preserve">, </w:t>
      </w:r>
      <w:r w:rsidR="00DF3D12">
        <w:t xml:space="preserve">this would capture </w:t>
      </w:r>
      <w:r w:rsidR="00F01146">
        <w:t xml:space="preserve">some </w:t>
      </w:r>
      <w:r w:rsidR="00F01146">
        <w:lastRenderedPageBreak/>
        <w:t xml:space="preserve">businesses that </w:t>
      </w:r>
      <w:r w:rsidR="00D34CB9">
        <w:t xml:space="preserve">are and </w:t>
      </w:r>
      <w:r w:rsidR="00606173">
        <w:t xml:space="preserve">are not </w:t>
      </w:r>
      <w:r w:rsidR="00A1225B">
        <w:t xml:space="preserve">a member of industry bodies and </w:t>
      </w:r>
      <w:r w:rsidR="007150C9">
        <w:t xml:space="preserve">would </w:t>
      </w:r>
      <w:r w:rsidR="00F34CF9">
        <w:t xml:space="preserve">potentially </w:t>
      </w:r>
      <w:r w:rsidR="00D01EAA">
        <w:t xml:space="preserve">be </w:t>
      </w:r>
      <w:r w:rsidR="00A1225B">
        <w:t xml:space="preserve">subject to </w:t>
      </w:r>
      <w:r w:rsidR="00F34CF9">
        <w:t xml:space="preserve">additional </w:t>
      </w:r>
      <w:r w:rsidR="00D01EAA">
        <w:t>obligations</w:t>
      </w:r>
      <w:r w:rsidR="00F34CF9">
        <w:t>.</w:t>
      </w:r>
      <w:r w:rsidR="00A1225B">
        <w:t xml:space="preserve"> </w:t>
      </w:r>
      <w:r w:rsidR="0077459E">
        <w:t xml:space="preserve">Depending on the size and complexity of these entities, </w:t>
      </w:r>
      <w:r w:rsidR="00FE727A">
        <w:t xml:space="preserve">regulatory capture may impose expectations for new activities and associated costs. </w:t>
      </w:r>
    </w:p>
    <w:p w14:paraId="388BD697" w14:textId="2C7B3915" w:rsidR="00162276" w:rsidRDefault="002A60C4" w:rsidP="00676F05">
      <w:r>
        <w:t>I</w:t>
      </w:r>
      <w:r w:rsidR="00FE4232">
        <w:t>t is expected that</w:t>
      </w:r>
      <w:r w:rsidR="00162276">
        <w:t xml:space="preserve"> </w:t>
      </w:r>
      <w:r w:rsidR="00FE4232">
        <w:t xml:space="preserve">the </w:t>
      </w:r>
      <w:r w:rsidR="005735E5">
        <w:t xml:space="preserve">implementation </w:t>
      </w:r>
      <w:r w:rsidR="00FE4232">
        <w:t xml:space="preserve">of </w:t>
      </w:r>
      <w:r w:rsidR="00C571BA">
        <w:t>SPF</w:t>
      </w:r>
      <w:r w:rsidR="00FE4232">
        <w:t xml:space="preserve"> obligations and associated costs will differ depending on the size and complexity of the entity. </w:t>
      </w:r>
      <w:r w:rsidR="00274E0A">
        <w:t xml:space="preserve">As of June 2024, APRA monitors </w:t>
      </w:r>
      <w:r w:rsidR="00AD6A6A">
        <w:t xml:space="preserve">126 </w:t>
      </w:r>
      <w:r w:rsidR="004F5226">
        <w:t>ADIs</w:t>
      </w:r>
      <w:r w:rsidR="003270EF">
        <w:t xml:space="preserve">. </w:t>
      </w:r>
      <w:r w:rsidR="00D36382">
        <w:t xml:space="preserve">Of the $1.469 </w:t>
      </w:r>
      <w:r w:rsidR="002D3BAF">
        <w:t xml:space="preserve">trillion in </w:t>
      </w:r>
      <w:r w:rsidR="00DC3754">
        <w:t xml:space="preserve">deposits </w:t>
      </w:r>
      <w:r w:rsidR="006B57A4">
        <w:t xml:space="preserve">managed by these ADIs, </w:t>
      </w:r>
      <w:r w:rsidR="00BA7F91">
        <w:t xml:space="preserve">73 per cent are </w:t>
      </w:r>
      <w:r w:rsidR="00FC17CE">
        <w:t xml:space="preserve">held by </w:t>
      </w:r>
      <w:r w:rsidR="00BA7F91">
        <w:t>the major four banks.</w:t>
      </w:r>
      <w:r w:rsidR="004F5226" w:rsidRPr="008A609F">
        <w:rPr>
          <w:rStyle w:val="FootnoteReference"/>
          <w:vertAlign w:val="superscript"/>
        </w:rPr>
        <w:footnoteReference w:id="38"/>
      </w:r>
      <w:r w:rsidR="00BA7F91">
        <w:t xml:space="preserve"> The </w:t>
      </w:r>
      <w:r w:rsidR="008560B3">
        <w:t>remainder of deposit-taking activity</w:t>
      </w:r>
      <w:r w:rsidR="004F5226">
        <w:t xml:space="preserve"> in Australia</w:t>
      </w:r>
      <w:r w:rsidR="008560B3">
        <w:t xml:space="preserve"> is managed by a range of smaller entities: including medium-sized banks, credit unions, building societies and neobanks, each with</w:t>
      </w:r>
      <w:r>
        <w:t xml:space="preserve"> a</w:t>
      </w:r>
      <w:r w:rsidR="008560B3">
        <w:t xml:space="preserve"> variable</w:t>
      </w:r>
      <w:r>
        <w:t xml:space="preserve"> customer base, resourcing and presence in the Australian financial system. </w:t>
      </w:r>
      <w:r w:rsidR="008560B3">
        <w:t xml:space="preserve"> </w:t>
      </w:r>
    </w:p>
    <w:p w14:paraId="5707F5B4" w14:textId="483C949F" w:rsidR="006239FF" w:rsidRPr="0082510F" w:rsidRDefault="006239FF" w:rsidP="006239FF">
      <w:pPr>
        <w:pStyle w:val="Heading8"/>
      </w:pPr>
      <w:bookmarkStart w:id="30" w:name="_Ref177675226"/>
      <w:bookmarkStart w:id="31" w:name="_Ref177675219"/>
      <w:r>
        <w:t xml:space="preserve">Table </w:t>
      </w:r>
      <w:fldSimple w:instr=" SEQ Table \* ARABIC ">
        <w:r w:rsidR="002C1AD8">
          <w:rPr>
            <w:noProof/>
          </w:rPr>
          <w:t>4</w:t>
        </w:r>
      </w:fldSimple>
      <w:bookmarkEnd w:id="30"/>
      <w:r>
        <w:t xml:space="preserve"> – Potential regulated entities under the Banking Code</w:t>
      </w:r>
      <w:bookmarkStart w:id="32" w:name="_Hlk177466494"/>
      <w:r w:rsidRPr="00937F04">
        <w:rPr>
          <w:rStyle w:val="FootnoteReference"/>
          <w:vertAlign w:val="superscript"/>
        </w:rPr>
        <w:footnoteReference w:id="39"/>
      </w:r>
      <w:bookmarkEnd w:id="31"/>
    </w:p>
    <w:tbl>
      <w:tblPr>
        <w:tblStyle w:val="GridTable4-Accent1"/>
        <w:tblW w:w="0" w:type="auto"/>
        <w:tblLook w:val="04A0" w:firstRow="1" w:lastRow="0" w:firstColumn="1" w:lastColumn="0" w:noHBand="0" w:noVBand="1"/>
      </w:tblPr>
      <w:tblGrid>
        <w:gridCol w:w="1856"/>
        <w:gridCol w:w="2316"/>
        <w:gridCol w:w="2529"/>
        <w:gridCol w:w="2359"/>
      </w:tblGrid>
      <w:tr w:rsidR="00267B53" w:rsidRPr="0081736C" w14:paraId="20C8DBE5" w14:textId="7777777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0" w:type="auto"/>
          </w:tcPr>
          <w:bookmarkEnd w:id="32"/>
          <w:p w14:paraId="6769CFCF" w14:textId="77777777" w:rsidR="006239FF" w:rsidRPr="0081736C" w:rsidRDefault="006239FF">
            <w:pPr>
              <w:rPr>
                <w:szCs w:val="22"/>
              </w:rPr>
            </w:pPr>
            <w:r w:rsidRPr="0081736C">
              <w:rPr>
                <w:szCs w:val="22"/>
              </w:rPr>
              <w:t>Regulated sector</w:t>
            </w:r>
          </w:p>
        </w:tc>
        <w:tc>
          <w:tcPr>
            <w:tcW w:w="0" w:type="auto"/>
          </w:tcPr>
          <w:p w14:paraId="615614BC" w14:textId="77777777" w:rsidR="006239FF" w:rsidRPr="0081736C" w:rsidRDefault="006239FF">
            <w:pPr>
              <w:cnfStyle w:val="100000000000" w:firstRow="1" w:lastRow="0" w:firstColumn="0" w:lastColumn="0" w:oddVBand="0" w:evenVBand="0" w:oddHBand="0" w:evenHBand="0" w:firstRowFirstColumn="0" w:firstRowLastColumn="0" w:lastRowFirstColumn="0" w:lastRowLastColumn="0"/>
              <w:rPr>
                <w:szCs w:val="22"/>
              </w:rPr>
            </w:pPr>
            <w:r>
              <w:rPr>
                <w:szCs w:val="22"/>
              </w:rPr>
              <w:t>Potential k</w:t>
            </w:r>
            <w:r w:rsidRPr="0081736C">
              <w:rPr>
                <w:szCs w:val="22"/>
              </w:rPr>
              <w:t xml:space="preserve">nown entities  </w:t>
            </w:r>
          </w:p>
        </w:tc>
        <w:tc>
          <w:tcPr>
            <w:tcW w:w="0" w:type="auto"/>
          </w:tcPr>
          <w:p w14:paraId="3E6656A6" w14:textId="77777777" w:rsidR="006239FF" w:rsidRPr="0081736C" w:rsidRDefault="006239FF">
            <w:pPr>
              <w:cnfStyle w:val="100000000000" w:firstRow="1" w:lastRow="0" w:firstColumn="0" w:lastColumn="0" w:oddVBand="0" w:evenVBand="0" w:oddHBand="0" w:evenHBand="0" w:firstRowFirstColumn="0" w:firstRowLastColumn="0" w:lastRowFirstColumn="0" w:lastRowLastColumn="0"/>
              <w:rPr>
                <w:szCs w:val="22"/>
              </w:rPr>
            </w:pPr>
            <w:r w:rsidRPr="0081736C">
              <w:rPr>
                <w:szCs w:val="22"/>
              </w:rPr>
              <w:t>Examples</w:t>
            </w:r>
          </w:p>
        </w:tc>
        <w:tc>
          <w:tcPr>
            <w:tcW w:w="0" w:type="auto"/>
          </w:tcPr>
          <w:p w14:paraId="7716FCC9" w14:textId="77777777" w:rsidR="006239FF" w:rsidRPr="0081736C" w:rsidRDefault="006239FF">
            <w:pPr>
              <w:cnfStyle w:val="100000000000" w:firstRow="1" w:lastRow="0" w:firstColumn="0" w:lastColumn="0" w:oddVBand="0" w:evenVBand="0" w:oddHBand="0" w:evenHBand="0" w:firstRowFirstColumn="0" w:firstRowLastColumn="0" w:lastRowFirstColumn="0" w:lastRowLastColumn="0"/>
              <w:rPr>
                <w:szCs w:val="22"/>
              </w:rPr>
            </w:pPr>
            <w:r w:rsidRPr="0081736C">
              <w:rPr>
                <w:szCs w:val="22"/>
              </w:rPr>
              <w:t>Industry representation</w:t>
            </w:r>
          </w:p>
        </w:tc>
      </w:tr>
      <w:tr w:rsidR="00267B53" w:rsidRPr="0032722E" w14:paraId="7559F003"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EE3EB" w:themeFill="accent3" w:themeFillTint="33"/>
          </w:tcPr>
          <w:p w14:paraId="5DB95825" w14:textId="77777777" w:rsidR="006239FF" w:rsidRPr="0062243C" w:rsidRDefault="006239FF">
            <w:pPr>
              <w:contextualSpacing/>
              <w:rPr>
                <w:szCs w:val="22"/>
              </w:rPr>
            </w:pPr>
            <w:r w:rsidRPr="0062243C">
              <w:rPr>
                <w:szCs w:val="22"/>
              </w:rPr>
              <w:t>Banks</w:t>
            </w:r>
          </w:p>
          <w:p w14:paraId="2A7768E5" w14:textId="77777777" w:rsidR="006239FF" w:rsidRPr="0062243C" w:rsidRDefault="006239FF">
            <w:pPr>
              <w:contextualSpacing/>
              <w:rPr>
                <w:b w:val="0"/>
                <w:szCs w:val="22"/>
              </w:rPr>
            </w:pPr>
          </w:p>
          <w:p w14:paraId="41FFF0C8" w14:textId="77777777" w:rsidR="006239FF" w:rsidRPr="0032722E" w:rsidRDefault="006239FF">
            <w:pPr>
              <w:contextualSpacing/>
              <w:rPr>
                <w:szCs w:val="22"/>
              </w:rPr>
            </w:pPr>
            <w:r w:rsidRPr="0062243C">
              <w:rPr>
                <w:b w:val="0"/>
                <w:szCs w:val="22"/>
              </w:rPr>
              <w:t xml:space="preserve">Defined as </w:t>
            </w:r>
            <w:r w:rsidRPr="0062243C">
              <w:rPr>
                <w:b w:val="0"/>
                <w:i/>
                <w:szCs w:val="22"/>
              </w:rPr>
              <w:t xml:space="preserve">authorised deposit-taking institutions </w:t>
            </w:r>
          </w:p>
        </w:tc>
        <w:tc>
          <w:tcPr>
            <w:tcW w:w="0" w:type="auto"/>
            <w:shd w:val="clear" w:color="auto" w:fill="DEE3EB" w:themeFill="accent3" w:themeFillTint="33"/>
          </w:tcPr>
          <w:p w14:paraId="12C50F76" w14:textId="77777777" w:rsidR="006239FF" w:rsidRPr="0032722E" w:rsidRDefault="006239FF">
            <w:pPr>
              <w:contextualSpacing/>
              <w:cnfStyle w:val="000000100000" w:firstRow="0" w:lastRow="0" w:firstColumn="0" w:lastColumn="0" w:oddVBand="0" w:evenVBand="0" w:oddHBand="1" w:evenHBand="0" w:firstRowFirstColumn="0" w:firstRowLastColumn="0" w:lastRowFirstColumn="0" w:lastRowLastColumn="0"/>
              <w:rPr>
                <w:szCs w:val="22"/>
              </w:rPr>
            </w:pPr>
            <w:r w:rsidRPr="005D5B0F">
              <w:rPr>
                <w:b/>
              </w:rPr>
              <w:t>4</w:t>
            </w:r>
            <w:r w:rsidRPr="00006E9E">
              <w:t xml:space="preserve"> </w:t>
            </w:r>
            <w:r w:rsidRPr="0032722E">
              <w:rPr>
                <w:szCs w:val="22"/>
              </w:rPr>
              <w:t>major banks</w:t>
            </w:r>
          </w:p>
        </w:tc>
        <w:tc>
          <w:tcPr>
            <w:tcW w:w="0" w:type="auto"/>
            <w:shd w:val="clear" w:color="auto" w:fill="DEE3EB" w:themeFill="accent3" w:themeFillTint="33"/>
          </w:tcPr>
          <w:p w14:paraId="2CEEDD70" w14:textId="77777777" w:rsidR="006239FF" w:rsidRPr="0032722E" w:rsidRDefault="006239FF">
            <w:pPr>
              <w:contextualSpacing/>
              <w:cnfStyle w:val="000000100000" w:firstRow="0" w:lastRow="0" w:firstColumn="0" w:lastColumn="0" w:oddVBand="0" w:evenVBand="0" w:oddHBand="1" w:evenHBand="0" w:firstRowFirstColumn="0" w:firstRowLastColumn="0" w:lastRowFirstColumn="0" w:lastRowLastColumn="0"/>
            </w:pPr>
            <w:r w:rsidRPr="0032722E">
              <w:t xml:space="preserve">ANZ Banking Group, </w:t>
            </w:r>
            <w:r>
              <w:t>Commonwealth Bank of Australia</w:t>
            </w:r>
          </w:p>
        </w:tc>
        <w:tc>
          <w:tcPr>
            <w:tcW w:w="0" w:type="auto"/>
            <w:shd w:val="clear" w:color="auto" w:fill="DEE3EB" w:themeFill="accent3" w:themeFillTint="33"/>
          </w:tcPr>
          <w:p w14:paraId="62B1D4AC" w14:textId="0FAAA6CC" w:rsidR="006239FF" w:rsidRPr="0032722E" w:rsidRDefault="006239FF">
            <w:pPr>
              <w:contextualSpacing/>
              <w:cnfStyle w:val="000000100000" w:firstRow="0" w:lastRow="0" w:firstColumn="0" w:lastColumn="0" w:oddVBand="0" w:evenVBand="0" w:oddHBand="1" w:evenHBand="0" w:firstRowFirstColumn="0" w:firstRowLastColumn="0" w:lastRowFirstColumn="0" w:lastRowLastColumn="0"/>
            </w:pPr>
            <w:r w:rsidRPr="0032722E">
              <w:t xml:space="preserve">All </w:t>
            </w:r>
            <w:r w:rsidRPr="0082510F">
              <w:rPr>
                <w:b/>
                <w:bCs/>
              </w:rPr>
              <w:t>4</w:t>
            </w:r>
            <w:r w:rsidRPr="0032722E">
              <w:t xml:space="preserve"> are members of ABA </w:t>
            </w:r>
          </w:p>
        </w:tc>
      </w:tr>
      <w:tr w:rsidR="00267B53" w:rsidRPr="0032722E" w14:paraId="50CA8DCC" w14:textId="77777777">
        <w:trPr>
          <w:trHeight w:val="7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EE3EB" w:themeFill="accent3" w:themeFillTint="33"/>
          </w:tcPr>
          <w:p w14:paraId="293DFC38" w14:textId="77777777" w:rsidR="006239FF" w:rsidRPr="0032722E" w:rsidRDefault="006239FF">
            <w:pPr>
              <w:contextualSpacing/>
              <w:rPr>
                <w:b w:val="0"/>
                <w:szCs w:val="22"/>
              </w:rPr>
            </w:pPr>
          </w:p>
        </w:tc>
        <w:tc>
          <w:tcPr>
            <w:tcW w:w="0" w:type="auto"/>
            <w:shd w:val="clear" w:color="auto" w:fill="DEE3EB" w:themeFill="accent3" w:themeFillTint="33"/>
          </w:tcPr>
          <w:p w14:paraId="4A01BF65" w14:textId="076E7AED" w:rsidR="006239FF" w:rsidRPr="0032722E" w:rsidRDefault="006239FF">
            <w:pPr>
              <w:contextualSpacing/>
              <w:cnfStyle w:val="000000000000" w:firstRow="0" w:lastRow="0" w:firstColumn="0" w:lastColumn="0" w:oddVBand="0" w:evenVBand="0" w:oddHBand="0" w:evenHBand="0" w:firstRowFirstColumn="0" w:firstRowLastColumn="0" w:lastRowFirstColumn="0" w:lastRowLastColumn="0"/>
              <w:rPr>
                <w:szCs w:val="22"/>
              </w:rPr>
            </w:pPr>
            <w:r w:rsidRPr="005D5B0F">
              <w:rPr>
                <w:b/>
              </w:rPr>
              <w:t>7</w:t>
            </w:r>
            <w:r w:rsidR="00866437">
              <w:rPr>
                <w:b/>
              </w:rPr>
              <w:t>3</w:t>
            </w:r>
            <w:r w:rsidRPr="00006E9E">
              <w:t xml:space="preserve"> </w:t>
            </w:r>
            <w:r w:rsidRPr="0032722E">
              <w:rPr>
                <w:szCs w:val="22"/>
              </w:rPr>
              <w:t>other</w:t>
            </w:r>
            <w:r w:rsidRPr="00006E9E">
              <w:t xml:space="preserve"> </w:t>
            </w:r>
            <w:r w:rsidRPr="0032722E">
              <w:rPr>
                <w:szCs w:val="22"/>
              </w:rPr>
              <w:t>domestic banks, credit unions, building societies and neobanks</w:t>
            </w:r>
          </w:p>
        </w:tc>
        <w:tc>
          <w:tcPr>
            <w:tcW w:w="0" w:type="auto"/>
            <w:shd w:val="clear" w:color="auto" w:fill="DEE3EB" w:themeFill="accent3" w:themeFillTint="33"/>
          </w:tcPr>
          <w:p w14:paraId="4018515F" w14:textId="77777777" w:rsidR="006239FF" w:rsidRPr="0032722E" w:rsidRDefault="006239FF">
            <w:pPr>
              <w:contextualSpacing/>
              <w:cnfStyle w:val="000000000000" w:firstRow="0" w:lastRow="0" w:firstColumn="0" w:lastColumn="0" w:oddVBand="0" w:evenVBand="0" w:oddHBand="0" w:evenHBand="0" w:firstRowFirstColumn="0" w:firstRowLastColumn="0" w:lastRowFirstColumn="0" w:lastRowLastColumn="0"/>
            </w:pPr>
            <w:r>
              <w:t>Bendigo and Adelaide Bank, Newcastle Permanent Building Society</w:t>
            </w:r>
          </w:p>
        </w:tc>
        <w:tc>
          <w:tcPr>
            <w:tcW w:w="0" w:type="auto"/>
            <w:shd w:val="clear" w:color="auto" w:fill="DEE3EB" w:themeFill="accent3" w:themeFillTint="33"/>
          </w:tcPr>
          <w:p w14:paraId="7FF66E84" w14:textId="14AD40AA" w:rsidR="006239FF" w:rsidRPr="0032722E" w:rsidRDefault="006239FF">
            <w:pPr>
              <w:contextualSpacing/>
              <w:cnfStyle w:val="000000000000" w:firstRow="0" w:lastRow="0" w:firstColumn="0" w:lastColumn="0" w:oddVBand="0" w:evenVBand="0" w:oddHBand="0" w:evenHBand="0" w:firstRowFirstColumn="0" w:firstRowLastColumn="0" w:lastRowFirstColumn="0" w:lastRowLastColumn="0"/>
            </w:pPr>
            <w:r w:rsidRPr="0082510F">
              <w:rPr>
                <w:b/>
                <w:bCs/>
              </w:rPr>
              <w:t>6</w:t>
            </w:r>
            <w:r w:rsidR="00505694">
              <w:rPr>
                <w:b/>
                <w:bCs/>
              </w:rPr>
              <w:t>4</w:t>
            </w:r>
            <w:r w:rsidRPr="0032722E">
              <w:t xml:space="preserve"> are members of ABA or COBA </w:t>
            </w:r>
          </w:p>
        </w:tc>
      </w:tr>
      <w:tr w:rsidR="00267B53" w:rsidRPr="0032722E" w14:paraId="6CFA99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EE3EB" w:themeFill="accent3" w:themeFillTint="33"/>
          </w:tcPr>
          <w:p w14:paraId="4F0A22EF" w14:textId="77777777" w:rsidR="006239FF" w:rsidRPr="0032722E" w:rsidRDefault="006239FF">
            <w:pPr>
              <w:contextualSpacing/>
              <w:rPr>
                <w:b w:val="0"/>
                <w:szCs w:val="22"/>
              </w:rPr>
            </w:pPr>
          </w:p>
        </w:tc>
        <w:tc>
          <w:tcPr>
            <w:tcW w:w="0" w:type="auto"/>
            <w:shd w:val="clear" w:color="auto" w:fill="DEE3EB" w:themeFill="accent3" w:themeFillTint="33"/>
          </w:tcPr>
          <w:p w14:paraId="52EB03FD" w14:textId="7487A01E" w:rsidR="006239FF" w:rsidRPr="0032722E" w:rsidRDefault="00A5137C">
            <w:pPr>
              <w:contextualSpacing/>
              <w:cnfStyle w:val="000000100000" w:firstRow="0" w:lastRow="0" w:firstColumn="0" w:lastColumn="0" w:oddVBand="0" w:evenVBand="0" w:oddHBand="1" w:evenHBand="0" w:firstRowFirstColumn="0" w:firstRowLastColumn="0" w:lastRowFirstColumn="0" w:lastRowLastColumn="0"/>
              <w:rPr>
                <w:szCs w:val="22"/>
              </w:rPr>
            </w:pPr>
            <w:r>
              <w:rPr>
                <w:b/>
              </w:rPr>
              <w:t>7</w:t>
            </w:r>
            <w:r w:rsidR="006239FF" w:rsidRPr="00006E9E">
              <w:t xml:space="preserve"> </w:t>
            </w:r>
            <w:r w:rsidR="006239FF" w:rsidRPr="0032722E">
              <w:rPr>
                <w:szCs w:val="22"/>
              </w:rPr>
              <w:t xml:space="preserve">Australian subsidiaries of foreign-owned banks </w:t>
            </w:r>
          </w:p>
        </w:tc>
        <w:tc>
          <w:tcPr>
            <w:tcW w:w="0" w:type="auto"/>
            <w:shd w:val="clear" w:color="auto" w:fill="DEE3EB" w:themeFill="accent3" w:themeFillTint="33"/>
          </w:tcPr>
          <w:p w14:paraId="1D04E099" w14:textId="77777777" w:rsidR="006239FF" w:rsidRPr="0032722E" w:rsidRDefault="006239FF">
            <w:pPr>
              <w:contextualSpacing/>
              <w:cnfStyle w:val="000000100000" w:firstRow="0" w:lastRow="0" w:firstColumn="0" w:lastColumn="0" w:oddVBand="0" w:evenVBand="0" w:oddHBand="1" w:evenHBand="0" w:firstRowFirstColumn="0" w:firstRowLastColumn="0" w:lastRowFirstColumn="0" w:lastRowLastColumn="0"/>
            </w:pPr>
            <w:r w:rsidRPr="0032722E">
              <w:t>Bank of China (Australia)</w:t>
            </w:r>
            <w:r>
              <w:t>,</w:t>
            </w:r>
          </w:p>
          <w:p w14:paraId="5F28FF55" w14:textId="77777777" w:rsidR="006239FF" w:rsidRPr="0032722E" w:rsidRDefault="006239FF">
            <w:pPr>
              <w:contextualSpacing/>
              <w:cnfStyle w:val="000000100000" w:firstRow="0" w:lastRow="0" w:firstColumn="0" w:lastColumn="0" w:oddVBand="0" w:evenVBand="0" w:oddHBand="1" w:evenHBand="0" w:firstRowFirstColumn="0" w:firstRowLastColumn="0" w:lastRowFirstColumn="0" w:lastRowLastColumn="0"/>
            </w:pPr>
            <w:r w:rsidRPr="0032722E">
              <w:t xml:space="preserve">HSBC Bank Australia </w:t>
            </w:r>
          </w:p>
        </w:tc>
        <w:tc>
          <w:tcPr>
            <w:tcW w:w="0" w:type="auto"/>
            <w:shd w:val="clear" w:color="auto" w:fill="DEE3EB" w:themeFill="accent3" w:themeFillTint="33"/>
          </w:tcPr>
          <w:p w14:paraId="42D85119" w14:textId="6D4DCC8D" w:rsidR="006239FF" w:rsidRPr="0032722E" w:rsidRDefault="006239FF">
            <w:pPr>
              <w:contextualSpacing/>
              <w:cnfStyle w:val="000000100000" w:firstRow="0" w:lastRow="0" w:firstColumn="0" w:lastColumn="0" w:oddVBand="0" w:evenVBand="0" w:oddHBand="1" w:evenHBand="0" w:firstRowFirstColumn="0" w:firstRowLastColumn="0" w:lastRowFirstColumn="0" w:lastRowLastColumn="0"/>
            </w:pPr>
            <w:r w:rsidRPr="0082510F">
              <w:rPr>
                <w:b/>
                <w:bCs/>
              </w:rPr>
              <w:t>6</w:t>
            </w:r>
            <w:r w:rsidRPr="0032722E">
              <w:t xml:space="preserve"> are members of ABA </w:t>
            </w:r>
          </w:p>
        </w:tc>
      </w:tr>
      <w:tr w:rsidR="00267B53" w:rsidRPr="0032722E" w14:paraId="64A7FA55" w14:textId="77777777">
        <w:tc>
          <w:tcPr>
            <w:cnfStyle w:val="001000000000" w:firstRow="0" w:lastRow="0" w:firstColumn="1" w:lastColumn="0" w:oddVBand="0" w:evenVBand="0" w:oddHBand="0" w:evenHBand="0" w:firstRowFirstColumn="0" w:firstRowLastColumn="0" w:lastRowFirstColumn="0" w:lastRowLastColumn="0"/>
            <w:tcW w:w="0" w:type="auto"/>
            <w:vMerge/>
            <w:shd w:val="clear" w:color="auto" w:fill="DEE3EB" w:themeFill="accent3" w:themeFillTint="33"/>
          </w:tcPr>
          <w:p w14:paraId="024FC43C" w14:textId="77777777" w:rsidR="006239FF" w:rsidRPr="0032722E" w:rsidRDefault="006239FF">
            <w:pPr>
              <w:spacing w:before="0" w:after="0"/>
              <w:rPr>
                <w:b w:val="0"/>
                <w:szCs w:val="22"/>
              </w:rPr>
            </w:pPr>
          </w:p>
        </w:tc>
        <w:tc>
          <w:tcPr>
            <w:tcW w:w="0" w:type="auto"/>
            <w:shd w:val="clear" w:color="auto" w:fill="DEE3EB" w:themeFill="accent3" w:themeFillTint="33"/>
          </w:tcPr>
          <w:p w14:paraId="4927DB88" w14:textId="03D260E3" w:rsidR="006239FF" w:rsidRPr="0032722E" w:rsidRDefault="006239FF">
            <w:pPr>
              <w:cnfStyle w:val="000000000000" w:firstRow="0" w:lastRow="0" w:firstColumn="0" w:lastColumn="0" w:oddVBand="0" w:evenVBand="0" w:oddHBand="0" w:evenHBand="0" w:firstRowFirstColumn="0" w:firstRowLastColumn="0" w:lastRowFirstColumn="0" w:lastRowLastColumn="0"/>
            </w:pPr>
            <w:r w:rsidRPr="0032722E">
              <w:rPr>
                <w:b/>
              </w:rPr>
              <w:t>4</w:t>
            </w:r>
            <w:r w:rsidR="00D81305">
              <w:rPr>
                <w:b/>
              </w:rPr>
              <w:t>8</w:t>
            </w:r>
            <w:r w:rsidRPr="0032722E">
              <w:rPr>
                <w:b/>
              </w:rPr>
              <w:t xml:space="preserve"> </w:t>
            </w:r>
            <w:r w:rsidRPr="0032722E">
              <w:t xml:space="preserve">Australian branches of foreign-owned banks  </w:t>
            </w:r>
          </w:p>
        </w:tc>
        <w:tc>
          <w:tcPr>
            <w:tcW w:w="0" w:type="auto"/>
            <w:shd w:val="clear" w:color="auto" w:fill="DEE3EB" w:themeFill="accent3" w:themeFillTint="33"/>
          </w:tcPr>
          <w:p w14:paraId="191DD0EB" w14:textId="77777777" w:rsidR="006239FF" w:rsidRPr="0032722E" w:rsidRDefault="006239FF">
            <w:pPr>
              <w:cnfStyle w:val="000000000000" w:firstRow="0" w:lastRow="0" w:firstColumn="0" w:lastColumn="0" w:oddVBand="0" w:evenVBand="0" w:oddHBand="0" w:evenHBand="0" w:firstRowFirstColumn="0" w:firstRowLastColumn="0" w:lastRowFirstColumn="0" w:lastRowLastColumn="0"/>
            </w:pPr>
            <w:r w:rsidRPr="0032722E">
              <w:t>Citibank</w:t>
            </w:r>
            <w:r>
              <w:t xml:space="preserve">, </w:t>
            </w:r>
            <w:r w:rsidRPr="0032722E">
              <w:t xml:space="preserve">ING Bank </w:t>
            </w:r>
          </w:p>
        </w:tc>
        <w:tc>
          <w:tcPr>
            <w:tcW w:w="0" w:type="auto"/>
            <w:shd w:val="clear" w:color="auto" w:fill="DEE3EB" w:themeFill="accent3" w:themeFillTint="33"/>
          </w:tcPr>
          <w:p w14:paraId="27E4900E" w14:textId="1A9FE4D4" w:rsidR="006239FF" w:rsidRPr="0032722E" w:rsidRDefault="00267B53">
            <w:pPr>
              <w:cnfStyle w:val="000000000000" w:firstRow="0" w:lastRow="0" w:firstColumn="0" w:lastColumn="0" w:oddVBand="0" w:evenVBand="0" w:oddHBand="0" w:evenHBand="0" w:firstRowFirstColumn="0" w:firstRowLastColumn="0" w:lastRowFirstColumn="0" w:lastRowLastColumn="0"/>
            </w:pPr>
            <w:r>
              <w:rPr>
                <w:b/>
                <w:bCs/>
              </w:rPr>
              <w:t>2</w:t>
            </w:r>
            <w:r w:rsidR="006239FF" w:rsidRPr="0032722E">
              <w:rPr>
                <w:b/>
                <w:bCs/>
              </w:rPr>
              <w:t xml:space="preserve"> </w:t>
            </w:r>
            <w:r>
              <w:t>ar</w:t>
            </w:r>
            <w:r w:rsidR="006239FF" w:rsidRPr="0032722E">
              <w:t xml:space="preserve">e members or have subsidiaries that are members of ABA </w:t>
            </w:r>
          </w:p>
        </w:tc>
      </w:tr>
    </w:tbl>
    <w:p w14:paraId="7AB15F48" w14:textId="02E3297E" w:rsidR="00475BB7" w:rsidRPr="003E27AF" w:rsidRDefault="00EF3D40" w:rsidP="00676F05">
      <w:r w:rsidRPr="003E27AF">
        <w:t xml:space="preserve">The </w:t>
      </w:r>
      <w:r w:rsidR="00D072C4" w:rsidRPr="003E27AF">
        <w:t>SPF</w:t>
      </w:r>
      <w:r w:rsidRPr="003E27AF" w:rsidDel="00D072C4">
        <w:t xml:space="preserve"> </w:t>
      </w:r>
      <w:r w:rsidR="00D072C4" w:rsidRPr="003E27AF">
        <w:t xml:space="preserve">would </w:t>
      </w:r>
      <w:r w:rsidRPr="003E27AF">
        <w:t>also impose obligation</w:t>
      </w:r>
      <w:r w:rsidR="00471410" w:rsidRPr="003E27AF">
        <w:t>s</w:t>
      </w:r>
      <w:r w:rsidRPr="003E27AF">
        <w:t xml:space="preserve"> on regulated entities to have </w:t>
      </w:r>
      <w:r w:rsidR="00AD0FEA" w:rsidRPr="003E27AF">
        <w:t>in place</w:t>
      </w:r>
      <w:r w:rsidR="005247F9" w:rsidRPr="003E27AF">
        <w:t xml:space="preserve"> an accessible </w:t>
      </w:r>
      <w:r w:rsidRPr="003E27AF">
        <w:t xml:space="preserve">and transparent </w:t>
      </w:r>
      <w:r w:rsidR="0031007B" w:rsidRPr="003E27AF">
        <w:t>IDR mechanism for consumers to make complaints in relation to scams</w:t>
      </w:r>
      <w:r w:rsidR="005247F9" w:rsidRPr="003E27AF">
        <w:t>,</w:t>
      </w:r>
      <w:r w:rsidR="0031007B" w:rsidRPr="003E27AF">
        <w:t xml:space="preserve"> and to be a member of </w:t>
      </w:r>
      <w:r w:rsidR="00430B96" w:rsidRPr="003E27AF">
        <w:t xml:space="preserve">a prescribed EDR </w:t>
      </w:r>
      <w:r w:rsidR="0031007B" w:rsidRPr="003E27AF">
        <w:t>scheme</w:t>
      </w:r>
      <w:r w:rsidR="009126DF" w:rsidRPr="003E27AF">
        <w:t>.</w:t>
      </w:r>
      <w:r w:rsidR="00C939E6" w:rsidRPr="003E27AF">
        <w:t xml:space="preserve"> </w:t>
      </w:r>
      <w:r w:rsidR="006D6DC9" w:rsidRPr="003E27AF">
        <w:t>AFCA</w:t>
      </w:r>
      <w:r w:rsidR="006D6DC9" w:rsidRPr="003E27AF" w:rsidDel="00D072C4">
        <w:t xml:space="preserve"> </w:t>
      </w:r>
      <w:r w:rsidR="00D072C4" w:rsidRPr="003E27AF">
        <w:t xml:space="preserve">would </w:t>
      </w:r>
      <w:r w:rsidR="006D6DC9" w:rsidRPr="003E27AF">
        <w:t xml:space="preserve">operate a single EDR scheme for scam complaints </w:t>
      </w:r>
      <w:r w:rsidR="006A5CDE" w:rsidRPr="003E27AF">
        <w:t>in relation to</w:t>
      </w:r>
      <w:r w:rsidR="006D6DC9" w:rsidRPr="003E27AF">
        <w:t xml:space="preserve"> the three initial sectors subject to the Framework. </w:t>
      </w:r>
    </w:p>
    <w:p w14:paraId="101395F9" w14:textId="37DF886B" w:rsidR="00D151A3" w:rsidRPr="003E27AF" w:rsidRDefault="00AD0FEA" w:rsidP="00676F05">
      <w:r w:rsidRPr="003E27AF">
        <w:t>A</w:t>
      </w:r>
      <w:r w:rsidR="00045430" w:rsidRPr="003E27AF">
        <w:t xml:space="preserve">s indicated above, </w:t>
      </w:r>
      <w:r w:rsidR="00F82CE3" w:rsidRPr="003E27AF">
        <w:t xml:space="preserve">banks are already </w:t>
      </w:r>
      <w:r w:rsidR="00962BB8">
        <w:t>required</w:t>
      </w:r>
      <w:r w:rsidR="00962BB8" w:rsidRPr="003E27AF">
        <w:t xml:space="preserve"> </w:t>
      </w:r>
      <w:r w:rsidR="00F82CE3" w:rsidRPr="003E27AF">
        <w:t xml:space="preserve">to </w:t>
      </w:r>
      <w:r w:rsidR="00B93EB6" w:rsidRPr="003E27AF">
        <w:t>have appropriate IDR mechanisms in place</w:t>
      </w:r>
      <w:r w:rsidR="004130AD">
        <w:t>,</w:t>
      </w:r>
      <w:r w:rsidR="00B93EB6" w:rsidRPr="003E27AF">
        <w:t xml:space="preserve"> and </w:t>
      </w:r>
      <w:r w:rsidR="00C91ADD" w:rsidRPr="003E27AF">
        <w:t>most are</w:t>
      </w:r>
      <w:r w:rsidR="00B93EB6" w:rsidRPr="003E27AF">
        <w:t xml:space="preserve"> a </w:t>
      </w:r>
      <w:r w:rsidR="00F0277E" w:rsidRPr="003E27AF">
        <w:t xml:space="preserve">member of AFCA </w:t>
      </w:r>
      <w:r w:rsidR="00475BB7" w:rsidRPr="003E27AF">
        <w:t xml:space="preserve">under </w:t>
      </w:r>
      <w:r w:rsidR="00793DCE">
        <w:t xml:space="preserve">section 912A of </w:t>
      </w:r>
      <w:r w:rsidR="00475BB7" w:rsidRPr="003E27AF">
        <w:t xml:space="preserve">the </w:t>
      </w:r>
      <w:r w:rsidR="00475BB7" w:rsidRPr="003E27AF">
        <w:rPr>
          <w:i/>
        </w:rPr>
        <w:t>Corporations Act 2001</w:t>
      </w:r>
      <w:r w:rsidR="00475BB7" w:rsidRPr="003E27AF">
        <w:t xml:space="preserve">. </w:t>
      </w:r>
      <w:r w:rsidR="00D151A3" w:rsidRPr="00874346">
        <w:t xml:space="preserve">The </w:t>
      </w:r>
      <w:r w:rsidR="000C0644" w:rsidRPr="00874346">
        <w:t xml:space="preserve">SPF </w:t>
      </w:r>
      <w:r w:rsidR="00D151A3" w:rsidRPr="00874346">
        <w:t xml:space="preserve">requirement to be a member of AFCA </w:t>
      </w:r>
      <w:r w:rsidR="00352923" w:rsidRPr="00874346">
        <w:t xml:space="preserve">would </w:t>
      </w:r>
      <w:r w:rsidR="00D151A3" w:rsidRPr="00874346">
        <w:t xml:space="preserve">apply to </w:t>
      </w:r>
      <w:r w:rsidR="00100E96" w:rsidRPr="00874346">
        <w:t xml:space="preserve">all </w:t>
      </w:r>
      <w:r w:rsidR="00D151A3" w:rsidRPr="00874346">
        <w:t xml:space="preserve">ADIs, including those that might </w:t>
      </w:r>
      <w:r w:rsidR="004B5094" w:rsidRPr="00874346">
        <w:t>not have existing membership with AFCA (such as branches of foreign-owned banks).</w:t>
      </w:r>
      <w:r w:rsidR="00F752D9">
        <w:t xml:space="preserve"> </w:t>
      </w:r>
      <w:r w:rsidR="008F22AB">
        <w:t xml:space="preserve">This is </w:t>
      </w:r>
      <w:r w:rsidR="00FA1268">
        <w:t>because</w:t>
      </w:r>
      <w:r w:rsidR="00E02D4D">
        <w:t xml:space="preserve"> these entities could also be involved in a scam and their customers </w:t>
      </w:r>
      <w:r w:rsidR="00416378">
        <w:t>are not invulnerable to the threat of a s</w:t>
      </w:r>
      <w:r w:rsidR="007E0EE0">
        <w:t xml:space="preserve">cam. </w:t>
      </w:r>
      <w:r w:rsidR="00A63F2A">
        <w:t xml:space="preserve">The number of scams complaints </w:t>
      </w:r>
      <w:r w:rsidR="006C24C9">
        <w:t xml:space="preserve">requiring EDR </w:t>
      </w:r>
      <w:r w:rsidR="00A63F2A">
        <w:t xml:space="preserve">would be expected to increase initially </w:t>
      </w:r>
      <w:r w:rsidR="00C44375">
        <w:t>because of</w:t>
      </w:r>
      <w:r w:rsidR="00A63F2A">
        <w:t xml:space="preserve"> improved</w:t>
      </w:r>
      <w:r w:rsidR="001D52D0">
        <w:t xml:space="preserve"> complaints</w:t>
      </w:r>
      <w:r w:rsidR="00A63F2A">
        <w:t xml:space="preserve"> </w:t>
      </w:r>
      <w:r w:rsidR="00EC4AA0">
        <w:t>procedures</w:t>
      </w:r>
      <w:r w:rsidR="001D52D0">
        <w:t xml:space="preserve"> and </w:t>
      </w:r>
      <w:r w:rsidR="00C44375">
        <w:t xml:space="preserve">uplifted obligations </w:t>
      </w:r>
      <w:r w:rsidR="00F26B69">
        <w:t>resulting in</w:t>
      </w:r>
      <w:r w:rsidR="00782303">
        <w:t xml:space="preserve"> </w:t>
      </w:r>
      <w:r w:rsidR="00F26B69">
        <w:t>greater</w:t>
      </w:r>
      <w:r w:rsidR="00782303">
        <w:t xml:space="preserve"> benefit to consumers </w:t>
      </w:r>
      <w:r w:rsidR="00F26B69">
        <w:t>from</w:t>
      </w:r>
      <w:r w:rsidR="00782303">
        <w:t xml:space="preserve"> taking complaints to </w:t>
      </w:r>
      <w:r w:rsidR="00342336">
        <w:t>AFCA</w:t>
      </w:r>
      <w:r w:rsidR="00C44375">
        <w:t>.</w:t>
      </w:r>
      <w:r w:rsidR="00F26B69">
        <w:t xml:space="preserve"> However, the number of complaints is likely to fall as the </w:t>
      </w:r>
      <w:r w:rsidR="00EF410D">
        <w:t xml:space="preserve">rate of scam victimisation </w:t>
      </w:r>
      <w:r w:rsidR="00321243">
        <w:t xml:space="preserve">reduces </w:t>
      </w:r>
      <w:r w:rsidR="00355FE6">
        <w:t>because of</w:t>
      </w:r>
      <w:r w:rsidR="00321243">
        <w:t xml:space="preserve"> </w:t>
      </w:r>
      <w:r w:rsidR="00355FE6">
        <w:t>the SPF.</w:t>
      </w:r>
      <w:r w:rsidR="00C44375">
        <w:t xml:space="preserve"> </w:t>
      </w:r>
    </w:p>
    <w:p w14:paraId="3815525D" w14:textId="1581411F" w:rsidR="00762D97" w:rsidRPr="00762D97" w:rsidRDefault="0084118C" w:rsidP="00762D97">
      <w:r>
        <w:t xml:space="preserve">Areas where there would be uplift </w:t>
      </w:r>
      <w:r w:rsidR="00B15E9E">
        <w:t>beyond</w:t>
      </w:r>
      <w:r>
        <w:t xml:space="preserve"> current initiatives of entities in the banking sector are summarised in </w:t>
      </w:r>
      <w:r>
        <w:rPr>
          <w:rFonts w:eastAsiaTheme="majorEastAsia"/>
        </w:rPr>
        <w:fldChar w:fldCharType="begin"/>
      </w:r>
      <w:r>
        <w:instrText xml:space="preserve"> REF _Ref177682909 \h </w:instrText>
      </w:r>
      <w:r>
        <w:rPr>
          <w:rFonts w:eastAsiaTheme="majorEastAsia"/>
        </w:rPr>
      </w:r>
      <w:r>
        <w:rPr>
          <w:rFonts w:eastAsiaTheme="majorEastAsia"/>
        </w:rPr>
        <w:fldChar w:fldCharType="separate"/>
      </w:r>
      <w:r w:rsidR="00EA4A04">
        <w:t xml:space="preserve">Table </w:t>
      </w:r>
      <w:r w:rsidR="00EA4A04">
        <w:rPr>
          <w:noProof/>
        </w:rPr>
        <w:t>5</w:t>
      </w:r>
      <w:r>
        <w:rPr>
          <w:rFonts w:eastAsiaTheme="majorEastAsia"/>
        </w:rPr>
        <w:fldChar w:fldCharType="end"/>
      </w:r>
      <w:r w:rsidR="003078B7">
        <w:t>.</w:t>
      </w:r>
    </w:p>
    <w:p w14:paraId="51A1747B" w14:textId="781D184B" w:rsidR="00954A1F" w:rsidRPr="00901355" w:rsidRDefault="00954A1F" w:rsidP="00954A1F">
      <w:pPr>
        <w:pStyle w:val="Heading8"/>
      </w:pPr>
      <w:bookmarkStart w:id="33" w:name="_Ref177682909"/>
      <w:r>
        <w:lastRenderedPageBreak/>
        <w:t xml:space="preserve">Table </w:t>
      </w:r>
      <w:fldSimple w:instr=" SEQ Table \* ARABIC ">
        <w:r w:rsidR="002C1AD8">
          <w:rPr>
            <w:noProof/>
          </w:rPr>
          <w:t>5</w:t>
        </w:r>
      </w:fldSimple>
      <w:bookmarkEnd w:id="33"/>
      <w:r>
        <w:t xml:space="preserve"> – Banking sector initiatives and uplift required for </w:t>
      </w:r>
      <w:r w:rsidR="00C571BA">
        <w:t xml:space="preserve">the </w:t>
      </w:r>
      <w:r>
        <w:t>Scams Prevention Framework</w:t>
      </w:r>
    </w:p>
    <w:tbl>
      <w:tblPr>
        <w:tblStyle w:val="Custom1"/>
        <w:tblW w:w="0" w:type="auto"/>
        <w:tblInd w:w="0" w:type="dxa"/>
        <w:tblLook w:val="04A0" w:firstRow="1" w:lastRow="0" w:firstColumn="1" w:lastColumn="0" w:noHBand="0" w:noVBand="1"/>
      </w:tblPr>
      <w:tblGrid>
        <w:gridCol w:w="2854"/>
        <w:gridCol w:w="3122"/>
        <w:gridCol w:w="3094"/>
      </w:tblGrid>
      <w:tr w:rsidR="00954A1F" w14:paraId="7DF8AAB2" w14:textId="77777777">
        <w:trPr>
          <w:cnfStyle w:val="100000000000" w:firstRow="1" w:lastRow="0" w:firstColumn="0" w:lastColumn="0" w:oddVBand="0" w:evenVBand="0" w:oddHBand="0" w:evenHBand="0" w:firstRowFirstColumn="0" w:firstRowLastColumn="0" w:lastRowFirstColumn="0" w:lastRowLastColumn="0"/>
        </w:trPr>
        <w:tc>
          <w:tcPr>
            <w:tcW w:w="2854" w:type="dxa"/>
          </w:tcPr>
          <w:p w14:paraId="39FE6CAC" w14:textId="77777777" w:rsidR="00954A1F" w:rsidRPr="00F0048A" w:rsidRDefault="00954A1F">
            <w:pPr>
              <w:rPr>
                <w:sz w:val="22"/>
                <w:szCs w:val="22"/>
              </w:rPr>
            </w:pPr>
            <w:r w:rsidRPr="00F0048A">
              <w:rPr>
                <w:sz w:val="22"/>
                <w:szCs w:val="22"/>
              </w:rPr>
              <w:t>Obligation</w:t>
            </w:r>
          </w:p>
        </w:tc>
        <w:tc>
          <w:tcPr>
            <w:tcW w:w="3122" w:type="dxa"/>
          </w:tcPr>
          <w:p w14:paraId="709BE217" w14:textId="77777777" w:rsidR="00954A1F" w:rsidRPr="00F0048A" w:rsidRDefault="00954A1F">
            <w:pPr>
              <w:rPr>
                <w:sz w:val="22"/>
                <w:szCs w:val="22"/>
              </w:rPr>
            </w:pPr>
            <w:r w:rsidRPr="00F0048A">
              <w:rPr>
                <w:sz w:val="22"/>
                <w:szCs w:val="22"/>
              </w:rPr>
              <w:t>Current initiatives</w:t>
            </w:r>
          </w:p>
        </w:tc>
        <w:tc>
          <w:tcPr>
            <w:tcW w:w="3094" w:type="dxa"/>
          </w:tcPr>
          <w:p w14:paraId="273D83DE" w14:textId="77777777" w:rsidR="00954A1F" w:rsidRPr="00F0048A" w:rsidRDefault="00954A1F">
            <w:pPr>
              <w:rPr>
                <w:sz w:val="22"/>
                <w:szCs w:val="22"/>
              </w:rPr>
            </w:pPr>
            <w:r w:rsidRPr="00F0048A">
              <w:rPr>
                <w:sz w:val="22"/>
                <w:szCs w:val="22"/>
              </w:rPr>
              <w:t>Uplift required</w:t>
            </w:r>
          </w:p>
        </w:tc>
      </w:tr>
      <w:tr w:rsidR="00954A1F" w14:paraId="51997365" w14:textId="77777777">
        <w:trPr>
          <w:cnfStyle w:val="000000100000" w:firstRow="0" w:lastRow="0" w:firstColumn="0" w:lastColumn="0" w:oddVBand="0" w:evenVBand="0" w:oddHBand="1" w:evenHBand="0" w:firstRowFirstColumn="0" w:firstRowLastColumn="0" w:lastRowFirstColumn="0" w:lastRowLastColumn="0"/>
        </w:trPr>
        <w:tc>
          <w:tcPr>
            <w:tcW w:w="2854" w:type="dxa"/>
          </w:tcPr>
          <w:p w14:paraId="47B960B4" w14:textId="6FAC8B83" w:rsidR="00954A1F" w:rsidRPr="00F0048A" w:rsidRDefault="00954A1F">
            <w:pPr>
              <w:rPr>
                <w:sz w:val="22"/>
                <w:szCs w:val="22"/>
              </w:rPr>
            </w:pPr>
            <w:r w:rsidRPr="00F0048A">
              <w:rPr>
                <w:sz w:val="22"/>
                <w:szCs w:val="22"/>
              </w:rPr>
              <w:t xml:space="preserve">Anti-scam </w:t>
            </w:r>
            <w:r w:rsidR="00DE4297">
              <w:rPr>
                <w:sz w:val="22"/>
                <w:szCs w:val="22"/>
              </w:rPr>
              <w:t>activity</w:t>
            </w:r>
          </w:p>
        </w:tc>
        <w:tc>
          <w:tcPr>
            <w:tcW w:w="3122" w:type="dxa"/>
          </w:tcPr>
          <w:p w14:paraId="2DBFC4EA" w14:textId="1AAC0A58" w:rsidR="00954A1F" w:rsidRPr="004575ED" w:rsidRDefault="00A01586">
            <w:pPr>
              <w:rPr>
                <w:sz w:val="22"/>
                <w:szCs w:val="22"/>
              </w:rPr>
            </w:pPr>
            <w:r>
              <w:rPr>
                <w:sz w:val="22"/>
                <w:szCs w:val="22"/>
              </w:rPr>
              <w:t xml:space="preserve">Voluntary </w:t>
            </w:r>
            <w:r w:rsidR="00063368" w:rsidRPr="00063368">
              <w:rPr>
                <w:sz w:val="22"/>
                <w:szCs w:val="22"/>
              </w:rPr>
              <w:t>Scam</w:t>
            </w:r>
            <w:r w:rsidR="00E63E7D">
              <w:rPr>
                <w:sz w:val="22"/>
                <w:szCs w:val="22"/>
              </w:rPr>
              <w:t>-</w:t>
            </w:r>
            <w:r w:rsidR="00063368" w:rsidRPr="00063368">
              <w:rPr>
                <w:sz w:val="22"/>
                <w:szCs w:val="22"/>
              </w:rPr>
              <w:t>Safe Accord standards</w:t>
            </w:r>
            <w:r w:rsidR="00063368">
              <w:rPr>
                <w:sz w:val="22"/>
                <w:szCs w:val="22"/>
              </w:rPr>
              <w:t xml:space="preserve"> for ABA and COBA members</w:t>
            </w:r>
          </w:p>
        </w:tc>
        <w:tc>
          <w:tcPr>
            <w:tcW w:w="3094" w:type="dxa"/>
          </w:tcPr>
          <w:p w14:paraId="30F21196" w14:textId="5515A1C4" w:rsidR="00954A1F" w:rsidRPr="00F0048A" w:rsidRDefault="00480D53">
            <w:pPr>
              <w:rPr>
                <w:sz w:val="22"/>
                <w:szCs w:val="22"/>
              </w:rPr>
            </w:pPr>
            <w:r>
              <w:rPr>
                <w:sz w:val="22"/>
                <w:szCs w:val="22"/>
              </w:rPr>
              <w:t>A</w:t>
            </w:r>
            <w:r w:rsidRPr="00480D53">
              <w:rPr>
                <w:sz w:val="22"/>
                <w:szCs w:val="22"/>
              </w:rPr>
              <w:t xml:space="preserve">nti-scam activity improvements, </w:t>
            </w:r>
            <w:r w:rsidR="003E317C">
              <w:rPr>
                <w:sz w:val="22"/>
                <w:szCs w:val="22"/>
              </w:rPr>
              <w:t>g</w:t>
            </w:r>
            <w:r w:rsidRPr="00480D53">
              <w:rPr>
                <w:sz w:val="22"/>
                <w:szCs w:val="22"/>
              </w:rPr>
              <w:t>overnance operations</w:t>
            </w:r>
          </w:p>
        </w:tc>
      </w:tr>
      <w:tr w:rsidR="00954A1F" w14:paraId="7DF39D75" w14:textId="77777777">
        <w:tc>
          <w:tcPr>
            <w:tcW w:w="2854" w:type="dxa"/>
          </w:tcPr>
          <w:p w14:paraId="06ECC39C" w14:textId="77777777" w:rsidR="00954A1F" w:rsidRPr="00F0048A" w:rsidRDefault="00954A1F">
            <w:pPr>
              <w:rPr>
                <w:sz w:val="22"/>
                <w:szCs w:val="22"/>
              </w:rPr>
            </w:pPr>
            <w:r w:rsidRPr="00F0048A">
              <w:rPr>
                <w:sz w:val="22"/>
                <w:szCs w:val="22"/>
              </w:rPr>
              <w:t>Information sharing and reporting</w:t>
            </w:r>
          </w:p>
        </w:tc>
        <w:tc>
          <w:tcPr>
            <w:tcW w:w="3122" w:type="dxa"/>
          </w:tcPr>
          <w:p w14:paraId="4418E9F3" w14:textId="3E754F10" w:rsidR="00954A1F" w:rsidRPr="00F0048A" w:rsidRDefault="00BD5F3C">
            <w:pPr>
              <w:rPr>
                <w:sz w:val="22"/>
                <w:szCs w:val="22"/>
              </w:rPr>
            </w:pPr>
            <w:r>
              <w:rPr>
                <w:sz w:val="22"/>
                <w:szCs w:val="22"/>
              </w:rPr>
              <w:t>ABA/COBA members committed to p</w:t>
            </w:r>
            <w:r w:rsidR="00480D53">
              <w:rPr>
                <w:sz w:val="22"/>
                <w:szCs w:val="22"/>
              </w:rPr>
              <w:t>articipation in AFCX</w:t>
            </w:r>
          </w:p>
        </w:tc>
        <w:tc>
          <w:tcPr>
            <w:tcW w:w="3094" w:type="dxa"/>
          </w:tcPr>
          <w:p w14:paraId="0AD3E48D" w14:textId="121A124D" w:rsidR="00954A1F" w:rsidRPr="00F0048A" w:rsidRDefault="00A77E33">
            <w:pPr>
              <w:rPr>
                <w:sz w:val="22"/>
                <w:szCs w:val="22"/>
              </w:rPr>
            </w:pPr>
            <w:r>
              <w:rPr>
                <w:sz w:val="22"/>
                <w:szCs w:val="22"/>
              </w:rPr>
              <w:t>Higher standards of information sharing would be required</w:t>
            </w:r>
            <w:r w:rsidR="002F1538">
              <w:rPr>
                <w:sz w:val="22"/>
                <w:szCs w:val="22"/>
              </w:rPr>
              <w:t>, including beyond the banking sector</w:t>
            </w:r>
          </w:p>
        </w:tc>
      </w:tr>
      <w:tr w:rsidR="00954A1F" w14:paraId="52C2DC7C" w14:textId="77777777">
        <w:trPr>
          <w:cnfStyle w:val="000000100000" w:firstRow="0" w:lastRow="0" w:firstColumn="0" w:lastColumn="0" w:oddVBand="0" w:evenVBand="0" w:oddHBand="1" w:evenHBand="0" w:firstRowFirstColumn="0" w:firstRowLastColumn="0" w:lastRowFirstColumn="0" w:lastRowLastColumn="0"/>
        </w:trPr>
        <w:tc>
          <w:tcPr>
            <w:tcW w:w="2854" w:type="dxa"/>
          </w:tcPr>
          <w:p w14:paraId="05EC801A" w14:textId="2AAFCF65" w:rsidR="00954A1F" w:rsidRPr="00DC3866" w:rsidRDefault="001942E6">
            <w:pPr>
              <w:rPr>
                <w:sz w:val="22"/>
                <w:szCs w:val="22"/>
              </w:rPr>
            </w:pPr>
            <w:r>
              <w:rPr>
                <w:sz w:val="22"/>
                <w:szCs w:val="22"/>
              </w:rPr>
              <w:t>D</w:t>
            </w:r>
            <w:r w:rsidR="00954A1F" w:rsidRPr="00DC3866">
              <w:rPr>
                <w:sz w:val="22"/>
                <w:szCs w:val="22"/>
              </w:rPr>
              <w:t>ispute resolution</w:t>
            </w:r>
          </w:p>
        </w:tc>
        <w:tc>
          <w:tcPr>
            <w:tcW w:w="3122" w:type="dxa"/>
          </w:tcPr>
          <w:p w14:paraId="5CFB1CD1" w14:textId="4167A2EC" w:rsidR="00954A1F" w:rsidRPr="00DC3866" w:rsidRDefault="00480D53">
            <w:pPr>
              <w:rPr>
                <w:sz w:val="22"/>
                <w:szCs w:val="22"/>
              </w:rPr>
            </w:pPr>
            <w:r>
              <w:rPr>
                <w:sz w:val="22"/>
                <w:szCs w:val="22"/>
              </w:rPr>
              <w:t>AFCA</w:t>
            </w:r>
            <w:r w:rsidR="00442FA1">
              <w:rPr>
                <w:sz w:val="22"/>
                <w:szCs w:val="22"/>
              </w:rPr>
              <w:t xml:space="preserve"> membership </w:t>
            </w:r>
            <w:r w:rsidR="001942E6">
              <w:rPr>
                <w:sz w:val="22"/>
                <w:szCs w:val="22"/>
              </w:rPr>
              <w:t>and IDR requirements</w:t>
            </w:r>
            <w:r w:rsidR="00442FA1">
              <w:rPr>
                <w:sz w:val="22"/>
                <w:szCs w:val="22"/>
              </w:rPr>
              <w:t xml:space="preserve"> for consumer banking</w:t>
            </w:r>
          </w:p>
        </w:tc>
        <w:tc>
          <w:tcPr>
            <w:tcW w:w="3094" w:type="dxa"/>
          </w:tcPr>
          <w:p w14:paraId="288D60AF" w14:textId="124043DB" w:rsidR="00954A1F" w:rsidRPr="00DC3866" w:rsidRDefault="00412427">
            <w:pPr>
              <w:rPr>
                <w:sz w:val="22"/>
                <w:szCs w:val="22"/>
              </w:rPr>
            </w:pPr>
            <w:r>
              <w:rPr>
                <w:sz w:val="22"/>
                <w:szCs w:val="22"/>
              </w:rPr>
              <w:t>Likely increase in complaints</w:t>
            </w:r>
            <w:r w:rsidR="00EE685F">
              <w:rPr>
                <w:sz w:val="22"/>
                <w:szCs w:val="22"/>
              </w:rPr>
              <w:t xml:space="preserve">, required membership of AFCA for </w:t>
            </w:r>
            <w:r w:rsidR="00C736F7">
              <w:rPr>
                <w:sz w:val="22"/>
                <w:szCs w:val="22"/>
              </w:rPr>
              <w:t xml:space="preserve">branches of </w:t>
            </w:r>
            <w:r w:rsidR="00EE685F">
              <w:rPr>
                <w:sz w:val="22"/>
                <w:szCs w:val="22"/>
              </w:rPr>
              <w:t xml:space="preserve">foreign </w:t>
            </w:r>
            <w:r w:rsidR="0054224C">
              <w:rPr>
                <w:sz w:val="22"/>
                <w:szCs w:val="22"/>
              </w:rPr>
              <w:t>banks</w:t>
            </w:r>
          </w:p>
        </w:tc>
      </w:tr>
    </w:tbl>
    <w:p w14:paraId="4401D473" w14:textId="20552040" w:rsidR="003618D6" w:rsidRDefault="00780D64" w:rsidP="00676F05">
      <w:r>
        <w:t xml:space="preserve">As outlined in </w:t>
      </w:r>
      <w:r w:rsidR="00861324">
        <w:fldChar w:fldCharType="begin"/>
      </w:r>
      <w:r w:rsidR="00861324">
        <w:instrText xml:space="preserve"> REF _Ref177381278 \h </w:instrText>
      </w:r>
      <w:r w:rsidR="00861324">
        <w:fldChar w:fldCharType="separate"/>
      </w:r>
      <w:r w:rsidR="00EA4A04">
        <w:t xml:space="preserve">Table </w:t>
      </w:r>
      <w:r w:rsidR="00EA4A04">
        <w:rPr>
          <w:noProof/>
        </w:rPr>
        <w:t>6</w:t>
      </w:r>
      <w:r w:rsidR="00861324">
        <w:fldChar w:fldCharType="end"/>
      </w:r>
      <w:r w:rsidR="00D01EAA">
        <w:t xml:space="preserve">, </w:t>
      </w:r>
      <w:r w:rsidR="00003498">
        <w:t>the estimate</w:t>
      </w:r>
      <w:r w:rsidR="00894CFC">
        <w:t>d</w:t>
      </w:r>
      <w:r w:rsidR="00003498">
        <w:t xml:space="preserve"> </w:t>
      </w:r>
      <w:r w:rsidR="005C1FBD">
        <w:t xml:space="preserve">regulatory costs of Option 2 </w:t>
      </w:r>
      <w:r w:rsidR="00A723CB">
        <w:t xml:space="preserve">additional to the status quo </w:t>
      </w:r>
      <w:r w:rsidR="00003498">
        <w:t>for the banking sector</w:t>
      </w:r>
      <w:r w:rsidR="004A065E">
        <w:t xml:space="preserve"> </w:t>
      </w:r>
      <w:r w:rsidR="005D2F12">
        <w:t>would be</w:t>
      </w:r>
      <w:r w:rsidR="004A065E">
        <w:t xml:space="preserve"> </w:t>
      </w:r>
      <w:r w:rsidR="00BA7D24">
        <w:t>$</w:t>
      </w:r>
      <w:r w:rsidR="00C54F68">
        <w:t>100.9</w:t>
      </w:r>
      <w:r w:rsidR="00BA7D24">
        <w:t xml:space="preserve"> million in the initial year, and $</w:t>
      </w:r>
      <w:r w:rsidR="005F197C">
        <w:t>31.8</w:t>
      </w:r>
      <w:r w:rsidR="00BA7D24">
        <w:t xml:space="preserve"> million </w:t>
      </w:r>
      <w:r w:rsidR="00350D80">
        <w:t>on an ongoing basis each following year.</w:t>
      </w:r>
      <w:r w:rsidR="00075390">
        <w:t xml:space="preserve"> </w:t>
      </w:r>
      <w:r w:rsidR="00BD573F">
        <w:t>M</w:t>
      </w:r>
      <w:r w:rsidR="00B76C76">
        <w:t xml:space="preserve">ost </w:t>
      </w:r>
      <w:r w:rsidR="004B3B81">
        <w:t xml:space="preserve">of this regulatory cost would be on banks which are not affiliated with the ABA or COBA, </w:t>
      </w:r>
      <w:r w:rsidR="00BD573F">
        <w:t xml:space="preserve">which </w:t>
      </w:r>
      <w:r w:rsidR="00335C68">
        <w:t xml:space="preserve">would </w:t>
      </w:r>
      <w:r w:rsidR="005A4C84">
        <w:t xml:space="preserve">be </w:t>
      </w:r>
      <w:r w:rsidR="00FB0127">
        <w:t xml:space="preserve">required to invest in capabilities to meet the </w:t>
      </w:r>
      <w:r w:rsidR="00EC5D53">
        <w:t>S</w:t>
      </w:r>
      <w:r w:rsidR="00566202">
        <w:t>cam</w:t>
      </w:r>
      <w:r w:rsidR="00E63E7D">
        <w:t>-</w:t>
      </w:r>
      <w:r w:rsidR="00566202">
        <w:t xml:space="preserve">Safe Accord </w:t>
      </w:r>
      <w:r w:rsidR="00FB0127">
        <w:t>level</w:t>
      </w:r>
      <w:r w:rsidR="00812960">
        <w:t xml:space="preserve"> </w:t>
      </w:r>
      <w:r w:rsidR="00566202">
        <w:t xml:space="preserve">of </w:t>
      </w:r>
      <w:r w:rsidR="00812960">
        <w:t xml:space="preserve">anti-scam activity </w:t>
      </w:r>
      <w:r w:rsidR="00576878">
        <w:t xml:space="preserve">and </w:t>
      </w:r>
      <w:r w:rsidR="005B3B31">
        <w:t xml:space="preserve">additional requirements </w:t>
      </w:r>
      <w:r w:rsidR="00891966">
        <w:t>of the proposed option</w:t>
      </w:r>
      <w:r w:rsidR="00812960">
        <w:t>.</w:t>
      </w:r>
      <w:r w:rsidR="00581333">
        <w:t xml:space="preserve"> </w:t>
      </w:r>
      <w:r w:rsidR="009B14A8">
        <w:t>However, t</w:t>
      </w:r>
      <w:r w:rsidR="00566202">
        <w:t xml:space="preserve">here </w:t>
      </w:r>
      <w:r w:rsidR="00B016AB">
        <w:t>would also</w:t>
      </w:r>
      <w:r w:rsidR="00566202">
        <w:t xml:space="preserve"> be </w:t>
      </w:r>
      <w:r w:rsidR="001A3DE6">
        <w:t xml:space="preserve">a need for </w:t>
      </w:r>
      <w:r w:rsidR="009B14A8">
        <w:t xml:space="preserve">investment in </w:t>
      </w:r>
      <w:r w:rsidR="001A3DE6">
        <w:t xml:space="preserve">improvement </w:t>
      </w:r>
      <w:r w:rsidR="00447E93">
        <w:t xml:space="preserve">of </w:t>
      </w:r>
      <w:r w:rsidR="00BD573F">
        <w:t>capabilities</w:t>
      </w:r>
      <w:r w:rsidR="00A540EE">
        <w:t xml:space="preserve"> for </w:t>
      </w:r>
      <w:r w:rsidR="00B016AB">
        <w:t>Scam</w:t>
      </w:r>
      <w:r w:rsidR="00E63E7D">
        <w:t>-</w:t>
      </w:r>
      <w:r w:rsidR="00B016AB">
        <w:t xml:space="preserve">Safe Accord </w:t>
      </w:r>
      <w:r w:rsidR="00A540EE">
        <w:t>signatories</w:t>
      </w:r>
      <w:r w:rsidR="00B016AB">
        <w:t xml:space="preserve">. </w:t>
      </w:r>
      <w:r w:rsidR="00D15452">
        <w:t xml:space="preserve">While </w:t>
      </w:r>
      <w:r w:rsidR="00F00318">
        <w:t xml:space="preserve">almost all ADIs are members of AFCA, </w:t>
      </w:r>
      <w:r w:rsidR="006D1349">
        <w:t>banking</w:t>
      </w:r>
      <w:r w:rsidR="00F00318">
        <w:t xml:space="preserve"> </w:t>
      </w:r>
      <w:r w:rsidR="001C5077">
        <w:t xml:space="preserve">EDR costs are expected to </w:t>
      </w:r>
      <w:r w:rsidR="00715ED4">
        <w:t xml:space="preserve">increase due to an </w:t>
      </w:r>
      <w:r w:rsidR="00686D64">
        <w:t xml:space="preserve">initially </w:t>
      </w:r>
      <w:r w:rsidR="00715ED4">
        <w:t xml:space="preserve">increased number of </w:t>
      </w:r>
      <w:r w:rsidR="006D1349">
        <w:t xml:space="preserve">scam </w:t>
      </w:r>
      <w:r w:rsidR="00BD573F">
        <w:t>complaints</w:t>
      </w:r>
      <w:r w:rsidR="006D1349">
        <w:t xml:space="preserve"> each year</w:t>
      </w:r>
      <w:r w:rsidR="00715ED4">
        <w:t>.</w:t>
      </w:r>
    </w:p>
    <w:p w14:paraId="2E7DB75E" w14:textId="56704DBF" w:rsidR="00EC3D9F" w:rsidRDefault="001F35B5" w:rsidP="001F35B5">
      <w:pPr>
        <w:pStyle w:val="Heading8"/>
      </w:pPr>
      <w:bookmarkStart w:id="34" w:name="_Ref177381278"/>
      <w:r>
        <w:t xml:space="preserve">Table </w:t>
      </w:r>
      <w:fldSimple w:instr=" SEQ Table \* ARABIC ">
        <w:r w:rsidR="002C1AD8">
          <w:rPr>
            <w:noProof/>
          </w:rPr>
          <w:t>6</w:t>
        </w:r>
      </w:fldSimple>
      <w:bookmarkEnd w:id="34"/>
      <w:r>
        <w:t xml:space="preserve"> – </w:t>
      </w:r>
      <w:r w:rsidR="00003498">
        <w:t xml:space="preserve">Option 2 </w:t>
      </w:r>
      <w:r w:rsidR="00F80574">
        <w:t xml:space="preserve">Estimated annual regulatory burden on banks </w:t>
      </w:r>
      <w:r w:rsidR="005E540D">
        <w:t>($m)</w:t>
      </w:r>
    </w:p>
    <w:tbl>
      <w:tblPr>
        <w:tblStyle w:val="Custom1"/>
        <w:tblW w:w="9026" w:type="dxa"/>
        <w:tblInd w:w="0" w:type="dxa"/>
        <w:tblLook w:val="04A0" w:firstRow="1" w:lastRow="0" w:firstColumn="1" w:lastColumn="0" w:noHBand="0" w:noVBand="1"/>
      </w:tblPr>
      <w:tblGrid>
        <w:gridCol w:w="3422"/>
        <w:gridCol w:w="1042"/>
        <w:gridCol w:w="2090"/>
        <w:gridCol w:w="2472"/>
      </w:tblGrid>
      <w:tr w:rsidR="007A7FAE" w:rsidRPr="00EC3D9F" w14:paraId="7859BC82" w14:textId="044ABFB4" w:rsidTr="005A16CB">
        <w:trPr>
          <w:cnfStyle w:val="100000000000" w:firstRow="1" w:lastRow="0" w:firstColumn="0" w:lastColumn="0" w:oddVBand="0" w:evenVBand="0" w:oddHBand="0" w:evenHBand="0" w:firstRowFirstColumn="0" w:firstRowLastColumn="0" w:lastRowFirstColumn="0" w:lastRowLastColumn="0"/>
          <w:trHeight w:val="284"/>
        </w:trPr>
        <w:tc>
          <w:tcPr>
            <w:tcW w:w="3422" w:type="dxa"/>
            <w:noWrap/>
            <w:hideMark/>
          </w:tcPr>
          <w:p w14:paraId="2EDEF4D4" w14:textId="77777777" w:rsidR="007A7FAE" w:rsidRPr="0005719C" w:rsidRDefault="007A7FAE" w:rsidP="00EC3D9F">
            <w:pPr>
              <w:spacing w:before="0" w:after="0"/>
              <w:rPr>
                <w:rFonts w:ascii="Calibri" w:hAnsi="Calibri" w:cs="Calibri"/>
                <w:bCs/>
                <w:color w:val="FFFFFF" w:themeColor="background1"/>
                <w:sz w:val="22"/>
                <w:szCs w:val="22"/>
              </w:rPr>
            </w:pPr>
            <w:r w:rsidRPr="0005719C">
              <w:rPr>
                <w:rFonts w:ascii="Calibri" w:hAnsi="Calibri" w:cs="Calibri"/>
                <w:bCs/>
                <w:color w:val="FFFFFF" w:themeColor="background1"/>
                <w:sz w:val="22"/>
                <w:szCs w:val="22"/>
              </w:rPr>
              <w:t>Entity type</w:t>
            </w:r>
          </w:p>
        </w:tc>
        <w:tc>
          <w:tcPr>
            <w:tcW w:w="1042" w:type="dxa"/>
          </w:tcPr>
          <w:p w14:paraId="1697D348" w14:textId="7EC25120" w:rsidR="007A7FAE" w:rsidRPr="003A4726" w:rsidRDefault="007A7FAE" w:rsidP="00BE17D1">
            <w:pPr>
              <w:spacing w:before="0" w:after="0"/>
              <w:jc w:val="right"/>
              <w:rPr>
                <w:rFonts w:ascii="Calibri" w:hAnsi="Calibri" w:cs="Calibri"/>
                <w:bCs/>
                <w:color w:val="FFFFFF" w:themeColor="background1"/>
                <w:szCs w:val="26"/>
              </w:rPr>
            </w:pPr>
            <w:r w:rsidRPr="00996AA2">
              <w:rPr>
                <w:rFonts w:ascii="Calibri" w:hAnsi="Calibri" w:cs="Calibri"/>
                <w:color w:val="FFFFFF" w:themeColor="background1"/>
                <w:szCs w:val="44"/>
              </w:rPr>
              <w:t>Entities</w:t>
            </w:r>
          </w:p>
        </w:tc>
        <w:tc>
          <w:tcPr>
            <w:tcW w:w="2090" w:type="dxa"/>
            <w:noWrap/>
            <w:hideMark/>
          </w:tcPr>
          <w:p w14:paraId="3A63234F" w14:textId="446450B5" w:rsidR="007A7FAE" w:rsidRPr="0005719C" w:rsidRDefault="007A7FAE" w:rsidP="00BE17D1">
            <w:pPr>
              <w:spacing w:before="0" w:after="0"/>
              <w:jc w:val="right"/>
              <w:rPr>
                <w:rFonts w:ascii="Calibri" w:hAnsi="Calibri" w:cs="Calibri"/>
                <w:bCs/>
                <w:color w:val="FFFFFF" w:themeColor="background1"/>
                <w:sz w:val="22"/>
                <w:szCs w:val="22"/>
              </w:rPr>
            </w:pPr>
            <w:r>
              <w:rPr>
                <w:rFonts w:ascii="Calibri" w:hAnsi="Calibri" w:cs="Calibri"/>
                <w:bCs/>
                <w:color w:val="FFFFFF" w:themeColor="background1"/>
                <w:sz w:val="22"/>
                <w:szCs w:val="22"/>
              </w:rPr>
              <w:t>Initial cost</w:t>
            </w:r>
          </w:p>
        </w:tc>
        <w:tc>
          <w:tcPr>
            <w:tcW w:w="2472" w:type="dxa"/>
            <w:noWrap/>
            <w:hideMark/>
          </w:tcPr>
          <w:p w14:paraId="084E73AE" w14:textId="4F7FBEBC" w:rsidR="007A7FAE" w:rsidRPr="0005719C" w:rsidRDefault="007A7FAE" w:rsidP="00BE17D1">
            <w:pPr>
              <w:spacing w:before="0" w:after="0"/>
              <w:jc w:val="right"/>
              <w:rPr>
                <w:rFonts w:ascii="Calibri" w:hAnsi="Calibri" w:cs="Calibri"/>
                <w:bCs/>
                <w:color w:val="FFFFFF" w:themeColor="background1"/>
                <w:sz w:val="22"/>
                <w:szCs w:val="22"/>
              </w:rPr>
            </w:pPr>
            <w:r w:rsidRPr="0005719C">
              <w:rPr>
                <w:rFonts w:ascii="Calibri" w:hAnsi="Calibri" w:cs="Calibri"/>
                <w:bCs/>
                <w:color w:val="FFFFFF" w:themeColor="background1"/>
                <w:sz w:val="22"/>
                <w:szCs w:val="22"/>
              </w:rPr>
              <w:t>Ongoing</w:t>
            </w:r>
            <w:r>
              <w:rPr>
                <w:rFonts w:ascii="Calibri" w:hAnsi="Calibri" w:cs="Calibri"/>
                <w:bCs/>
                <w:color w:val="FFFFFF" w:themeColor="background1"/>
                <w:sz w:val="22"/>
                <w:szCs w:val="22"/>
              </w:rPr>
              <w:t xml:space="preserve"> cost</w:t>
            </w:r>
          </w:p>
        </w:tc>
      </w:tr>
      <w:tr w:rsidR="00190274" w:rsidRPr="00EC3D9F" w14:paraId="53CDDCBF" w14:textId="70780E79" w:rsidTr="005A16CB">
        <w:trPr>
          <w:cnfStyle w:val="000000100000" w:firstRow="0" w:lastRow="0" w:firstColumn="0" w:lastColumn="0" w:oddVBand="0" w:evenVBand="0" w:oddHBand="1" w:evenHBand="0" w:firstRowFirstColumn="0" w:firstRowLastColumn="0" w:lastRowFirstColumn="0" w:lastRowLastColumn="0"/>
          <w:trHeight w:val="284"/>
        </w:trPr>
        <w:tc>
          <w:tcPr>
            <w:tcW w:w="3422" w:type="dxa"/>
            <w:noWrap/>
            <w:vAlign w:val="bottom"/>
            <w:hideMark/>
          </w:tcPr>
          <w:p w14:paraId="7BBB6C32" w14:textId="4D22A8E1" w:rsidR="00190274" w:rsidRPr="0005719C" w:rsidRDefault="00190274" w:rsidP="00190274">
            <w:pPr>
              <w:spacing w:before="0" w:after="0"/>
              <w:rPr>
                <w:rFonts w:ascii="Calibri" w:hAnsi="Calibri" w:cs="Calibri"/>
                <w:color w:val="000000"/>
                <w:sz w:val="22"/>
                <w:szCs w:val="22"/>
              </w:rPr>
            </w:pPr>
            <w:r>
              <w:rPr>
                <w:rFonts w:ascii="Calibri" w:hAnsi="Calibri" w:cs="Calibri"/>
                <w:color w:val="000000"/>
                <w:sz w:val="22"/>
                <w:szCs w:val="22"/>
              </w:rPr>
              <w:t>Major banks</w:t>
            </w:r>
          </w:p>
        </w:tc>
        <w:tc>
          <w:tcPr>
            <w:tcW w:w="1042" w:type="dxa"/>
            <w:vAlign w:val="bottom"/>
          </w:tcPr>
          <w:p w14:paraId="565A82D6" w14:textId="06439297" w:rsidR="00190274" w:rsidRPr="003A4726" w:rsidRDefault="00190274" w:rsidP="00190274">
            <w:pPr>
              <w:spacing w:before="0" w:after="0"/>
              <w:jc w:val="right"/>
              <w:rPr>
                <w:rFonts w:ascii="Calibri" w:hAnsi="Calibri" w:cs="Calibri"/>
                <w:color w:val="000000"/>
                <w:szCs w:val="22"/>
              </w:rPr>
            </w:pPr>
            <w:r w:rsidRPr="005A16CB">
              <w:rPr>
                <w:rFonts w:ascii="Calibri" w:hAnsi="Calibri" w:cs="Calibri"/>
                <w:color w:val="000000"/>
                <w:sz w:val="22"/>
                <w:szCs w:val="22"/>
              </w:rPr>
              <w:t>4</w:t>
            </w:r>
          </w:p>
        </w:tc>
        <w:tc>
          <w:tcPr>
            <w:tcW w:w="2090" w:type="dxa"/>
            <w:noWrap/>
            <w:vAlign w:val="bottom"/>
            <w:hideMark/>
          </w:tcPr>
          <w:p w14:paraId="6032BDE3" w14:textId="0CE571A1" w:rsidR="00190274" w:rsidRPr="005A16CB" w:rsidRDefault="00190274" w:rsidP="00190274">
            <w:pPr>
              <w:spacing w:before="0" w:after="0"/>
              <w:jc w:val="right"/>
              <w:rPr>
                <w:rFonts w:ascii="Calibri" w:hAnsi="Calibri" w:cs="Calibri"/>
                <w:color w:val="000000"/>
                <w:szCs w:val="18"/>
              </w:rPr>
            </w:pPr>
            <w:r>
              <w:rPr>
                <w:rFonts w:ascii="Calibri" w:hAnsi="Calibri" w:cs="Calibri"/>
                <w:color w:val="000000"/>
                <w:sz w:val="22"/>
                <w:szCs w:val="22"/>
              </w:rPr>
              <w:t>$6.2</w:t>
            </w:r>
          </w:p>
        </w:tc>
        <w:tc>
          <w:tcPr>
            <w:tcW w:w="2472" w:type="dxa"/>
            <w:noWrap/>
            <w:vAlign w:val="bottom"/>
            <w:hideMark/>
          </w:tcPr>
          <w:p w14:paraId="15AB93E5" w14:textId="5944ED4A" w:rsidR="00190274" w:rsidRPr="005A16CB" w:rsidRDefault="00190274" w:rsidP="00190274">
            <w:pPr>
              <w:spacing w:before="0" w:after="0"/>
              <w:jc w:val="right"/>
              <w:rPr>
                <w:rFonts w:ascii="Calibri" w:hAnsi="Calibri" w:cs="Calibri"/>
                <w:color w:val="000000"/>
                <w:szCs w:val="18"/>
              </w:rPr>
            </w:pPr>
            <w:r>
              <w:rPr>
                <w:rFonts w:ascii="Calibri" w:hAnsi="Calibri" w:cs="Calibri"/>
                <w:color w:val="000000"/>
                <w:sz w:val="22"/>
                <w:szCs w:val="22"/>
              </w:rPr>
              <w:t>$1.0</w:t>
            </w:r>
          </w:p>
        </w:tc>
      </w:tr>
      <w:tr w:rsidR="00190274" w:rsidRPr="00EC3D9F" w14:paraId="7DADAB40" w14:textId="2735ACC1" w:rsidTr="005A16CB">
        <w:trPr>
          <w:trHeight w:val="284"/>
        </w:trPr>
        <w:tc>
          <w:tcPr>
            <w:tcW w:w="3422" w:type="dxa"/>
            <w:noWrap/>
            <w:vAlign w:val="bottom"/>
            <w:hideMark/>
          </w:tcPr>
          <w:p w14:paraId="1B9A7244" w14:textId="38596777" w:rsidR="00190274" w:rsidRPr="0005719C" w:rsidRDefault="00190274" w:rsidP="00190274">
            <w:pPr>
              <w:spacing w:before="0" w:after="0"/>
              <w:rPr>
                <w:rFonts w:ascii="Calibri" w:hAnsi="Calibri" w:cs="Calibri"/>
                <w:color w:val="000000"/>
                <w:sz w:val="22"/>
                <w:szCs w:val="22"/>
              </w:rPr>
            </w:pPr>
            <w:r>
              <w:rPr>
                <w:rFonts w:ascii="Calibri" w:hAnsi="Calibri" w:cs="Calibri"/>
                <w:color w:val="000000"/>
                <w:sz w:val="22"/>
                <w:szCs w:val="22"/>
              </w:rPr>
              <w:t>Other ABA/COBA</w:t>
            </w:r>
          </w:p>
        </w:tc>
        <w:tc>
          <w:tcPr>
            <w:tcW w:w="1042" w:type="dxa"/>
            <w:vAlign w:val="bottom"/>
          </w:tcPr>
          <w:p w14:paraId="677FA065" w14:textId="695B6E24" w:rsidR="00190274" w:rsidRPr="003A4726" w:rsidRDefault="00190274" w:rsidP="00190274">
            <w:pPr>
              <w:spacing w:before="0" w:after="0"/>
              <w:jc w:val="right"/>
              <w:rPr>
                <w:rFonts w:ascii="Calibri" w:hAnsi="Calibri" w:cs="Calibri"/>
                <w:color w:val="000000"/>
                <w:szCs w:val="22"/>
              </w:rPr>
            </w:pPr>
            <w:r w:rsidRPr="005A16CB">
              <w:rPr>
                <w:rFonts w:ascii="Calibri" w:hAnsi="Calibri" w:cs="Calibri"/>
                <w:color w:val="000000"/>
                <w:sz w:val="22"/>
                <w:szCs w:val="22"/>
              </w:rPr>
              <w:t>72</w:t>
            </w:r>
          </w:p>
        </w:tc>
        <w:tc>
          <w:tcPr>
            <w:tcW w:w="2090" w:type="dxa"/>
            <w:noWrap/>
            <w:vAlign w:val="bottom"/>
            <w:hideMark/>
          </w:tcPr>
          <w:p w14:paraId="0F1E5D3E" w14:textId="44501021" w:rsidR="00190274" w:rsidRPr="005A16CB" w:rsidRDefault="00190274" w:rsidP="00190274">
            <w:pPr>
              <w:spacing w:before="0" w:after="0"/>
              <w:jc w:val="right"/>
              <w:rPr>
                <w:rFonts w:ascii="Calibri" w:hAnsi="Calibri" w:cs="Calibri"/>
                <w:color w:val="000000"/>
                <w:szCs w:val="18"/>
              </w:rPr>
            </w:pPr>
            <w:r>
              <w:rPr>
                <w:rFonts w:ascii="Calibri" w:hAnsi="Calibri" w:cs="Calibri"/>
                <w:color w:val="000000"/>
                <w:sz w:val="22"/>
                <w:szCs w:val="22"/>
              </w:rPr>
              <w:t>$22.9</w:t>
            </w:r>
          </w:p>
        </w:tc>
        <w:tc>
          <w:tcPr>
            <w:tcW w:w="2472" w:type="dxa"/>
            <w:noWrap/>
            <w:vAlign w:val="bottom"/>
            <w:hideMark/>
          </w:tcPr>
          <w:p w14:paraId="1AEBD264" w14:textId="4E8794DC" w:rsidR="00190274" w:rsidRPr="005A16CB" w:rsidRDefault="00190274" w:rsidP="00190274">
            <w:pPr>
              <w:spacing w:before="0" w:after="0"/>
              <w:jc w:val="right"/>
              <w:rPr>
                <w:rFonts w:ascii="Calibri" w:hAnsi="Calibri" w:cs="Calibri"/>
                <w:color w:val="000000"/>
                <w:szCs w:val="18"/>
              </w:rPr>
            </w:pPr>
            <w:r>
              <w:rPr>
                <w:rFonts w:ascii="Calibri" w:hAnsi="Calibri" w:cs="Calibri"/>
                <w:color w:val="000000"/>
                <w:sz w:val="22"/>
                <w:szCs w:val="22"/>
              </w:rPr>
              <w:t>$2.7</w:t>
            </w:r>
          </w:p>
        </w:tc>
      </w:tr>
      <w:tr w:rsidR="00190274" w:rsidRPr="00EC3D9F" w14:paraId="62FF2CB7" w14:textId="122ACB6F" w:rsidTr="005A16CB">
        <w:trPr>
          <w:cnfStyle w:val="000000100000" w:firstRow="0" w:lastRow="0" w:firstColumn="0" w:lastColumn="0" w:oddVBand="0" w:evenVBand="0" w:oddHBand="1" w:evenHBand="0" w:firstRowFirstColumn="0" w:firstRowLastColumn="0" w:lastRowFirstColumn="0" w:lastRowLastColumn="0"/>
          <w:trHeight w:val="284"/>
        </w:trPr>
        <w:tc>
          <w:tcPr>
            <w:tcW w:w="3422" w:type="dxa"/>
            <w:noWrap/>
            <w:vAlign w:val="bottom"/>
            <w:hideMark/>
          </w:tcPr>
          <w:p w14:paraId="0A8FBD6D" w14:textId="392F0B30" w:rsidR="00190274" w:rsidRPr="0005719C" w:rsidRDefault="00190274" w:rsidP="00190274">
            <w:pPr>
              <w:spacing w:before="0" w:after="0"/>
              <w:rPr>
                <w:rFonts w:ascii="Calibri" w:hAnsi="Calibri" w:cs="Calibri"/>
                <w:color w:val="000000"/>
                <w:sz w:val="22"/>
                <w:szCs w:val="22"/>
              </w:rPr>
            </w:pPr>
            <w:r>
              <w:rPr>
                <w:rFonts w:ascii="Calibri" w:hAnsi="Calibri" w:cs="Calibri"/>
                <w:color w:val="000000"/>
                <w:sz w:val="22"/>
                <w:szCs w:val="22"/>
              </w:rPr>
              <w:t>Non-affiliated/AFCA</w:t>
            </w:r>
          </w:p>
        </w:tc>
        <w:tc>
          <w:tcPr>
            <w:tcW w:w="1042" w:type="dxa"/>
            <w:vAlign w:val="bottom"/>
          </w:tcPr>
          <w:p w14:paraId="4B066519" w14:textId="739D3943" w:rsidR="00190274" w:rsidRPr="003A4726" w:rsidRDefault="00190274" w:rsidP="00190274">
            <w:pPr>
              <w:spacing w:before="0" w:after="0"/>
              <w:jc w:val="right"/>
              <w:rPr>
                <w:rFonts w:ascii="Calibri" w:hAnsi="Calibri" w:cs="Calibri"/>
                <w:color w:val="000000"/>
                <w:szCs w:val="22"/>
              </w:rPr>
            </w:pPr>
            <w:r w:rsidRPr="005A16CB">
              <w:rPr>
                <w:rFonts w:ascii="Calibri" w:hAnsi="Calibri" w:cs="Calibri"/>
                <w:color w:val="000000"/>
                <w:sz w:val="22"/>
                <w:szCs w:val="22"/>
              </w:rPr>
              <w:t>40</w:t>
            </w:r>
          </w:p>
        </w:tc>
        <w:tc>
          <w:tcPr>
            <w:tcW w:w="2090" w:type="dxa"/>
            <w:noWrap/>
            <w:vAlign w:val="bottom"/>
            <w:hideMark/>
          </w:tcPr>
          <w:p w14:paraId="4762A5C9" w14:textId="426691B7" w:rsidR="00190274" w:rsidRPr="005A16CB" w:rsidRDefault="00190274" w:rsidP="00190274">
            <w:pPr>
              <w:spacing w:before="0" w:after="0"/>
              <w:jc w:val="right"/>
              <w:rPr>
                <w:rFonts w:ascii="Calibri" w:hAnsi="Calibri" w:cs="Calibri"/>
                <w:color w:val="000000"/>
                <w:szCs w:val="18"/>
              </w:rPr>
            </w:pPr>
            <w:r>
              <w:rPr>
                <w:rFonts w:ascii="Calibri" w:hAnsi="Calibri" w:cs="Calibri"/>
                <w:color w:val="000000"/>
                <w:sz w:val="22"/>
                <w:szCs w:val="22"/>
              </w:rPr>
              <w:t>$51.1</w:t>
            </w:r>
          </w:p>
        </w:tc>
        <w:tc>
          <w:tcPr>
            <w:tcW w:w="2472" w:type="dxa"/>
            <w:noWrap/>
            <w:vAlign w:val="bottom"/>
            <w:hideMark/>
          </w:tcPr>
          <w:p w14:paraId="2E7EE9C9" w14:textId="73F0F27E" w:rsidR="00190274" w:rsidRPr="005A16CB" w:rsidRDefault="00190274" w:rsidP="00190274">
            <w:pPr>
              <w:spacing w:before="0" w:after="0"/>
              <w:jc w:val="right"/>
              <w:rPr>
                <w:rFonts w:ascii="Calibri" w:hAnsi="Calibri" w:cs="Calibri"/>
                <w:color w:val="000000"/>
                <w:szCs w:val="18"/>
              </w:rPr>
            </w:pPr>
            <w:r>
              <w:rPr>
                <w:rFonts w:ascii="Calibri" w:hAnsi="Calibri" w:cs="Calibri"/>
                <w:color w:val="000000"/>
                <w:sz w:val="22"/>
                <w:szCs w:val="22"/>
              </w:rPr>
              <w:t>$20.0</w:t>
            </w:r>
          </w:p>
        </w:tc>
      </w:tr>
      <w:tr w:rsidR="00190274" w:rsidRPr="00EC3D9F" w14:paraId="55BA26F9" w14:textId="6654C930" w:rsidTr="005A16CB">
        <w:trPr>
          <w:trHeight w:val="284"/>
        </w:trPr>
        <w:tc>
          <w:tcPr>
            <w:tcW w:w="3422" w:type="dxa"/>
            <w:noWrap/>
            <w:vAlign w:val="bottom"/>
          </w:tcPr>
          <w:p w14:paraId="150086A3" w14:textId="1A591BBB" w:rsidR="00190274" w:rsidRPr="0005719C" w:rsidRDefault="00190274" w:rsidP="00190274">
            <w:pPr>
              <w:spacing w:before="0" w:after="0"/>
              <w:rPr>
                <w:rFonts w:ascii="Calibri" w:hAnsi="Calibri" w:cs="Calibri"/>
                <w:color w:val="000000"/>
                <w:szCs w:val="22"/>
              </w:rPr>
            </w:pPr>
            <w:r>
              <w:rPr>
                <w:rFonts w:ascii="Calibri" w:hAnsi="Calibri" w:cs="Calibri"/>
                <w:color w:val="000000"/>
                <w:sz w:val="22"/>
                <w:szCs w:val="22"/>
              </w:rPr>
              <w:t>Non-affiliated/</w:t>
            </w:r>
            <w:r w:rsidRPr="009343E7">
              <w:rPr>
                <w:rFonts w:ascii="Calibri" w:hAnsi="Calibri" w:cs="Calibri"/>
                <w:color w:val="000000"/>
                <w:sz w:val="22"/>
                <w:szCs w:val="22"/>
              </w:rPr>
              <w:t>non-</w:t>
            </w:r>
            <w:r>
              <w:rPr>
                <w:rFonts w:ascii="Calibri" w:hAnsi="Calibri" w:cs="Calibri"/>
                <w:color w:val="000000"/>
                <w:sz w:val="22"/>
                <w:szCs w:val="22"/>
              </w:rPr>
              <w:t>AFCA</w:t>
            </w:r>
          </w:p>
        </w:tc>
        <w:tc>
          <w:tcPr>
            <w:tcW w:w="1042" w:type="dxa"/>
            <w:vAlign w:val="bottom"/>
          </w:tcPr>
          <w:p w14:paraId="63237DC7" w14:textId="71AAA58A" w:rsidR="00190274" w:rsidRPr="003A4726" w:rsidRDefault="00190274" w:rsidP="00190274">
            <w:pPr>
              <w:spacing w:before="0" w:after="0"/>
              <w:jc w:val="right"/>
              <w:rPr>
                <w:rFonts w:ascii="Calibri" w:hAnsi="Calibri" w:cs="Calibri"/>
                <w:color w:val="000000"/>
                <w:szCs w:val="22"/>
              </w:rPr>
            </w:pPr>
            <w:r w:rsidRPr="005A16CB">
              <w:rPr>
                <w:rFonts w:ascii="Calibri" w:hAnsi="Calibri" w:cs="Calibri"/>
                <w:color w:val="000000"/>
                <w:sz w:val="22"/>
                <w:szCs w:val="22"/>
              </w:rPr>
              <w:t>16</w:t>
            </w:r>
          </w:p>
        </w:tc>
        <w:tc>
          <w:tcPr>
            <w:tcW w:w="2090" w:type="dxa"/>
            <w:noWrap/>
            <w:vAlign w:val="bottom"/>
          </w:tcPr>
          <w:p w14:paraId="5039CC71" w14:textId="7D93C3E1" w:rsidR="00190274" w:rsidRPr="00E23FDB" w:rsidRDefault="00190274" w:rsidP="00190274">
            <w:pPr>
              <w:spacing w:before="0" w:after="0"/>
              <w:jc w:val="right"/>
              <w:rPr>
                <w:rFonts w:ascii="Calibri" w:hAnsi="Calibri" w:cs="Calibri"/>
                <w:color w:val="000000"/>
                <w:szCs w:val="18"/>
              </w:rPr>
            </w:pPr>
            <w:r>
              <w:rPr>
                <w:rFonts w:ascii="Calibri" w:hAnsi="Calibri" w:cs="Calibri"/>
                <w:color w:val="000000"/>
                <w:sz w:val="22"/>
                <w:szCs w:val="22"/>
              </w:rPr>
              <w:t>$20.6</w:t>
            </w:r>
          </w:p>
        </w:tc>
        <w:tc>
          <w:tcPr>
            <w:tcW w:w="2472" w:type="dxa"/>
            <w:noWrap/>
            <w:vAlign w:val="bottom"/>
          </w:tcPr>
          <w:p w14:paraId="5464F1DA" w14:textId="28CE9589" w:rsidR="00190274" w:rsidRPr="00E23FDB" w:rsidRDefault="00190274" w:rsidP="00190274">
            <w:pPr>
              <w:spacing w:before="0" w:after="0"/>
              <w:jc w:val="right"/>
              <w:rPr>
                <w:rFonts w:ascii="Calibri" w:hAnsi="Calibri" w:cs="Calibri"/>
                <w:color w:val="000000"/>
                <w:szCs w:val="18"/>
              </w:rPr>
            </w:pPr>
            <w:r>
              <w:rPr>
                <w:rFonts w:ascii="Calibri" w:hAnsi="Calibri" w:cs="Calibri"/>
                <w:color w:val="000000"/>
                <w:sz w:val="22"/>
                <w:szCs w:val="22"/>
              </w:rPr>
              <w:t>$8.1</w:t>
            </w:r>
          </w:p>
        </w:tc>
      </w:tr>
      <w:tr w:rsidR="00190274" w:rsidRPr="00EC3D9F" w14:paraId="2E4376EE" w14:textId="1C9E6713" w:rsidTr="005A16CB">
        <w:trPr>
          <w:cnfStyle w:val="000000100000" w:firstRow="0" w:lastRow="0" w:firstColumn="0" w:lastColumn="0" w:oddVBand="0" w:evenVBand="0" w:oddHBand="1" w:evenHBand="0" w:firstRowFirstColumn="0" w:firstRowLastColumn="0" w:lastRowFirstColumn="0" w:lastRowLastColumn="0"/>
          <w:trHeight w:val="284"/>
        </w:trPr>
        <w:tc>
          <w:tcPr>
            <w:tcW w:w="3422" w:type="dxa"/>
            <w:noWrap/>
            <w:vAlign w:val="bottom"/>
          </w:tcPr>
          <w:p w14:paraId="18712BF5" w14:textId="2C34A4A4" w:rsidR="00190274" w:rsidRPr="00B71182" w:rsidRDefault="00190274" w:rsidP="00190274">
            <w:pPr>
              <w:spacing w:before="0" w:after="0"/>
              <w:rPr>
                <w:rFonts w:ascii="Calibri" w:hAnsi="Calibri" w:cs="Calibri"/>
                <w:b/>
                <w:bCs/>
                <w:color w:val="000000"/>
                <w:sz w:val="22"/>
                <w:szCs w:val="22"/>
              </w:rPr>
            </w:pPr>
            <w:r w:rsidRPr="00E85B74">
              <w:rPr>
                <w:rFonts w:ascii="Calibri" w:hAnsi="Calibri" w:cs="Calibri"/>
                <w:b/>
                <w:bCs/>
                <w:color w:val="000000"/>
                <w:sz w:val="22"/>
                <w:szCs w:val="22"/>
              </w:rPr>
              <w:t xml:space="preserve">Total </w:t>
            </w:r>
          </w:p>
        </w:tc>
        <w:tc>
          <w:tcPr>
            <w:tcW w:w="1042" w:type="dxa"/>
            <w:vAlign w:val="bottom"/>
          </w:tcPr>
          <w:p w14:paraId="3589AEE3" w14:textId="3A9D960B" w:rsidR="00190274" w:rsidRPr="003A4726" w:rsidRDefault="00190274" w:rsidP="00190274">
            <w:pPr>
              <w:spacing w:before="0" w:after="0"/>
              <w:jc w:val="right"/>
              <w:rPr>
                <w:rFonts w:ascii="Calibri" w:hAnsi="Calibri" w:cs="Calibri"/>
                <w:b/>
                <w:bCs/>
                <w:color w:val="000000"/>
                <w:szCs w:val="22"/>
              </w:rPr>
            </w:pPr>
            <w:r w:rsidRPr="005A16CB">
              <w:rPr>
                <w:rFonts w:ascii="Calibri" w:hAnsi="Calibri" w:cs="Calibri"/>
                <w:b/>
                <w:bCs/>
                <w:color w:val="000000"/>
                <w:sz w:val="22"/>
                <w:szCs w:val="22"/>
              </w:rPr>
              <w:t>132</w:t>
            </w:r>
          </w:p>
        </w:tc>
        <w:tc>
          <w:tcPr>
            <w:tcW w:w="2090" w:type="dxa"/>
            <w:noWrap/>
            <w:vAlign w:val="bottom"/>
          </w:tcPr>
          <w:p w14:paraId="48B02295" w14:textId="184B79EB" w:rsidR="00190274" w:rsidRPr="005A16CB" w:rsidRDefault="00190274" w:rsidP="00190274">
            <w:pPr>
              <w:spacing w:before="0" w:after="0"/>
              <w:jc w:val="right"/>
              <w:rPr>
                <w:rFonts w:ascii="Calibri" w:hAnsi="Calibri" w:cs="Calibri"/>
                <w:b/>
                <w:bCs/>
                <w:color w:val="000000"/>
                <w:szCs w:val="18"/>
              </w:rPr>
            </w:pPr>
            <w:r>
              <w:rPr>
                <w:rFonts w:ascii="Calibri" w:hAnsi="Calibri" w:cs="Calibri"/>
                <w:color w:val="000000"/>
                <w:sz w:val="22"/>
                <w:szCs w:val="22"/>
              </w:rPr>
              <w:t>$100.9</w:t>
            </w:r>
          </w:p>
        </w:tc>
        <w:tc>
          <w:tcPr>
            <w:tcW w:w="2472" w:type="dxa"/>
            <w:noWrap/>
            <w:vAlign w:val="bottom"/>
          </w:tcPr>
          <w:p w14:paraId="282B7A08" w14:textId="2290FB59" w:rsidR="00190274" w:rsidRPr="005A16CB" w:rsidRDefault="00190274" w:rsidP="00190274">
            <w:pPr>
              <w:spacing w:before="0" w:after="0"/>
              <w:jc w:val="right"/>
              <w:rPr>
                <w:rFonts w:ascii="Calibri" w:hAnsi="Calibri" w:cs="Calibri"/>
                <w:b/>
                <w:bCs/>
                <w:color w:val="000000"/>
                <w:szCs w:val="18"/>
              </w:rPr>
            </w:pPr>
            <w:r>
              <w:rPr>
                <w:rFonts w:ascii="Calibri" w:hAnsi="Calibri" w:cs="Calibri"/>
                <w:color w:val="000000"/>
                <w:sz w:val="22"/>
                <w:szCs w:val="22"/>
              </w:rPr>
              <w:t>$31.8</w:t>
            </w:r>
          </w:p>
        </w:tc>
      </w:tr>
    </w:tbl>
    <w:p w14:paraId="04EFC013" w14:textId="57D05B04" w:rsidR="00A42F34" w:rsidRPr="00DA1E3F" w:rsidRDefault="00FD11DF" w:rsidP="00DA1E3F">
      <w:pPr>
        <w:pStyle w:val="Heading4"/>
      </w:pPr>
      <w:bookmarkStart w:id="35" w:name="_Ref177024387"/>
      <w:r>
        <w:t xml:space="preserve">4.1.2 </w:t>
      </w:r>
      <w:r w:rsidR="00A42F34" w:rsidRPr="00DA1E3F">
        <w:t>Telecommunication providers</w:t>
      </w:r>
      <w:bookmarkEnd w:id="35"/>
    </w:p>
    <w:p w14:paraId="502669F3" w14:textId="77777777" w:rsidR="00D2700C" w:rsidRDefault="00D2700C" w:rsidP="00DA1E3F">
      <w:pPr>
        <w:pStyle w:val="Heading7"/>
      </w:pPr>
      <w:r>
        <w:t>Option 1 – Status quo</w:t>
      </w:r>
    </w:p>
    <w:p w14:paraId="1AB116D6" w14:textId="556D5733" w:rsidR="001865EE" w:rsidRPr="006237D2" w:rsidRDefault="00D2700C" w:rsidP="001865EE">
      <w:pPr>
        <w:rPr>
          <w:rFonts w:cs="Calibri Light"/>
        </w:rPr>
      </w:pPr>
      <w:r>
        <w:t xml:space="preserve">Telecommunications providers are already subject to </w:t>
      </w:r>
      <w:r w:rsidR="003A4726">
        <w:t xml:space="preserve">mandatory </w:t>
      </w:r>
      <w:r>
        <w:t xml:space="preserve">obligations under their existing industry code. </w:t>
      </w:r>
      <w:r w:rsidR="001865EE">
        <w:rPr>
          <w:rFonts w:cs="Calibri Light"/>
        </w:rPr>
        <w:t xml:space="preserve">The 2022 </w:t>
      </w:r>
      <w:r w:rsidR="001865EE" w:rsidRPr="00A9501D">
        <w:rPr>
          <w:i/>
        </w:rPr>
        <w:t xml:space="preserve">Reducing Scam Calls and Scam SMs </w:t>
      </w:r>
      <w:r w:rsidR="001865EE" w:rsidRPr="00A9501D">
        <w:t>industry</w:t>
      </w:r>
      <w:r w:rsidR="001865EE">
        <w:rPr>
          <w:i/>
          <w:iCs/>
        </w:rPr>
        <w:t xml:space="preserve"> </w:t>
      </w:r>
      <w:r w:rsidR="001865EE" w:rsidRPr="00A9501D">
        <w:t>code</w:t>
      </w:r>
      <w:r w:rsidR="001865EE">
        <w:rPr>
          <w:rFonts w:cs="Calibri Light"/>
        </w:rPr>
        <w:t xml:space="preserve"> requires </w:t>
      </w:r>
      <w:r w:rsidR="001865EE" w:rsidRPr="006237D2">
        <w:rPr>
          <w:rFonts w:cs="Calibri Light"/>
        </w:rPr>
        <w:t>telecommunications providers to:</w:t>
      </w:r>
    </w:p>
    <w:p w14:paraId="16C5CAB7" w14:textId="77777777" w:rsidR="001865EE" w:rsidRPr="006237D2" w:rsidRDefault="001865EE" w:rsidP="00E004C0">
      <w:pPr>
        <w:pStyle w:val="ListParagraph"/>
        <w:numPr>
          <w:ilvl w:val="0"/>
          <w:numId w:val="18"/>
        </w:numPr>
        <w:rPr>
          <w:rFonts w:cs="Calibri Light"/>
        </w:rPr>
      </w:pPr>
      <w:r>
        <w:rPr>
          <w:rFonts w:cs="Calibri Light"/>
        </w:rPr>
        <w:t>p</w:t>
      </w:r>
      <w:r w:rsidRPr="006237D2">
        <w:rPr>
          <w:rFonts w:cs="Calibri Light"/>
        </w:rPr>
        <w:t xml:space="preserve">rovide up-to-date guidance for consumers on how to </w:t>
      </w:r>
      <w:r w:rsidRPr="00D928C6">
        <w:rPr>
          <w:rFonts w:cs="Calibri Light"/>
          <w:szCs w:val="22"/>
          <w:bdr w:val="none" w:sz="0" w:space="0" w:color="auto" w:frame="1"/>
        </w:rPr>
        <w:t>manage and report scam calls and texts;</w:t>
      </w:r>
    </w:p>
    <w:p w14:paraId="3CFE8015" w14:textId="77777777" w:rsidR="001865EE" w:rsidRPr="006237D2" w:rsidRDefault="001865EE" w:rsidP="00E004C0">
      <w:pPr>
        <w:pStyle w:val="ListParagraph"/>
        <w:numPr>
          <w:ilvl w:val="0"/>
          <w:numId w:val="18"/>
        </w:numPr>
        <w:rPr>
          <w:rFonts w:cs="Calibri Light"/>
        </w:rPr>
      </w:pPr>
      <w:r>
        <w:rPr>
          <w:rFonts w:cs="Calibri Light"/>
        </w:rPr>
        <w:t>m</w:t>
      </w:r>
      <w:r w:rsidRPr="006237D2">
        <w:rPr>
          <w:rFonts w:cs="Calibri Light"/>
        </w:rPr>
        <w:t>onitor, identify, trace and block phone calls and SMS from recognised scammers; and</w:t>
      </w:r>
    </w:p>
    <w:p w14:paraId="0A8488EA" w14:textId="77777777" w:rsidR="001865EE" w:rsidRPr="006237D2" w:rsidRDefault="001865EE" w:rsidP="00E004C0">
      <w:pPr>
        <w:pStyle w:val="ListParagraph"/>
        <w:numPr>
          <w:ilvl w:val="0"/>
          <w:numId w:val="18"/>
        </w:numPr>
        <w:rPr>
          <w:rFonts w:cs="Calibri Light"/>
        </w:rPr>
      </w:pPr>
      <w:proofErr w:type="gramStart"/>
      <w:r>
        <w:rPr>
          <w:rFonts w:cs="Calibri Light"/>
        </w:rPr>
        <w:t>r</w:t>
      </w:r>
      <w:r w:rsidRPr="006237D2">
        <w:rPr>
          <w:rFonts w:cs="Calibri Light"/>
        </w:rPr>
        <w:t>eport</w:t>
      </w:r>
      <w:proofErr w:type="gramEnd"/>
      <w:r w:rsidRPr="006237D2">
        <w:rPr>
          <w:rFonts w:cs="Calibri Light"/>
        </w:rPr>
        <w:t xml:space="preserve"> identified scam calls and SMS to the ACMA and any involved telecommunications providers.</w:t>
      </w:r>
    </w:p>
    <w:p w14:paraId="6CBB7EB1" w14:textId="269AE62D" w:rsidR="00D2700C" w:rsidRDefault="00D2700C" w:rsidP="00D2700C">
      <w:r>
        <w:lastRenderedPageBreak/>
        <w:t xml:space="preserve">These actions demonstrate providers have the infrastructure and </w:t>
      </w:r>
      <w:r w:rsidR="00CE4765">
        <w:t xml:space="preserve">are responding to </w:t>
      </w:r>
      <w:r>
        <w:t xml:space="preserve">existing expectations that businesses in the sector lift consumer protections. </w:t>
      </w:r>
    </w:p>
    <w:p w14:paraId="1A909025" w14:textId="5BF4C3DD" w:rsidR="00876F2F" w:rsidRDefault="00876F2F" w:rsidP="00D2700C">
      <w:r>
        <w:t xml:space="preserve">Information sharing arrangements in the telecommunication sector are </w:t>
      </w:r>
      <w:r w:rsidR="00E10010">
        <w:t>progress</w:t>
      </w:r>
      <w:r w:rsidR="00913A22">
        <w:t>ing</w:t>
      </w:r>
      <w:r w:rsidR="00A8348D">
        <w:t xml:space="preserve">. </w:t>
      </w:r>
      <w:r w:rsidR="00550674">
        <w:t xml:space="preserve">Major telecommunications providers participate in the AFCX Intel Loop. </w:t>
      </w:r>
      <w:r w:rsidR="00900B98">
        <w:t xml:space="preserve">The AFCX has expressed interest in </w:t>
      </w:r>
      <w:r w:rsidR="007B0EB7">
        <w:t xml:space="preserve">expanding inclusion of </w:t>
      </w:r>
      <w:r w:rsidR="00900B98">
        <w:t xml:space="preserve">non-banking sector </w:t>
      </w:r>
      <w:r w:rsidR="00AA3A8A">
        <w:t xml:space="preserve">entities </w:t>
      </w:r>
      <w:r w:rsidR="00900B98">
        <w:t>such as the telecommunications and payments system</w:t>
      </w:r>
      <w:r w:rsidR="00AA3A8A">
        <w:t xml:space="preserve"> providers</w:t>
      </w:r>
      <w:r w:rsidR="00900B98">
        <w:t xml:space="preserve">, with Optus and Australian Payments Plus </w:t>
      </w:r>
      <w:r w:rsidR="00AA3A8A">
        <w:t xml:space="preserve">already </w:t>
      </w:r>
      <w:r w:rsidR="004602FD">
        <w:t xml:space="preserve">AFCX </w:t>
      </w:r>
      <w:r w:rsidR="00900B98">
        <w:t xml:space="preserve">members. </w:t>
      </w:r>
      <w:r w:rsidR="00077E07">
        <w:t>I</w:t>
      </w:r>
      <w:r w:rsidR="00614448">
        <w:t xml:space="preserve">n July 2023, </w:t>
      </w:r>
      <w:r w:rsidR="00A8348D">
        <w:t xml:space="preserve">Optus </w:t>
      </w:r>
      <w:r w:rsidR="00614448">
        <w:t xml:space="preserve">announced its </w:t>
      </w:r>
      <w:r w:rsidR="00A8348D">
        <w:t>Call Stop technology to automatically block calls to scam numbers</w:t>
      </w:r>
      <w:r w:rsidR="00614448">
        <w:t xml:space="preserve">, linking to intelligence gained </w:t>
      </w:r>
      <w:r w:rsidR="00A8348D">
        <w:t>in partnership with</w:t>
      </w:r>
      <w:r w:rsidR="00614448">
        <w:t xml:space="preserve"> the banking sector and</w:t>
      </w:r>
      <w:r w:rsidR="00A8348D">
        <w:t xml:space="preserve"> AFCX</w:t>
      </w:r>
      <w:r w:rsidR="00614448">
        <w:t>.</w:t>
      </w:r>
      <w:r w:rsidR="00614448" w:rsidRPr="00037A0E">
        <w:rPr>
          <w:rStyle w:val="FootnoteReference"/>
          <w:vertAlign w:val="superscript"/>
        </w:rPr>
        <w:footnoteReference w:id="40"/>
      </w:r>
      <w:r w:rsidR="00614448">
        <w:t xml:space="preserve"> </w:t>
      </w:r>
    </w:p>
    <w:p w14:paraId="6C056525" w14:textId="257148B0" w:rsidR="00B6584B" w:rsidRPr="00EE204E" w:rsidRDefault="00C02E13" w:rsidP="00D2700C">
      <w:r>
        <w:t>T</w:t>
      </w:r>
      <w:r w:rsidR="00B6584B">
        <w:t>elecommunication</w:t>
      </w:r>
      <w:r w:rsidR="006B5611">
        <w:t xml:space="preserve">s </w:t>
      </w:r>
      <w:r w:rsidR="00B6584B">
        <w:t xml:space="preserve">providers would maintain their existing </w:t>
      </w:r>
      <w:r w:rsidR="00AA7CB4" w:rsidRPr="00AA7CB4">
        <w:t>mechanisms in relation to IDR and EDR</w:t>
      </w:r>
      <w:r w:rsidR="00AA7CB4">
        <w:t xml:space="preserve">, which includes </w:t>
      </w:r>
      <w:r w:rsidR="0015562F">
        <w:t>compliance with</w:t>
      </w:r>
      <w:r w:rsidR="00AA7CB4">
        <w:t xml:space="preserve"> complaints handling requirements under </w:t>
      </w:r>
      <w:r w:rsidR="00EE204E" w:rsidRPr="00EE204E">
        <w:t>the</w:t>
      </w:r>
      <w:r w:rsidR="006B5611">
        <w:t xml:space="preserve"> </w:t>
      </w:r>
      <w:r w:rsidR="00EE204E" w:rsidRPr="0097713B">
        <w:rPr>
          <w:i/>
        </w:rPr>
        <w:t xml:space="preserve">Telecommunications (Consumer Complaints Handling) </w:t>
      </w:r>
      <w:r w:rsidR="006B4BDC">
        <w:rPr>
          <w:i/>
          <w:iCs/>
        </w:rPr>
        <w:t>I</w:t>
      </w:r>
      <w:r w:rsidR="00EE204E" w:rsidRPr="0097713B">
        <w:rPr>
          <w:i/>
          <w:iCs/>
        </w:rPr>
        <w:t>ndustry</w:t>
      </w:r>
      <w:r w:rsidR="00EE204E" w:rsidRPr="0097713B">
        <w:rPr>
          <w:i/>
        </w:rPr>
        <w:t xml:space="preserve"> Standard 2018</w:t>
      </w:r>
      <w:r w:rsidR="00EE204E">
        <w:t xml:space="preserve"> and membership with</w:t>
      </w:r>
      <w:r>
        <w:t xml:space="preserve"> the</w:t>
      </w:r>
      <w:r w:rsidR="00EE204E">
        <w:t xml:space="preserve"> TIO. </w:t>
      </w:r>
      <w:r w:rsidR="00C82B2C">
        <w:t>The TIO rec</w:t>
      </w:r>
      <w:r w:rsidR="00C33801">
        <w:t xml:space="preserve">eives and manages </w:t>
      </w:r>
      <w:r w:rsidR="00226BFB">
        <w:t>all</w:t>
      </w:r>
      <w:r w:rsidR="00C33801">
        <w:t xml:space="preserve"> complaints in relation to the telecommunications sector</w:t>
      </w:r>
      <w:r w:rsidR="006146CD">
        <w:t>, including scam complaints</w:t>
      </w:r>
      <w:r w:rsidR="00C33801">
        <w:t xml:space="preserve">. </w:t>
      </w:r>
    </w:p>
    <w:p w14:paraId="3B93DF67" w14:textId="7C0888A1" w:rsidR="006C1A02" w:rsidRDefault="006C1A02" w:rsidP="00DA1E3F">
      <w:pPr>
        <w:pStyle w:val="Heading7"/>
      </w:pPr>
      <w:r>
        <w:t xml:space="preserve">Option 2 – </w:t>
      </w:r>
      <w:r w:rsidR="000A746C">
        <w:t>Scams Prevention</w:t>
      </w:r>
      <w:r w:rsidR="001C389B">
        <w:t xml:space="preserve"> Framework</w:t>
      </w:r>
    </w:p>
    <w:p w14:paraId="4DA55E85" w14:textId="05FE3D24" w:rsidR="00AA5662" w:rsidRDefault="004052DE" w:rsidP="00F745C2">
      <w:r>
        <w:t xml:space="preserve">Under </w:t>
      </w:r>
      <w:r w:rsidR="003078B7">
        <w:t>Op</w:t>
      </w:r>
      <w:r>
        <w:t>tion 2, t</w:t>
      </w:r>
      <w:r w:rsidR="00E53735">
        <w:t xml:space="preserve">here are unlikely to be significant additional costs for telecommunications providers who are compliant with current obligations. </w:t>
      </w:r>
      <w:r w:rsidR="00AA5662">
        <w:t xml:space="preserve">Actions previously taken </w:t>
      </w:r>
      <w:r w:rsidR="00A14023">
        <w:t xml:space="preserve">or planned to be taken to implement anti-scam </w:t>
      </w:r>
      <w:r w:rsidR="00DE4297">
        <w:t xml:space="preserve">activities </w:t>
      </w:r>
      <w:r w:rsidR="00A14023">
        <w:t xml:space="preserve">in response to </w:t>
      </w:r>
      <w:r w:rsidR="00A14023" w:rsidRPr="00A9501D">
        <w:rPr>
          <w:i/>
        </w:rPr>
        <w:t xml:space="preserve">Reducing Scam Calls and Scam SMs </w:t>
      </w:r>
      <w:r w:rsidR="00A14023" w:rsidRPr="00A9501D">
        <w:t>industry</w:t>
      </w:r>
      <w:r w:rsidR="00A14023">
        <w:rPr>
          <w:i/>
          <w:iCs/>
        </w:rPr>
        <w:t xml:space="preserve"> </w:t>
      </w:r>
      <w:r w:rsidR="00A14023" w:rsidRPr="00A9501D">
        <w:t>code</w:t>
      </w:r>
      <w:r w:rsidR="00A14023">
        <w:rPr>
          <w:rFonts w:cs="Calibri Light"/>
        </w:rPr>
        <w:t xml:space="preserve"> </w:t>
      </w:r>
      <w:r w:rsidR="00305019">
        <w:rPr>
          <w:rFonts w:cs="Calibri Light"/>
        </w:rPr>
        <w:t xml:space="preserve">obligations would </w:t>
      </w:r>
      <w:r w:rsidR="00305019">
        <w:t>mitigate</w:t>
      </w:r>
      <w:r w:rsidR="00AA5662">
        <w:t xml:space="preserve"> the costs </w:t>
      </w:r>
      <w:r w:rsidR="00305019">
        <w:t xml:space="preserve">required </w:t>
      </w:r>
      <w:r w:rsidR="00AA5662">
        <w:t xml:space="preserve">for meeting the </w:t>
      </w:r>
      <w:r w:rsidR="000C2127">
        <w:t xml:space="preserve">SPF’s </w:t>
      </w:r>
      <w:r w:rsidR="00AA5662">
        <w:t>regulatory requirements.</w:t>
      </w:r>
      <w:r w:rsidR="003E0C2B">
        <w:t xml:space="preserve"> </w:t>
      </w:r>
    </w:p>
    <w:p w14:paraId="10E9486E" w14:textId="32863E0C" w:rsidR="00B96306" w:rsidRDefault="00B96306" w:rsidP="00B96306">
      <w:r>
        <w:t xml:space="preserve">All telecommunication providers would have additional governance obligations to document and review their anti-scam </w:t>
      </w:r>
      <w:r w:rsidR="0066685F">
        <w:t>activity</w:t>
      </w:r>
      <w:r>
        <w:t xml:space="preserve">, as detailed in the section for banks. Although the industry does not have an explicit sector-wide commitment to </w:t>
      </w:r>
      <w:r w:rsidR="00F161A2">
        <w:t>specific governance activities related to scams</w:t>
      </w:r>
      <w:r>
        <w:t xml:space="preserve">, impacts are similarly likely to be variable and mitigated by existing governance activities. </w:t>
      </w:r>
    </w:p>
    <w:p w14:paraId="4EF20741" w14:textId="4E2D8057" w:rsidR="0060190E" w:rsidRDefault="008D6CED" w:rsidP="00F745C2">
      <w:r>
        <w:t>Telecommunications providers would need to invest in their capabilities to shar</w:t>
      </w:r>
      <w:r w:rsidR="003C0D38">
        <w:t>e</w:t>
      </w:r>
      <w:r>
        <w:t xml:space="preserve"> scam information</w:t>
      </w:r>
      <w:r w:rsidR="00F20C25">
        <w:t xml:space="preserve"> potentially more frequently and in new formats</w:t>
      </w:r>
      <w:r w:rsidR="002526FE">
        <w:t>. T</w:t>
      </w:r>
      <w:r w:rsidR="003C0D38">
        <w:t xml:space="preserve">his </w:t>
      </w:r>
      <w:r w:rsidR="00005193">
        <w:t xml:space="preserve">burden </w:t>
      </w:r>
      <w:r w:rsidR="003C0D38">
        <w:t xml:space="preserve">would be mitigated by </w:t>
      </w:r>
      <w:r w:rsidR="00FD20AA">
        <w:t xml:space="preserve">the current capabilities required to share data with ACMA and other providers under the </w:t>
      </w:r>
      <w:r w:rsidR="00FD20AA" w:rsidRPr="00A9501D">
        <w:rPr>
          <w:i/>
        </w:rPr>
        <w:t>Reducing Scam Calls and Scam SMs</w:t>
      </w:r>
      <w:r w:rsidR="00FD20AA">
        <w:rPr>
          <w:i/>
        </w:rPr>
        <w:t xml:space="preserve"> </w:t>
      </w:r>
      <w:r w:rsidR="00FD20AA">
        <w:rPr>
          <w:iCs/>
        </w:rPr>
        <w:t>and involvement by the major telcos in AFCX</w:t>
      </w:r>
      <w:r w:rsidR="003C0D38">
        <w:t>.</w:t>
      </w:r>
      <w:r>
        <w:t xml:space="preserve"> </w:t>
      </w:r>
    </w:p>
    <w:p w14:paraId="77858C41" w14:textId="616901A6" w:rsidR="00B87FE0" w:rsidRPr="00874346" w:rsidRDefault="00426DA7" w:rsidP="005A3F9A">
      <w:r w:rsidRPr="00874346">
        <w:t>T</w:t>
      </w:r>
      <w:r w:rsidR="00240469" w:rsidRPr="00874346">
        <w:t xml:space="preserve">elecommunication service providers </w:t>
      </w:r>
      <w:r w:rsidR="00054F66" w:rsidRPr="00874346">
        <w:t xml:space="preserve">would largely </w:t>
      </w:r>
      <w:r w:rsidR="00240469" w:rsidRPr="00874346">
        <w:t>be able to leverage e</w:t>
      </w:r>
      <w:r w:rsidRPr="00874346">
        <w:t>xi</w:t>
      </w:r>
      <w:r w:rsidR="00EC3A83">
        <w:t>s</w:t>
      </w:r>
      <w:r w:rsidRPr="00874346">
        <w:t>ting complaints handling processes</w:t>
      </w:r>
      <w:r w:rsidR="00240469" w:rsidRPr="00874346">
        <w:t xml:space="preserve"> to meet IDR requirements under the </w:t>
      </w:r>
      <w:r w:rsidR="000C2127">
        <w:t>SPF</w:t>
      </w:r>
      <w:r w:rsidR="00240469" w:rsidRPr="00874346">
        <w:t>.</w:t>
      </w:r>
      <w:r w:rsidR="00EA4A04">
        <w:t xml:space="preserve"> </w:t>
      </w:r>
      <w:r w:rsidR="00BB2496" w:rsidRPr="00874346">
        <w:t xml:space="preserve">In relation to </w:t>
      </w:r>
      <w:r w:rsidR="00FD485E" w:rsidRPr="00874346">
        <w:t xml:space="preserve">EDR, telecommunication service providers </w:t>
      </w:r>
      <w:r w:rsidR="00EA7FDE" w:rsidRPr="00874346">
        <w:t xml:space="preserve">would </w:t>
      </w:r>
      <w:r w:rsidR="00FD485E" w:rsidRPr="00874346">
        <w:t xml:space="preserve">be required to join </w:t>
      </w:r>
      <w:r w:rsidR="00EA7FDE" w:rsidRPr="00874346">
        <w:t>an</w:t>
      </w:r>
      <w:r w:rsidR="00FD485E" w:rsidRPr="00874346">
        <w:t xml:space="preserve"> AFCA</w:t>
      </w:r>
      <w:r w:rsidR="007946E0" w:rsidRPr="00874346">
        <w:t>-led single EDR scheme</w:t>
      </w:r>
      <w:r w:rsidR="00FD485E" w:rsidRPr="00874346">
        <w:t xml:space="preserve"> for the purposes of scam complaints, in addition to maintaining their existing required membership with the TIO</w:t>
      </w:r>
      <w:r w:rsidR="00034204" w:rsidRPr="00874346">
        <w:t xml:space="preserve"> </w:t>
      </w:r>
      <w:r w:rsidR="00FD485E" w:rsidRPr="00874346">
        <w:t>for non-scam complaints</w:t>
      </w:r>
      <w:r w:rsidR="00F81883" w:rsidRPr="00874346">
        <w:t xml:space="preserve">. </w:t>
      </w:r>
    </w:p>
    <w:p w14:paraId="5B68702A" w14:textId="015341CD" w:rsidR="00BB2496" w:rsidRPr="00874346" w:rsidRDefault="00F81883" w:rsidP="005A3F9A">
      <w:r w:rsidRPr="00874346">
        <w:t xml:space="preserve">The requirement to join AFCA </w:t>
      </w:r>
      <w:r w:rsidR="00EA7FDE" w:rsidRPr="00874346">
        <w:t xml:space="preserve">would </w:t>
      </w:r>
      <w:r w:rsidRPr="00874346">
        <w:t>also apply to transit carrier</w:t>
      </w:r>
      <w:r w:rsidR="00263468" w:rsidRPr="00874346">
        <w:t>s</w:t>
      </w:r>
      <w:r w:rsidR="00115772">
        <w:t xml:space="preserve"> and </w:t>
      </w:r>
      <w:r w:rsidR="00492356">
        <w:t>carriage service providers (</w:t>
      </w:r>
      <w:r w:rsidR="00115772">
        <w:t>CSPs</w:t>
      </w:r>
      <w:r w:rsidR="00492356">
        <w:t>)</w:t>
      </w:r>
      <w:r w:rsidRPr="00874346">
        <w:t xml:space="preserve"> </w:t>
      </w:r>
      <w:r w:rsidR="00747E00" w:rsidRPr="00874346">
        <w:t>that</w:t>
      </w:r>
      <w:r w:rsidRPr="00874346">
        <w:t xml:space="preserve"> may currently be exempt from the requirement to join </w:t>
      </w:r>
      <w:r w:rsidR="0002782A" w:rsidRPr="00874346">
        <w:t xml:space="preserve">TIO because they do not have individual or small business customers. </w:t>
      </w:r>
      <w:r w:rsidR="00B87BC2" w:rsidRPr="00874346">
        <w:t>This is because t</w:t>
      </w:r>
      <w:r w:rsidR="0002782A" w:rsidRPr="00874346">
        <w:t xml:space="preserve">ransit carriers </w:t>
      </w:r>
      <w:r w:rsidR="00115772">
        <w:t xml:space="preserve">and CSPs </w:t>
      </w:r>
      <w:r w:rsidR="0002782A" w:rsidRPr="00874346">
        <w:t>could be responsible for carrying scam calls and texts between two providers prior to reaching a consumer.</w:t>
      </w:r>
    </w:p>
    <w:p w14:paraId="06475388" w14:textId="094235D6" w:rsidR="00F03028" w:rsidRDefault="00274682" w:rsidP="00D33684">
      <w:r w:rsidRPr="00874346">
        <w:t>U</w:t>
      </w:r>
      <w:r w:rsidR="003F19BD" w:rsidRPr="00874346">
        <w:t>nder Option 2,</w:t>
      </w:r>
      <w:r w:rsidR="0002782A" w:rsidRPr="00874346">
        <w:t xml:space="preserve"> </w:t>
      </w:r>
      <w:r w:rsidR="00722ED7">
        <w:t xml:space="preserve">most </w:t>
      </w:r>
      <w:r w:rsidR="0002782A" w:rsidRPr="00874346">
        <w:t xml:space="preserve">telecommunication service providers </w:t>
      </w:r>
      <w:r w:rsidR="002262E1" w:rsidRPr="00874346">
        <w:t xml:space="preserve">would </w:t>
      </w:r>
      <w:r w:rsidR="0002782A" w:rsidRPr="00874346">
        <w:t>be required to maintain membership of two EDR schemes</w:t>
      </w:r>
      <w:r w:rsidR="00DC2FE9" w:rsidRPr="00874346">
        <w:t xml:space="preserve"> – TIO</w:t>
      </w:r>
      <w:r w:rsidR="00863421" w:rsidRPr="00874346">
        <w:t xml:space="preserve"> and AFCA</w:t>
      </w:r>
      <w:r w:rsidR="0002782A" w:rsidRPr="00874346">
        <w:t xml:space="preserve">. </w:t>
      </w:r>
      <w:r w:rsidR="007946E0" w:rsidRPr="00874346">
        <w:t xml:space="preserve">In addition to </w:t>
      </w:r>
      <w:r w:rsidR="005A49F7" w:rsidRPr="00874346">
        <w:t xml:space="preserve">costs associated with </w:t>
      </w:r>
      <w:r w:rsidR="007946E0" w:rsidRPr="00874346">
        <w:t xml:space="preserve">TIO’s </w:t>
      </w:r>
      <w:r w:rsidR="005A49F7" w:rsidRPr="00874346">
        <w:t>EDR process</w:t>
      </w:r>
      <w:r w:rsidRPr="00874346">
        <w:t xml:space="preserve"> under the status quo</w:t>
      </w:r>
      <w:r w:rsidR="00A87C0E" w:rsidRPr="00874346">
        <w:t xml:space="preserve">, </w:t>
      </w:r>
      <w:r w:rsidR="00241E8A" w:rsidRPr="00874346">
        <w:t>telecommunication service providers</w:t>
      </w:r>
      <w:r w:rsidR="00A87C0E" w:rsidRPr="00874346">
        <w:t xml:space="preserve"> </w:t>
      </w:r>
      <w:r w:rsidRPr="00874346">
        <w:t xml:space="preserve">would </w:t>
      </w:r>
      <w:r w:rsidR="00A87C0E" w:rsidRPr="00874346">
        <w:t xml:space="preserve">incur costs to join and participate in AFCA’s </w:t>
      </w:r>
      <w:r w:rsidR="00BC03FF" w:rsidRPr="00874346">
        <w:t xml:space="preserve">EDR </w:t>
      </w:r>
      <w:r w:rsidR="00A87C0E" w:rsidRPr="00874346">
        <w:t xml:space="preserve">processes. </w:t>
      </w:r>
    </w:p>
    <w:p w14:paraId="3985BD61" w14:textId="5D73B1F1" w:rsidR="009261E9" w:rsidRDefault="009261E9" w:rsidP="00D33684">
      <w:r>
        <w:t xml:space="preserve">Areas where there would be uplift required additional to current initiatives of entities in the </w:t>
      </w:r>
      <w:r w:rsidR="0084118C">
        <w:t>telecommunications</w:t>
      </w:r>
      <w:r>
        <w:t xml:space="preserve"> sector are summarised in</w:t>
      </w:r>
      <w:r w:rsidR="003879F7">
        <w:t xml:space="preserve"> </w:t>
      </w:r>
      <w:r w:rsidR="00495D08">
        <w:fldChar w:fldCharType="begin"/>
      </w:r>
      <w:r w:rsidR="00495D08">
        <w:instrText xml:space="preserve"> REF _Ref177682881 \h </w:instrText>
      </w:r>
      <w:r w:rsidR="00495D08">
        <w:fldChar w:fldCharType="separate"/>
      </w:r>
      <w:r w:rsidR="00495D08">
        <w:t xml:space="preserve">Table </w:t>
      </w:r>
      <w:r w:rsidR="00495D08">
        <w:rPr>
          <w:noProof/>
        </w:rPr>
        <w:t>7</w:t>
      </w:r>
      <w:r w:rsidR="00495D08">
        <w:fldChar w:fldCharType="end"/>
      </w:r>
      <w:r w:rsidR="003879F7">
        <w:fldChar w:fldCharType="begin"/>
      </w:r>
      <w:r w:rsidR="003879F7">
        <w:instrText xml:space="preserve"> REF _Ref178674054 \h </w:instrText>
      </w:r>
      <w:r w:rsidR="003879F7">
        <w:fldChar w:fldCharType="end"/>
      </w:r>
      <w:r w:rsidR="003879F7">
        <w:fldChar w:fldCharType="begin"/>
      </w:r>
      <w:r w:rsidR="003879F7">
        <w:instrText xml:space="preserve"> REF _Ref177682881 \h </w:instrText>
      </w:r>
      <w:r w:rsidR="003879F7">
        <w:fldChar w:fldCharType="end"/>
      </w:r>
      <w:r w:rsidR="003879F7">
        <w:t>.</w:t>
      </w:r>
    </w:p>
    <w:p w14:paraId="35D12E1E" w14:textId="3A7E6309" w:rsidR="00A01155" w:rsidRPr="00901355" w:rsidRDefault="00A01155" w:rsidP="00A01155">
      <w:pPr>
        <w:pStyle w:val="Heading8"/>
      </w:pPr>
      <w:bookmarkStart w:id="36" w:name="_Ref177682881"/>
      <w:bookmarkStart w:id="37" w:name="_Ref178674054"/>
      <w:r>
        <w:lastRenderedPageBreak/>
        <w:t xml:space="preserve">Table </w:t>
      </w:r>
      <w:fldSimple w:instr=" SEQ Table \* ARABIC ">
        <w:r w:rsidR="00495D08">
          <w:rPr>
            <w:noProof/>
          </w:rPr>
          <w:t>7</w:t>
        </w:r>
      </w:fldSimple>
      <w:bookmarkEnd w:id="36"/>
      <w:r>
        <w:t xml:space="preserve"> – Telecommunications sector initiatives and uplift required for </w:t>
      </w:r>
      <w:r w:rsidR="000A746C">
        <w:t>Scams Prevention</w:t>
      </w:r>
      <w:r>
        <w:t xml:space="preserve"> Framework</w:t>
      </w:r>
      <w:bookmarkEnd w:id="37"/>
    </w:p>
    <w:tbl>
      <w:tblPr>
        <w:tblStyle w:val="Custom1"/>
        <w:tblW w:w="0" w:type="auto"/>
        <w:tblInd w:w="0" w:type="dxa"/>
        <w:tblLook w:val="04A0" w:firstRow="1" w:lastRow="0" w:firstColumn="1" w:lastColumn="0" w:noHBand="0" w:noVBand="1"/>
      </w:tblPr>
      <w:tblGrid>
        <w:gridCol w:w="2854"/>
        <w:gridCol w:w="3122"/>
        <w:gridCol w:w="3094"/>
      </w:tblGrid>
      <w:tr w:rsidR="00A01155" w14:paraId="2096644D" w14:textId="77777777">
        <w:trPr>
          <w:cnfStyle w:val="100000000000" w:firstRow="1" w:lastRow="0" w:firstColumn="0" w:lastColumn="0" w:oddVBand="0" w:evenVBand="0" w:oddHBand="0" w:evenHBand="0" w:firstRowFirstColumn="0" w:firstRowLastColumn="0" w:lastRowFirstColumn="0" w:lastRowLastColumn="0"/>
        </w:trPr>
        <w:tc>
          <w:tcPr>
            <w:tcW w:w="2854" w:type="dxa"/>
          </w:tcPr>
          <w:p w14:paraId="34E2F3C4" w14:textId="77777777" w:rsidR="00A01155" w:rsidRPr="00F0048A" w:rsidRDefault="00A01155" w:rsidP="00BE17D1">
            <w:pPr>
              <w:keepNext/>
              <w:keepLines/>
              <w:rPr>
                <w:sz w:val="22"/>
                <w:szCs w:val="22"/>
              </w:rPr>
            </w:pPr>
            <w:r w:rsidRPr="00F0048A">
              <w:rPr>
                <w:sz w:val="22"/>
                <w:szCs w:val="22"/>
              </w:rPr>
              <w:t>Obligation</w:t>
            </w:r>
          </w:p>
        </w:tc>
        <w:tc>
          <w:tcPr>
            <w:tcW w:w="3122" w:type="dxa"/>
          </w:tcPr>
          <w:p w14:paraId="01AE68E5" w14:textId="77777777" w:rsidR="00A01155" w:rsidRPr="00F0048A" w:rsidRDefault="00A01155" w:rsidP="00BE17D1">
            <w:pPr>
              <w:keepNext/>
              <w:keepLines/>
              <w:rPr>
                <w:sz w:val="22"/>
                <w:szCs w:val="22"/>
              </w:rPr>
            </w:pPr>
            <w:r w:rsidRPr="00F0048A">
              <w:rPr>
                <w:sz w:val="22"/>
                <w:szCs w:val="22"/>
              </w:rPr>
              <w:t>Current initiatives</w:t>
            </w:r>
          </w:p>
        </w:tc>
        <w:tc>
          <w:tcPr>
            <w:tcW w:w="3094" w:type="dxa"/>
          </w:tcPr>
          <w:p w14:paraId="1AFABFA2" w14:textId="77777777" w:rsidR="00A01155" w:rsidRPr="00F0048A" w:rsidRDefault="00A01155" w:rsidP="00BE17D1">
            <w:pPr>
              <w:keepNext/>
              <w:keepLines/>
              <w:rPr>
                <w:sz w:val="22"/>
                <w:szCs w:val="22"/>
              </w:rPr>
            </w:pPr>
            <w:r w:rsidRPr="00F0048A">
              <w:rPr>
                <w:sz w:val="22"/>
                <w:szCs w:val="22"/>
              </w:rPr>
              <w:t>Uplift required</w:t>
            </w:r>
          </w:p>
        </w:tc>
      </w:tr>
      <w:tr w:rsidR="00A01155" w14:paraId="4C15B7D7" w14:textId="77777777">
        <w:trPr>
          <w:cnfStyle w:val="000000100000" w:firstRow="0" w:lastRow="0" w:firstColumn="0" w:lastColumn="0" w:oddVBand="0" w:evenVBand="0" w:oddHBand="1" w:evenHBand="0" w:firstRowFirstColumn="0" w:firstRowLastColumn="0" w:lastRowFirstColumn="0" w:lastRowLastColumn="0"/>
        </w:trPr>
        <w:tc>
          <w:tcPr>
            <w:tcW w:w="2854" w:type="dxa"/>
          </w:tcPr>
          <w:p w14:paraId="44929C2A" w14:textId="44D1C0CC" w:rsidR="00A01155" w:rsidRPr="00F0048A" w:rsidRDefault="00A01155" w:rsidP="00BE17D1">
            <w:pPr>
              <w:keepNext/>
              <w:keepLines/>
              <w:rPr>
                <w:sz w:val="22"/>
                <w:szCs w:val="22"/>
              </w:rPr>
            </w:pPr>
            <w:r w:rsidRPr="00F0048A">
              <w:rPr>
                <w:sz w:val="22"/>
                <w:szCs w:val="22"/>
              </w:rPr>
              <w:t xml:space="preserve">Anti-scam </w:t>
            </w:r>
            <w:r w:rsidR="00DE4297">
              <w:rPr>
                <w:sz w:val="22"/>
                <w:szCs w:val="22"/>
              </w:rPr>
              <w:t>activities</w:t>
            </w:r>
          </w:p>
        </w:tc>
        <w:tc>
          <w:tcPr>
            <w:tcW w:w="3122" w:type="dxa"/>
          </w:tcPr>
          <w:p w14:paraId="477DC7F5" w14:textId="37517BA6" w:rsidR="00A01155" w:rsidRPr="00501149" w:rsidRDefault="00A01586" w:rsidP="00BE17D1">
            <w:pPr>
              <w:keepNext/>
              <w:keepLines/>
              <w:rPr>
                <w:sz w:val="22"/>
                <w:szCs w:val="22"/>
              </w:rPr>
            </w:pPr>
            <w:r w:rsidRPr="000870E4">
              <w:rPr>
                <w:szCs w:val="22"/>
              </w:rPr>
              <w:t xml:space="preserve">Mandatory </w:t>
            </w:r>
            <w:r w:rsidR="008A78B6" w:rsidRPr="00501149">
              <w:rPr>
                <w:i/>
                <w:iCs/>
                <w:sz w:val="22"/>
                <w:szCs w:val="22"/>
              </w:rPr>
              <w:t xml:space="preserve">Reducing Scam Calls and SMs </w:t>
            </w:r>
            <w:r w:rsidR="004575ED" w:rsidRPr="00501149">
              <w:rPr>
                <w:sz w:val="22"/>
                <w:szCs w:val="22"/>
              </w:rPr>
              <w:t xml:space="preserve">Code </w:t>
            </w:r>
            <w:r w:rsidR="00990185" w:rsidRPr="00501149">
              <w:rPr>
                <w:sz w:val="22"/>
                <w:szCs w:val="22"/>
              </w:rPr>
              <w:t>obligations</w:t>
            </w:r>
          </w:p>
        </w:tc>
        <w:tc>
          <w:tcPr>
            <w:tcW w:w="3094" w:type="dxa"/>
          </w:tcPr>
          <w:p w14:paraId="3F6CCD88" w14:textId="162603E5" w:rsidR="00A01155" w:rsidRPr="00F0048A" w:rsidRDefault="006A31AB" w:rsidP="00BE17D1">
            <w:pPr>
              <w:keepNext/>
              <w:keepLines/>
              <w:rPr>
                <w:sz w:val="22"/>
                <w:szCs w:val="22"/>
              </w:rPr>
            </w:pPr>
            <w:r>
              <w:rPr>
                <w:sz w:val="22"/>
                <w:szCs w:val="22"/>
              </w:rPr>
              <w:t>Mainly new governance</w:t>
            </w:r>
            <w:r w:rsidR="007E6018">
              <w:rPr>
                <w:sz w:val="22"/>
                <w:szCs w:val="22"/>
              </w:rPr>
              <w:t xml:space="preserve"> processes</w:t>
            </w:r>
            <w:r w:rsidR="00F243C7">
              <w:rPr>
                <w:sz w:val="22"/>
                <w:szCs w:val="22"/>
              </w:rPr>
              <w:t xml:space="preserve">, and possible uplift in </w:t>
            </w:r>
            <w:r w:rsidR="00794E02">
              <w:rPr>
                <w:sz w:val="22"/>
                <w:szCs w:val="22"/>
              </w:rPr>
              <w:t>obligations</w:t>
            </w:r>
          </w:p>
        </w:tc>
      </w:tr>
      <w:tr w:rsidR="00A01155" w14:paraId="471D10CA" w14:textId="77777777">
        <w:tc>
          <w:tcPr>
            <w:tcW w:w="2854" w:type="dxa"/>
          </w:tcPr>
          <w:p w14:paraId="783AA059" w14:textId="77777777" w:rsidR="00A01155" w:rsidRPr="00F0048A" w:rsidRDefault="00A01155" w:rsidP="00BE17D1">
            <w:pPr>
              <w:keepNext/>
              <w:keepLines/>
              <w:rPr>
                <w:sz w:val="22"/>
                <w:szCs w:val="22"/>
              </w:rPr>
            </w:pPr>
            <w:r w:rsidRPr="00F0048A">
              <w:rPr>
                <w:sz w:val="22"/>
                <w:szCs w:val="22"/>
              </w:rPr>
              <w:t>Information sharing and reporting</w:t>
            </w:r>
          </w:p>
        </w:tc>
        <w:tc>
          <w:tcPr>
            <w:tcW w:w="3122" w:type="dxa"/>
          </w:tcPr>
          <w:p w14:paraId="7C267016" w14:textId="69D2F635" w:rsidR="00A01155" w:rsidRPr="00F0048A" w:rsidRDefault="00A01155" w:rsidP="00BE17D1">
            <w:pPr>
              <w:keepNext/>
              <w:keepLines/>
              <w:rPr>
                <w:sz w:val="22"/>
                <w:szCs w:val="22"/>
              </w:rPr>
            </w:pPr>
            <w:r w:rsidRPr="00F0048A">
              <w:rPr>
                <w:sz w:val="22"/>
                <w:szCs w:val="22"/>
              </w:rPr>
              <w:t>AFCX</w:t>
            </w:r>
            <w:r w:rsidR="008D6545">
              <w:rPr>
                <w:sz w:val="22"/>
                <w:szCs w:val="22"/>
              </w:rPr>
              <w:t xml:space="preserve"> for major telcos, </w:t>
            </w:r>
            <w:r w:rsidR="00A539FD">
              <w:rPr>
                <w:sz w:val="22"/>
                <w:szCs w:val="22"/>
              </w:rPr>
              <w:t xml:space="preserve">sharing with ACMA under </w:t>
            </w:r>
            <w:r w:rsidR="00473399">
              <w:rPr>
                <w:i/>
                <w:iCs/>
                <w:sz w:val="22"/>
                <w:szCs w:val="22"/>
              </w:rPr>
              <w:t xml:space="preserve">Reducing Scam Calls and SMs </w:t>
            </w:r>
            <w:r w:rsidR="00473399">
              <w:rPr>
                <w:sz w:val="22"/>
                <w:szCs w:val="22"/>
              </w:rPr>
              <w:t>Code</w:t>
            </w:r>
          </w:p>
        </w:tc>
        <w:tc>
          <w:tcPr>
            <w:tcW w:w="3094" w:type="dxa"/>
          </w:tcPr>
          <w:p w14:paraId="69A702A3" w14:textId="3E7E3656" w:rsidR="00A01155" w:rsidRPr="00F0048A" w:rsidRDefault="00A77E33" w:rsidP="00BE17D1">
            <w:pPr>
              <w:keepNext/>
              <w:keepLines/>
              <w:rPr>
                <w:sz w:val="22"/>
                <w:szCs w:val="22"/>
              </w:rPr>
            </w:pPr>
            <w:r>
              <w:rPr>
                <w:sz w:val="22"/>
                <w:szCs w:val="22"/>
              </w:rPr>
              <w:t>Higher standards of information sharing would be required</w:t>
            </w:r>
            <w:r w:rsidR="00FC1124">
              <w:rPr>
                <w:sz w:val="22"/>
                <w:szCs w:val="22"/>
              </w:rPr>
              <w:t>, including across sectors</w:t>
            </w:r>
          </w:p>
        </w:tc>
      </w:tr>
      <w:tr w:rsidR="008D37AF" w14:paraId="37E65057" w14:textId="77777777">
        <w:trPr>
          <w:cnfStyle w:val="000000100000" w:firstRow="0" w:lastRow="0" w:firstColumn="0" w:lastColumn="0" w:oddVBand="0" w:evenVBand="0" w:oddHBand="1" w:evenHBand="0" w:firstRowFirstColumn="0" w:firstRowLastColumn="0" w:lastRowFirstColumn="0" w:lastRowLastColumn="0"/>
        </w:trPr>
        <w:tc>
          <w:tcPr>
            <w:tcW w:w="2854" w:type="dxa"/>
          </w:tcPr>
          <w:p w14:paraId="7E19A959" w14:textId="65A7C7F2" w:rsidR="008D37AF" w:rsidRPr="00DC3866" w:rsidRDefault="001942E6" w:rsidP="00BE17D1">
            <w:pPr>
              <w:keepNext/>
              <w:keepLines/>
              <w:rPr>
                <w:sz w:val="22"/>
                <w:szCs w:val="22"/>
              </w:rPr>
            </w:pPr>
            <w:r>
              <w:rPr>
                <w:sz w:val="22"/>
                <w:szCs w:val="22"/>
              </w:rPr>
              <w:t>D</w:t>
            </w:r>
            <w:r w:rsidR="008D37AF" w:rsidRPr="00DC3866">
              <w:rPr>
                <w:sz w:val="22"/>
                <w:szCs w:val="22"/>
              </w:rPr>
              <w:t>ispute resolution</w:t>
            </w:r>
          </w:p>
        </w:tc>
        <w:tc>
          <w:tcPr>
            <w:tcW w:w="3122" w:type="dxa"/>
          </w:tcPr>
          <w:p w14:paraId="3982B34B" w14:textId="29565B60" w:rsidR="008D37AF" w:rsidRPr="00DC3866" w:rsidRDefault="00037939" w:rsidP="00BE17D1">
            <w:pPr>
              <w:keepNext/>
              <w:keepLines/>
              <w:rPr>
                <w:sz w:val="22"/>
                <w:szCs w:val="22"/>
              </w:rPr>
            </w:pPr>
            <w:r>
              <w:rPr>
                <w:sz w:val="22"/>
                <w:szCs w:val="22"/>
              </w:rPr>
              <w:t>TIO membership</w:t>
            </w:r>
            <w:r w:rsidR="001942E6">
              <w:rPr>
                <w:sz w:val="22"/>
                <w:szCs w:val="22"/>
              </w:rPr>
              <w:t xml:space="preserve"> and IDR requirements</w:t>
            </w:r>
            <w:r w:rsidR="00EB5C3D">
              <w:rPr>
                <w:sz w:val="22"/>
                <w:szCs w:val="22"/>
              </w:rPr>
              <w:t>, except for transit carriers</w:t>
            </w:r>
            <w:r w:rsidR="00115772">
              <w:rPr>
                <w:sz w:val="22"/>
                <w:szCs w:val="22"/>
              </w:rPr>
              <w:t xml:space="preserve"> and CSPs</w:t>
            </w:r>
          </w:p>
        </w:tc>
        <w:tc>
          <w:tcPr>
            <w:tcW w:w="3094" w:type="dxa"/>
          </w:tcPr>
          <w:p w14:paraId="662516BD" w14:textId="26D38107" w:rsidR="008D37AF" w:rsidRPr="00DC3866" w:rsidRDefault="00065671" w:rsidP="00BE17D1">
            <w:pPr>
              <w:keepNext/>
              <w:keepLines/>
              <w:rPr>
                <w:sz w:val="22"/>
                <w:szCs w:val="22"/>
              </w:rPr>
            </w:pPr>
            <w:r w:rsidRPr="00DC3866">
              <w:rPr>
                <w:sz w:val="22"/>
                <w:szCs w:val="22"/>
              </w:rPr>
              <w:t>AFCA membership</w:t>
            </w:r>
            <w:r w:rsidR="00412427">
              <w:rPr>
                <w:sz w:val="22"/>
                <w:szCs w:val="22"/>
              </w:rPr>
              <w:t>, likely increase in complaints</w:t>
            </w:r>
          </w:p>
        </w:tc>
      </w:tr>
    </w:tbl>
    <w:p w14:paraId="031783AB" w14:textId="493B65B6" w:rsidR="003040B1" w:rsidRDefault="003040B1" w:rsidP="005A3F9A">
      <w:r>
        <w:t xml:space="preserve">As outlined in </w:t>
      </w:r>
      <w:r w:rsidR="00894CFC">
        <w:fldChar w:fldCharType="begin"/>
      </w:r>
      <w:r w:rsidR="00894CFC">
        <w:instrText xml:space="preserve"> REF _Ref177389627 \h </w:instrText>
      </w:r>
      <w:r w:rsidR="00894CFC">
        <w:fldChar w:fldCharType="separate"/>
      </w:r>
      <w:r w:rsidR="00584A45">
        <w:t xml:space="preserve">Table </w:t>
      </w:r>
      <w:r w:rsidR="00584A45">
        <w:rPr>
          <w:noProof/>
        </w:rPr>
        <w:t>8</w:t>
      </w:r>
      <w:r w:rsidR="00894CFC">
        <w:fldChar w:fldCharType="end"/>
      </w:r>
      <w:r>
        <w:t>, the estimate</w:t>
      </w:r>
      <w:r w:rsidR="00894CFC">
        <w:t>d</w:t>
      </w:r>
      <w:r>
        <w:t xml:space="preserve"> </w:t>
      </w:r>
      <w:r w:rsidR="00460F7D">
        <w:t xml:space="preserve">additional </w:t>
      </w:r>
      <w:r>
        <w:t xml:space="preserve">regulatory costs of Option 2 for the </w:t>
      </w:r>
      <w:r w:rsidR="00894CFC">
        <w:t>telecommunications</w:t>
      </w:r>
      <w:r>
        <w:t xml:space="preserve"> sector </w:t>
      </w:r>
      <w:r w:rsidR="00875DEF">
        <w:t>would be</w:t>
      </w:r>
      <w:r>
        <w:t xml:space="preserve"> $</w:t>
      </w:r>
      <w:r w:rsidR="001950D4">
        <w:t>22.0</w:t>
      </w:r>
      <w:r>
        <w:t xml:space="preserve"> million in the initial year, and $</w:t>
      </w:r>
      <w:r w:rsidR="001950D4">
        <w:t>14.1</w:t>
      </w:r>
      <w:r>
        <w:t xml:space="preserve"> million on an ongoing basis each following year.</w:t>
      </w:r>
      <w:r w:rsidR="001D23BB">
        <w:t xml:space="preserve"> T</w:t>
      </w:r>
      <w:r>
        <w:t xml:space="preserve">here would be a need for investment </w:t>
      </w:r>
      <w:r w:rsidR="00115085">
        <w:t>to comply with new governance</w:t>
      </w:r>
      <w:r w:rsidR="00990997">
        <w:t xml:space="preserve">, </w:t>
      </w:r>
      <w:r w:rsidR="00115085">
        <w:t xml:space="preserve">information sharing </w:t>
      </w:r>
      <w:r w:rsidR="00990997">
        <w:t>and EDR</w:t>
      </w:r>
      <w:r w:rsidR="00115085">
        <w:t xml:space="preserve"> arrangements</w:t>
      </w:r>
      <w:r>
        <w:t xml:space="preserve">. </w:t>
      </w:r>
      <w:r w:rsidR="00796704">
        <w:t xml:space="preserve">There would also </w:t>
      </w:r>
      <w:r w:rsidR="00F27809">
        <w:t xml:space="preserve">be </w:t>
      </w:r>
      <w:r w:rsidR="00E844D2">
        <w:t>costs associated with</w:t>
      </w:r>
      <w:r>
        <w:t xml:space="preserve"> an increased number of scam complaints each </w:t>
      </w:r>
      <w:r w:rsidR="00F27809">
        <w:t>year</w:t>
      </w:r>
      <w:r w:rsidR="00BF1310">
        <w:t>, with a higher level of fees required by AFCA</w:t>
      </w:r>
      <w:r>
        <w:t>.</w:t>
      </w:r>
    </w:p>
    <w:p w14:paraId="7E522ED7" w14:textId="06B9E3EB" w:rsidR="005A3F9A" w:rsidRDefault="005A3F9A" w:rsidP="005A3F9A">
      <w:pPr>
        <w:pStyle w:val="Heading8"/>
      </w:pPr>
      <w:bookmarkStart w:id="38" w:name="_Ref177389627"/>
      <w:r>
        <w:t xml:space="preserve">Table </w:t>
      </w:r>
      <w:fldSimple w:instr=" SEQ Table \* ARABIC ">
        <w:r w:rsidR="00584A45">
          <w:rPr>
            <w:noProof/>
          </w:rPr>
          <w:t>8</w:t>
        </w:r>
      </w:fldSimple>
      <w:bookmarkEnd w:id="38"/>
      <w:r>
        <w:t xml:space="preserve"> – </w:t>
      </w:r>
      <w:r w:rsidR="009D7449">
        <w:t xml:space="preserve">Option 2 </w:t>
      </w:r>
      <w:r>
        <w:t xml:space="preserve">Estimated </w:t>
      </w:r>
      <w:r w:rsidR="00B02093">
        <w:t xml:space="preserve">annual </w:t>
      </w:r>
      <w:r>
        <w:t>regulatory burden on telecommunications providers</w:t>
      </w:r>
      <w:r w:rsidR="009D7449">
        <w:t xml:space="preserve"> ($m)</w:t>
      </w:r>
    </w:p>
    <w:tbl>
      <w:tblPr>
        <w:tblStyle w:val="Custom1"/>
        <w:tblW w:w="8940" w:type="dxa"/>
        <w:tblInd w:w="0" w:type="dxa"/>
        <w:tblLook w:val="04A0" w:firstRow="1" w:lastRow="0" w:firstColumn="1" w:lastColumn="0" w:noHBand="0" w:noVBand="1"/>
      </w:tblPr>
      <w:tblGrid>
        <w:gridCol w:w="3855"/>
        <w:gridCol w:w="1317"/>
        <w:gridCol w:w="1862"/>
        <w:gridCol w:w="1906"/>
      </w:tblGrid>
      <w:tr w:rsidR="007A7FAE" w:rsidRPr="00B63AE3" w14:paraId="68623A36" w14:textId="77777777" w:rsidTr="005A16CB">
        <w:trPr>
          <w:cnfStyle w:val="100000000000" w:firstRow="1" w:lastRow="0" w:firstColumn="0" w:lastColumn="0" w:oddVBand="0" w:evenVBand="0" w:oddHBand="0" w:evenHBand="0" w:firstRowFirstColumn="0" w:firstRowLastColumn="0" w:lastRowFirstColumn="0" w:lastRowLastColumn="0"/>
          <w:trHeight w:val="285"/>
        </w:trPr>
        <w:tc>
          <w:tcPr>
            <w:tcW w:w="3855" w:type="dxa"/>
            <w:noWrap/>
            <w:hideMark/>
          </w:tcPr>
          <w:p w14:paraId="31DBE924" w14:textId="0B2A1356" w:rsidR="007A7FAE" w:rsidRPr="00B63AE3" w:rsidRDefault="007A7FAE">
            <w:pPr>
              <w:spacing w:before="0" w:after="0"/>
              <w:rPr>
                <w:rFonts w:ascii="Calibri" w:hAnsi="Calibri" w:cs="Calibri"/>
                <w:bCs/>
                <w:color w:val="FFFFFF" w:themeColor="background1"/>
                <w:sz w:val="22"/>
                <w:szCs w:val="22"/>
              </w:rPr>
            </w:pPr>
            <w:r w:rsidRPr="00B63AE3">
              <w:rPr>
                <w:rFonts w:ascii="Calibri" w:hAnsi="Calibri" w:cs="Calibri"/>
                <w:bCs/>
                <w:color w:val="FFFFFF" w:themeColor="background1"/>
                <w:sz w:val="22"/>
                <w:szCs w:val="22"/>
              </w:rPr>
              <w:t>Entity type</w:t>
            </w:r>
          </w:p>
        </w:tc>
        <w:tc>
          <w:tcPr>
            <w:tcW w:w="1317" w:type="dxa"/>
          </w:tcPr>
          <w:p w14:paraId="3F114F7A" w14:textId="6778FD90" w:rsidR="007A7FAE" w:rsidRDefault="007A7FAE" w:rsidP="00BE17D1">
            <w:pPr>
              <w:spacing w:before="0" w:after="0"/>
              <w:jc w:val="right"/>
              <w:rPr>
                <w:rFonts w:ascii="Calibri" w:hAnsi="Calibri" w:cs="Calibri"/>
                <w:bCs/>
                <w:color w:val="FFFFFF" w:themeColor="background1"/>
                <w:szCs w:val="26"/>
              </w:rPr>
            </w:pPr>
            <w:r>
              <w:rPr>
                <w:rFonts w:ascii="Calibri" w:hAnsi="Calibri" w:cs="Calibri"/>
                <w:bCs/>
                <w:color w:val="FFFFFF" w:themeColor="background1"/>
                <w:sz w:val="22"/>
                <w:szCs w:val="26"/>
              </w:rPr>
              <w:t>Entities</w:t>
            </w:r>
          </w:p>
        </w:tc>
        <w:tc>
          <w:tcPr>
            <w:tcW w:w="1862" w:type="dxa"/>
            <w:noWrap/>
            <w:hideMark/>
          </w:tcPr>
          <w:p w14:paraId="5C8BC771" w14:textId="3D362AC8" w:rsidR="007A7FAE" w:rsidRPr="00B63AE3" w:rsidRDefault="007A7FAE" w:rsidP="00BE17D1">
            <w:pPr>
              <w:spacing w:before="0" w:after="0"/>
              <w:jc w:val="right"/>
              <w:rPr>
                <w:rFonts w:ascii="Calibri" w:hAnsi="Calibri" w:cs="Calibri"/>
                <w:bCs/>
                <w:color w:val="FFFFFF" w:themeColor="background1"/>
                <w:sz w:val="22"/>
                <w:szCs w:val="22"/>
              </w:rPr>
            </w:pPr>
            <w:r>
              <w:rPr>
                <w:rFonts w:ascii="Calibri" w:hAnsi="Calibri" w:cs="Calibri"/>
                <w:bCs/>
                <w:color w:val="FFFFFF" w:themeColor="background1"/>
                <w:sz w:val="22"/>
                <w:szCs w:val="22"/>
              </w:rPr>
              <w:t xml:space="preserve">Initial </w:t>
            </w:r>
            <w:r w:rsidRPr="00B02093">
              <w:rPr>
                <w:rFonts w:ascii="Calibri" w:hAnsi="Calibri" w:cs="Calibri"/>
                <w:bCs/>
                <w:color w:val="FFFFFF" w:themeColor="background1"/>
                <w:sz w:val="22"/>
                <w:szCs w:val="22"/>
              </w:rPr>
              <w:t>cost</w:t>
            </w:r>
          </w:p>
        </w:tc>
        <w:tc>
          <w:tcPr>
            <w:tcW w:w="1906" w:type="dxa"/>
            <w:noWrap/>
            <w:hideMark/>
          </w:tcPr>
          <w:p w14:paraId="796F312F" w14:textId="20C201B2" w:rsidR="007A7FAE" w:rsidRPr="00B63AE3" w:rsidRDefault="007A7FAE" w:rsidP="00BE17D1">
            <w:pPr>
              <w:spacing w:before="0" w:after="0"/>
              <w:jc w:val="right"/>
              <w:rPr>
                <w:rFonts w:ascii="Calibri" w:hAnsi="Calibri" w:cs="Calibri"/>
                <w:bCs/>
                <w:color w:val="FFFFFF" w:themeColor="background1"/>
                <w:sz w:val="22"/>
                <w:szCs w:val="22"/>
              </w:rPr>
            </w:pPr>
            <w:r w:rsidRPr="00B63AE3">
              <w:rPr>
                <w:rFonts w:ascii="Calibri" w:hAnsi="Calibri" w:cs="Calibri"/>
                <w:bCs/>
                <w:color w:val="FFFFFF" w:themeColor="background1"/>
                <w:sz w:val="22"/>
                <w:szCs w:val="22"/>
              </w:rPr>
              <w:t>Ongoing</w:t>
            </w:r>
            <w:r>
              <w:rPr>
                <w:rFonts w:ascii="Calibri" w:hAnsi="Calibri" w:cs="Calibri"/>
                <w:bCs/>
                <w:color w:val="FFFFFF" w:themeColor="background1"/>
                <w:sz w:val="22"/>
                <w:szCs w:val="22"/>
              </w:rPr>
              <w:t xml:space="preserve"> cost</w:t>
            </w:r>
          </w:p>
        </w:tc>
      </w:tr>
      <w:tr w:rsidR="007A7FAE" w:rsidRPr="00B63AE3" w14:paraId="7A878AF2" w14:textId="77777777" w:rsidTr="005A16CB">
        <w:trPr>
          <w:cnfStyle w:val="000000100000" w:firstRow="0" w:lastRow="0" w:firstColumn="0" w:lastColumn="0" w:oddVBand="0" w:evenVBand="0" w:oddHBand="1" w:evenHBand="0" w:firstRowFirstColumn="0" w:firstRowLastColumn="0" w:lastRowFirstColumn="0" w:lastRowLastColumn="0"/>
          <w:trHeight w:val="285"/>
        </w:trPr>
        <w:tc>
          <w:tcPr>
            <w:tcW w:w="3855" w:type="dxa"/>
            <w:noWrap/>
            <w:vAlign w:val="bottom"/>
            <w:hideMark/>
          </w:tcPr>
          <w:p w14:paraId="1B601E35" w14:textId="31FC04D0" w:rsidR="007A7FAE" w:rsidRPr="00BE17D1" w:rsidRDefault="007A7FAE" w:rsidP="004974BA">
            <w:pPr>
              <w:spacing w:before="0" w:after="0"/>
              <w:rPr>
                <w:rFonts w:cs="Calibri Light"/>
                <w:color w:val="000000"/>
                <w:sz w:val="22"/>
                <w:szCs w:val="22"/>
              </w:rPr>
            </w:pPr>
            <w:r w:rsidRPr="00BE17D1" w:rsidDel="00C74B51">
              <w:rPr>
                <w:rFonts w:cs="Calibri Light"/>
                <w:color w:val="000000"/>
                <w:szCs w:val="30"/>
              </w:rPr>
              <w:t>Major telcos</w:t>
            </w:r>
          </w:p>
        </w:tc>
        <w:tc>
          <w:tcPr>
            <w:tcW w:w="1317" w:type="dxa"/>
            <w:vAlign w:val="bottom"/>
          </w:tcPr>
          <w:p w14:paraId="70C5E3A1" w14:textId="7DDDE9E9" w:rsidR="007A7FAE" w:rsidRPr="00BE17D1" w:rsidRDefault="007A7FAE" w:rsidP="00F65979">
            <w:pPr>
              <w:spacing w:before="0" w:after="0"/>
              <w:jc w:val="right"/>
              <w:rPr>
                <w:rFonts w:cs="Calibri Light"/>
                <w:color w:val="000000"/>
                <w:sz w:val="22"/>
                <w:szCs w:val="22"/>
              </w:rPr>
            </w:pPr>
            <w:r w:rsidRPr="00BE17D1">
              <w:rPr>
                <w:rFonts w:cs="Calibri Light"/>
                <w:color w:val="000000"/>
                <w:szCs w:val="30"/>
              </w:rPr>
              <w:t>4</w:t>
            </w:r>
          </w:p>
        </w:tc>
        <w:tc>
          <w:tcPr>
            <w:tcW w:w="1862" w:type="dxa"/>
            <w:noWrap/>
            <w:vAlign w:val="bottom"/>
            <w:hideMark/>
          </w:tcPr>
          <w:p w14:paraId="5173A301" w14:textId="6774E974" w:rsidR="007A7FAE" w:rsidRPr="00BE17D1" w:rsidRDefault="007A7FAE" w:rsidP="004974BA">
            <w:pPr>
              <w:spacing w:before="0" w:after="0"/>
              <w:jc w:val="right"/>
              <w:rPr>
                <w:rFonts w:cs="Calibri Light"/>
                <w:color w:val="000000"/>
                <w:sz w:val="22"/>
                <w:szCs w:val="22"/>
              </w:rPr>
            </w:pPr>
            <w:r w:rsidRPr="00BE17D1">
              <w:rPr>
                <w:rFonts w:cs="Calibri Light"/>
                <w:color w:val="000000"/>
                <w:szCs w:val="30"/>
              </w:rPr>
              <w:t>$5.4</w:t>
            </w:r>
          </w:p>
        </w:tc>
        <w:tc>
          <w:tcPr>
            <w:tcW w:w="1906" w:type="dxa"/>
            <w:noWrap/>
            <w:vAlign w:val="bottom"/>
            <w:hideMark/>
          </w:tcPr>
          <w:p w14:paraId="5C414FB4" w14:textId="5740A681" w:rsidR="007A7FAE" w:rsidRPr="00BE17D1" w:rsidRDefault="007A7FAE" w:rsidP="004974BA">
            <w:pPr>
              <w:spacing w:before="0" w:after="0"/>
              <w:jc w:val="right"/>
              <w:rPr>
                <w:rFonts w:cs="Calibri Light"/>
                <w:color w:val="000000"/>
                <w:sz w:val="22"/>
                <w:szCs w:val="22"/>
              </w:rPr>
            </w:pPr>
            <w:r w:rsidRPr="00BE17D1">
              <w:rPr>
                <w:rFonts w:cs="Calibri Light"/>
                <w:color w:val="000000"/>
                <w:szCs w:val="30"/>
              </w:rPr>
              <w:t>$4.5</w:t>
            </w:r>
          </w:p>
        </w:tc>
      </w:tr>
      <w:tr w:rsidR="007A7FAE" w:rsidRPr="00B63AE3" w14:paraId="5DA4F2BA" w14:textId="77777777" w:rsidTr="005A16CB">
        <w:trPr>
          <w:trHeight w:val="285"/>
        </w:trPr>
        <w:tc>
          <w:tcPr>
            <w:tcW w:w="3855" w:type="dxa"/>
            <w:noWrap/>
            <w:vAlign w:val="bottom"/>
            <w:hideMark/>
          </w:tcPr>
          <w:p w14:paraId="3CEA61EC" w14:textId="09481020" w:rsidR="007A7FAE" w:rsidRPr="00BE17D1" w:rsidRDefault="007A7FAE" w:rsidP="004974BA">
            <w:pPr>
              <w:spacing w:before="0" w:after="0"/>
              <w:rPr>
                <w:rFonts w:cs="Calibri Light"/>
                <w:color w:val="000000"/>
                <w:sz w:val="22"/>
                <w:szCs w:val="22"/>
              </w:rPr>
            </w:pPr>
            <w:r w:rsidRPr="00BE17D1">
              <w:rPr>
                <w:rFonts w:cs="Calibri Light"/>
                <w:color w:val="000000"/>
                <w:szCs w:val="30"/>
              </w:rPr>
              <w:t>Medium CSPs</w:t>
            </w:r>
          </w:p>
        </w:tc>
        <w:tc>
          <w:tcPr>
            <w:tcW w:w="1317" w:type="dxa"/>
            <w:vAlign w:val="bottom"/>
          </w:tcPr>
          <w:p w14:paraId="17BF7473" w14:textId="45637B3E" w:rsidR="007A7FAE" w:rsidRPr="00BE17D1" w:rsidRDefault="007A7FAE" w:rsidP="00F65979">
            <w:pPr>
              <w:spacing w:before="0" w:after="0"/>
              <w:jc w:val="right"/>
              <w:rPr>
                <w:rFonts w:cs="Calibri Light"/>
                <w:color w:val="000000"/>
                <w:sz w:val="22"/>
                <w:szCs w:val="22"/>
              </w:rPr>
            </w:pPr>
            <w:r w:rsidRPr="00BE17D1">
              <w:rPr>
                <w:rFonts w:cs="Calibri Light"/>
                <w:color w:val="000000"/>
                <w:szCs w:val="30"/>
              </w:rPr>
              <w:t>18</w:t>
            </w:r>
          </w:p>
        </w:tc>
        <w:tc>
          <w:tcPr>
            <w:tcW w:w="1862" w:type="dxa"/>
            <w:noWrap/>
            <w:vAlign w:val="bottom"/>
            <w:hideMark/>
          </w:tcPr>
          <w:p w14:paraId="06BB65E4" w14:textId="0D5C1C30" w:rsidR="007A7FAE" w:rsidRPr="00BE17D1" w:rsidRDefault="007A7FAE" w:rsidP="004974BA">
            <w:pPr>
              <w:spacing w:before="0" w:after="0"/>
              <w:jc w:val="right"/>
              <w:rPr>
                <w:rFonts w:cs="Calibri Light"/>
                <w:color w:val="000000"/>
                <w:sz w:val="22"/>
                <w:szCs w:val="22"/>
              </w:rPr>
            </w:pPr>
            <w:r w:rsidRPr="00BE17D1">
              <w:rPr>
                <w:rFonts w:cs="Calibri Light"/>
                <w:color w:val="000000"/>
                <w:szCs w:val="30"/>
              </w:rPr>
              <w:t>$1.8</w:t>
            </w:r>
          </w:p>
        </w:tc>
        <w:tc>
          <w:tcPr>
            <w:tcW w:w="1906" w:type="dxa"/>
            <w:noWrap/>
            <w:vAlign w:val="bottom"/>
            <w:hideMark/>
          </w:tcPr>
          <w:p w14:paraId="5E40966C" w14:textId="49A6D701" w:rsidR="007A7FAE" w:rsidRPr="00BE17D1" w:rsidRDefault="007A7FAE" w:rsidP="004974BA">
            <w:pPr>
              <w:spacing w:before="0" w:after="0"/>
              <w:jc w:val="right"/>
              <w:rPr>
                <w:rFonts w:cs="Calibri Light"/>
                <w:color w:val="000000"/>
                <w:sz w:val="22"/>
                <w:szCs w:val="22"/>
              </w:rPr>
            </w:pPr>
            <w:r w:rsidRPr="00BE17D1">
              <w:rPr>
                <w:rFonts w:cs="Calibri Light"/>
                <w:color w:val="000000"/>
                <w:szCs w:val="30"/>
              </w:rPr>
              <w:t>$1.4</w:t>
            </w:r>
          </w:p>
        </w:tc>
      </w:tr>
      <w:tr w:rsidR="007A7FAE" w:rsidRPr="00B63AE3" w14:paraId="3B1E9E8E" w14:textId="77777777" w:rsidTr="005A16CB">
        <w:trPr>
          <w:cnfStyle w:val="000000100000" w:firstRow="0" w:lastRow="0" w:firstColumn="0" w:lastColumn="0" w:oddVBand="0" w:evenVBand="0" w:oddHBand="1" w:evenHBand="0" w:firstRowFirstColumn="0" w:firstRowLastColumn="0" w:lastRowFirstColumn="0" w:lastRowLastColumn="0"/>
          <w:trHeight w:val="285"/>
        </w:trPr>
        <w:tc>
          <w:tcPr>
            <w:tcW w:w="3855" w:type="dxa"/>
            <w:noWrap/>
            <w:vAlign w:val="bottom"/>
          </w:tcPr>
          <w:p w14:paraId="6898B516" w14:textId="5156BA00" w:rsidR="007A7FAE" w:rsidRPr="00BE17D1" w:rsidRDefault="007A7FAE" w:rsidP="004974BA">
            <w:pPr>
              <w:spacing w:before="0" w:after="0"/>
              <w:rPr>
                <w:rFonts w:cs="Calibri Light"/>
                <w:color w:val="000000"/>
                <w:sz w:val="22"/>
                <w:szCs w:val="22"/>
              </w:rPr>
            </w:pPr>
            <w:r w:rsidRPr="00BE17D1">
              <w:rPr>
                <w:rFonts w:cs="Calibri Light"/>
                <w:color w:val="000000"/>
                <w:szCs w:val="30"/>
              </w:rPr>
              <w:t>Small CSPs</w:t>
            </w:r>
          </w:p>
        </w:tc>
        <w:tc>
          <w:tcPr>
            <w:tcW w:w="1317" w:type="dxa"/>
            <w:vAlign w:val="bottom"/>
          </w:tcPr>
          <w:p w14:paraId="75C704DB" w14:textId="147BCD12" w:rsidR="007A7FAE" w:rsidRPr="00BE17D1" w:rsidRDefault="007A7FAE" w:rsidP="00F65979">
            <w:pPr>
              <w:spacing w:before="0" w:after="0"/>
              <w:jc w:val="right"/>
              <w:rPr>
                <w:rFonts w:cs="Calibri Light"/>
                <w:color w:val="000000"/>
                <w:sz w:val="22"/>
                <w:szCs w:val="22"/>
              </w:rPr>
            </w:pPr>
            <w:r w:rsidRPr="00BE17D1">
              <w:rPr>
                <w:rFonts w:cs="Calibri Light"/>
                <w:color w:val="000000"/>
                <w:szCs w:val="30"/>
              </w:rPr>
              <w:t>150</w:t>
            </w:r>
          </w:p>
        </w:tc>
        <w:tc>
          <w:tcPr>
            <w:tcW w:w="1862" w:type="dxa"/>
            <w:noWrap/>
            <w:vAlign w:val="bottom"/>
          </w:tcPr>
          <w:p w14:paraId="456801BB" w14:textId="4229639E" w:rsidR="007A7FAE" w:rsidRPr="00BE17D1" w:rsidRDefault="007A7FAE" w:rsidP="004974BA">
            <w:pPr>
              <w:spacing w:before="0" w:after="0"/>
              <w:jc w:val="right"/>
              <w:rPr>
                <w:rFonts w:cs="Calibri Light"/>
                <w:color w:val="000000"/>
                <w:sz w:val="22"/>
                <w:szCs w:val="22"/>
              </w:rPr>
            </w:pPr>
            <w:r w:rsidRPr="00BE17D1">
              <w:rPr>
                <w:rFonts w:cs="Calibri Light"/>
                <w:color w:val="000000"/>
                <w:szCs w:val="30"/>
              </w:rPr>
              <w:t>$5.2</w:t>
            </w:r>
          </w:p>
        </w:tc>
        <w:tc>
          <w:tcPr>
            <w:tcW w:w="1906" w:type="dxa"/>
            <w:noWrap/>
            <w:vAlign w:val="bottom"/>
          </w:tcPr>
          <w:p w14:paraId="42173C9F" w14:textId="3EDE5425" w:rsidR="007A7FAE" w:rsidRPr="00BE17D1" w:rsidRDefault="007A7FAE" w:rsidP="004974BA">
            <w:pPr>
              <w:spacing w:before="0" w:after="0"/>
              <w:jc w:val="right"/>
              <w:rPr>
                <w:rFonts w:cs="Calibri Light"/>
                <w:color w:val="000000"/>
                <w:sz w:val="22"/>
                <w:szCs w:val="22"/>
              </w:rPr>
            </w:pPr>
            <w:r w:rsidRPr="00BE17D1">
              <w:rPr>
                <w:rFonts w:cs="Calibri Light"/>
                <w:color w:val="000000"/>
                <w:szCs w:val="30"/>
              </w:rPr>
              <w:t>$2.8</w:t>
            </w:r>
          </w:p>
        </w:tc>
      </w:tr>
      <w:tr w:rsidR="007A7FAE" w:rsidRPr="00B63AE3" w14:paraId="2CC4353A" w14:textId="77777777" w:rsidTr="005A16CB">
        <w:trPr>
          <w:trHeight w:val="285"/>
        </w:trPr>
        <w:tc>
          <w:tcPr>
            <w:tcW w:w="3855" w:type="dxa"/>
            <w:noWrap/>
            <w:vAlign w:val="bottom"/>
          </w:tcPr>
          <w:p w14:paraId="7479E9CD" w14:textId="7BC93C3C" w:rsidR="007A7FAE" w:rsidRPr="00BE17D1" w:rsidRDefault="007A7FAE" w:rsidP="004974BA">
            <w:pPr>
              <w:spacing w:before="0" w:after="0"/>
              <w:rPr>
                <w:rFonts w:cs="Calibri Light"/>
                <w:color w:val="000000"/>
                <w:sz w:val="22"/>
                <w:szCs w:val="22"/>
              </w:rPr>
            </w:pPr>
            <w:r w:rsidRPr="00BE17D1">
              <w:rPr>
                <w:rFonts w:cs="Calibri Light"/>
                <w:color w:val="000000"/>
                <w:szCs w:val="30"/>
              </w:rPr>
              <w:t xml:space="preserve">Very small </w:t>
            </w:r>
            <w:r w:rsidRPr="00BE17D1" w:rsidDel="00C74B51">
              <w:rPr>
                <w:rFonts w:cs="Calibri Light"/>
                <w:color w:val="000000"/>
                <w:szCs w:val="30"/>
              </w:rPr>
              <w:t>CSPs</w:t>
            </w:r>
          </w:p>
        </w:tc>
        <w:tc>
          <w:tcPr>
            <w:tcW w:w="1317" w:type="dxa"/>
            <w:vAlign w:val="bottom"/>
          </w:tcPr>
          <w:p w14:paraId="64B730A1" w14:textId="6C76F351" w:rsidR="007A7FAE" w:rsidRPr="00BE17D1" w:rsidRDefault="007A7FAE" w:rsidP="00F65979">
            <w:pPr>
              <w:spacing w:before="0" w:after="0"/>
              <w:jc w:val="right"/>
              <w:rPr>
                <w:rFonts w:cs="Calibri Light"/>
                <w:color w:val="000000"/>
                <w:sz w:val="22"/>
                <w:szCs w:val="22"/>
              </w:rPr>
            </w:pPr>
            <w:r w:rsidRPr="00BE17D1">
              <w:rPr>
                <w:rFonts w:cs="Calibri Light"/>
                <w:color w:val="000000"/>
                <w:szCs w:val="30"/>
              </w:rPr>
              <w:t>241</w:t>
            </w:r>
          </w:p>
        </w:tc>
        <w:tc>
          <w:tcPr>
            <w:tcW w:w="1862" w:type="dxa"/>
            <w:noWrap/>
            <w:vAlign w:val="bottom"/>
          </w:tcPr>
          <w:p w14:paraId="040B415B" w14:textId="14557D12" w:rsidR="007A7FAE" w:rsidRPr="00BE17D1" w:rsidRDefault="007A7FAE" w:rsidP="004974BA">
            <w:pPr>
              <w:spacing w:before="0" w:after="0"/>
              <w:jc w:val="right"/>
              <w:rPr>
                <w:rFonts w:cs="Calibri Light"/>
                <w:color w:val="000000"/>
                <w:sz w:val="22"/>
                <w:szCs w:val="22"/>
              </w:rPr>
            </w:pPr>
            <w:r w:rsidRPr="00BE17D1">
              <w:rPr>
                <w:rFonts w:cs="Calibri Light"/>
                <w:color w:val="000000"/>
                <w:szCs w:val="30"/>
              </w:rPr>
              <w:t>$8.3</w:t>
            </w:r>
          </w:p>
        </w:tc>
        <w:tc>
          <w:tcPr>
            <w:tcW w:w="1906" w:type="dxa"/>
            <w:noWrap/>
            <w:vAlign w:val="bottom"/>
          </w:tcPr>
          <w:p w14:paraId="3ED6F87B" w14:textId="10375DDF" w:rsidR="007A7FAE" w:rsidRPr="00BE17D1" w:rsidRDefault="007A7FAE" w:rsidP="004974BA">
            <w:pPr>
              <w:spacing w:before="0" w:after="0"/>
              <w:jc w:val="right"/>
              <w:rPr>
                <w:rFonts w:cs="Calibri Light"/>
                <w:color w:val="000000"/>
                <w:sz w:val="22"/>
                <w:szCs w:val="22"/>
              </w:rPr>
            </w:pPr>
            <w:r w:rsidRPr="00BE17D1">
              <w:rPr>
                <w:rFonts w:cs="Calibri Light"/>
                <w:color w:val="000000"/>
                <w:szCs w:val="30"/>
              </w:rPr>
              <w:t>$4.6</w:t>
            </w:r>
          </w:p>
        </w:tc>
      </w:tr>
      <w:tr w:rsidR="007A7FAE" w:rsidRPr="00B63AE3" w14:paraId="005912FB" w14:textId="77777777" w:rsidTr="005A16CB">
        <w:trPr>
          <w:cnfStyle w:val="000000100000" w:firstRow="0" w:lastRow="0" w:firstColumn="0" w:lastColumn="0" w:oddVBand="0" w:evenVBand="0" w:oddHBand="1" w:evenHBand="0" w:firstRowFirstColumn="0" w:firstRowLastColumn="0" w:lastRowFirstColumn="0" w:lastRowLastColumn="0"/>
          <w:trHeight w:val="285"/>
        </w:trPr>
        <w:tc>
          <w:tcPr>
            <w:tcW w:w="3855" w:type="dxa"/>
            <w:noWrap/>
            <w:vAlign w:val="bottom"/>
          </w:tcPr>
          <w:p w14:paraId="44A37C66" w14:textId="651AA684" w:rsidR="007A7FAE" w:rsidRPr="00BE17D1" w:rsidRDefault="007A7FAE" w:rsidP="004974BA">
            <w:pPr>
              <w:spacing w:before="0" w:after="0"/>
              <w:rPr>
                <w:rFonts w:cs="Calibri Light"/>
                <w:color w:val="000000"/>
                <w:sz w:val="22"/>
                <w:szCs w:val="22"/>
              </w:rPr>
            </w:pPr>
            <w:r w:rsidRPr="00BE17D1">
              <w:rPr>
                <w:rFonts w:cs="Calibri Light"/>
                <w:color w:val="000000"/>
                <w:szCs w:val="30"/>
              </w:rPr>
              <w:t>Transit carriers / CSPs</w:t>
            </w:r>
            <w:r w:rsidR="00244F31" w:rsidRPr="00BE17D1">
              <w:rPr>
                <w:rStyle w:val="FootnoteReference"/>
                <w:rFonts w:cs="Calibri Light"/>
                <w:color w:val="FFFFFF" w:themeColor="background1"/>
                <w:sz w:val="22"/>
                <w:szCs w:val="22"/>
                <w:vertAlign w:val="superscript"/>
              </w:rPr>
              <w:footnoteReference w:id="41"/>
            </w:r>
          </w:p>
        </w:tc>
        <w:tc>
          <w:tcPr>
            <w:tcW w:w="1317" w:type="dxa"/>
            <w:vAlign w:val="bottom"/>
          </w:tcPr>
          <w:p w14:paraId="17799962" w14:textId="2A616B14" w:rsidR="007A7FAE" w:rsidRPr="00BE17D1" w:rsidRDefault="007A7FAE" w:rsidP="00F65979">
            <w:pPr>
              <w:spacing w:before="0" w:after="0"/>
              <w:jc w:val="right"/>
              <w:rPr>
                <w:rFonts w:cs="Calibri Light"/>
                <w:color w:val="000000"/>
                <w:sz w:val="22"/>
                <w:szCs w:val="22"/>
              </w:rPr>
            </w:pPr>
            <w:r w:rsidRPr="00BE17D1">
              <w:rPr>
                <w:rFonts w:cs="Calibri Light"/>
                <w:color w:val="000000"/>
                <w:szCs w:val="30"/>
              </w:rPr>
              <w:t>32</w:t>
            </w:r>
          </w:p>
        </w:tc>
        <w:tc>
          <w:tcPr>
            <w:tcW w:w="1862" w:type="dxa"/>
            <w:noWrap/>
            <w:vAlign w:val="bottom"/>
          </w:tcPr>
          <w:p w14:paraId="4EE83C88" w14:textId="27C1EC46" w:rsidR="007A7FAE" w:rsidRPr="00BE17D1" w:rsidRDefault="007A7FAE" w:rsidP="004974BA">
            <w:pPr>
              <w:spacing w:before="0" w:after="0"/>
              <w:jc w:val="right"/>
              <w:rPr>
                <w:rFonts w:cs="Calibri Light"/>
                <w:color w:val="000000"/>
                <w:sz w:val="22"/>
                <w:szCs w:val="22"/>
              </w:rPr>
            </w:pPr>
            <w:r w:rsidRPr="00BE17D1">
              <w:rPr>
                <w:rFonts w:cs="Calibri Light"/>
                <w:color w:val="000000"/>
                <w:szCs w:val="30"/>
              </w:rPr>
              <w:t>$1.3</w:t>
            </w:r>
          </w:p>
        </w:tc>
        <w:tc>
          <w:tcPr>
            <w:tcW w:w="1906" w:type="dxa"/>
            <w:noWrap/>
            <w:vAlign w:val="bottom"/>
          </w:tcPr>
          <w:p w14:paraId="3E670154" w14:textId="55921092" w:rsidR="007A7FAE" w:rsidRPr="00BE17D1" w:rsidRDefault="007A7FAE" w:rsidP="004974BA">
            <w:pPr>
              <w:spacing w:before="0" w:after="0"/>
              <w:jc w:val="right"/>
              <w:rPr>
                <w:rFonts w:cs="Calibri Light"/>
                <w:color w:val="000000"/>
                <w:sz w:val="22"/>
                <w:szCs w:val="22"/>
              </w:rPr>
            </w:pPr>
            <w:r w:rsidRPr="00BE17D1">
              <w:rPr>
                <w:rFonts w:cs="Calibri Light"/>
                <w:color w:val="000000"/>
                <w:szCs w:val="30"/>
              </w:rPr>
              <w:t>$0.8</w:t>
            </w:r>
          </w:p>
        </w:tc>
      </w:tr>
      <w:tr w:rsidR="007A7FAE" w:rsidRPr="00B63AE3" w14:paraId="48192C21" w14:textId="77777777" w:rsidTr="005A16CB">
        <w:trPr>
          <w:trHeight w:val="285"/>
        </w:trPr>
        <w:tc>
          <w:tcPr>
            <w:tcW w:w="3855" w:type="dxa"/>
            <w:noWrap/>
            <w:vAlign w:val="bottom"/>
            <w:hideMark/>
          </w:tcPr>
          <w:p w14:paraId="7C25FB45" w14:textId="33A67579" w:rsidR="007A7FAE" w:rsidRPr="00BE17D1" w:rsidRDefault="007A7FAE" w:rsidP="004974BA">
            <w:pPr>
              <w:spacing w:before="0" w:after="0"/>
              <w:rPr>
                <w:rFonts w:cs="Calibri Light"/>
                <w:b/>
                <w:color w:val="000000"/>
                <w:sz w:val="22"/>
                <w:szCs w:val="22"/>
              </w:rPr>
            </w:pPr>
            <w:r w:rsidRPr="00BE17D1">
              <w:rPr>
                <w:rFonts w:cs="Calibri Light"/>
                <w:b/>
                <w:color w:val="000000"/>
                <w:szCs w:val="30"/>
              </w:rPr>
              <w:t>Total</w:t>
            </w:r>
          </w:p>
        </w:tc>
        <w:tc>
          <w:tcPr>
            <w:tcW w:w="1317" w:type="dxa"/>
            <w:vAlign w:val="bottom"/>
          </w:tcPr>
          <w:p w14:paraId="5BFD9873" w14:textId="7655B375" w:rsidR="007A7FAE" w:rsidRPr="00BE17D1" w:rsidRDefault="007A7FAE" w:rsidP="00F65979">
            <w:pPr>
              <w:spacing w:before="0" w:after="0"/>
              <w:jc w:val="right"/>
              <w:rPr>
                <w:rFonts w:cs="Calibri Light"/>
                <w:b/>
                <w:color w:val="000000"/>
                <w:sz w:val="22"/>
                <w:szCs w:val="22"/>
              </w:rPr>
            </w:pPr>
            <w:r w:rsidRPr="00BE17D1">
              <w:rPr>
                <w:rFonts w:cs="Calibri Light"/>
                <w:b/>
                <w:color w:val="000000"/>
                <w:szCs w:val="30"/>
              </w:rPr>
              <w:t>445</w:t>
            </w:r>
          </w:p>
        </w:tc>
        <w:tc>
          <w:tcPr>
            <w:tcW w:w="1862" w:type="dxa"/>
            <w:noWrap/>
            <w:vAlign w:val="bottom"/>
            <w:hideMark/>
          </w:tcPr>
          <w:p w14:paraId="58257EED" w14:textId="5F929464" w:rsidR="007A7FAE" w:rsidRPr="00BE17D1" w:rsidRDefault="007A7FAE" w:rsidP="004974BA">
            <w:pPr>
              <w:spacing w:before="0" w:after="0"/>
              <w:jc w:val="right"/>
              <w:rPr>
                <w:rFonts w:cs="Calibri Light"/>
                <w:b/>
                <w:color w:val="000000"/>
                <w:sz w:val="22"/>
                <w:szCs w:val="22"/>
              </w:rPr>
            </w:pPr>
            <w:r w:rsidRPr="00BE17D1">
              <w:rPr>
                <w:rFonts w:cs="Calibri Light"/>
                <w:b/>
                <w:color w:val="000000"/>
                <w:szCs w:val="30"/>
              </w:rPr>
              <w:t>$22.0</w:t>
            </w:r>
          </w:p>
        </w:tc>
        <w:tc>
          <w:tcPr>
            <w:tcW w:w="1906" w:type="dxa"/>
            <w:noWrap/>
            <w:vAlign w:val="bottom"/>
            <w:hideMark/>
          </w:tcPr>
          <w:p w14:paraId="31832F07" w14:textId="1553BAFD" w:rsidR="007A7FAE" w:rsidRPr="00BE17D1" w:rsidRDefault="007A7FAE" w:rsidP="004974BA">
            <w:pPr>
              <w:spacing w:before="0" w:after="0"/>
              <w:jc w:val="right"/>
              <w:rPr>
                <w:rFonts w:cs="Calibri Light"/>
                <w:b/>
                <w:color w:val="000000"/>
                <w:sz w:val="22"/>
                <w:szCs w:val="22"/>
              </w:rPr>
            </w:pPr>
            <w:r w:rsidRPr="00BE17D1">
              <w:rPr>
                <w:rFonts w:cs="Calibri Light"/>
                <w:b/>
                <w:color w:val="000000"/>
                <w:szCs w:val="30"/>
              </w:rPr>
              <w:t>$14.1</w:t>
            </w:r>
          </w:p>
        </w:tc>
      </w:tr>
    </w:tbl>
    <w:p w14:paraId="45B91CE4" w14:textId="5E55A946" w:rsidR="00353B28" w:rsidRPr="00136C23" w:rsidRDefault="00FD11DF" w:rsidP="00DA1E3F">
      <w:pPr>
        <w:pStyle w:val="Heading4"/>
      </w:pPr>
      <w:bookmarkStart w:id="39" w:name="_Ref177024392"/>
      <w:r>
        <w:t xml:space="preserve">4.1.3 </w:t>
      </w:r>
      <w:r w:rsidR="00136C23" w:rsidRPr="00136C23">
        <w:t>Digital</w:t>
      </w:r>
      <w:r w:rsidR="00353B28" w:rsidRPr="00136C23">
        <w:t xml:space="preserve"> platforms</w:t>
      </w:r>
      <w:bookmarkEnd w:id="39"/>
      <w:r w:rsidR="00136C23" w:rsidRPr="00136C23">
        <w:t xml:space="preserve"> </w:t>
      </w:r>
    </w:p>
    <w:p w14:paraId="177274FC" w14:textId="77777777" w:rsidR="00022CC7" w:rsidRDefault="00022CC7" w:rsidP="00DA1E3F">
      <w:pPr>
        <w:pStyle w:val="Heading7"/>
      </w:pPr>
      <w:r>
        <w:t>Option 1 – Status quo</w:t>
      </w:r>
    </w:p>
    <w:p w14:paraId="1CFE9AF3" w14:textId="17FC0D8B" w:rsidR="00022CC7" w:rsidRDefault="003B59F4" w:rsidP="00022CC7">
      <w:r>
        <w:t>Some m</w:t>
      </w:r>
      <w:r w:rsidR="00C22CED">
        <w:t xml:space="preserve">ajor digital platforms in Australia </w:t>
      </w:r>
      <w:r w:rsidR="00392C54">
        <w:t xml:space="preserve">have agreed to voluntary </w:t>
      </w:r>
      <w:r w:rsidR="000E50DB">
        <w:t xml:space="preserve">measures to </w:t>
      </w:r>
      <w:r w:rsidR="00392C54">
        <w:t>address online scams</w:t>
      </w:r>
      <w:r w:rsidR="00DC69FB">
        <w:t xml:space="preserve"> through the AOSC</w:t>
      </w:r>
      <w:r w:rsidR="00392C54">
        <w:t xml:space="preserve">. </w:t>
      </w:r>
      <w:r w:rsidR="00022CC7">
        <w:t xml:space="preserve">DIGI, the industry body representing the digital industry in Australia, has voluntary industry anti-scams standards and is developing internal dispute </w:t>
      </w:r>
      <w:r w:rsidR="00C2341E">
        <w:t xml:space="preserve">standards </w:t>
      </w:r>
      <w:r w:rsidR="004A5AC5">
        <w:t>in response to a request</w:t>
      </w:r>
      <w:r w:rsidR="00022CC7">
        <w:t xml:space="preserve"> from the </w:t>
      </w:r>
      <w:r w:rsidR="004A5AC5">
        <w:t>g</w:t>
      </w:r>
      <w:r w:rsidR="00022CC7">
        <w:t>overnment.</w:t>
      </w:r>
      <w:r w:rsidR="000D05A0">
        <w:t xml:space="preserve"> </w:t>
      </w:r>
    </w:p>
    <w:p w14:paraId="76F1DBBD" w14:textId="68A2FBE6" w:rsidR="000D05A0" w:rsidRDefault="00F00026" w:rsidP="00022CC7">
      <w:r>
        <w:t>Under the status quo t</w:t>
      </w:r>
      <w:r w:rsidR="00693007">
        <w:t xml:space="preserve">he AOSC </w:t>
      </w:r>
      <w:r w:rsidR="00020C98">
        <w:t>would</w:t>
      </w:r>
      <w:r w:rsidR="00693007">
        <w:t xml:space="preserve"> see a voluntary uplift in anti-scam activities in </w:t>
      </w:r>
      <w:r w:rsidR="00DB1A5E">
        <w:t xml:space="preserve">signatory </w:t>
      </w:r>
      <w:r w:rsidR="00693007">
        <w:t>digital platforms</w:t>
      </w:r>
      <w:r w:rsidR="0052471B">
        <w:t xml:space="preserve">. </w:t>
      </w:r>
      <w:r w:rsidR="003066F6">
        <w:t xml:space="preserve">It </w:t>
      </w:r>
      <w:r>
        <w:t xml:space="preserve">would encourage </w:t>
      </w:r>
      <w:r w:rsidR="003066F6">
        <w:t xml:space="preserve">progress on anti-scam measures including verification measures for advertisers, mechanisms for user reporting of scam content, and agreements to co-ordinate actions with the NASC. </w:t>
      </w:r>
    </w:p>
    <w:p w14:paraId="38EBFE7B" w14:textId="5BAED7DA" w:rsidR="0079536C" w:rsidRDefault="00B80C19" w:rsidP="00A91993">
      <w:r>
        <w:lastRenderedPageBreak/>
        <w:t>A</w:t>
      </w:r>
      <w:r w:rsidR="00C82053">
        <w:t xml:space="preserve">s a voluntary code, industry actions are not enforceable </w:t>
      </w:r>
      <w:r w:rsidR="00AC51A6">
        <w:t xml:space="preserve">and there are no obligations if signatories fail to meet commitments under the AOSC. </w:t>
      </w:r>
      <w:r w:rsidR="00BB6A3B">
        <w:t>Other observed</w:t>
      </w:r>
      <w:r w:rsidR="009D24AF">
        <w:t xml:space="preserve"> limitations to the application of the </w:t>
      </w:r>
      <w:r w:rsidR="00BB6A3B">
        <w:t>AOSC include</w:t>
      </w:r>
      <w:r w:rsidR="00002216">
        <w:t xml:space="preserve"> that:</w:t>
      </w:r>
    </w:p>
    <w:p w14:paraId="23E96A15" w14:textId="10A6C294" w:rsidR="00361D98" w:rsidRDefault="0070133C" w:rsidP="00183D93">
      <w:pPr>
        <w:pStyle w:val="Bullet"/>
      </w:pPr>
      <w:r>
        <w:t>There are no</w:t>
      </w:r>
      <w:r w:rsidR="00361D98">
        <w:t xml:space="preserve"> </w:t>
      </w:r>
      <w:r w:rsidR="00586F2C">
        <w:t xml:space="preserve">defined timelines for full implementation of commitments or </w:t>
      </w:r>
      <w:r w:rsidR="00361D98">
        <w:t xml:space="preserve">details on how DIGI will monitor and evaluate the effectiveness of </w:t>
      </w:r>
      <w:r w:rsidR="00DF5CB3">
        <w:t xml:space="preserve">actions taken by </w:t>
      </w:r>
      <w:r w:rsidR="005E53B3">
        <w:t xml:space="preserve">signatories </w:t>
      </w:r>
      <w:r w:rsidR="0037566B">
        <w:t xml:space="preserve">to consider </w:t>
      </w:r>
      <w:r w:rsidR="005E53B3">
        <w:t xml:space="preserve">compliance with the </w:t>
      </w:r>
      <w:r w:rsidR="00150E09">
        <w:t>AOSC</w:t>
      </w:r>
      <w:r w:rsidR="00EE044C">
        <w:t>, beyond</w:t>
      </w:r>
      <w:r>
        <w:t xml:space="preserve"> processes for </w:t>
      </w:r>
      <w:r w:rsidR="00150E09">
        <w:t>AOSC</w:t>
      </w:r>
      <w:r>
        <w:t xml:space="preserve"> </w:t>
      </w:r>
      <w:r w:rsidR="00EE044C">
        <w:t xml:space="preserve">review and amendment. </w:t>
      </w:r>
    </w:p>
    <w:p w14:paraId="135D386C" w14:textId="688352B3" w:rsidR="00B8472E" w:rsidRDefault="00D12388" w:rsidP="00183D93">
      <w:pPr>
        <w:pStyle w:val="Bullet"/>
      </w:pPr>
      <w:r>
        <w:t>T</w:t>
      </w:r>
      <w:r w:rsidR="00C951E7">
        <w:t>he AOSC</w:t>
      </w:r>
      <w:r>
        <w:t xml:space="preserve"> </w:t>
      </w:r>
      <w:r w:rsidR="001A0CF2">
        <w:t xml:space="preserve">contains principles </w:t>
      </w:r>
      <w:r w:rsidR="00564441">
        <w:t xml:space="preserve">limited by </w:t>
      </w:r>
      <w:r w:rsidR="005B28A1">
        <w:t>other</w:t>
      </w:r>
      <w:r w:rsidR="00AE0028">
        <w:t xml:space="preserve"> </w:t>
      </w:r>
      <w:r w:rsidR="00602040">
        <w:t>terms of use, policies or conduct rules</w:t>
      </w:r>
      <w:r w:rsidR="005B28A1">
        <w:t xml:space="preserve"> of the entity</w:t>
      </w:r>
      <w:r w:rsidR="00C951E7">
        <w:t xml:space="preserve">. </w:t>
      </w:r>
      <w:r w:rsidR="00B70779">
        <w:t xml:space="preserve">Whilst signatories are </w:t>
      </w:r>
      <w:r w:rsidR="001A0CF2">
        <w:t xml:space="preserve">also </w:t>
      </w:r>
      <w:r w:rsidR="00B70779">
        <w:t xml:space="preserve">committed to </w:t>
      </w:r>
      <w:r w:rsidR="00BB6A3B">
        <w:t xml:space="preserve">address initiating scams in these instruments, it </w:t>
      </w:r>
      <w:r w:rsidR="001A0CF2">
        <w:t>gives</w:t>
      </w:r>
      <w:r w:rsidR="00BB6A3B">
        <w:t xml:space="preserve"> </w:t>
      </w:r>
      <w:r w:rsidR="00BB4A97">
        <w:t xml:space="preserve">latitude to </w:t>
      </w:r>
      <w:r w:rsidR="00677063">
        <w:rPr>
          <w:szCs w:val="22"/>
        </w:rPr>
        <w:t xml:space="preserve">industry </w:t>
      </w:r>
      <w:r w:rsidR="001A0CF2">
        <w:t xml:space="preserve">to </w:t>
      </w:r>
      <w:r w:rsidR="00C951E7">
        <w:t xml:space="preserve">define what content </w:t>
      </w:r>
      <w:r w:rsidR="001A0CF2">
        <w:t xml:space="preserve">would attract the operation of the </w:t>
      </w:r>
      <w:r w:rsidR="004466DE">
        <w:t>AOSC</w:t>
      </w:r>
      <w:r w:rsidR="001A0CF2">
        <w:t>.</w:t>
      </w:r>
      <w:r w:rsidR="00BB6A3B">
        <w:t xml:space="preserve"> </w:t>
      </w:r>
    </w:p>
    <w:p w14:paraId="38E07BF7" w14:textId="4641C378" w:rsidR="00B8472E" w:rsidDel="00BB7E00" w:rsidRDefault="005F29E2" w:rsidP="00B34864">
      <w:r w:rsidRPr="00B51D62">
        <w:t xml:space="preserve">Information sharing arrangements </w:t>
      </w:r>
      <w:r w:rsidR="00B51D62">
        <w:t>across industry to address scams in Australia is nascent, with</w:t>
      </w:r>
      <w:r w:rsidRPr="00B51D62">
        <w:t xml:space="preserve"> </w:t>
      </w:r>
      <w:r w:rsidR="00B63437">
        <w:t xml:space="preserve">some </w:t>
      </w:r>
      <w:r w:rsidR="00B51D62">
        <w:t>d</w:t>
      </w:r>
      <w:r w:rsidRPr="00B51D62">
        <w:t>igital platform membership of the AFCX and Intel Loop</w:t>
      </w:r>
      <w:r w:rsidR="00B51D62">
        <w:t xml:space="preserve">. </w:t>
      </w:r>
      <w:r w:rsidR="00FF39C8">
        <w:t xml:space="preserve">The AOSC provides a general commitment to work with relevant stakeholders to share information and </w:t>
      </w:r>
      <w:r w:rsidR="00461D3E">
        <w:t>respond to information requests with Government agencies, law enforcement and industry. However, d</w:t>
      </w:r>
      <w:r w:rsidR="00847DD1">
        <w:t>ue to limited detail</w:t>
      </w:r>
      <w:r w:rsidR="00461D3E">
        <w:t xml:space="preserve">s on these commitments </w:t>
      </w:r>
      <w:r w:rsidR="00847DD1">
        <w:t xml:space="preserve">including specifics on the nature of collaboration and information sharing, the AOSC </w:t>
      </w:r>
      <w:r w:rsidR="00257C28">
        <w:t xml:space="preserve">may </w:t>
      </w:r>
      <w:r w:rsidR="00EC1FE4">
        <w:t xml:space="preserve">leave </w:t>
      </w:r>
      <w:r w:rsidR="00847DD1">
        <w:t xml:space="preserve">inconsistent ways in which digital platforms are interacting with them. </w:t>
      </w:r>
    </w:p>
    <w:p w14:paraId="5B3293B9" w14:textId="3F408FD2" w:rsidR="00BB7E00" w:rsidRPr="00FF55F9" w:rsidRDefault="006A1F8E" w:rsidP="00CD5A06">
      <w:r>
        <w:t xml:space="preserve">While options for a mandatory IDR and EDR regime for digital platforms are being developed for future consideration by Government, currently the sector is not subject to any </w:t>
      </w:r>
      <w:r w:rsidR="003B7A2B">
        <w:t xml:space="preserve">such </w:t>
      </w:r>
      <w:r w:rsidR="00775217">
        <w:t>mechanism</w:t>
      </w:r>
      <w:r w:rsidR="0026491B">
        <w:t>s</w:t>
      </w:r>
      <w:r w:rsidR="00E111BA">
        <w:t xml:space="preserve">. As a result, </w:t>
      </w:r>
      <w:r w:rsidR="0081091C">
        <w:t xml:space="preserve">the status quo options would leave consumers with </w:t>
      </w:r>
      <w:r w:rsidR="00B34864">
        <w:t xml:space="preserve">limited </w:t>
      </w:r>
      <w:r w:rsidR="0081091C">
        <w:t xml:space="preserve">options to seek </w:t>
      </w:r>
      <w:r w:rsidR="003E163E">
        <w:t xml:space="preserve">support or </w:t>
      </w:r>
      <w:r w:rsidR="0081091C">
        <w:t xml:space="preserve">redress </w:t>
      </w:r>
      <w:r w:rsidR="00B34864">
        <w:t>from digital platforms</w:t>
      </w:r>
      <w:r w:rsidR="0081091C">
        <w:t xml:space="preserve"> where they have been subject to a scam on </w:t>
      </w:r>
      <w:r w:rsidR="00B34864">
        <w:t>their service</w:t>
      </w:r>
      <w:r w:rsidR="0081091C">
        <w:t xml:space="preserve">. </w:t>
      </w:r>
    </w:p>
    <w:p w14:paraId="74D03BD3" w14:textId="4BF3A8D8" w:rsidR="00022CC7" w:rsidRDefault="00022CC7" w:rsidP="009904AD">
      <w:pPr>
        <w:pStyle w:val="Heading7"/>
      </w:pPr>
      <w:r>
        <w:t xml:space="preserve">Option 2 – </w:t>
      </w:r>
      <w:r w:rsidR="000A746C">
        <w:t>Scams Prevention</w:t>
      </w:r>
      <w:r>
        <w:t xml:space="preserve"> Framework</w:t>
      </w:r>
    </w:p>
    <w:p w14:paraId="7B3E55D8" w14:textId="13383F54" w:rsidR="0054455D" w:rsidRDefault="0056710E" w:rsidP="0056710E">
      <w:r>
        <w:t xml:space="preserve">The </w:t>
      </w:r>
      <w:r w:rsidR="000C2127">
        <w:t>SPF</w:t>
      </w:r>
      <w:r>
        <w:t xml:space="preserve"> </w:t>
      </w:r>
      <w:r w:rsidR="0054455D">
        <w:t xml:space="preserve">would </w:t>
      </w:r>
      <w:r w:rsidR="00296DBD">
        <w:t xml:space="preserve">designate </w:t>
      </w:r>
      <w:r>
        <w:t>digital platform services</w:t>
      </w:r>
      <w:r w:rsidR="00296DBD">
        <w:t>,</w:t>
      </w:r>
      <w:r>
        <w:t xml:space="preserve"> initially </w:t>
      </w:r>
      <w:r w:rsidR="00430546">
        <w:t xml:space="preserve">offering </w:t>
      </w:r>
      <w:r>
        <w:t xml:space="preserve">social media, </w:t>
      </w:r>
      <w:r w:rsidR="00430546">
        <w:t xml:space="preserve">direct </w:t>
      </w:r>
      <w:r>
        <w:t xml:space="preserve">messaging and </w:t>
      </w:r>
      <w:r w:rsidR="00430546">
        <w:t xml:space="preserve">paid </w:t>
      </w:r>
      <w:r>
        <w:t>search advertising services</w:t>
      </w:r>
      <w:r w:rsidR="00296DBD">
        <w:t xml:space="preserve">, </w:t>
      </w:r>
      <w:r w:rsidR="005A232B">
        <w:t xml:space="preserve">comply </w:t>
      </w:r>
      <w:r w:rsidR="00694DE8">
        <w:t xml:space="preserve">with principles-based obligations. </w:t>
      </w:r>
      <w:r w:rsidR="008257CD">
        <w:t xml:space="preserve">A </w:t>
      </w:r>
      <w:r w:rsidR="0032271B">
        <w:t xml:space="preserve">snapshot </w:t>
      </w:r>
      <w:r w:rsidR="008257CD">
        <w:t xml:space="preserve">of potentially regulated digital platforms is </w:t>
      </w:r>
      <w:r w:rsidR="001D4DED">
        <w:t xml:space="preserve">outlined in </w:t>
      </w:r>
      <w:r w:rsidR="001D4DED">
        <w:fldChar w:fldCharType="begin"/>
      </w:r>
      <w:r w:rsidR="001D4DED">
        <w:instrText xml:space="preserve"> REF _Ref177510625 \h </w:instrText>
      </w:r>
      <w:r w:rsidR="001D4DED">
        <w:fldChar w:fldCharType="separate"/>
      </w:r>
      <w:r w:rsidR="00962C40">
        <w:t xml:space="preserve">Table </w:t>
      </w:r>
      <w:r w:rsidR="00962C40">
        <w:rPr>
          <w:noProof/>
        </w:rPr>
        <w:t>9</w:t>
      </w:r>
      <w:r w:rsidR="001D4DED">
        <w:fldChar w:fldCharType="end"/>
      </w:r>
      <w:r w:rsidR="00694DE8">
        <w:t>.</w:t>
      </w:r>
      <w:r w:rsidR="001D4DED" w:rsidRPr="00D03E33">
        <w:rPr>
          <w:rStyle w:val="FootnoteReference"/>
          <w:vertAlign w:val="superscript"/>
        </w:rPr>
        <w:footnoteReference w:id="42"/>
      </w:r>
      <w:r w:rsidR="00694DE8">
        <w:t xml:space="preserve"> </w:t>
      </w:r>
    </w:p>
    <w:p w14:paraId="77F3AB3D" w14:textId="35BC8F9C" w:rsidR="004C417B" w:rsidRPr="000246A5" w:rsidRDefault="004C417B" w:rsidP="004C417B">
      <w:pPr>
        <w:pStyle w:val="Heading8"/>
      </w:pPr>
      <w:bookmarkStart w:id="40" w:name="_Ref177510625"/>
      <w:r>
        <w:t xml:space="preserve">Table </w:t>
      </w:r>
      <w:fldSimple w:instr=" SEQ Table \* ARABIC ">
        <w:r w:rsidR="00962C40">
          <w:rPr>
            <w:noProof/>
          </w:rPr>
          <w:t>9</w:t>
        </w:r>
      </w:fldSimple>
      <w:bookmarkEnd w:id="40"/>
      <w:r>
        <w:t xml:space="preserve"> </w:t>
      </w:r>
      <w:r w:rsidRPr="000246A5">
        <w:t xml:space="preserve">– </w:t>
      </w:r>
      <w:r>
        <w:t>Potential</w:t>
      </w:r>
      <w:r w:rsidRPr="000246A5">
        <w:t xml:space="preserve"> regulated </w:t>
      </w:r>
      <w:r>
        <w:t>digital platform service</w:t>
      </w:r>
      <w:r w:rsidR="005245FE">
        <w:t>s</w:t>
      </w:r>
      <w:r w:rsidR="0058075A" w:rsidRPr="00C76A01">
        <w:rPr>
          <w:rStyle w:val="FootnoteReference"/>
          <w:vertAlign w:val="superscript"/>
        </w:rPr>
        <w:footnoteReference w:id="43"/>
      </w:r>
    </w:p>
    <w:tbl>
      <w:tblPr>
        <w:tblStyle w:val="GridTable4-Accent1"/>
        <w:tblW w:w="9057" w:type="dxa"/>
        <w:tblLook w:val="04A0" w:firstRow="1" w:lastRow="0" w:firstColumn="1" w:lastColumn="0" w:noHBand="0" w:noVBand="1"/>
      </w:tblPr>
      <w:tblGrid>
        <w:gridCol w:w="3397"/>
        <w:gridCol w:w="5660"/>
      </w:tblGrid>
      <w:tr w:rsidR="003E6729" w14:paraId="10E5D3BD" w14:textId="77777777" w:rsidTr="005245FE">
        <w:trPr>
          <w:cnfStyle w:val="100000000000" w:firstRow="1" w:lastRow="0" w:firstColumn="0" w:lastColumn="0" w:oddVBand="0" w:evenVBand="0" w:oddHBand="0" w:evenHBand="0" w:firstRowFirstColumn="0" w:firstRowLastColumn="0" w:lastRowFirstColumn="0" w:lastRowLastColumn="0"/>
          <w:trHeight w:val="247"/>
          <w:tblHeader/>
        </w:trPr>
        <w:tc>
          <w:tcPr>
            <w:cnfStyle w:val="001000000000" w:firstRow="0" w:lastRow="0" w:firstColumn="1" w:lastColumn="0" w:oddVBand="0" w:evenVBand="0" w:oddHBand="0" w:evenHBand="0" w:firstRowFirstColumn="0" w:firstRowLastColumn="0" w:lastRowFirstColumn="0" w:lastRowLastColumn="0"/>
            <w:tcW w:w="3397" w:type="dxa"/>
          </w:tcPr>
          <w:p w14:paraId="634AA153" w14:textId="77777777" w:rsidR="005245FE" w:rsidRPr="0081736C" w:rsidRDefault="005245FE">
            <w:pPr>
              <w:rPr>
                <w:szCs w:val="22"/>
              </w:rPr>
            </w:pPr>
            <w:r>
              <w:rPr>
                <w:szCs w:val="22"/>
              </w:rPr>
              <w:t>K</w:t>
            </w:r>
            <w:r w:rsidRPr="0081736C">
              <w:rPr>
                <w:szCs w:val="22"/>
              </w:rPr>
              <w:t xml:space="preserve">nown </w:t>
            </w:r>
            <w:r>
              <w:rPr>
                <w:szCs w:val="22"/>
              </w:rPr>
              <w:t>services</w:t>
            </w:r>
            <w:r w:rsidRPr="0081736C">
              <w:rPr>
                <w:szCs w:val="22"/>
              </w:rPr>
              <w:t xml:space="preserve">  </w:t>
            </w:r>
          </w:p>
        </w:tc>
        <w:tc>
          <w:tcPr>
            <w:tcW w:w="5660" w:type="dxa"/>
          </w:tcPr>
          <w:p w14:paraId="411BD933" w14:textId="77777777" w:rsidR="005245FE" w:rsidRPr="0081736C" w:rsidRDefault="005245FE">
            <w:pPr>
              <w:cnfStyle w:val="100000000000" w:firstRow="1" w:lastRow="0" w:firstColumn="0" w:lastColumn="0" w:oddVBand="0" w:evenVBand="0" w:oddHBand="0" w:evenHBand="0" w:firstRowFirstColumn="0" w:firstRowLastColumn="0" w:lastRowFirstColumn="0" w:lastRowLastColumn="0"/>
              <w:rPr>
                <w:szCs w:val="22"/>
              </w:rPr>
            </w:pPr>
            <w:r w:rsidRPr="0081736C">
              <w:rPr>
                <w:szCs w:val="22"/>
              </w:rPr>
              <w:t>Examples</w:t>
            </w:r>
          </w:p>
        </w:tc>
      </w:tr>
      <w:tr w:rsidR="001D6106" w14:paraId="4F2BDBEF" w14:textId="77777777" w:rsidTr="00FA5A4F">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3397" w:type="dxa"/>
          </w:tcPr>
          <w:p w14:paraId="01EB386C" w14:textId="375CB9EB" w:rsidR="005245FE" w:rsidRPr="00471A00" w:rsidRDefault="005245FE">
            <w:pPr>
              <w:spacing w:before="0" w:after="0"/>
              <w:ind w:left="46"/>
              <w:rPr>
                <w:b w:val="0"/>
                <w:bCs w:val="0"/>
                <w:szCs w:val="22"/>
              </w:rPr>
            </w:pPr>
            <w:r>
              <w:rPr>
                <w:szCs w:val="22"/>
              </w:rPr>
              <w:t>~</w:t>
            </w:r>
            <w:r w:rsidR="00944F47">
              <w:rPr>
                <w:szCs w:val="22"/>
              </w:rPr>
              <w:t>10</w:t>
            </w:r>
            <w:r w:rsidRPr="00471A00">
              <w:rPr>
                <w:szCs w:val="22"/>
              </w:rPr>
              <w:t xml:space="preserve"> social media service</w:t>
            </w:r>
            <w:r>
              <w:rPr>
                <w:szCs w:val="22"/>
              </w:rPr>
              <w:t>s</w:t>
            </w:r>
            <w:r w:rsidRPr="00471A00">
              <w:rPr>
                <w:szCs w:val="22"/>
              </w:rPr>
              <w:t xml:space="preserve"> </w:t>
            </w:r>
          </w:p>
        </w:tc>
        <w:tc>
          <w:tcPr>
            <w:tcW w:w="5660" w:type="dxa"/>
          </w:tcPr>
          <w:p w14:paraId="37E03CA9" w14:textId="1DB26BCF" w:rsidR="005245FE" w:rsidRPr="0032722E" w:rsidRDefault="005245FE">
            <w:pPr>
              <w:spacing w:before="0" w:after="0"/>
              <w:ind w:left="46"/>
              <w:cnfStyle w:val="000000100000" w:firstRow="0" w:lastRow="0" w:firstColumn="0" w:lastColumn="0" w:oddVBand="0" w:evenVBand="0" w:oddHBand="1" w:evenHBand="0" w:firstRowFirstColumn="0" w:firstRowLastColumn="0" w:lastRowFirstColumn="0" w:lastRowLastColumn="0"/>
            </w:pPr>
            <w:r>
              <w:t xml:space="preserve">Facebook, Instagram, YouTube, TikTok, Pinterest, Twitter, </w:t>
            </w:r>
            <w:proofErr w:type="spellStart"/>
            <w:r>
              <w:t>Reddit</w:t>
            </w:r>
            <w:proofErr w:type="spellEnd"/>
            <w:r>
              <w:t xml:space="preserve">, LinkedIn, </w:t>
            </w:r>
            <w:proofErr w:type="spellStart"/>
            <w:r>
              <w:t>BeReal</w:t>
            </w:r>
            <w:proofErr w:type="spellEnd"/>
          </w:p>
        </w:tc>
      </w:tr>
      <w:tr w:rsidR="005245FE" w14:paraId="14ACF49E" w14:textId="77777777" w:rsidTr="00BE17D1">
        <w:trPr>
          <w:trHeight w:val="507"/>
        </w:trPr>
        <w:tc>
          <w:tcPr>
            <w:cnfStyle w:val="001000000000" w:firstRow="0" w:lastRow="0" w:firstColumn="1" w:lastColumn="0" w:oddVBand="0" w:evenVBand="0" w:oddHBand="0" w:evenHBand="0" w:firstRowFirstColumn="0" w:firstRowLastColumn="0" w:lastRowFirstColumn="0" w:lastRowLastColumn="0"/>
            <w:tcW w:w="3397" w:type="dxa"/>
            <w:shd w:val="clear" w:color="auto" w:fill="CDD5E1" w:themeFill="accent1" w:themeFillTint="33"/>
          </w:tcPr>
          <w:p w14:paraId="228A5350" w14:textId="7B552D55" w:rsidR="005245FE" w:rsidRPr="00471A00" w:rsidRDefault="005245FE">
            <w:pPr>
              <w:spacing w:before="0" w:after="0"/>
              <w:ind w:left="46"/>
              <w:rPr>
                <w:b w:val="0"/>
                <w:bCs w:val="0"/>
                <w:szCs w:val="22"/>
              </w:rPr>
            </w:pPr>
            <w:r>
              <w:rPr>
                <w:szCs w:val="22"/>
              </w:rPr>
              <w:t>~1</w:t>
            </w:r>
            <w:r w:rsidR="00E341AD">
              <w:rPr>
                <w:szCs w:val="22"/>
              </w:rPr>
              <w:t>9</w:t>
            </w:r>
            <w:r>
              <w:rPr>
                <w:szCs w:val="22"/>
              </w:rPr>
              <w:t xml:space="preserve"> direct </w:t>
            </w:r>
            <w:r w:rsidRPr="0082510F">
              <w:rPr>
                <w:szCs w:val="22"/>
              </w:rPr>
              <w:t>messaging service</w:t>
            </w:r>
            <w:r>
              <w:rPr>
                <w:szCs w:val="22"/>
              </w:rPr>
              <w:t>s</w:t>
            </w:r>
          </w:p>
        </w:tc>
        <w:tc>
          <w:tcPr>
            <w:tcW w:w="5660" w:type="dxa"/>
            <w:shd w:val="clear" w:color="auto" w:fill="CDD5E1" w:themeFill="accent1" w:themeFillTint="33"/>
          </w:tcPr>
          <w:p w14:paraId="2FAAF151" w14:textId="66CEDD23" w:rsidR="005245FE" w:rsidRDefault="005245FE">
            <w:pPr>
              <w:spacing w:before="0" w:after="0"/>
              <w:ind w:left="46"/>
              <w:cnfStyle w:val="000000000000" w:firstRow="0" w:lastRow="0" w:firstColumn="0" w:lastColumn="0" w:oddVBand="0" w:evenVBand="0" w:oddHBand="0" w:evenHBand="0" w:firstRowFirstColumn="0" w:firstRowLastColumn="0" w:lastRowFirstColumn="0" w:lastRowLastColumn="0"/>
            </w:pPr>
            <w:r>
              <w:t xml:space="preserve">Facebook Messenger, WhatsApp, </w:t>
            </w:r>
            <w:proofErr w:type="spellStart"/>
            <w:r>
              <w:t>SnapChat</w:t>
            </w:r>
            <w:proofErr w:type="spellEnd"/>
            <w:r>
              <w:t xml:space="preserve">, Signal, </w:t>
            </w:r>
            <w:proofErr w:type="spellStart"/>
            <w:r>
              <w:t>iMessage</w:t>
            </w:r>
            <w:proofErr w:type="spellEnd"/>
            <w:r>
              <w:t>, Zoom, Slack</w:t>
            </w:r>
            <w:r w:rsidR="00E341AD">
              <w:t>, Discord</w:t>
            </w:r>
            <w:r w:rsidR="001C324A">
              <w:t>, WeChat</w:t>
            </w:r>
          </w:p>
        </w:tc>
      </w:tr>
      <w:tr w:rsidR="002325E7" w14:paraId="3787CF46" w14:textId="77777777" w:rsidTr="005245F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3397" w:type="dxa"/>
          </w:tcPr>
          <w:p w14:paraId="55E8334C" w14:textId="0DB9023B" w:rsidR="005245FE" w:rsidRPr="00471A00" w:rsidRDefault="005245FE">
            <w:pPr>
              <w:spacing w:before="0" w:after="0"/>
              <w:ind w:left="46"/>
              <w:rPr>
                <w:b w:val="0"/>
                <w:bCs w:val="0"/>
                <w:szCs w:val="22"/>
              </w:rPr>
            </w:pPr>
            <w:r>
              <w:rPr>
                <w:szCs w:val="22"/>
              </w:rPr>
              <w:t>~</w:t>
            </w:r>
            <w:r w:rsidRPr="00471A00">
              <w:rPr>
                <w:szCs w:val="22"/>
              </w:rPr>
              <w:t xml:space="preserve">2 </w:t>
            </w:r>
            <w:r w:rsidRPr="005A16CB">
              <w:rPr>
                <w:szCs w:val="22"/>
              </w:rPr>
              <w:t>paid</w:t>
            </w:r>
            <w:r>
              <w:rPr>
                <w:szCs w:val="22"/>
              </w:rPr>
              <w:t xml:space="preserve"> </w:t>
            </w:r>
            <w:r w:rsidRPr="00471A00">
              <w:rPr>
                <w:szCs w:val="22"/>
              </w:rPr>
              <w:t>search advertising service</w:t>
            </w:r>
            <w:r>
              <w:rPr>
                <w:szCs w:val="22"/>
              </w:rPr>
              <w:t xml:space="preserve">s </w:t>
            </w:r>
          </w:p>
        </w:tc>
        <w:tc>
          <w:tcPr>
            <w:tcW w:w="5660" w:type="dxa"/>
          </w:tcPr>
          <w:p w14:paraId="4804BF94" w14:textId="428769E5" w:rsidR="005245FE" w:rsidRDefault="005245FE">
            <w:pPr>
              <w:spacing w:before="0" w:after="0"/>
              <w:ind w:left="46"/>
              <w:cnfStyle w:val="000000100000" w:firstRow="0" w:lastRow="0" w:firstColumn="0" w:lastColumn="0" w:oddVBand="0" w:evenVBand="0" w:oddHBand="1" w:evenHBand="0" w:firstRowFirstColumn="0" w:firstRowLastColumn="0" w:lastRowFirstColumn="0" w:lastRowLastColumn="0"/>
            </w:pPr>
            <w:r>
              <w:t>Google Search, Bing Search</w:t>
            </w:r>
          </w:p>
        </w:tc>
      </w:tr>
    </w:tbl>
    <w:p w14:paraId="331BCC39" w14:textId="0D9737BA" w:rsidR="00EB6333" w:rsidRDefault="00126E6D" w:rsidP="0056710E">
      <w:r>
        <w:t xml:space="preserve">Due to the broad range of regulated services in this sector, and that sector-wide action </w:t>
      </w:r>
      <w:r w:rsidR="00C8471F">
        <w:t xml:space="preserve">to combat scams has </w:t>
      </w:r>
      <w:r>
        <w:t xml:space="preserve">not been as co-ordinated </w:t>
      </w:r>
      <w:r w:rsidR="00C8471F">
        <w:t>to-date as in other sectors</w:t>
      </w:r>
      <w:r>
        <w:t xml:space="preserve">, greater uplift can be expected to meet compliance with the </w:t>
      </w:r>
      <w:r w:rsidR="000C2127">
        <w:t>SPF</w:t>
      </w:r>
      <w:r>
        <w:t>.</w:t>
      </w:r>
      <w:r w:rsidRPr="0054455D">
        <w:t xml:space="preserve"> </w:t>
      </w:r>
      <w:r>
        <w:t xml:space="preserve">Whilst the voluntary AOSC would encourage the uplift of anti-scam activities </w:t>
      </w:r>
      <w:r w:rsidR="003A2876">
        <w:t xml:space="preserve">in relation to </w:t>
      </w:r>
      <w:r>
        <w:t xml:space="preserve">services </w:t>
      </w:r>
      <w:r w:rsidR="00C43F2B">
        <w:t>covered by the A</w:t>
      </w:r>
      <w:r w:rsidR="00B00E4D">
        <w:t>O</w:t>
      </w:r>
      <w:r w:rsidR="00C43F2B">
        <w:t xml:space="preserve">SC </w:t>
      </w:r>
      <w:r w:rsidR="00D6628B">
        <w:t xml:space="preserve">that </w:t>
      </w:r>
      <w:r w:rsidR="00C43F2B">
        <w:t xml:space="preserve">are </w:t>
      </w:r>
      <w:r>
        <w:t>offer</w:t>
      </w:r>
      <w:r w:rsidR="00AE4105">
        <w:t>ed</w:t>
      </w:r>
      <w:r>
        <w:t xml:space="preserve"> by the </w:t>
      </w:r>
      <w:r w:rsidR="00D7507A">
        <w:t>signatories</w:t>
      </w:r>
      <w:r>
        <w:t xml:space="preserve">, the </w:t>
      </w:r>
      <w:r w:rsidR="000C2127">
        <w:t xml:space="preserve">SPF </w:t>
      </w:r>
      <w:r w:rsidR="00CE5C62">
        <w:t>would</w:t>
      </w:r>
      <w:r>
        <w:t xml:space="preserve"> mandate a stronger uplift to address scam activity in</w:t>
      </w:r>
      <w:r w:rsidR="00D15228">
        <w:t xml:space="preserve"> designated services provided by</w:t>
      </w:r>
      <w:r>
        <w:t xml:space="preserve"> digital platforms.</w:t>
      </w:r>
      <w:r w:rsidR="00CE5C62">
        <w:t xml:space="preserve"> </w:t>
      </w:r>
      <w:r w:rsidR="00D36C8A">
        <w:t xml:space="preserve">In addition to general obligations relating to governance and information sharing, businesses may undertake the following actions to </w:t>
      </w:r>
      <w:r w:rsidR="004A5223">
        <w:t xml:space="preserve">demonstrate compliance with the </w:t>
      </w:r>
      <w:r>
        <w:t>SPF</w:t>
      </w:r>
      <w:r w:rsidR="00EB6333">
        <w:t xml:space="preserve">: </w:t>
      </w:r>
    </w:p>
    <w:p w14:paraId="706E86C3" w14:textId="7BB0B8FD" w:rsidR="00DB5E9A" w:rsidRPr="00EB6333" w:rsidRDefault="00EB6333" w:rsidP="00183D93">
      <w:pPr>
        <w:pStyle w:val="Bullet"/>
        <w:numPr>
          <w:ilvl w:val="0"/>
          <w:numId w:val="52"/>
        </w:numPr>
      </w:pPr>
      <w:r w:rsidRPr="005A16CB">
        <w:rPr>
          <w:b/>
          <w:bCs/>
        </w:rPr>
        <w:t>Prevention activities</w:t>
      </w:r>
      <w:r w:rsidR="00911EC4">
        <w:t xml:space="preserve">, including </w:t>
      </w:r>
      <w:r w:rsidR="002C4556">
        <w:t xml:space="preserve">greater verification of user accounts, </w:t>
      </w:r>
      <w:r w:rsidR="00543931">
        <w:t xml:space="preserve">and </w:t>
      </w:r>
      <w:r w:rsidR="00911EC4">
        <w:t>clear information and warnings to</w:t>
      </w:r>
      <w:r w:rsidR="00824D6D">
        <w:t xml:space="preserve"> service</w:t>
      </w:r>
      <w:r w:rsidR="00911EC4">
        <w:t xml:space="preserve"> </w:t>
      </w:r>
      <w:r w:rsidR="00605ED1">
        <w:t xml:space="preserve">users </w:t>
      </w:r>
      <w:r w:rsidR="00911EC4">
        <w:t>about scam activity</w:t>
      </w:r>
      <w:r w:rsidR="001231D0">
        <w:t xml:space="preserve"> and providing users with</w:t>
      </w:r>
      <w:r w:rsidR="00911EC4">
        <w:t xml:space="preserve"> </w:t>
      </w:r>
      <w:r w:rsidR="002D32E1">
        <w:t xml:space="preserve">the options to manage their </w:t>
      </w:r>
      <w:r w:rsidR="00200197">
        <w:t>exposure to content at a higher risk of being a scam, such as receiving messages from unknown accounts.</w:t>
      </w:r>
      <w:r w:rsidR="000B2366">
        <w:t xml:space="preserve"> </w:t>
      </w:r>
    </w:p>
    <w:p w14:paraId="0206DCED" w14:textId="325CF6D9" w:rsidR="00DB5E9A" w:rsidRPr="00EB6333" w:rsidRDefault="00EB6333" w:rsidP="00183D93">
      <w:pPr>
        <w:pStyle w:val="Bullet"/>
        <w:numPr>
          <w:ilvl w:val="0"/>
          <w:numId w:val="52"/>
        </w:numPr>
      </w:pPr>
      <w:r w:rsidRPr="005A16CB">
        <w:rPr>
          <w:b/>
          <w:bCs/>
        </w:rPr>
        <w:lastRenderedPageBreak/>
        <w:t>Detection activities</w:t>
      </w:r>
      <w:r w:rsidR="004E78B3">
        <w:t xml:space="preserve">, including the use of appropriate tools and technologies to </w:t>
      </w:r>
      <w:r w:rsidR="00D36C8A">
        <w:t>proactively</w:t>
      </w:r>
      <w:r w:rsidR="004E78B3">
        <w:t xml:space="preserve"> identify </w:t>
      </w:r>
      <w:r w:rsidR="00D36C8A">
        <w:t xml:space="preserve">accounts, content and advertisements that are likely to be associated with scam activity. </w:t>
      </w:r>
    </w:p>
    <w:p w14:paraId="50A82864" w14:textId="45B5B66C" w:rsidR="00584664" w:rsidRDefault="00EB6333" w:rsidP="00183D93">
      <w:pPr>
        <w:pStyle w:val="Bullet"/>
        <w:numPr>
          <w:ilvl w:val="0"/>
          <w:numId w:val="52"/>
        </w:numPr>
      </w:pPr>
      <w:r w:rsidRPr="005A16CB">
        <w:rPr>
          <w:b/>
          <w:bCs/>
        </w:rPr>
        <w:t>Disruption activities</w:t>
      </w:r>
      <w:r>
        <w:t xml:space="preserve">, </w:t>
      </w:r>
      <w:r w:rsidR="00FE4E1E">
        <w:t>involving</w:t>
      </w:r>
      <w:r>
        <w:t xml:space="preserve"> greater content moderation </w:t>
      </w:r>
      <w:r w:rsidR="00FE4E1E">
        <w:t xml:space="preserve">including suspension </w:t>
      </w:r>
      <w:r>
        <w:t xml:space="preserve">of </w:t>
      </w:r>
      <w:r w:rsidR="00C839B0">
        <w:t>accounts</w:t>
      </w:r>
      <w:r w:rsidR="00B30890">
        <w:t xml:space="preserve">, </w:t>
      </w:r>
      <w:r>
        <w:t>content</w:t>
      </w:r>
      <w:r w:rsidR="00B30890">
        <w:t xml:space="preserve"> </w:t>
      </w:r>
      <w:r w:rsidR="00C839B0">
        <w:t>and</w:t>
      </w:r>
      <w:r>
        <w:t xml:space="preserve"> </w:t>
      </w:r>
      <w:r w:rsidR="00FA0EBD">
        <w:t>advertisements</w:t>
      </w:r>
      <w:r>
        <w:t xml:space="preserve"> reported by users, </w:t>
      </w:r>
      <w:r w:rsidR="0062154D">
        <w:t xml:space="preserve">other entities, and regulators, and </w:t>
      </w:r>
      <w:r w:rsidR="00FE4E1E">
        <w:t>removing</w:t>
      </w:r>
      <w:r w:rsidR="00F706EB">
        <w:t xml:space="preserve"> </w:t>
      </w:r>
      <w:r w:rsidR="00C839B0">
        <w:t xml:space="preserve">those accounts and content </w:t>
      </w:r>
      <w:r w:rsidR="0004789F">
        <w:t xml:space="preserve">within a reasonable period </w:t>
      </w:r>
      <w:r w:rsidR="00C839B0">
        <w:t xml:space="preserve">if verified as a scam.  </w:t>
      </w:r>
    </w:p>
    <w:p w14:paraId="7CA74CB7" w14:textId="0F2F05FE" w:rsidR="008C7AF6" w:rsidRPr="00874346" w:rsidRDefault="00C839B0" w:rsidP="00183D93">
      <w:pPr>
        <w:pStyle w:val="Bullet"/>
        <w:numPr>
          <w:ilvl w:val="0"/>
          <w:numId w:val="52"/>
        </w:numPr>
      </w:pPr>
      <w:r w:rsidRPr="005A16CB">
        <w:rPr>
          <w:b/>
          <w:bCs/>
        </w:rPr>
        <w:t>Response</w:t>
      </w:r>
      <w:r w:rsidR="008C7AF6" w:rsidRPr="005A16CB">
        <w:rPr>
          <w:b/>
          <w:bCs/>
        </w:rPr>
        <w:t>s to scams</w:t>
      </w:r>
      <w:r w:rsidR="008C7AF6" w:rsidRPr="00874346">
        <w:t>, including</w:t>
      </w:r>
      <w:r w:rsidR="00584664" w:rsidRPr="00874346">
        <w:t xml:space="preserve"> to </w:t>
      </w:r>
      <w:r w:rsidR="006F3B47" w:rsidRPr="00874346">
        <w:t>have an accessible mechanism for consumers to report scams, an accessible and transparent IDR mechanism and membership of an EDR scheme</w:t>
      </w:r>
      <w:r w:rsidR="00445207" w:rsidRPr="00874346">
        <w:t>.</w:t>
      </w:r>
    </w:p>
    <w:p w14:paraId="794C3685" w14:textId="67243874" w:rsidR="001D371F" w:rsidRDefault="00920610" w:rsidP="00420FEA">
      <w:r w:rsidRPr="00874346">
        <w:t>Under Option 2,</w:t>
      </w:r>
      <w:r w:rsidR="005540F9" w:rsidRPr="00874346">
        <w:t xml:space="preserve"> designated</w:t>
      </w:r>
      <w:r w:rsidRPr="00874346">
        <w:t xml:space="preserve"> digital platforms </w:t>
      </w:r>
      <w:r w:rsidR="009D7A87" w:rsidRPr="00874346">
        <w:t xml:space="preserve">would </w:t>
      </w:r>
      <w:r w:rsidRPr="00874346">
        <w:t>be required to have in place an IDR mechanism that is accessible and transparent for users</w:t>
      </w:r>
      <w:r w:rsidR="00C67382" w:rsidRPr="00874346">
        <w:t>, and</w:t>
      </w:r>
      <w:r w:rsidR="0039635E" w:rsidRPr="00874346">
        <w:t xml:space="preserve"> comply with </w:t>
      </w:r>
      <w:r w:rsidR="00C67382" w:rsidRPr="00874346">
        <w:t xml:space="preserve">any </w:t>
      </w:r>
      <w:r w:rsidR="0039635E" w:rsidRPr="00874346">
        <w:t xml:space="preserve">requirements related to IDR </w:t>
      </w:r>
      <w:r w:rsidR="00574877" w:rsidRPr="00874346">
        <w:t>set out in the sector codes</w:t>
      </w:r>
      <w:r w:rsidR="00C67382" w:rsidRPr="00874346">
        <w:t xml:space="preserve"> (including timeframes for response</w:t>
      </w:r>
      <w:r w:rsidR="00581855" w:rsidRPr="00874346">
        <w:t xml:space="preserve"> to a consumer complaint</w:t>
      </w:r>
      <w:r w:rsidR="00C67382" w:rsidRPr="00874346">
        <w:t>).</w:t>
      </w:r>
      <w:r w:rsidR="007C7315" w:rsidRPr="00874346">
        <w:t xml:space="preserve"> </w:t>
      </w:r>
      <w:r w:rsidR="0010417A" w:rsidRPr="00874346">
        <w:t>D</w:t>
      </w:r>
      <w:r w:rsidR="005540F9" w:rsidRPr="00874346">
        <w:t xml:space="preserve">esignated </w:t>
      </w:r>
      <w:r w:rsidR="00B57419" w:rsidRPr="00874346">
        <w:t xml:space="preserve">digital platforms </w:t>
      </w:r>
      <w:r w:rsidR="009D7A87" w:rsidRPr="00874346">
        <w:t xml:space="preserve">would </w:t>
      </w:r>
      <w:r w:rsidR="00B57419" w:rsidRPr="00874346">
        <w:t xml:space="preserve">be required to become a member </w:t>
      </w:r>
      <w:r w:rsidR="00375FE2" w:rsidRPr="00874346">
        <w:t>of AFCA</w:t>
      </w:r>
      <w:r w:rsidR="00B57419" w:rsidRPr="00874346">
        <w:t xml:space="preserve"> if they are providing a service that is regulated by the </w:t>
      </w:r>
      <w:r w:rsidR="000C2127">
        <w:t>SPF</w:t>
      </w:r>
      <w:r w:rsidR="00B57419" w:rsidRPr="00874346">
        <w:t xml:space="preserve">. </w:t>
      </w:r>
    </w:p>
    <w:p w14:paraId="0432B18F" w14:textId="573C1E2A" w:rsidR="00F77E69" w:rsidRDefault="00F77E69" w:rsidP="00F77E69">
      <w:r>
        <w:t xml:space="preserve">Areas where there </w:t>
      </w:r>
      <w:r w:rsidR="0023747C">
        <w:t>would be uplift required</w:t>
      </w:r>
      <w:r w:rsidR="009261E9">
        <w:t xml:space="preserve"> </w:t>
      </w:r>
      <w:r w:rsidR="0023747C">
        <w:t xml:space="preserve">additional to current initiatives of entities in the digital platforms sector </w:t>
      </w:r>
      <w:r w:rsidR="004A07FC">
        <w:t xml:space="preserve">are summarised </w:t>
      </w:r>
      <w:r>
        <w:t>i</w:t>
      </w:r>
      <w:r w:rsidR="00524A25">
        <w:t xml:space="preserve">n </w:t>
      </w:r>
      <w:r w:rsidR="00524A25">
        <w:fldChar w:fldCharType="begin"/>
      </w:r>
      <w:r w:rsidR="00524A25">
        <w:instrText xml:space="preserve"> REF _Ref177510761 \h </w:instrText>
      </w:r>
      <w:r w:rsidR="00524A25">
        <w:fldChar w:fldCharType="separate"/>
      </w:r>
      <w:r w:rsidR="00962C40">
        <w:t xml:space="preserve">Table </w:t>
      </w:r>
      <w:r w:rsidR="00962C40">
        <w:rPr>
          <w:noProof/>
        </w:rPr>
        <w:t>10</w:t>
      </w:r>
      <w:r w:rsidR="00524A25">
        <w:fldChar w:fldCharType="end"/>
      </w:r>
      <w:r>
        <w:t xml:space="preserve">.  </w:t>
      </w:r>
    </w:p>
    <w:p w14:paraId="5907829D" w14:textId="6D4B1299" w:rsidR="00813B22" w:rsidRPr="00901355" w:rsidRDefault="00813B22" w:rsidP="00813B22">
      <w:pPr>
        <w:pStyle w:val="Heading8"/>
      </w:pPr>
      <w:bookmarkStart w:id="41" w:name="_Ref177510761"/>
      <w:r>
        <w:t xml:space="preserve">Table </w:t>
      </w:r>
      <w:fldSimple w:instr=" SEQ Table \* ARABIC ">
        <w:r w:rsidR="00962C40">
          <w:rPr>
            <w:noProof/>
          </w:rPr>
          <w:t>10</w:t>
        </w:r>
      </w:fldSimple>
      <w:bookmarkEnd w:id="41"/>
      <w:r>
        <w:t xml:space="preserve"> – Digital plat</w:t>
      </w:r>
      <w:r w:rsidR="000E11E5">
        <w:t>for</w:t>
      </w:r>
      <w:r>
        <w:t xml:space="preserve">ms sector initiatives and uplift required for </w:t>
      </w:r>
      <w:r w:rsidR="000A746C">
        <w:t>Scams Prevention</w:t>
      </w:r>
      <w:r>
        <w:t xml:space="preserve"> Framework</w:t>
      </w:r>
    </w:p>
    <w:tbl>
      <w:tblPr>
        <w:tblStyle w:val="Custom1"/>
        <w:tblW w:w="0" w:type="auto"/>
        <w:tblInd w:w="0" w:type="dxa"/>
        <w:tblLook w:val="04A0" w:firstRow="1" w:lastRow="0" w:firstColumn="1" w:lastColumn="0" w:noHBand="0" w:noVBand="1"/>
      </w:tblPr>
      <w:tblGrid>
        <w:gridCol w:w="2854"/>
        <w:gridCol w:w="3122"/>
        <w:gridCol w:w="3094"/>
      </w:tblGrid>
      <w:tr w:rsidR="00813B22" w14:paraId="5F04EDC5" w14:textId="77777777">
        <w:trPr>
          <w:cnfStyle w:val="100000000000" w:firstRow="1" w:lastRow="0" w:firstColumn="0" w:lastColumn="0" w:oddVBand="0" w:evenVBand="0" w:oddHBand="0" w:evenHBand="0" w:firstRowFirstColumn="0" w:firstRowLastColumn="0" w:lastRowFirstColumn="0" w:lastRowLastColumn="0"/>
        </w:trPr>
        <w:tc>
          <w:tcPr>
            <w:tcW w:w="2854" w:type="dxa"/>
          </w:tcPr>
          <w:p w14:paraId="102AAB10" w14:textId="77777777" w:rsidR="00813B22" w:rsidRPr="000E11E5" w:rsidRDefault="00813B22">
            <w:pPr>
              <w:rPr>
                <w:sz w:val="22"/>
                <w:szCs w:val="22"/>
              </w:rPr>
            </w:pPr>
            <w:r w:rsidRPr="000E11E5">
              <w:rPr>
                <w:sz w:val="22"/>
                <w:szCs w:val="22"/>
              </w:rPr>
              <w:t>Obligation</w:t>
            </w:r>
          </w:p>
        </w:tc>
        <w:tc>
          <w:tcPr>
            <w:tcW w:w="3122" w:type="dxa"/>
          </w:tcPr>
          <w:p w14:paraId="4FF1391D" w14:textId="09CF2A5C" w:rsidR="00813B22" w:rsidRPr="000E11E5" w:rsidRDefault="00813B22">
            <w:pPr>
              <w:rPr>
                <w:sz w:val="22"/>
                <w:szCs w:val="22"/>
              </w:rPr>
            </w:pPr>
            <w:r w:rsidRPr="000E11E5">
              <w:rPr>
                <w:sz w:val="22"/>
                <w:szCs w:val="22"/>
              </w:rPr>
              <w:t xml:space="preserve">Current </w:t>
            </w:r>
            <w:r w:rsidR="00514DB1">
              <w:rPr>
                <w:sz w:val="22"/>
                <w:szCs w:val="22"/>
              </w:rPr>
              <w:t>initiatives</w:t>
            </w:r>
            <w:r w:rsidR="00095CEC">
              <w:rPr>
                <w:sz w:val="22"/>
                <w:szCs w:val="22"/>
              </w:rPr>
              <w:t xml:space="preserve"> for A</w:t>
            </w:r>
            <w:r w:rsidR="00E44231">
              <w:rPr>
                <w:sz w:val="22"/>
                <w:szCs w:val="22"/>
              </w:rPr>
              <w:t>O</w:t>
            </w:r>
            <w:r w:rsidR="00095CEC">
              <w:rPr>
                <w:sz w:val="22"/>
                <w:szCs w:val="22"/>
              </w:rPr>
              <w:t>SC signatories</w:t>
            </w:r>
          </w:p>
        </w:tc>
        <w:tc>
          <w:tcPr>
            <w:tcW w:w="3094" w:type="dxa"/>
          </w:tcPr>
          <w:p w14:paraId="7428DF21" w14:textId="77777777" w:rsidR="00813B22" w:rsidRPr="000E11E5" w:rsidRDefault="00813B22">
            <w:pPr>
              <w:rPr>
                <w:sz w:val="22"/>
                <w:szCs w:val="22"/>
              </w:rPr>
            </w:pPr>
            <w:r w:rsidRPr="000E11E5">
              <w:rPr>
                <w:sz w:val="22"/>
                <w:szCs w:val="22"/>
              </w:rPr>
              <w:t>Uplift required</w:t>
            </w:r>
          </w:p>
        </w:tc>
      </w:tr>
      <w:tr w:rsidR="00813B22" w14:paraId="7873E92B" w14:textId="77777777">
        <w:trPr>
          <w:cnfStyle w:val="000000100000" w:firstRow="0" w:lastRow="0" w:firstColumn="0" w:lastColumn="0" w:oddVBand="0" w:evenVBand="0" w:oddHBand="1" w:evenHBand="0" w:firstRowFirstColumn="0" w:firstRowLastColumn="0" w:lastRowFirstColumn="0" w:lastRowLastColumn="0"/>
        </w:trPr>
        <w:tc>
          <w:tcPr>
            <w:tcW w:w="2854" w:type="dxa"/>
          </w:tcPr>
          <w:p w14:paraId="5B229746" w14:textId="7396B791" w:rsidR="00813B22" w:rsidRPr="000E11E5" w:rsidRDefault="00813B22">
            <w:pPr>
              <w:rPr>
                <w:sz w:val="22"/>
                <w:szCs w:val="22"/>
              </w:rPr>
            </w:pPr>
            <w:r w:rsidRPr="000E11E5">
              <w:rPr>
                <w:sz w:val="22"/>
                <w:szCs w:val="22"/>
              </w:rPr>
              <w:t xml:space="preserve">Anti-scam </w:t>
            </w:r>
            <w:r w:rsidR="00DE4297">
              <w:rPr>
                <w:sz w:val="22"/>
                <w:szCs w:val="22"/>
              </w:rPr>
              <w:t>activities</w:t>
            </w:r>
          </w:p>
        </w:tc>
        <w:tc>
          <w:tcPr>
            <w:tcW w:w="3122" w:type="dxa"/>
          </w:tcPr>
          <w:p w14:paraId="59124A2B" w14:textId="5A2E6E90" w:rsidR="00813B22" w:rsidRPr="000E11E5" w:rsidRDefault="00990185">
            <w:pPr>
              <w:rPr>
                <w:sz w:val="22"/>
                <w:szCs w:val="22"/>
              </w:rPr>
            </w:pPr>
            <w:r>
              <w:rPr>
                <w:sz w:val="22"/>
                <w:szCs w:val="22"/>
              </w:rPr>
              <w:t>Voluntary AOSC commitments to d</w:t>
            </w:r>
            <w:r w:rsidR="00882E9D">
              <w:rPr>
                <w:sz w:val="22"/>
                <w:szCs w:val="22"/>
              </w:rPr>
              <w:t>evelop internal anti-scams strategy</w:t>
            </w:r>
            <w:r w:rsidR="00E3121B">
              <w:rPr>
                <w:sz w:val="22"/>
                <w:szCs w:val="22"/>
              </w:rPr>
              <w:t xml:space="preserve"> and procedures</w:t>
            </w:r>
          </w:p>
        </w:tc>
        <w:tc>
          <w:tcPr>
            <w:tcW w:w="3094" w:type="dxa"/>
          </w:tcPr>
          <w:p w14:paraId="2DB4497C" w14:textId="2E3A8617" w:rsidR="00813B22" w:rsidRPr="000E11E5" w:rsidRDefault="00882E9D">
            <w:pPr>
              <w:rPr>
                <w:sz w:val="22"/>
                <w:szCs w:val="22"/>
              </w:rPr>
            </w:pPr>
            <w:r>
              <w:rPr>
                <w:sz w:val="22"/>
                <w:szCs w:val="22"/>
              </w:rPr>
              <w:t xml:space="preserve">Develop anti-scams </w:t>
            </w:r>
            <w:r w:rsidR="006756AF">
              <w:rPr>
                <w:sz w:val="22"/>
                <w:szCs w:val="22"/>
              </w:rPr>
              <w:t>activities</w:t>
            </w:r>
            <w:r>
              <w:rPr>
                <w:sz w:val="22"/>
                <w:szCs w:val="22"/>
              </w:rPr>
              <w:t xml:space="preserve">, with oversight and governance measures for continuous improvement </w:t>
            </w:r>
          </w:p>
        </w:tc>
      </w:tr>
      <w:tr w:rsidR="00813B22" w14:paraId="0E6CDC26" w14:textId="77777777">
        <w:tc>
          <w:tcPr>
            <w:tcW w:w="2854" w:type="dxa"/>
          </w:tcPr>
          <w:p w14:paraId="11C50FA2" w14:textId="77777777" w:rsidR="00813B22" w:rsidRPr="000E11E5" w:rsidRDefault="00813B22">
            <w:pPr>
              <w:rPr>
                <w:sz w:val="22"/>
                <w:szCs w:val="22"/>
              </w:rPr>
            </w:pPr>
            <w:r w:rsidRPr="000E11E5">
              <w:rPr>
                <w:sz w:val="22"/>
                <w:szCs w:val="22"/>
              </w:rPr>
              <w:t>Information sharing and reporting</w:t>
            </w:r>
          </w:p>
        </w:tc>
        <w:tc>
          <w:tcPr>
            <w:tcW w:w="3122" w:type="dxa"/>
          </w:tcPr>
          <w:p w14:paraId="4FF57AD0" w14:textId="0BF53623" w:rsidR="00813B22" w:rsidRPr="000E11E5" w:rsidRDefault="001A4936">
            <w:pPr>
              <w:rPr>
                <w:sz w:val="22"/>
                <w:szCs w:val="22"/>
              </w:rPr>
            </w:pPr>
            <w:r>
              <w:rPr>
                <w:sz w:val="22"/>
                <w:szCs w:val="22"/>
              </w:rPr>
              <w:t>C</w:t>
            </w:r>
            <w:r w:rsidR="00461D3E">
              <w:rPr>
                <w:sz w:val="22"/>
                <w:szCs w:val="22"/>
              </w:rPr>
              <w:t xml:space="preserve">ommitments to share </w:t>
            </w:r>
            <w:r w:rsidR="001E3532">
              <w:rPr>
                <w:sz w:val="22"/>
                <w:szCs w:val="22"/>
              </w:rPr>
              <w:t xml:space="preserve">information and respond to requests under the AOSC </w:t>
            </w:r>
            <w:r w:rsidR="001B5903">
              <w:rPr>
                <w:sz w:val="22"/>
                <w:szCs w:val="22"/>
              </w:rPr>
              <w:t xml:space="preserve">and engage with the NASC </w:t>
            </w:r>
          </w:p>
        </w:tc>
        <w:tc>
          <w:tcPr>
            <w:tcW w:w="3094" w:type="dxa"/>
          </w:tcPr>
          <w:p w14:paraId="177569E9" w14:textId="47D7E82F" w:rsidR="00813B22" w:rsidRPr="000E11E5" w:rsidRDefault="001942E6">
            <w:pPr>
              <w:rPr>
                <w:sz w:val="22"/>
                <w:szCs w:val="22"/>
              </w:rPr>
            </w:pPr>
            <w:r>
              <w:rPr>
                <w:sz w:val="22"/>
                <w:szCs w:val="22"/>
              </w:rPr>
              <w:t>Higher standards of information sharing would be required</w:t>
            </w:r>
            <w:r w:rsidR="00E6542F">
              <w:rPr>
                <w:sz w:val="22"/>
                <w:szCs w:val="22"/>
              </w:rPr>
              <w:t>, including with other sectors</w:t>
            </w:r>
          </w:p>
        </w:tc>
      </w:tr>
      <w:tr w:rsidR="00236046" w14:paraId="6B0E9B7B" w14:textId="77777777">
        <w:trPr>
          <w:cnfStyle w:val="000000100000" w:firstRow="0" w:lastRow="0" w:firstColumn="0" w:lastColumn="0" w:oddVBand="0" w:evenVBand="0" w:oddHBand="1" w:evenHBand="0" w:firstRowFirstColumn="0" w:firstRowLastColumn="0" w:lastRowFirstColumn="0" w:lastRowLastColumn="0"/>
        </w:trPr>
        <w:tc>
          <w:tcPr>
            <w:tcW w:w="2854" w:type="dxa"/>
          </w:tcPr>
          <w:p w14:paraId="0CBD8B53" w14:textId="66153F04" w:rsidR="00236046" w:rsidRPr="00DC3866" w:rsidRDefault="004F4A3D">
            <w:pPr>
              <w:rPr>
                <w:sz w:val="22"/>
                <w:szCs w:val="22"/>
              </w:rPr>
            </w:pPr>
            <w:r>
              <w:rPr>
                <w:sz w:val="22"/>
                <w:szCs w:val="22"/>
              </w:rPr>
              <w:t>Dispute</w:t>
            </w:r>
            <w:r w:rsidR="00236046" w:rsidRPr="00DC3866">
              <w:rPr>
                <w:sz w:val="22"/>
                <w:szCs w:val="22"/>
              </w:rPr>
              <w:t xml:space="preserve"> resolution</w:t>
            </w:r>
            <w:r>
              <w:rPr>
                <w:sz w:val="22"/>
                <w:szCs w:val="22"/>
              </w:rPr>
              <w:t xml:space="preserve"> </w:t>
            </w:r>
          </w:p>
        </w:tc>
        <w:tc>
          <w:tcPr>
            <w:tcW w:w="3122" w:type="dxa"/>
          </w:tcPr>
          <w:p w14:paraId="5E969836" w14:textId="1636E7C4" w:rsidR="00236046" w:rsidRPr="00DC3866" w:rsidRDefault="004F4A3D">
            <w:pPr>
              <w:rPr>
                <w:sz w:val="22"/>
                <w:szCs w:val="22"/>
              </w:rPr>
            </w:pPr>
            <w:r>
              <w:rPr>
                <w:sz w:val="22"/>
                <w:szCs w:val="22"/>
              </w:rPr>
              <w:t xml:space="preserve">No </w:t>
            </w:r>
            <w:r w:rsidR="00B37A68">
              <w:rPr>
                <w:sz w:val="22"/>
                <w:szCs w:val="22"/>
              </w:rPr>
              <w:t xml:space="preserve">mandatory </w:t>
            </w:r>
            <w:r>
              <w:rPr>
                <w:sz w:val="22"/>
                <w:szCs w:val="22"/>
              </w:rPr>
              <w:t xml:space="preserve">requirements </w:t>
            </w:r>
          </w:p>
        </w:tc>
        <w:tc>
          <w:tcPr>
            <w:tcW w:w="3094" w:type="dxa"/>
          </w:tcPr>
          <w:p w14:paraId="525A3E23" w14:textId="75146C86" w:rsidR="00236046" w:rsidRPr="00DC3866" w:rsidRDefault="00CD4682">
            <w:pPr>
              <w:rPr>
                <w:sz w:val="22"/>
                <w:szCs w:val="22"/>
              </w:rPr>
            </w:pPr>
            <w:r>
              <w:rPr>
                <w:sz w:val="22"/>
                <w:szCs w:val="22"/>
              </w:rPr>
              <w:t xml:space="preserve">Accessible and transparent </w:t>
            </w:r>
            <w:r w:rsidR="001B5903">
              <w:rPr>
                <w:sz w:val="22"/>
                <w:szCs w:val="22"/>
              </w:rPr>
              <w:t>IDR</w:t>
            </w:r>
            <w:r w:rsidR="004F4A3D">
              <w:rPr>
                <w:sz w:val="22"/>
                <w:szCs w:val="22"/>
              </w:rPr>
              <w:t xml:space="preserve"> </w:t>
            </w:r>
            <w:r>
              <w:rPr>
                <w:sz w:val="22"/>
                <w:szCs w:val="22"/>
              </w:rPr>
              <w:t>mechanism available to consumers</w:t>
            </w:r>
            <w:r w:rsidR="004F4A3D">
              <w:rPr>
                <w:sz w:val="22"/>
                <w:szCs w:val="22"/>
              </w:rPr>
              <w:t xml:space="preserve"> and </w:t>
            </w:r>
            <w:bookmarkStart w:id="42" w:name="_GoBack"/>
            <w:bookmarkEnd w:id="42"/>
            <w:r w:rsidR="00065671" w:rsidRPr="00DC3866">
              <w:rPr>
                <w:sz w:val="22"/>
                <w:szCs w:val="22"/>
              </w:rPr>
              <w:t>AFCA membership</w:t>
            </w:r>
          </w:p>
        </w:tc>
      </w:tr>
    </w:tbl>
    <w:p w14:paraId="18996B00" w14:textId="7B9A3534" w:rsidR="00813B22" w:rsidRDefault="00E844D2" w:rsidP="00E22E50">
      <w:r>
        <w:t xml:space="preserve">As outlined in </w:t>
      </w:r>
      <w:r w:rsidR="00BA02DF">
        <w:fldChar w:fldCharType="begin"/>
      </w:r>
      <w:r w:rsidR="00BA02DF">
        <w:instrText xml:space="preserve"> REF _Ref177390446 \h </w:instrText>
      </w:r>
      <w:r w:rsidR="00BA02DF">
        <w:fldChar w:fldCharType="separate"/>
      </w:r>
      <w:r w:rsidR="00962C40">
        <w:t xml:space="preserve">Table </w:t>
      </w:r>
      <w:r w:rsidR="00962C40">
        <w:rPr>
          <w:noProof/>
        </w:rPr>
        <w:t>11</w:t>
      </w:r>
      <w:r w:rsidR="00BA02DF">
        <w:fldChar w:fldCharType="end"/>
      </w:r>
      <w:r>
        <w:t xml:space="preserve">, the estimated regulatory costs of Option 2 </w:t>
      </w:r>
      <w:r w:rsidR="003D3433">
        <w:t xml:space="preserve">additional to the status quo </w:t>
      </w:r>
      <w:r>
        <w:t xml:space="preserve">for the </w:t>
      </w:r>
      <w:r w:rsidR="00BA02DF">
        <w:t>digital platforms</w:t>
      </w:r>
      <w:r>
        <w:t xml:space="preserve"> would be </w:t>
      </w:r>
      <w:r w:rsidR="0057201B">
        <w:t>$10</w:t>
      </w:r>
      <w:r w:rsidR="00397BF6">
        <w:t>6.0</w:t>
      </w:r>
      <w:r w:rsidR="0057201B">
        <w:t xml:space="preserve"> million in the initial year, and $42.</w:t>
      </w:r>
      <w:r w:rsidR="00C07443">
        <w:t>1</w:t>
      </w:r>
      <w:r w:rsidR="0057201B">
        <w:t xml:space="preserve"> million </w:t>
      </w:r>
      <w:r>
        <w:t xml:space="preserve">on an ongoing basis each following year. Most of this regulatory cost burden would be on </w:t>
      </w:r>
      <w:r w:rsidR="00C26FE4">
        <w:t xml:space="preserve">the major digital platforms </w:t>
      </w:r>
      <w:r w:rsidR="00565AFA">
        <w:t xml:space="preserve">offering social media, </w:t>
      </w:r>
      <w:r w:rsidR="00F60FD6">
        <w:t xml:space="preserve">paid search advertising and direct messaging services. </w:t>
      </w:r>
      <w:r w:rsidR="009C6431">
        <w:t xml:space="preserve">Digital platforms would be required to undertake investment in </w:t>
      </w:r>
      <w:r>
        <w:t xml:space="preserve">anti-scam </w:t>
      </w:r>
      <w:r w:rsidR="00DE4297">
        <w:t xml:space="preserve">activities </w:t>
      </w:r>
      <w:r>
        <w:t xml:space="preserve">to comply with new </w:t>
      </w:r>
      <w:r w:rsidR="00551363">
        <w:t xml:space="preserve">obligations </w:t>
      </w:r>
      <w:r w:rsidR="00481B93">
        <w:t>under the SPF</w:t>
      </w:r>
      <w:r w:rsidR="0031398F">
        <w:t>, beyond activities committed to under the AOSC</w:t>
      </w:r>
      <w:r w:rsidR="00162150">
        <w:t xml:space="preserve"> including </w:t>
      </w:r>
      <w:r>
        <w:t>governance, information sharing</w:t>
      </w:r>
      <w:r w:rsidR="00162150">
        <w:t xml:space="preserve">, </w:t>
      </w:r>
      <w:proofErr w:type="gramStart"/>
      <w:r w:rsidR="00162150">
        <w:t>IDR</w:t>
      </w:r>
      <w:proofErr w:type="gramEnd"/>
      <w:r>
        <w:t xml:space="preserve"> and EDR arrangements. </w:t>
      </w:r>
      <w:r w:rsidR="00645453">
        <w:t xml:space="preserve">Digital platforms which are not signatories to </w:t>
      </w:r>
      <w:r w:rsidR="00D47A8D">
        <w:t>the AOSC</w:t>
      </w:r>
      <w:r w:rsidR="00F56E09">
        <w:t xml:space="preserve"> would be expected to </w:t>
      </w:r>
      <w:r w:rsidR="00AA3AE7">
        <w:t>incur</w:t>
      </w:r>
      <w:r w:rsidR="00F56E09">
        <w:t xml:space="preserve"> a higher level of </w:t>
      </w:r>
      <w:r w:rsidR="00AA3AE7">
        <w:t xml:space="preserve">costs to implement </w:t>
      </w:r>
      <w:r w:rsidR="00521230">
        <w:t>anti-scam activity improvements.</w:t>
      </w:r>
      <w:r w:rsidR="00AA3AE7">
        <w:t xml:space="preserve"> </w:t>
      </w:r>
    </w:p>
    <w:p w14:paraId="5E3BC812" w14:textId="77777777" w:rsidR="00962C40" w:rsidRDefault="00962C40" w:rsidP="00E22E50"/>
    <w:p w14:paraId="1823C7C3" w14:textId="77777777" w:rsidR="00962C40" w:rsidRDefault="00962C40" w:rsidP="00E22E50"/>
    <w:p w14:paraId="69ED515D" w14:textId="77777777" w:rsidR="00962C40" w:rsidRDefault="00962C40" w:rsidP="00E22E50"/>
    <w:p w14:paraId="707A81B2" w14:textId="0FCC2B60" w:rsidR="005A3F9A" w:rsidRDefault="005A3F9A" w:rsidP="005A3F9A">
      <w:pPr>
        <w:pStyle w:val="Heading8"/>
      </w:pPr>
      <w:bookmarkStart w:id="43" w:name="_Ref177390446"/>
      <w:r>
        <w:lastRenderedPageBreak/>
        <w:t xml:space="preserve">Table </w:t>
      </w:r>
      <w:fldSimple w:instr=" SEQ Table \* ARABIC ">
        <w:r w:rsidR="00962C40">
          <w:rPr>
            <w:noProof/>
          </w:rPr>
          <w:t>11</w:t>
        </w:r>
      </w:fldSimple>
      <w:bookmarkEnd w:id="43"/>
      <w:r>
        <w:t xml:space="preserve"> – </w:t>
      </w:r>
      <w:r w:rsidR="009D7449">
        <w:t xml:space="preserve">Option 2 </w:t>
      </w:r>
      <w:r>
        <w:t xml:space="preserve">Estimated </w:t>
      </w:r>
      <w:r w:rsidR="001849C3">
        <w:t xml:space="preserve">annual </w:t>
      </w:r>
      <w:r>
        <w:t>regulatory burden on digital platforms</w:t>
      </w:r>
      <w:r w:rsidR="009D7449">
        <w:t xml:space="preserve"> ($m)</w:t>
      </w:r>
    </w:p>
    <w:tbl>
      <w:tblPr>
        <w:tblStyle w:val="Custom1"/>
        <w:tblW w:w="9266" w:type="dxa"/>
        <w:tblInd w:w="0" w:type="dxa"/>
        <w:tblLook w:val="04A0" w:firstRow="1" w:lastRow="0" w:firstColumn="1" w:lastColumn="0" w:noHBand="0" w:noVBand="1"/>
      </w:tblPr>
      <w:tblGrid>
        <w:gridCol w:w="4119"/>
        <w:gridCol w:w="1119"/>
        <w:gridCol w:w="1991"/>
        <w:gridCol w:w="2037"/>
      </w:tblGrid>
      <w:tr w:rsidR="007A7FAE" w:rsidRPr="00EC3D9F" w14:paraId="672741E6" w14:textId="77777777" w:rsidTr="005A16CB">
        <w:trPr>
          <w:cnfStyle w:val="100000000000" w:firstRow="1" w:lastRow="0" w:firstColumn="0" w:lastColumn="0" w:oddVBand="0" w:evenVBand="0" w:oddHBand="0" w:evenHBand="0" w:firstRowFirstColumn="0" w:firstRowLastColumn="0" w:lastRowFirstColumn="0" w:lastRowLastColumn="0"/>
          <w:trHeight w:val="284"/>
        </w:trPr>
        <w:tc>
          <w:tcPr>
            <w:tcW w:w="4119" w:type="dxa"/>
            <w:noWrap/>
            <w:hideMark/>
          </w:tcPr>
          <w:p w14:paraId="26CE6FDE" w14:textId="77777777" w:rsidR="007A7FAE" w:rsidRPr="000E11E5" w:rsidRDefault="007A7FAE">
            <w:pPr>
              <w:spacing w:before="0" w:after="0"/>
              <w:rPr>
                <w:rFonts w:ascii="Calibri" w:hAnsi="Calibri" w:cs="Calibri"/>
                <w:bCs/>
                <w:color w:val="FFFFFF" w:themeColor="background1"/>
                <w:sz w:val="22"/>
                <w:szCs w:val="22"/>
              </w:rPr>
            </w:pPr>
            <w:r w:rsidRPr="000E11E5">
              <w:rPr>
                <w:rFonts w:ascii="Calibri" w:hAnsi="Calibri" w:cs="Calibri"/>
                <w:bCs/>
                <w:color w:val="FFFFFF" w:themeColor="background1"/>
                <w:sz w:val="22"/>
                <w:szCs w:val="22"/>
              </w:rPr>
              <w:t>Entity type</w:t>
            </w:r>
          </w:p>
        </w:tc>
        <w:tc>
          <w:tcPr>
            <w:tcW w:w="1119" w:type="dxa"/>
          </w:tcPr>
          <w:p w14:paraId="67F7A22B" w14:textId="3C525E12" w:rsidR="007A7FAE" w:rsidRPr="00BE17D1" w:rsidRDefault="007A7FAE" w:rsidP="00BE17D1">
            <w:pPr>
              <w:spacing w:before="0" w:after="0"/>
              <w:jc w:val="right"/>
              <w:rPr>
                <w:rFonts w:ascii="Calibri" w:hAnsi="Calibri" w:cs="Calibri"/>
                <w:color w:val="FFFFFF" w:themeColor="background1"/>
                <w:sz w:val="22"/>
                <w:szCs w:val="22"/>
              </w:rPr>
            </w:pPr>
            <w:r w:rsidRPr="00606512">
              <w:rPr>
                <w:rFonts w:ascii="Calibri" w:hAnsi="Calibri" w:cs="Calibri"/>
                <w:color w:val="FFFFFF" w:themeColor="background1"/>
                <w:szCs w:val="22"/>
              </w:rPr>
              <w:t>Entities</w:t>
            </w:r>
          </w:p>
        </w:tc>
        <w:tc>
          <w:tcPr>
            <w:tcW w:w="1991" w:type="dxa"/>
            <w:noWrap/>
            <w:hideMark/>
          </w:tcPr>
          <w:p w14:paraId="58A66832" w14:textId="7751087F" w:rsidR="007A7FAE" w:rsidRPr="000E11E5" w:rsidRDefault="007A7FAE" w:rsidP="00BE17D1">
            <w:pPr>
              <w:spacing w:before="0" w:after="0"/>
              <w:jc w:val="right"/>
              <w:rPr>
                <w:rFonts w:ascii="Calibri" w:hAnsi="Calibri" w:cs="Calibri"/>
                <w:bCs/>
                <w:color w:val="FFFFFF" w:themeColor="background1"/>
                <w:sz w:val="22"/>
                <w:szCs w:val="22"/>
              </w:rPr>
            </w:pPr>
            <w:r>
              <w:rPr>
                <w:rFonts w:ascii="Calibri" w:hAnsi="Calibri" w:cs="Calibri"/>
                <w:bCs/>
                <w:color w:val="FFFFFF" w:themeColor="background1"/>
                <w:sz w:val="22"/>
                <w:szCs w:val="22"/>
              </w:rPr>
              <w:t>Initial costs</w:t>
            </w:r>
          </w:p>
        </w:tc>
        <w:tc>
          <w:tcPr>
            <w:tcW w:w="2037" w:type="dxa"/>
            <w:noWrap/>
            <w:hideMark/>
          </w:tcPr>
          <w:p w14:paraId="02F82A1F" w14:textId="7A42CA9D" w:rsidR="007A7FAE" w:rsidRPr="000E11E5" w:rsidRDefault="007A7FAE" w:rsidP="00BE17D1">
            <w:pPr>
              <w:spacing w:before="0" w:after="0"/>
              <w:jc w:val="right"/>
              <w:rPr>
                <w:rFonts w:ascii="Calibri" w:hAnsi="Calibri" w:cs="Calibri"/>
                <w:bCs/>
                <w:color w:val="FFFFFF" w:themeColor="background1"/>
                <w:sz w:val="22"/>
                <w:szCs w:val="22"/>
              </w:rPr>
            </w:pPr>
            <w:r w:rsidRPr="000E11E5">
              <w:rPr>
                <w:rFonts w:ascii="Calibri" w:hAnsi="Calibri" w:cs="Calibri"/>
                <w:bCs/>
                <w:color w:val="FFFFFF" w:themeColor="background1"/>
                <w:sz w:val="22"/>
                <w:szCs w:val="22"/>
              </w:rPr>
              <w:t>Ongoing</w:t>
            </w:r>
            <w:r>
              <w:rPr>
                <w:rFonts w:ascii="Calibri" w:hAnsi="Calibri" w:cs="Calibri"/>
                <w:bCs/>
                <w:color w:val="FFFFFF" w:themeColor="background1"/>
                <w:sz w:val="22"/>
                <w:szCs w:val="22"/>
              </w:rPr>
              <w:t xml:space="preserve"> costs</w:t>
            </w:r>
          </w:p>
        </w:tc>
      </w:tr>
      <w:tr w:rsidR="00BD2681" w:rsidRPr="00EC3D9F" w14:paraId="09C0DA65" w14:textId="77777777" w:rsidTr="005A16CB">
        <w:trPr>
          <w:cnfStyle w:val="000000100000" w:firstRow="0" w:lastRow="0" w:firstColumn="0" w:lastColumn="0" w:oddVBand="0" w:evenVBand="0" w:oddHBand="1" w:evenHBand="0" w:firstRowFirstColumn="0" w:firstRowLastColumn="0" w:lastRowFirstColumn="0" w:lastRowLastColumn="0"/>
          <w:trHeight w:val="284"/>
        </w:trPr>
        <w:tc>
          <w:tcPr>
            <w:tcW w:w="4119" w:type="dxa"/>
            <w:noWrap/>
            <w:vAlign w:val="bottom"/>
            <w:hideMark/>
          </w:tcPr>
          <w:p w14:paraId="681805FC" w14:textId="719DD9D9" w:rsidR="00BD2681" w:rsidRPr="000E11E5" w:rsidRDefault="00BD2681" w:rsidP="00BD2681">
            <w:pPr>
              <w:spacing w:before="0" w:after="0"/>
              <w:rPr>
                <w:rFonts w:ascii="Calibri" w:hAnsi="Calibri" w:cs="Calibri"/>
                <w:color w:val="000000"/>
                <w:sz w:val="22"/>
                <w:szCs w:val="22"/>
              </w:rPr>
            </w:pPr>
            <w:r>
              <w:rPr>
                <w:rFonts w:ascii="Calibri" w:hAnsi="Calibri" w:cs="Calibri"/>
                <w:color w:val="000000"/>
                <w:sz w:val="22"/>
                <w:szCs w:val="22"/>
              </w:rPr>
              <w:t>Major platforms - AOSC</w:t>
            </w:r>
          </w:p>
        </w:tc>
        <w:tc>
          <w:tcPr>
            <w:tcW w:w="1119" w:type="dxa"/>
            <w:vAlign w:val="bottom"/>
          </w:tcPr>
          <w:p w14:paraId="5C1A2B0F" w14:textId="1FEE9D31" w:rsidR="00BD2681" w:rsidRPr="00864B31" w:rsidRDefault="00BD2681" w:rsidP="00BD2681">
            <w:pPr>
              <w:spacing w:before="0" w:after="0"/>
              <w:jc w:val="right"/>
              <w:rPr>
                <w:rFonts w:ascii="Calibri" w:hAnsi="Calibri" w:cs="Calibri"/>
                <w:color w:val="000000"/>
                <w:szCs w:val="22"/>
              </w:rPr>
            </w:pPr>
            <w:r>
              <w:rPr>
                <w:rFonts w:ascii="Calibri" w:hAnsi="Calibri" w:cs="Calibri"/>
                <w:color w:val="000000"/>
                <w:sz w:val="22"/>
                <w:szCs w:val="22"/>
              </w:rPr>
              <w:t>5</w:t>
            </w:r>
          </w:p>
        </w:tc>
        <w:tc>
          <w:tcPr>
            <w:tcW w:w="1991" w:type="dxa"/>
            <w:noWrap/>
            <w:vAlign w:val="bottom"/>
            <w:hideMark/>
          </w:tcPr>
          <w:p w14:paraId="7CAA859C" w14:textId="20112536" w:rsidR="00BD2681" w:rsidRPr="000E11E5" w:rsidRDefault="00BD2681" w:rsidP="00BD2681">
            <w:pPr>
              <w:spacing w:before="0" w:after="0"/>
              <w:jc w:val="right"/>
              <w:rPr>
                <w:rFonts w:ascii="Calibri" w:hAnsi="Calibri" w:cs="Calibri"/>
                <w:color w:val="000000"/>
                <w:sz w:val="22"/>
                <w:szCs w:val="22"/>
              </w:rPr>
            </w:pPr>
            <w:r>
              <w:rPr>
                <w:rFonts w:ascii="Calibri" w:hAnsi="Calibri" w:cs="Calibri"/>
                <w:color w:val="000000"/>
                <w:sz w:val="22"/>
                <w:szCs w:val="22"/>
              </w:rPr>
              <w:t>$43.7</w:t>
            </w:r>
          </w:p>
        </w:tc>
        <w:tc>
          <w:tcPr>
            <w:tcW w:w="2037" w:type="dxa"/>
            <w:noWrap/>
            <w:vAlign w:val="bottom"/>
            <w:hideMark/>
          </w:tcPr>
          <w:p w14:paraId="34D4B58C" w14:textId="4CCD5C3D" w:rsidR="00BD2681" w:rsidRPr="000E11E5" w:rsidRDefault="00BD2681" w:rsidP="00BD2681">
            <w:pPr>
              <w:spacing w:before="0" w:after="0"/>
              <w:jc w:val="right"/>
              <w:rPr>
                <w:rFonts w:ascii="Calibri" w:hAnsi="Calibri" w:cs="Calibri"/>
                <w:color w:val="000000"/>
                <w:sz w:val="22"/>
                <w:szCs w:val="22"/>
              </w:rPr>
            </w:pPr>
            <w:r>
              <w:rPr>
                <w:rFonts w:ascii="Calibri" w:hAnsi="Calibri" w:cs="Calibri"/>
                <w:color w:val="000000"/>
                <w:sz w:val="22"/>
                <w:szCs w:val="22"/>
              </w:rPr>
              <w:t>$16.8</w:t>
            </w:r>
          </w:p>
        </w:tc>
      </w:tr>
      <w:tr w:rsidR="00BD2681" w:rsidRPr="00EC3D9F" w14:paraId="68164B14" w14:textId="77777777" w:rsidTr="005A16CB">
        <w:trPr>
          <w:trHeight w:val="284"/>
        </w:trPr>
        <w:tc>
          <w:tcPr>
            <w:tcW w:w="4119" w:type="dxa"/>
            <w:noWrap/>
            <w:vAlign w:val="bottom"/>
          </w:tcPr>
          <w:p w14:paraId="39A3D5BC" w14:textId="6A84D8D9" w:rsidR="00BD2681" w:rsidRDefault="00BD2681" w:rsidP="00BD2681">
            <w:pPr>
              <w:spacing w:before="0" w:after="0"/>
              <w:rPr>
                <w:rFonts w:ascii="Calibri" w:hAnsi="Calibri" w:cs="Calibri"/>
                <w:color w:val="000000"/>
                <w:szCs w:val="22"/>
              </w:rPr>
            </w:pPr>
            <w:r>
              <w:rPr>
                <w:rFonts w:ascii="Calibri" w:hAnsi="Calibri" w:cs="Calibri"/>
                <w:color w:val="000000"/>
                <w:sz w:val="22"/>
                <w:szCs w:val="22"/>
              </w:rPr>
              <w:t>Major platforms - non-AOSC</w:t>
            </w:r>
          </w:p>
        </w:tc>
        <w:tc>
          <w:tcPr>
            <w:tcW w:w="1119" w:type="dxa"/>
            <w:vAlign w:val="bottom"/>
          </w:tcPr>
          <w:p w14:paraId="00742A8B" w14:textId="7D585EE8" w:rsidR="00BD2681" w:rsidRPr="00864B31" w:rsidRDefault="00BD2681" w:rsidP="00BD2681">
            <w:pPr>
              <w:spacing w:before="0" w:after="0"/>
              <w:jc w:val="right"/>
              <w:rPr>
                <w:rFonts w:ascii="Calibri" w:hAnsi="Calibri" w:cs="Calibri"/>
                <w:color w:val="000000"/>
                <w:szCs w:val="22"/>
              </w:rPr>
            </w:pPr>
            <w:r>
              <w:rPr>
                <w:rFonts w:ascii="Calibri" w:hAnsi="Calibri" w:cs="Calibri"/>
                <w:color w:val="000000"/>
                <w:sz w:val="22"/>
                <w:szCs w:val="22"/>
              </w:rPr>
              <w:t>2</w:t>
            </w:r>
          </w:p>
        </w:tc>
        <w:tc>
          <w:tcPr>
            <w:tcW w:w="1991" w:type="dxa"/>
            <w:noWrap/>
            <w:vAlign w:val="bottom"/>
          </w:tcPr>
          <w:p w14:paraId="5D4B56CD" w14:textId="423DE6D0" w:rsidR="00BD2681" w:rsidRDefault="00BD2681" w:rsidP="00BD2681">
            <w:pPr>
              <w:spacing w:before="0" w:after="0"/>
              <w:jc w:val="right"/>
              <w:rPr>
                <w:rFonts w:ascii="Calibri" w:hAnsi="Calibri" w:cs="Calibri"/>
                <w:color w:val="000000"/>
                <w:szCs w:val="22"/>
              </w:rPr>
            </w:pPr>
            <w:r>
              <w:rPr>
                <w:rFonts w:ascii="Calibri" w:hAnsi="Calibri" w:cs="Calibri"/>
                <w:color w:val="000000"/>
                <w:sz w:val="22"/>
                <w:szCs w:val="22"/>
              </w:rPr>
              <w:t>$21.8</w:t>
            </w:r>
          </w:p>
        </w:tc>
        <w:tc>
          <w:tcPr>
            <w:tcW w:w="2037" w:type="dxa"/>
            <w:noWrap/>
            <w:vAlign w:val="bottom"/>
          </w:tcPr>
          <w:p w14:paraId="2E4DD795" w14:textId="5BCC8F34" w:rsidR="00BD2681" w:rsidRDefault="00BD2681" w:rsidP="00BD2681">
            <w:pPr>
              <w:spacing w:before="0" w:after="0"/>
              <w:jc w:val="right"/>
              <w:rPr>
                <w:rFonts w:ascii="Calibri" w:hAnsi="Calibri" w:cs="Calibri"/>
                <w:color w:val="000000"/>
                <w:szCs w:val="22"/>
              </w:rPr>
            </w:pPr>
            <w:r>
              <w:rPr>
                <w:rFonts w:ascii="Calibri" w:hAnsi="Calibri" w:cs="Calibri"/>
                <w:color w:val="000000"/>
                <w:sz w:val="22"/>
                <w:szCs w:val="22"/>
              </w:rPr>
              <w:t>$9.6</w:t>
            </w:r>
          </w:p>
        </w:tc>
      </w:tr>
      <w:tr w:rsidR="00BD2681" w:rsidRPr="00EC3D9F" w14:paraId="0046FE04" w14:textId="77777777" w:rsidTr="005A16CB">
        <w:trPr>
          <w:cnfStyle w:val="000000100000" w:firstRow="0" w:lastRow="0" w:firstColumn="0" w:lastColumn="0" w:oddVBand="0" w:evenVBand="0" w:oddHBand="1" w:evenHBand="0" w:firstRowFirstColumn="0" w:firstRowLastColumn="0" w:lastRowFirstColumn="0" w:lastRowLastColumn="0"/>
          <w:trHeight w:val="284"/>
        </w:trPr>
        <w:tc>
          <w:tcPr>
            <w:tcW w:w="4119" w:type="dxa"/>
            <w:noWrap/>
            <w:vAlign w:val="bottom"/>
            <w:hideMark/>
          </w:tcPr>
          <w:p w14:paraId="46870EE9" w14:textId="62482C4D" w:rsidR="00BD2681" w:rsidRPr="000E11E5" w:rsidRDefault="00BD2681" w:rsidP="00BD2681">
            <w:pPr>
              <w:spacing w:before="0" w:after="0"/>
              <w:rPr>
                <w:rFonts w:ascii="Calibri" w:hAnsi="Calibri" w:cs="Calibri"/>
                <w:color w:val="000000"/>
                <w:sz w:val="22"/>
                <w:szCs w:val="22"/>
              </w:rPr>
            </w:pPr>
            <w:r>
              <w:rPr>
                <w:rFonts w:ascii="Calibri" w:hAnsi="Calibri" w:cs="Calibri"/>
                <w:color w:val="000000"/>
                <w:sz w:val="22"/>
                <w:szCs w:val="22"/>
              </w:rPr>
              <w:t>Medium platforms - AOSC</w:t>
            </w:r>
          </w:p>
        </w:tc>
        <w:tc>
          <w:tcPr>
            <w:tcW w:w="1119" w:type="dxa"/>
            <w:vAlign w:val="bottom"/>
          </w:tcPr>
          <w:p w14:paraId="1D4E1305" w14:textId="2A870882" w:rsidR="00BD2681" w:rsidRPr="00864B31" w:rsidRDefault="00BD2681" w:rsidP="00BD2681">
            <w:pPr>
              <w:spacing w:before="0" w:after="0"/>
              <w:jc w:val="right"/>
              <w:rPr>
                <w:rFonts w:ascii="Calibri" w:hAnsi="Calibri" w:cs="Calibri"/>
                <w:color w:val="000000"/>
                <w:szCs w:val="22"/>
              </w:rPr>
            </w:pPr>
            <w:r w:rsidRPr="005A16CB">
              <w:rPr>
                <w:rFonts w:ascii="Calibri" w:hAnsi="Calibri" w:cs="Calibri"/>
                <w:color w:val="000000"/>
                <w:sz w:val="22"/>
                <w:szCs w:val="22"/>
              </w:rPr>
              <w:t>2</w:t>
            </w:r>
          </w:p>
        </w:tc>
        <w:tc>
          <w:tcPr>
            <w:tcW w:w="1991" w:type="dxa"/>
            <w:noWrap/>
            <w:vAlign w:val="bottom"/>
            <w:hideMark/>
          </w:tcPr>
          <w:p w14:paraId="4653DFA7" w14:textId="519EAF55" w:rsidR="00BD2681" w:rsidRPr="000E11E5" w:rsidRDefault="00BD2681" w:rsidP="00BD2681">
            <w:pPr>
              <w:spacing w:before="0" w:after="0"/>
              <w:jc w:val="right"/>
              <w:rPr>
                <w:rFonts w:ascii="Calibri" w:hAnsi="Calibri" w:cs="Calibri"/>
                <w:color w:val="000000"/>
                <w:sz w:val="22"/>
                <w:szCs w:val="22"/>
              </w:rPr>
            </w:pPr>
            <w:r>
              <w:rPr>
                <w:rFonts w:ascii="Calibri" w:hAnsi="Calibri" w:cs="Calibri"/>
                <w:color w:val="000000"/>
                <w:sz w:val="22"/>
                <w:szCs w:val="22"/>
              </w:rPr>
              <w:t>$5.0</w:t>
            </w:r>
          </w:p>
        </w:tc>
        <w:tc>
          <w:tcPr>
            <w:tcW w:w="2037" w:type="dxa"/>
            <w:noWrap/>
            <w:vAlign w:val="bottom"/>
            <w:hideMark/>
          </w:tcPr>
          <w:p w14:paraId="1AB7EFCC" w14:textId="4FB929DE" w:rsidR="00BD2681" w:rsidRPr="000E11E5" w:rsidRDefault="00BD2681" w:rsidP="00BD2681">
            <w:pPr>
              <w:spacing w:before="0" w:after="0"/>
              <w:jc w:val="right"/>
              <w:rPr>
                <w:rFonts w:ascii="Calibri" w:hAnsi="Calibri" w:cs="Calibri"/>
                <w:color w:val="000000"/>
                <w:sz w:val="22"/>
                <w:szCs w:val="22"/>
              </w:rPr>
            </w:pPr>
            <w:r>
              <w:rPr>
                <w:rFonts w:ascii="Calibri" w:hAnsi="Calibri" w:cs="Calibri"/>
                <w:color w:val="000000"/>
                <w:sz w:val="22"/>
                <w:szCs w:val="22"/>
              </w:rPr>
              <w:t>$1.8</w:t>
            </w:r>
          </w:p>
        </w:tc>
      </w:tr>
      <w:tr w:rsidR="00BD2681" w:rsidRPr="00EC3D9F" w14:paraId="28152778" w14:textId="77777777" w:rsidTr="005A16CB">
        <w:trPr>
          <w:trHeight w:val="284"/>
        </w:trPr>
        <w:tc>
          <w:tcPr>
            <w:tcW w:w="4119" w:type="dxa"/>
            <w:noWrap/>
            <w:vAlign w:val="bottom"/>
            <w:hideMark/>
          </w:tcPr>
          <w:p w14:paraId="3E8B9E65" w14:textId="0E3A6C62" w:rsidR="00BD2681" w:rsidRPr="000E11E5" w:rsidRDefault="00BD2681" w:rsidP="00BD2681">
            <w:pPr>
              <w:spacing w:before="0" w:after="0"/>
              <w:rPr>
                <w:rFonts w:ascii="Calibri" w:hAnsi="Calibri" w:cs="Calibri"/>
                <w:color w:val="000000"/>
                <w:sz w:val="22"/>
                <w:szCs w:val="22"/>
              </w:rPr>
            </w:pPr>
            <w:r>
              <w:rPr>
                <w:rFonts w:ascii="Calibri" w:hAnsi="Calibri" w:cs="Calibri"/>
                <w:color w:val="000000"/>
                <w:sz w:val="22"/>
                <w:szCs w:val="22"/>
              </w:rPr>
              <w:t>Medium platforms - non-AOSC</w:t>
            </w:r>
          </w:p>
        </w:tc>
        <w:tc>
          <w:tcPr>
            <w:tcW w:w="1119" w:type="dxa"/>
            <w:vAlign w:val="bottom"/>
          </w:tcPr>
          <w:p w14:paraId="2C7C2F66" w14:textId="195E253E" w:rsidR="00BD2681" w:rsidRPr="00864B31" w:rsidRDefault="00BD2681" w:rsidP="00BD2681">
            <w:pPr>
              <w:spacing w:before="0" w:after="0"/>
              <w:jc w:val="right"/>
              <w:rPr>
                <w:rFonts w:ascii="Calibri" w:hAnsi="Calibri" w:cs="Calibri"/>
                <w:color w:val="000000"/>
                <w:szCs w:val="22"/>
              </w:rPr>
            </w:pPr>
            <w:r w:rsidRPr="005A16CB">
              <w:rPr>
                <w:rFonts w:ascii="Calibri" w:hAnsi="Calibri" w:cs="Calibri"/>
                <w:color w:val="000000"/>
                <w:sz w:val="22"/>
                <w:szCs w:val="22"/>
              </w:rPr>
              <w:t>12</w:t>
            </w:r>
          </w:p>
        </w:tc>
        <w:tc>
          <w:tcPr>
            <w:tcW w:w="1991" w:type="dxa"/>
            <w:noWrap/>
            <w:vAlign w:val="bottom"/>
            <w:hideMark/>
          </w:tcPr>
          <w:p w14:paraId="0D48525A" w14:textId="0D880943" w:rsidR="00BD2681" w:rsidRPr="000E11E5" w:rsidRDefault="00BD2681" w:rsidP="00BD2681">
            <w:pPr>
              <w:spacing w:before="0" w:after="0"/>
              <w:jc w:val="right"/>
              <w:rPr>
                <w:rFonts w:ascii="Calibri" w:hAnsi="Calibri" w:cs="Calibri"/>
                <w:color w:val="000000"/>
                <w:sz w:val="22"/>
                <w:szCs w:val="22"/>
              </w:rPr>
            </w:pPr>
            <w:r>
              <w:rPr>
                <w:rFonts w:ascii="Calibri" w:hAnsi="Calibri" w:cs="Calibri"/>
                <w:color w:val="000000"/>
                <w:sz w:val="22"/>
                <w:szCs w:val="22"/>
              </w:rPr>
              <w:t>$35.4</w:t>
            </w:r>
          </w:p>
        </w:tc>
        <w:tc>
          <w:tcPr>
            <w:tcW w:w="2037" w:type="dxa"/>
            <w:noWrap/>
            <w:vAlign w:val="bottom"/>
            <w:hideMark/>
          </w:tcPr>
          <w:p w14:paraId="2A8BF766" w14:textId="36D7FA20" w:rsidR="00BD2681" w:rsidRPr="000E11E5" w:rsidRDefault="00BD2681" w:rsidP="00BD2681">
            <w:pPr>
              <w:spacing w:before="0" w:after="0"/>
              <w:jc w:val="right"/>
              <w:rPr>
                <w:rFonts w:ascii="Calibri" w:hAnsi="Calibri" w:cs="Calibri"/>
                <w:color w:val="000000"/>
                <w:sz w:val="22"/>
                <w:szCs w:val="22"/>
              </w:rPr>
            </w:pPr>
            <w:r>
              <w:rPr>
                <w:rFonts w:ascii="Calibri" w:hAnsi="Calibri" w:cs="Calibri"/>
                <w:color w:val="000000"/>
                <w:sz w:val="22"/>
                <w:szCs w:val="22"/>
              </w:rPr>
              <w:t>$14.0</w:t>
            </w:r>
          </w:p>
        </w:tc>
      </w:tr>
      <w:tr w:rsidR="00BD2681" w:rsidRPr="00EC3D9F" w14:paraId="525B48DC" w14:textId="77777777" w:rsidTr="005A16CB">
        <w:trPr>
          <w:cnfStyle w:val="000000100000" w:firstRow="0" w:lastRow="0" w:firstColumn="0" w:lastColumn="0" w:oddVBand="0" w:evenVBand="0" w:oddHBand="1" w:evenHBand="0" w:firstRowFirstColumn="0" w:firstRowLastColumn="0" w:lastRowFirstColumn="0" w:lastRowLastColumn="0"/>
          <w:trHeight w:val="284"/>
        </w:trPr>
        <w:tc>
          <w:tcPr>
            <w:tcW w:w="4119" w:type="dxa"/>
            <w:noWrap/>
            <w:vAlign w:val="bottom"/>
            <w:hideMark/>
          </w:tcPr>
          <w:p w14:paraId="4E97E6F5" w14:textId="5C2150DF" w:rsidR="00BD2681" w:rsidRPr="00F249D8" w:rsidRDefault="00BD2681" w:rsidP="00BD2681">
            <w:pPr>
              <w:spacing w:before="0" w:after="0"/>
              <w:rPr>
                <w:rFonts w:ascii="Calibri" w:hAnsi="Calibri" w:cs="Calibri"/>
                <w:b/>
                <w:bCs/>
                <w:color w:val="000000"/>
                <w:sz w:val="22"/>
                <w:szCs w:val="22"/>
              </w:rPr>
            </w:pPr>
            <w:r w:rsidRPr="00F249D8">
              <w:rPr>
                <w:rFonts w:ascii="Calibri" w:hAnsi="Calibri" w:cs="Calibri"/>
                <w:b/>
                <w:bCs/>
                <w:color w:val="000000"/>
                <w:sz w:val="22"/>
                <w:szCs w:val="22"/>
              </w:rPr>
              <w:t>Total</w:t>
            </w:r>
          </w:p>
        </w:tc>
        <w:tc>
          <w:tcPr>
            <w:tcW w:w="1119" w:type="dxa"/>
            <w:vAlign w:val="bottom"/>
          </w:tcPr>
          <w:p w14:paraId="7999C954" w14:textId="4BC76FF9" w:rsidR="00BD2681" w:rsidRPr="00864B31" w:rsidRDefault="00BD2681" w:rsidP="00BD2681">
            <w:pPr>
              <w:spacing w:before="0" w:after="0"/>
              <w:jc w:val="right"/>
              <w:rPr>
                <w:rFonts w:ascii="Calibri" w:hAnsi="Calibri" w:cs="Calibri"/>
                <w:b/>
                <w:bCs/>
                <w:color w:val="000000"/>
                <w:szCs w:val="22"/>
              </w:rPr>
            </w:pPr>
            <w:r w:rsidRPr="005A16CB">
              <w:rPr>
                <w:rFonts w:ascii="Calibri" w:hAnsi="Calibri" w:cs="Calibri"/>
                <w:b/>
                <w:bCs/>
                <w:color w:val="000000"/>
                <w:sz w:val="22"/>
                <w:szCs w:val="22"/>
              </w:rPr>
              <w:t>21</w:t>
            </w:r>
          </w:p>
        </w:tc>
        <w:tc>
          <w:tcPr>
            <w:tcW w:w="1991" w:type="dxa"/>
            <w:noWrap/>
            <w:vAlign w:val="bottom"/>
            <w:hideMark/>
          </w:tcPr>
          <w:p w14:paraId="34841FF8" w14:textId="168A14A8" w:rsidR="00BD2681" w:rsidRPr="00560CE2" w:rsidRDefault="00BD2681" w:rsidP="00BD2681">
            <w:pPr>
              <w:spacing w:before="0" w:after="0"/>
              <w:jc w:val="right"/>
              <w:rPr>
                <w:rFonts w:ascii="Calibri" w:hAnsi="Calibri" w:cs="Calibri"/>
                <w:b/>
                <w:bCs/>
                <w:color w:val="000000"/>
                <w:sz w:val="22"/>
                <w:szCs w:val="22"/>
              </w:rPr>
            </w:pPr>
            <w:r>
              <w:rPr>
                <w:rFonts w:ascii="Calibri" w:hAnsi="Calibri" w:cs="Calibri"/>
                <w:color w:val="000000"/>
                <w:sz w:val="22"/>
                <w:szCs w:val="22"/>
              </w:rPr>
              <w:t>$106.0</w:t>
            </w:r>
          </w:p>
        </w:tc>
        <w:tc>
          <w:tcPr>
            <w:tcW w:w="2037" w:type="dxa"/>
            <w:noWrap/>
            <w:vAlign w:val="bottom"/>
            <w:hideMark/>
          </w:tcPr>
          <w:p w14:paraId="4BCB3433" w14:textId="298F1B86" w:rsidR="00BD2681" w:rsidRPr="00560CE2" w:rsidRDefault="00BD2681" w:rsidP="00BD2681">
            <w:pPr>
              <w:spacing w:before="0" w:after="0"/>
              <w:jc w:val="right"/>
              <w:rPr>
                <w:rFonts w:ascii="Calibri" w:hAnsi="Calibri" w:cs="Calibri"/>
                <w:b/>
                <w:bCs/>
                <w:color w:val="000000"/>
                <w:sz w:val="22"/>
                <w:szCs w:val="22"/>
              </w:rPr>
            </w:pPr>
            <w:r>
              <w:rPr>
                <w:rFonts w:ascii="Calibri" w:hAnsi="Calibri" w:cs="Calibri"/>
                <w:color w:val="000000"/>
                <w:sz w:val="22"/>
                <w:szCs w:val="22"/>
              </w:rPr>
              <w:t>$42.1</w:t>
            </w:r>
          </w:p>
        </w:tc>
      </w:tr>
    </w:tbl>
    <w:p w14:paraId="719B8E01" w14:textId="5040215B" w:rsidR="00BF45E2" w:rsidRDefault="00FD11DF" w:rsidP="00DA1E3F">
      <w:pPr>
        <w:pStyle w:val="Heading4"/>
      </w:pPr>
      <w:bookmarkStart w:id="44" w:name="_Ref177024396"/>
      <w:r>
        <w:t xml:space="preserve">4.1.4 </w:t>
      </w:r>
      <w:r w:rsidR="008307B1">
        <w:t>Consumers</w:t>
      </w:r>
      <w:bookmarkEnd w:id="44"/>
    </w:p>
    <w:p w14:paraId="25E7D1DC" w14:textId="30AE829D" w:rsidR="0072510F" w:rsidRDefault="00BF69C7" w:rsidP="00646BF5">
      <w:r>
        <w:t xml:space="preserve">Consumers need to engage </w:t>
      </w:r>
      <w:proofErr w:type="gramStart"/>
      <w:r>
        <w:t>with</w:t>
      </w:r>
      <w:r w:rsidRPr="001B13C3">
        <w:t xml:space="preserve"> </w:t>
      </w:r>
      <w:r w:rsidR="00674A12" w:rsidRPr="001B13C3">
        <w:t xml:space="preserve"> </w:t>
      </w:r>
      <w:r w:rsidR="001B2CBF">
        <w:t>new</w:t>
      </w:r>
      <w:proofErr w:type="gramEnd"/>
      <w:r w:rsidR="006642D9">
        <w:t xml:space="preserve"> or changed</w:t>
      </w:r>
      <w:r w:rsidR="001B2CBF">
        <w:t xml:space="preserve"> processes </w:t>
      </w:r>
      <w:r>
        <w:t xml:space="preserve">that entities often introduce </w:t>
      </w:r>
      <w:r w:rsidR="001B2CBF">
        <w:t>in the</w:t>
      </w:r>
      <w:r w:rsidR="006642D9">
        <w:t>ir</w:t>
      </w:r>
      <w:r w:rsidR="001B2CBF">
        <w:t xml:space="preserve"> services </w:t>
      </w:r>
      <w:r w:rsidR="00674A12" w:rsidRPr="001B13C3">
        <w:t xml:space="preserve">to </w:t>
      </w:r>
      <w:r w:rsidR="00CC71D7">
        <w:t>st</w:t>
      </w:r>
      <w:r w:rsidR="00C161BC">
        <w:t>r</w:t>
      </w:r>
      <w:r w:rsidR="00CC71D7">
        <w:t>engthen protections from</w:t>
      </w:r>
      <w:r w:rsidR="00674A12" w:rsidRPr="001B13C3">
        <w:t xml:space="preserve"> scams. </w:t>
      </w:r>
    </w:p>
    <w:p w14:paraId="5F40E206" w14:textId="3C5C9708" w:rsidR="00646BF5" w:rsidRDefault="001C2F27" w:rsidP="00646BF5">
      <w:r>
        <w:t>These processes</w:t>
      </w:r>
      <w:r w:rsidR="00004DD9">
        <w:t>,</w:t>
      </w:r>
      <w:r>
        <w:t xml:space="preserve"> referred to as </w:t>
      </w:r>
      <w:r w:rsidR="006642D9">
        <w:t>frictions</w:t>
      </w:r>
      <w:r w:rsidR="00C31389">
        <w:t>,</w:t>
      </w:r>
      <w:r w:rsidR="00482421">
        <w:t xml:space="preserve"> are </w:t>
      </w:r>
      <w:r w:rsidR="00502847">
        <w:t xml:space="preserve">intended to </w:t>
      </w:r>
      <w:r w:rsidR="005A7863">
        <w:t xml:space="preserve">make services safer or </w:t>
      </w:r>
      <w:r w:rsidR="00502847">
        <w:t xml:space="preserve">slow the pace of services to make it more difficult for scammers to succeed in causing harm to consumers. </w:t>
      </w:r>
      <w:r w:rsidR="00674A12">
        <w:t>For</w:t>
      </w:r>
      <w:r w:rsidR="00646BF5">
        <w:t xml:space="preserve"> example,</w:t>
      </w:r>
      <w:r w:rsidR="00674A12">
        <w:t xml:space="preserve"> </w:t>
      </w:r>
      <w:r w:rsidR="00646BF5">
        <w:t xml:space="preserve">for </w:t>
      </w:r>
      <w:r w:rsidR="00674A12">
        <w:t>the banking</w:t>
      </w:r>
      <w:r w:rsidR="00674A12" w:rsidRPr="001B13C3">
        <w:t xml:space="preserve"> sector </w:t>
      </w:r>
      <w:r w:rsidR="00674A12">
        <w:t>f</w:t>
      </w:r>
      <w:r w:rsidR="00674A12" w:rsidRPr="001B13C3">
        <w:t xml:space="preserve">rictions involve the use of limits, holds, and delays to reduce risk in transactions, including those to new payees. </w:t>
      </w:r>
      <w:r w:rsidR="004E6F56">
        <w:t xml:space="preserve">For digital platforms, </w:t>
      </w:r>
      <w:r w:rsidR="00703D34">
        <w:t xml:space="preserve">such </w:t>
      </w:r>
      <w:r w:rsidR="00DB7975">
        <w:t>similar process which create frictions for consumers</w:t>
      </w:r>
      <w:r w:rsidR="00703D34">
        <w:t xml:space="preserve"> could include </w:t>
      </w:r>
      <w:r w:rsidR="00C809DC">
        <w:t xml:space="preserve">account holder verification, </w:t>
      </w:r>
      <w:r w:rsidR="00462D14">
        <w:t>two-</w:t>
      </w:r>
      <w:r w:rsidR="000D5D4F">
        <w:t xml:space="preserve">factor </w:t>
      </w:r>
      <w:r w:rsidR="007834F0">
        <w:t xml:space="preserve">account </w:t>
      </w:r>
      <w:r w:rsidR="000D5D4F">
        <w:t xml:space="preserve">identification </w:t>
      </w:r>
      <w:r w:rsidR="00D203E9">
        <w:t xml:space="preserve">and </w:t>
      </w:r>
      <w:r w:rsidR="00F52926">
        <w:t xml:space="preserve">delays in </w:t>
      </w:r>
      <w:r w:rsidR="007F2980">
        <w:t xml:space="preserve">sending messages, </w:t>
      </w:r>
      <w:r w:rsidR="0005621D">
        <w:t>posting advertisements or social media content</w:t>
      </w:r>
      <w:r w:rsidR="005D5A94">
        <w:t>.</w:t>
      </w:r>
    </w:p>
    <w:p w14:paraId="563DB4B9" w14:textId="6E6759FD" w:rsidR="003A6E2B" w:rsidRDefault="00646BF5" w:rsidP="003A6E2B">
      <w:r>
        <w:t xml:space="preserve">There are known inconveniences and issues regarding frictions </w:t>
      </w:r>
      <w:r w:rsidR="00A63E07">
        <w:t xml:space="preserve">as </w:t>
      </w:r>
      <w:r>
        <w:t xml:space="preserve">not all consumers </w:t>
      </w:r>
      <w:r w:rsidR="00A63E07">
        <w:t xml:space="preserve">will </w:t>
      </w:r>
      <w:r w:rsidR="003B6BF6">
        <w:t>perceive the value or benefit of the friction</w:t>
      </w:r>
      <w:r>
        <w:t xml:space="preserve">. </w:t>
      </w:r>
      <w:r w:rsidR="00B3784D">
        <w:t>These frictions can create costs for doing business</w:t>
      </w:r>
      <w:r w:rsidR="00B3784D" w:rsidRPr="001B13C3">
        <w:t xml:space="preserve"> </w:t>
      </w:r>
      <w:r w:rsidR="00B3784D">
        <w:t xml:space="preserve">through the introduction of </w:t>
      </w:r>
      <w:r w:rsidR="00B3784D" w:rsidRPr="001B13C3">
        <w:t xml:space="preserve">inconvenience and delays in </w:t>
      </w:r>
      <w:r w:rsidR="00FB211C">
        <w:t>using regulated services or platforms</w:t>
      </w:r>
      <w:r w:rsidR="00B3784D">
        <w:t xml:space="preserve">, </w:t>
      </w:r>
      <w:r w:rsidR="008E27BD">
        <w:t xml:space="preserve">including </w:t>
      </w:r>
      <w:r w:rsidR="00B3784D">
        <w:t xml:space="preserve">administrative </w:t>
      </w:r>
      <w:r w:rsidR="008E27BD">
        <w:t xml:space="preserve">impost for </w:t>
      </w:r>
      <w:r w:rsidR="00B3784D">
        <w:t xml:space="preserve">users and </w:t>
      </w:r>
      <w:r w:rsidR="008E27BD">
        <w:t xml:space="preserve">may </w:t>
      </w:r>
      <w:r w:rsidR="004C3A45">
        <w:t xml:space="preserve">reduce the efficiency of </w:t>
      </w:r>
      <w:r w:rsidR="00B3784D">
        <w:t xml:space="preserve">urgent </w:t>
      </w:r>
      <w:r w:rsidR="004C3A45">
        <w:t>digital interactions</w:t>
      </w:r>
      <w:r w:rsidR="00B3784D" w:rsidRPr="001B13C3">
        <w:t>. </w:t>
      </w:r>
      <w:r>
        <w:t>However, s</w:t>
      </w:r>
      <w:r w:rsidR="006828AA">
        <w:t xml:space="preserve">urvey responses from Treasury and </w:t>
      </w:r>
      <w:r w:rsidR="00282399">
        <w:t>Department of Infrastructure, Transport, Regional Development, Communications and the Arts (DITRDCA)</w:t>
      </w:r>
      <w:r w:rsidR="006828AA">
        <w:t>’s public consultation and industry sentiment suggests that</w:t>
      </w:r>
      <w:r w:rsidR="00E25302">
        <w:t xml:space="preserve"> </w:t>
      </w:r>
      <w:r w:rsidR="006828AA">
        <w:t xml:space="preserve">consumers </w:t>
      </w:r>
      <w:r w:rsidR="004B5B09">
        <w:t xml:space="preserve">may be willing to accept </w:t>
      </w:r>
      <w:r w:rsidR="006828AA">
        <w:t xml:space="preserve">additional frictions in order to be </w:t>
      </w:r>
      <w:r w:rsidR="004B5B09">
        <w:t xml:space="preserve">better protected </w:t>
      </w:r>
      <w:r w:rsidR="006828AA">
        <w:t>from scams.</w:t>
      </w:r>
      <w:r w:rsidR="00416174">
        <w:t xml:space="preserve"> </w:t>
      </w:r>
    </w:p>
    <w:p w14:paraId="34DE16C1" w14:textId="77777777" w:rsidR="007153D2" w:rsidRDefault="007153D2" w:rsidP="003A6E2B">
      <w:pPr>
        <w:pStyle w:val="Heading7"/>
      </w:pPr>
      <w:r>
        <w:t>Option 1 – Status quo</w:t>
      </w:r>
    </w:p>
    <w:p w14:paraId="1BE73D6C" w14:textId="77777777" w:rsidR="00F97D67" w:rsidRDefault="00F86602" w:rsidP="00F63D18">
      <w:pPr>
        <w:pStyle w:val="AlphaParagraph"/>
        <w:numPr>
          <w:ilvl w:val="1"/>
          <w:numId w:val="0"/>
        </w:numPr>
      </w:pPr>
      <w:r>
        <w:t>Under the status quo, t</w:t>
      </w:r>
      <w:r w:rsidR="00F63D18">
        <w:t xml:space="preserve">he </w:t>
      </w:r>
      <w:r w:rsidR="00420650">
        <w:t>accountability for scam activity</w:t>
      </w:r>
      <w:r w:rsidR="00F63D18">
        <w:t xml:space="preserve"> would fall inequitably across the scam ecosystem with banks and payment providers (the point where the financial loss is most frequently recognised) giv</w:t>
      </w:r>
      <w:r w:rsidR="00D13F53">
        <w:t>ing</w:t>
      </w:r>
      <w:r w:rsidR="00F63D18">
        <w:t xml:space="preserve"> rise to</w:t>
      </w:r>
      <w:r w:rsidR="00907C0F">
        <w:t xml:space="preserve"> greater risk-aversion </w:t>
      </w:r>
      <w:r w:rsidR="00933138">
        <w:t xml:space="preserve">in undertaking </w:t>
      </w:r>
      <w:r w:rsidR="005B5C75">
        <w:t xml:space="preserve">banking </w:t>
      </w:r>
      <w:r w:rsidR="00933138">
        <w:t xml:space="preserve">with customers </w:t>
      </w:r>
      <w:r w:rsidR="00F63D18">
        <w:t xml:space="preserve">or </w:t>
      </w:r>
      <w:r w:rsidR="00E71CEB">
        <w:t>introducing more</w:t>
      </w:r>
      <w:r w:rsidR="00F63D18">
        <w:t xml:space="preserve"> excessive frictions in their </w:t>
      </w:r>
      <w:r w:rsidR="005B5C75">
        <w:t>consumer services</w:t>
      </w:r>
      <w:r w:rsidR="00F63D18">
        <w:t>.</w:t>
      </w:r>
      <w:r w:rsidR="002430DA">
        <w:t xml:space="preserve"> </w:t>
      </w:r>
    </w:p>
    <w:p w14:paraId="3AA9C8D9" w14:textId="6C37618F" w:rsidR="00F63D18" w:rsidRDefault="002430DA" w:rsidP="00F63D18">
      <w:pPr>
        <w:pStyle w:val="AlphaParagraph"/>
        <w:numPr>
          <w:ilvl w:val="1"/>
          <w:numId w:val="0"/>
        </w:numPr>
      </w:pPr>
      <w:r w:rsidRPr="002430DA">
        <w:t xml:space="preserve">Absent clear obligations or controls, </w:t>
      </w:r>
      <w:r w:rsidR="009C4F7F">
        <w:t>entities</w:t>
      </w:r>
      <w:r w:rsidRPr="002430DA">
        <w:t xml:space="preserve"> may use measures at their disposal to mitigate risks in ways undesirable to consumers in terms of access to and efficiency of </w:t>
      </w:r>
      <w:r w:rsidR="00590B1A">
        <w:t xml:space="preserve">their </w:t>
      </w:r>
      <w:r w:rsidRPr="002430DA">
        <w:t>services</w:t>
      </w:r>
      <w:r w:rsidR="00B60A29">
        <w:t xml:space="preserve"> more generally</w:t>
      </w:r>
      <w:r w:rsidR="00E43BAC">
        <w:t>, but particularly in banking services</w:t>
      </w:r>
      <w:r w:rsidRPr="002430DA">
        <w:t>.</w:t>
      </w:r>
      <w:r w:rsidR="00F97D67">
        <w:t xml:space="preserve"> This may involve</w:t>
      </w:r>
      <w:r w:rsidR="00312894">
        <w:t xml:space="preserve"> banking and other services imposing</w:t>
      </w:r>
      <w:r w:rsidR="00F97D67">
        <w:t xml:space="preserve"> higher </w:t>
      </w:r>
      <w:r w:rsidR="00312894">
        <w:t>costs on higher</w:t>
      </w:r>
      <w:r w:rsidR="00662971">
        <w:t xml:space="preserve"> risk consumers and businesses,</w:t>
      </w:r>
      <w:r w:rsidR="002D7C2A" w:rsidRPr="002D7C2A">
        <w:t xml:space="preserve"> including additional fees and </w:t>
      </w:r>
      <w:r w:rsidR="006050B9">
        <w:t>in some cases stricter limitations on service offerings</w:t>
      </w:r>
      <w:r w:rsidR="002D7C2A">
        <w:t>.</w:t>
      </w:r>
    </w:p>
    <w:p w14:paraId="0EBD9EE0" w14:textId="5FF56A95" w:rsidR="007153D2" w:rsidRDefault="00E02964" w:rsidP="00DA1E3F">
      <w:pPr>
        <w:pStyle w:val="Heading7"/>
      </w:pPr>
      <w:r>
        <w:t>Option 2</w:t>
      </w:r>
      <w:r w:rsidR="007153D2">
        <w:t xml:space="preserve"> – </w:t>
      </w:r>
      <w:r w:rsidR="000A746C">
        <w:t>Scams Prevention</w:t>
      </w:r>
      <w:r w:rsidR="007153D2">
        <w:t xml:space="preserve"> Framework</w:t>
      </w:r>
    </w:p>
    <w:p w14:paraId="7C6F91F9" w14:textId="79BB6846" w:rsidR="006C0DAB" w:rsidRDefault="00854662" w:rsidP="00D8571A">
      <w:r>
        <w:t xml:space="preserve">The costs on consumers of </w:t>
      </w:r>
      <w:r w:rsidR="0099550D">
        <w:t>frictions</w:t>
      </w:r>
      <w:r w:rsidR="00D8571A">
        <w:t xml:space="preserve"> may increase </w:t>
      </w:r>
      <w:r w:rsidR="00662479">
        <w:t xml:space="preserve">due to entities uplifting their </w:t>
      </w:r>
      <w:r w:rsidR="00561B26">
        <w:t xml:space="preserve">anti-scam </w:t>
      </w:r>
      <w:r w:rsidR="00066E9E">
        <w:t xml:space="preserve">activities </w:t>
      </w:r>
      <w:r w:rsidR="00561B26">
        <w:t>to comply with the</w:t>
      </w:r>
      <w:r w:rsidR="001F47ED">
        <w:t>ir</w:t>
      </w:r>
      <w:r w:rsidR="00561B26">
        <w:t xml:space="preserve"> SPF obligations </w:t>
      </w:r>
      <w:r w:rsidR="006C0DAB">
        <w:t>under</w:t>
      </w:r>
      <w:r w:rsidR="006534FF">
        <w:t xml:space="preserve"> option</w:t>
      </w:r>
      <w:r w:rsidR="006C0DAB">
        <w:t xml:space="preserve"> 2</w:t>
      </w:r>
      <w:r w:rsidR="00545D53">
        <w:t>.</w:t>
      </w:r>
      <w:r w:rsidR="00545D53" w:rsidRPr="00545D53">
        <w:t xml:space="preserve"> </w:t>
      </w:r>
      <w:r w:rsidR="00545D53">
        <w:t>Such anti-scam actions may result in additional time, cost, resources and effort required to use services of banks, telecommunications providers and digital platforms. However,</w:t>
      </w:r>
      <w:r w:rsidR="00545D53" w:rsidRPr="00545D53">
        <w:t xml:space="preserve"> </w:t>
      </w:r>
      <w:r w:rsidR="00545D53">
        <w:t xml:space="preserve">the </w:t>
      </w:r>
      <w:r w:rsidR="001B0E8A">
        <w:t xml:space="preserve">relative impact compared to </w:t>
      </w:r>
      <w:r w:rsidR="00FF1FA4">
        <w:t>frictions expected under the status quo</w:t>
      </w:r>
      <w:r w:rsidR="00662479">
        <w:t xml:space="preserve"> is uncertain</w:t>
      </w:r>
      <w:r w:rsidR="001B0E8A">
        <w:t xml:space="preserve"> and difficult to quantify</w:t>
      </w:r>
      <w:r w:rsidR="00662479">
        <w:t xml:space="preserve">. </w:t>
      </w:r>
    </w:p>
    <w:p w14:paraId="280855E1" w14:textId="77777777" w:rsidR="00991215" w:rsidRDefault="00BB66A9" w:rsidP="00D8571A">
      <w:r>
        <w:t xml:space="preserve">Frictions </w:t>
      </w:r>
      <w:r w:rsidR="00991215">
        <w:t xml:space="preserve">may be affected in each sector as follows: </w:t>
      </w:r>
    </w:p>
    <w:p w14:paraId="7E4044DD" w14:textId="77777777" w:rsidR="00034D9A" w:rsidRDefault="00034D9A" w:rsidP="00034D9A">
      <w:pPr>
        <w:pStyle w:val="ListParagraph"/>
        <w:numPr>
          <w:ilvl w:val="0"/>
          <w:numId w:val="44"/>
        </w:numPr>
      </w:pPr>
      <w:r>
        <w:t xml:space="preserve">In banking services there could be minimal impact given the prominence of existing anti-scam measures. In comparison to the status quo option 2 may lead to either an increase or </w:t>
      </w:r>
      <w:r>
        <w:lastRenderedPageBreak/>
        <w:t>reduction in prominence of frictions; as a result of clearer accountability and coordination across the ecosystem altering the need for delays and verification in banking activities.</w:t>
      </w:r>
    </w:p>
    <w:p w14:paraId="029ED3EA" w14:textId="77777777" w:rsidR="00034D9A" w:rsidRPr="001A44AA" w:rsidRDefault="00034D9A" w:rsidP="00034D9A">
      <w:pPr>
        <w:pStyle w:val="ListParagraph"/>
        <w:numPr>
          <w:ilvl w:val="0"/>
          <w:numId w:val="44"/>
        </w:numPr>
      </w:pPr>
      <w:r>
        <w:t xml:space="preserve">In telecommunications services there may only be </w:t>
      </w:r>
      <w:r w:rsidRPr="007C4C34">
        <w:t xml:space="preserve">minor impacts </w:t>
      </w:r>
      <w:r>
        <w:t xml:space="preserve">on </w:t>
      </w:r>
      <w:proofErr w:type="gramStart"/>
      <w:r>
        <w:t>consumers</w:t>
      </w:r>
      <w:proofErr w:type="gramEnd"/>
      <w:r>
        <w:t xml:space="preserve"> compliance costs </w:t>
      </w:r>
      <w:r w:rsidRPr="007C4C34">
        <w:t xml:space="preserve">given the </w:t>
      </w:r>
      <w:r>
        <w:t xml:space="preserve">current and planned levels of anti-scam actions. </w:t>
      </w:r>
    </w:p>
    <w:p w14:paraId="223474C7" w14:textId="77777777" w:rsidR="00034D9A" w:rsidRDefault="00034D9A" w:rsidP="00034D9A">
      <w:pPr>
        <w:pStyle w:val="ListParagraph"/>
        <w:numPr>
          <w:ilvl w:val="0"/>
          <w:numId w:val="44"/>
        </w:numPr>
      </w:pPr>
      <w:r w:rsidRPr="008B1FB9">
        <w:t xml:space="preserve">For digital platform services in social media, paid search advertising and direct messaging there may be </w:t>
      </w:r>
      <w:r>
        <w:t>a greater</w:t>
      </w:r>
      <w:r w:rsidRPr="008B1FB9">
        <w:t xml:space="preserve"> </w:t>
      </w:r>
      <w:r>
        <w:t>level of frictions for consumers, potentially relating to obligations to improve identification verification processes or user verification requirements on platforms which do not currently have these in place.</w:t>
      </w:r>
      <w:r w:rsidRPr="00C63251">
        <w:t xml:space="preserve"> </w:t>
      </w:r>
    </w:p>
    <w:p w14:paraId="093DA9FA" w14:textId="09F2205B" w:rsidR="00B50A9A" w:rsidRDefault="00DF68EA" w:rsidP="00D8571A">
      <w:r>
        <w:t>Many services</w:t>
      </w:r>
      <w:r w:rsidR="00480B39">
        <w:t xml:space="preserve"> </w:t>
      </w:r>
      <w:r w:rsidR="00127DE0">
        <w:t xml:space="preserve">which would be </w:t>
      </w:r>
      <w:r w:rsidR="00480B39">
        <w:t xml:space="preserve">directly </w:t>
      </w:r>
      <w:r w:rsidR="00A406AC">
        <w:t>regulated by the SPF</w:t>
      </w:r>
      <w:r>
        <w:t xml:space="preserve"> such as digital platforms and bank transaction accounts do not involve direct prices on consumers</w:t>
      </w:r>
      <w:r w:rsidR="00B67545">
        <w:t>.</w:t>
      </w:r>
      <w:r>
        <w:t xml:space="preserve"> </w:t>
      </w:r>
      <w:r w:rsidR="005133E1">
        <w:t>R</w:t>
      </w:r>
      <w:r w:rsidR="00076183">
        <w:t xml:space="preserve">egulated entities may </w:t>
      </w:r>
      <w:r w:rsidR="00D87184">
        <w:t xml:space="preserve">pass on </w:t>
      </w:r>
      <w:r w:rsidR="002569C8">
        <w:t xml:space="preserve">a share of the </w:t>
      </w:r>
      <w:r w:rsidR="00D87184">
        <w:t xml:space="preserve">costs of </w:t>
      </w:r>
      <w:r w:rsidR="004A6C36">
        <w:t>complying with increased regulation</w:t>
      </w:r>
      <w:r w:rsidR="002569C8">
        <w:t xml:space="preserve"> potentially through higher</w:t>
      </w:r>
      <w:r w:rsidR="00D15720">
        <w:t xml:space="preserve"> consumer</w:t>
      </w:r>
      <w:r w:rsidR="002569C8">
        <w:t xml:space="preserve"> prices </w:t>
      </w:r>
      <w:r w:rsidR="00D15720">
        <w:t>or</w:t>
      </w:r>
      <w:r>
        <w:t xml:space="preserve"> onto other users of the service</w:t>
      </w:r>
      <w:r w:rsidR="00B67545">
        <w:t xml:space="preserve"> such </w:t>
      </w:r>
      <w:r w:rsidR="00D15720">
        <w:t xml:space="preserve">as </w:t>
      </w:r>
      <w:r w:rsidR="00D30251">
        <w:t>businesses</w:t>
      </w:r>
      <w:r w:rsidR="002569C8">
        <w:t>.</w:t>
      </w:r>
      <w:r w:rsidR="0021631C">
        <w:t xml:space="preserve"> </w:t>
      </w:r>
      <w:r w:rsidR="00A406AC">
        <w:t>A</w:t>
      </w:r>
      <w:r w:rsidR="0021631C">
        <w:t xml:space="preserve">s costs </w:t>
      </w:r>
      <w:r w:rsidR="001957DC">
        <w:t>would</w:t>
      </w:r>
      <w:r w:rsidR="0021631C">
        <w:t xml:space="preserve"> be spread across various </w:t>
      </w:r>
      <w:r w:rsidR="00F33553">
        <w:t>entities and industries</w:t>
      </w:r>
      <w:r w:rsidR="0044667B">
        <w:t xml:space="preserve"> </w:t>
      </w:r>
      <w:r w:rsidR="00CA7020">
        <w:t xml:space="preserve">the </w:t>
      </w:r>
      <w:r w:rsidR="000950F3">
        <w:t xml:space="preserve">overall effect on prices experienced by </w:t>
      </w:r>
      <w:r w:rsidR="0044667B">
        <w:t>consumer</w:t>
      </w:r>
      <w:r w:rsidR="000950F3">
        <w:t xml:space="preserve">s may be negligible, and outweighed by </w:t>
      </w:r>
      <w:r w:rsidR="000A71F0">
        <w:t xml:space="preserve">lower </w:t>
      </w:r>
      <w:r w:rsidR="004A6B00">
        <w:t xml:space="preserve">burden on consumers to </w:t>
      </w:r>
      <w:r w:rsidR="00C83E37">
        <w:t>engage in</w:t>
      </w:r>
      <w:r w:rsidR="00BF5556">
        <w:t xml:space="preserve"> their own</w:t>
      </w:r>
      <w:r w:rsidR="00C83E37">
        <w:t xml:space="preserve"> </w:t>
      </w:r>
      <w:r w:rsidR="00A323EF" w:rsidRPr="00A323EF">
        <w:t>administrative or external security measures to help them avoid falling victim to a scam</w:t>
      </w:r>
      <w:r w:rsidR="008141CC">
        <w:t>.</w:t>
      </w:r>
      <w:r w:rsidR="0045741B">
        <w:t xml:space="preserve"> </w:t>
      </w:r>
    </w:p>
    <w:p w14:paraId="1F269482" w14:textId="25415C6F" w:rsidR="00B975F6" w:rsidRDefault="00B975F6" w:rsidP="00D8571A">
      <w:r>
        <w:t>Given the high level of uncertain</w:t>
      </w:r>
      <w:r w:rsidR="004E76F7">
        <w:t>ty</w:t>
      </w:r>
      <w:r>
        <w:t xml:space="preserve"> </w:t>
      </w:r>
      <w:r w:rsidR="00957707">
        <w:t>over</w:t>
      </w:r>
      <w:r w:rsidR="00E21406">
        <w:t xml:space="preserve"> whether</w:t>
      </w:r>
      <w:r>
        <w:t xml:space="preserve"> the net change in </w:t>
      </w:r>
      <w:r w:rsidR="002F7321">
        <w:t>consumer</w:t>
      </w:r>
      <w:r w:rsidR="00C33CEA">
        <w:t xml:space="preserve"> costs</w:t>
      </w:r>
      <w:r w:rsidR="000378C0">
        <w:t xml:space="preserve"> </w:t>
      </w:r>
      <w:r w:rsidR="00E21406">
        <w:t xml:space="preserve">would be </w:t>
      </w:r>
      <w:r w:rsidR="00A946DD">
        <w:t>an increased or decreased burden</w:t>
      </w:r>
      <w:r w:rsidR="000A7127">
        <w:t xml:space="preserve">, </w:t>
      </w:r>
      <w:r w:rsidR="00D86E80">
        <w:t xml:space="preserve">they are </w:t>
      </w:r>
      <w:r w:rsidR="00314C7A">
        <w:t>assumed to be negligible</w:t>
      </w:r>
      <w:r w:rsidR="00D86E80">
        <w:t xml:space="preserve"> under </w:t>
      </w:r>
      <w:r w:rsidR="007F3AC0">
        <w:t>option 2</w:t>
      </w:r>
      <w:r w:rsidR="00314C7A">
        <w:t>.</w:t>
      </w:r>
      <w:r w:rsidR="000378C0">
        <w:t xml:space="preserve"> </w:t>
      </w:r>
    </w:p>
    <w:p w14:paraId="67ADE68F" w14:textId="7FA990E3" w:rsidR="00747870" w:rsidRDefault="00362206" w:rsidP="00D8571A">
      <w:r>
        <w:t xml:space="preserve">Under </w:t>
      </w:r>
      <w:r w:rsidR="007F3AC0">
        <w:t>o</w:t>
      </w:r>
      <w:r>
        <w:t>ption 2,</w:t>
      </w:r>
      <w:r w:rsidR="00ED75E4">
        <w:t xml:space="preserve"> </w:t>
      </w:r>
      <w:r w:rsidR="00D32498">
        <w:t xml:space="preserve">consistent with </w:t>
      </w:r>
      <w:r w:rsidR="0047740C">
        <w:t>status quo</w:t>
      </w:r>
      <w:r w:rsidR="008626D1">
        <w:t>,</w:t>
      </w:r>
      <w:r w:rsidR="00ED75E4">
        <w:t xml:space="preserve"> </w:t>
      </w:r>
      <w:r w:rsidR="003E29A9">
        <w:t xml:space="preserve">consumers </w:t>
      </w:r>
      <w:r w:rsidR="0047740C">
        <w:t xml:space="preserve">would </w:t>
      </w:r>
      <w:r w:rsidR="00747870">
        <w:t xml:space="preserve">not be charged any fees for taking their scam complaints to AFCA and would not incur costs for EDR. </w:t>
      </w:r>
    </w:p>
    <w:p w14:paraId="65954B7B" w14:textId="056DCF5A" w:rsidR="00BF45E2" w:rsidRDefault="00FD11DF" w:rsidP="00DA1E3F">
      <w:pPr>
        <w:pStyle w:val="Heading4"/>
      </w:pPr>
      <w:bookmarkStart w:id="45" w:name="_Ref175823159"/>
      <w:r>
        <w:t xml:space="preserve">4.1.5 </w:t>
      </w:r>
      <w:r w:rsidR="003D1145">
        <w:t>Overall regulatory costs</w:t>
      </w:r>
      <w:bookmarkEnd w:id="45"/>
    </w:p>
    <w:p w14:paraId="3490BDB7" w14:textId="77777777" w:rsidR="003A6637" w:rsidRDefault="003A6637" w:rsidP="00DA1E3F">
      <w:pPr>
        <w:pStyle w:val="Heading7"/>
      </w:pPr>
      <w:r w:rsidRPr="002E3E2B">
        <w:t>Option 1 – Status quo</w:t>
      </w:r>
    </w:p>
    <w:p w14:paraId="6F4682B1" w14:textId="3CBA68BB" w:rsidR="00DF0AD8" w:rsidRDefault="00DF0AD8" w:rsidP="00DF0AD8">
      <w:r>
        <w:t xml:space="preserve">As Option 1 represents the status quo it does not involve additional </w:t>
      </w:r>
      <w:r w:rsidR="00857A56">
        <w:t xml:space="preserve">regulatory </w:t>
      </w:r>
      <w:r>
        <w:t xml:space="preserve">costs relative </w:t>
      </w:r>
      <w:r w:rsidR="00857A56">
        <w:t xml:space="preserve">to </w:t>
      </w:r>
      <w:r w:rsidR="00FC0889">
        <w:t>current commitments across industry</w:t>
      </w:r>
      <w:r>
        <w:t>.</w:t>
      </w:r>
    </w:p>
    <w:p w14:paraId="2FCADE16" w14:textId="70AED9E4" w:rsidR="003A6637" w:rsidRPr="005A7820" w:rsidRDefault="003A6637" w:rsidP="00DA1E3F">
      <w:pPr>
        <w:pStyle w:val="Heading7"/>
      </w:pPr>
      <w:r w:rsidRPr="005A7820">
        <w:t xml:space="preserve">Option 2 – </w:t>
      </w:r>
      <w:r w:rsidR="000A746C">
        <w:t>Scams Prevention</w:t>
      </w:r>
      <w:r w:rsidRPr="005A7820">
        <w:t xml:space="preserve"> Framework</w:t>
      </w:r>
    </w:p>
    <w:p w14:paraId="36733EA5" w14:textId="7112BADB" w:rsidR="00E02C89" w:rsidRDefault="00E53D41" w:rsidP="009273B9">
      <w:r>
        <w:t xml:space="preserve">In the initial year implementing Option 2 </w:t>
      </w:r>
      <w:r w:rsidR="00207A9B">
        <w:t xml:space="preserve">would </w:t>
      </w:r>
      <w:r w:rsidR="00B1345C">
        <w:t>involve $228.8 million in regulatory costs</w:t>
      </w:r>
      <w:r w:rsidR="00CA75D0">
        <w:t xml:space="preserve"> including</w:t>
      </w:r>
      <w:r w:rsidR="00B1345C">
        <w:t xml:space="preserve"> </w:t>
      </w:r>
      <w:r w:rsidR="00CA75D0">
        <w:t>$100.9 million for banks, $22.0 million for telecommunications providers and $106.0 million for digital pla</w:t>
      </w:r>
      <w:r w:rsidR="003837C1">
        <w:t>t</w:t>
      </w:r>
      <w:r w:rsidR="00CA75D0">
        <w:t>forms.</w:t>
      </w:r>
      <w:r w:rsidR="003837C1">
        <w:t xml:space="preserve"> Each following year ongoing </w:t>
      </w:r>
      <w:r w:rsidR="007126F8">
        <w:t xml:space="preserve">these regulated entities would incur $88.0 million of </w:t>
      </w:r>
      <w:r w:rsidR="00841B82">
        <w:t>regulatory costs</w:t>
      </w:r>
      <w:r w:rsidR="00444050">
        <w:t xml:space="preserve"> including $31.8 million for banks, $14.1 million for telecommunications providers and $42.1 million for digital platforms.</w:t>
      </w:r>
    </w:p>
    <w:p w14:paraId="1708046A" w14:textId="126FDA30" w:rsidR="00FA4AEA" w:rsidRDefault="00CE7D27" w:rsidP="009273B9">
      <w:r>
        <w:fldChar w:fldCharType="begin"/>
      </w:r>
      <w:r>
        <w:instrText xml:space="preserve"> REF _Ref177130360 \h </w:instrText>
      </w:r>
      <w:r>
        <w:fldChar w:fldCharType="separate"/>
      </w:r>
      <w:r>
        <w:t xml:space="preserve">Table </w:t>
      </w:r>
      <w:r>
        <w:rPr>
          <w:noProof/>
        </w:rPr>
        <w:t>12</w:t>
      </w:r>
      <w:r>
        <w:fldChar w:fldCharType="end"/>
      </w:r>
      <w:r>
        <w:t xml:space="preserve"> </w:t>
      </w:r>
      <w:r w:rsidR="00D133FC">
        <w:t xml:space="preserve">outlines the overall </w:t>
      </w:r>
      <w:r w:rsidR="00F040DD">
        <w:t xml:space="preserve">regulatory costs expected to be involved in implementation of Option 2. </w:t>
      </w:r>
      <w:r w:rsidR="00B943EE">
        <w:t xml:space="preserve">On average over the first 10 years </w:t>
      </w:r>
      <w:r w:rsidR="004435DF">
        <w:t xml:space="preserve">industry would </w:t>
      </w:r>
      <w:r w:rsidR="00B943EE">
        <w:t>be expected to incur $</w:t>
      </w:r>
      <w:r w:rsidR="003E7D09">
        <w:t>10</w:t>
      </w:r>
      <w:r w:rsidR="009B24D5">
        <w:t>2.1</w:t>
      </w:r>
      <w:r w:rsidR="00B943EE">
        <w:t xml:space="preserve"> million </w:t>
      </w:r>
      <w:r w:rsidR="00D960E5">
        <w:t xml:space="preserve">in annual regulatory costs across the 3 </w:t>
      </w:r>
      <w:r w:rsidR="00E216F1">
        <w:t>sectors</w:t>
      </w:r>
      <w:r w:rsidR="00BA0875">
        <w:t xml:space="preserve"> designated under the </w:t>
      </w:r>
      <w:r w:rsidR="00AB609C">
        <w:t>SPF</w:t>
      </w:r>
      <w:r w:rsidR="002255C1">
        <w:t xml:space="preserve"> (</w:t>
      </w:r>
      <w:r w:rsidR="00816279">
        <w:t>(</w:t>
      </w:r>
      <w:r w:rsidR="002255C1">
        <w:t>$228.8 million</w:t>
      </w:r>
      <w:r w:rsidR="00713095">
        <w:t xml:space="preserve"> + 9 x $88.0 million</w:t>
      </w:r>
      <w:r w:rsidR="00816279">
        <w:t>)/10)</w:t>
      </w:r>
      <w:r w:rsidR="009273B9">
        <w:t>. Individuals and community organisations would not be expected to incur a net change in costs</w:t>
      </w:r>
      <w:r w:rsidR="00CC0B09">
        <w:t xml:space="preserve"> as these impacts are </w:t>
      </w:r>
      <w:r w:rsidR="00601A89">
        <w:t>assumed to be negligible</w:t>
      </w:r>
      <w:r w:rsidR="009273B9">
        <w:t>.</w:t>
      </w:r>
    </w:p>
    <w:p w14:paraId="20817CA1" w14:textId="77777777" w:rsidR="00C62727" w:rsidRDefault="0087597D" w:rsidP="00302DFD">
      <w:pPr>
        <w:pStyle w:val="Heading8"/>
        <w:rPr>
          <w:b/>
          <w:bCs/>
        </w:rPr>
      </w:pPr>
      <w:r w:rsidRPr="004D4D42">
        <w:rPr>
          <w:b/>
          <w:bCs/>
        </w:rPr>
        <w:t xml:space="preserve">Regulatory </w:t>
      </w:r>
      <w:r w:rsidRPr="00A529CA">
        <w:rPr>
          <w:rStyle w:val="Strong"/>
        </w:rPr>
        <w:t>burden</w:t>
      </w:r>
      <w:r w:rsidRPr="004D4D42">
        <w:rPr>
          <w:b/>
          <w:bCs/>
        </w:rPr>
        <w:t xml:space="preserve"> estimate (RBE) table</w:t>
      </w:r>
      <w:bookmarkStart w:id="46" w:name="_Ref177130360"/>
    </w:p>
    <w:p w14:paraId="54D8CE46" w14:textId="262FD3D1" w:rsidR="005153D2" w:rsidRDefault="00302DFD" w:rsidP="00302DFD">
      <w:pPr>
        <w:pStyle w:val="Heading8"/>
      </w:pPr>
      <w:r>
        <w:t xml:space="preserve">Table </w:t>
      </w:r>
      <w:fldSimple w:instr=" SEQ Table \* ARABIC ">
        <w:r w:rsidR="00962C40">
          <w:rPr>
            <w:noProof/>
          </w:rPr>
          <w:t>12</w:t>
        </w:r>
      </w:fldSimple>
      <w:bookmarkEnd w:id="46"/>
      <w:r>
        <w:t xml:space="preserve"> </w:t>
      </w:r>
      <w:r w:rsidR="004E4691">
        <w:t xml:space="preserve">– </w:t>
      </w:r>
      <w:r w:rsidR="005153D2" w:rsidRPr="005153D2">
        <w:t>Annual</w:t>
      </w:r>
      <w:r w:rsidR="004E4691">
        <w:t xml:space="preserve"> </w:t>
      </w:r>
      <w:r w:rsidR="005153D2" w:rsidRPr="005153D2">
        <w:t>regulatory costs (from business as usual)</w:t>
      </w:r>
      <w:r w:rsidR="000E3CA3">
        <w:t xml:space="preserve"> o</w:t>
      </w:r>
      <w:r w:rsidR="000E3CA3" w:rsidRPr="000E3CA3">
        <w:t>ver first 10 years of implementation</w:t>
      </w:r>
    </w:p>
    <w:tbl>
      <w:tblPr>
        <w:tblStyle w:val="Custom1"/>
        <w:tblW w:w="0" w:type="auto"/>
        <w:tblInd w:w="0" w:type="dxa"/>
        <w:tblLook w:val="0600" w:firstRow="0" w:lastRow="0" w:firstColumn="0" w:lastColumn="0" w:noHBand="1" w:noVBand="1"/>
      </w:tblPr>
      <w:tblGrid>
        <w:gridCol w:w="1798"/>
        <w:gridCol w:w="1806"/>
        <w:gridCol w:w="1845"/>
        <w:gridCol w:w="1824"/>
        <w:gridCol w:w="1797"/>
      </w:tblGrid>
      <w:tr w:rsidR="00996480" w14:paraId="20E9B419" w14:textId="77777777" w:rsidTr="00386C90">
        <w:trPr>
          <w:tblHeader/>
        </w:trPr>
        <w:tc>
          <w:tcPr>
            <w:tcW w:w="1798" w:type="dxa"/>
            <w:tcBorders>
              <w:top w:val="single" w:sz="4" w:space="0" w:color="2C384A" w:themeColor="accent1"/>
              <w:left w:val="nil"/>
              <w:bottom w:val="single" w:sz="4" w:space="0" w:color="2C384A" w:themeColor="accent1"/>
              <w:right w:val="nil"/>
            </w:tcBorders>
            <w:shd w:val="clear" w:color="auto" w:fill="auto"/>
            <w:hideMark/>
          </w:tcPr>
          <w:p w14:paraId="1C299682" w14:textId="77777777" w:rsidR="00EB535C" w:rsidRPr="00996480" w:rsidRDefault="00EB535C" w:rsidP="00996480">
            <w:pPr>
              <w:rPr>
                <w:rStyle w:val="Strong"/>
              </w:rPr>
            </w:pPr>
            <w:r w:rsidRPr="00996480">
              <w:rPr>
                <w:rStyle w:val="Strong"/>
              </w:rPr>
              <w:t>Change in costs ($ million)</w:t>
            </w:r>
          </w:p>
        </w:tc>
        <w:tc>
          <w:tcPr>
            <w:tcW w:w="1806" w:type="dxa"/>
            <w:tcBorders>
              <w:top w:val="single" w:sz="4" w:space="0" w:color="2C384A" w:themeColor="accent1"/>
              <w:left w:val="nil"/>
              <w:bottom w:val="single" w:sz="4" w:space="0" w:color="2C384A" w:themeColor="accent1"/>
              <w:right w:val="nil"/>
            </w:tcBorders>
            <w:shd w:val="clear" w:color="auto" w:fill="auto"/>
            <w:hideMark/>
          </w:tcPr>
          <w:p w14:paraId="027FA7B0" w14:textId="77777777" w:rsidR="00EB535C" w:rsidRPr="00996480" w:rsidRDefault="00EB535C" w:rsidP="00996480">
            <w:pPr>
              <w:rPr>
                <w:rStyle w:val="Strong"/>
              </w:rPr>
            </w:pPr>
            <w:r w:rsidRPr="00996480">
              <w:rPr>
                <w:rStyle w:val="Strong"/>
              </w:rPr>
              <w:t>Business</w:t>
            </w:r>
          </w:p>
        </w:tc>
        <w:tc>
          <w:tcPr>
            <w:tcW w:w="1845" w:type="dxa"/>
            <w:tcBorders>
              <w:top w:val="single" w:sz="4" w:space="0" w:color="2C384A" w:themeColor="accent1"/>
              <w:left w:val="nil"/>
              <w:bottom w:val="single" w:sz="4" w:space="0" w:color="2C384A" w:themeColor="accent1"/>
              <w:right w:val="nil"/>
            </w:tcBorders>
            <w:shd w:val="clear" w:color="auto" w:fill="auto"/>
            <w:hideMark/>
          </w:tcPr>
          <w:p w14:paraId="7650AFB9" w14:textId="77777777" w:rsidR="00EB535C" w:rsidRPr="00996480" w:rsidRDefault="00EB535C" w:rsidP="00996480">
            <w:pPr>
              <w:rPr>
                <w:rStyle w:val="Strong"/>
              </w:rPr>
            </w:pPr>
            <w:r w:rsidRPr="00996480">
              <w:rPr>
                <w:rStyle w:val="Strong"/>
              </w:rPr>
              <w:t>Community organisations</w:t>
            </w:r>
          </w:p>
        </w:tc>
        <w:tc>
          <w:tcPr>
            <w:tcW w:w="1824" w:type="dxa"/>
            <w:tcBorders>
              <w:top w:val="single" w:sz="4" w:space="0" w:color="2C384A" w:themeColor="accent1"/>
              <w:left w:val="nil"/>
              <w:bottom w:val="single" w:sz="4" w:space="0" w:color="2C384A" w:themeColor="accent1"/>
              <w:right w:val="nil"/>
            </w:tcBorders>
            <w:shd w:val="clear" w:color="auto" w:fill="auto"/>
            <w:hideMark/>
          </w:tcPr>
          <w:p w14:paraId="10725388" w14:textId="77777777" w:rsidR="00EB535C" w:rsidRPr="00996480" w:rsidRDefault="00EB535C" w:rsidP="00996480">
            <w:pPr>
              <w:rPr>
                <w:rStyle w:val="Strong"/>
              </w:rPr>
            </w:pPr>
            <w:r w:rsidRPr="00996480">
              <w:rPr>
                <w:rStyle w:val="Strong"/>
              </w:rPr>
              <w:t>Individuals</w:t>
            </w:r>
          </w:p>
        </w:tc>
        <w:tc>
          <w:tcPr>
            <w:tcW w:w="1797" w:type="dxa"/>
            <w:tcBorders>
              <w:top w:val="single" w:sz="4" w:space="0" w:color="2C384A" w:themeColor="accent1"/>
              <w:left w:val="nil"/>
              <w:bottom w:val="single" w:sz="4" w:space="0" w:color="2C384A" w:themeColor="accent1"/>
              <w:right w:val="nil"/>
            </w:tcBorders>
            <w:shd w:val="clear" w:color="auto" w:fill="auto"/>
            <w:hideMark/>
          </w:tcPr>
          <w:p w14:paraId="0CFB549D" w14:textId="77777777" w:rsidR="00EB535C" w:rsidRPr="00996480" w:rsidRDefault="00EB535C" w:rsidP="00996480">
            <w:pPr>
              <w:rPr>
                <w:rStyle w:val="Strong"/>
              </w:rPr>
            </w:pPr>
            <w:r w:rsidRPr="00996480">
              <w:rPr>
                <w:rStyle w:val="Strong"/>
              </w:rPr>
              <w:t>Total change in costs</w:t>
            </w:r>
          </w:p>
        </w:tc>
      </w:tr>
      <w:tr w:rsidR="009E70B6" w14:paraId="573BBD91" w14:textId="77777777" w:rsidTr="009E70B6">
        <w:tc>
          <w:tcPr>
            <w:tcW w:w="1798" w:type="dxa"/>
            <w:tcBorders>
              <w:top w:val="single" w:sz="4" w:space="0" w:color="2C384A" w:themeColor="accent1"/>
              <w:left w:val="nil"/>
              <w:bottom w:val="single" w:sz="12" w:space="0" w:color="2C384A" w:themeColor="accent1"/>
              <w:right w:val="nil"/>
            </w:tcBorders>
            <w:shd w:val="clear" w:color="auto" w:fill="auto"/>
            <w:hideMark/>
          </w:tcPr>
          <w:p w14:paraId="40AEEB3D" w14:textId="77777777" w:rsidR="009E70B6" w:rsidRDefault="009E70B6" w:rsidP="009E70B6">
            <w:pPr>
              <w:rPr>
                <w:szCs w:val="21"/>
              </w:rPr>
            </w:pPr>
            <w:r>
              <w:t>Total, by sector</w:t>
            </w:r>
          </w:p>
        </w:tc>
        <w:tc>
          <w:tcPr>
            <w:tcW w:w="1806" w:type="dxa"/>
            <w:tcBorders>
              <w:top w:val="single" w:sz="4" w:space="0" w:color="2C384A" w:themeColor="accent1"/>
              <w:left w:val="nil"/>
              <w:bottom w:val="single" w:sz="12" w:space="0" w:color="2C384A" w:themeColor="accent1"/>
              <w:right w:val="nil"/>
            </w:tcBorders>
            <w:shd w:val="clear" w:color="auto" w:fill="auto"/>
            <w:vAlign w:val="center"/>
            <w:hideMark/>
          </w:tcPr>
          <w:p w14:paraId="118359EE" w14:textId="0C0F0CF5" w:rsidR="009E70B6" w:rsidRPr="005A16CB" w:rsidRDefault="009E70B6" w:rsidP="009E70B6">
            <w:pPr>
              <w:spacing w:before="0" w:after="0"/>
              <w:rPr>
                <w:rFonts w:ascii="Calibri" w:hAnsi="Calibri" w:cs="Calibri"/>
                <w:color w:val="000000"/>
                <w:szCs w:val="18"/>
              </w:rPr>
            </w:pPr>
            <w:r>
              <w:rPr>
                <w:rFonts w:ascii="Calibri" w:hAnsi="Calibri" w:cs="Calibri"/>
                <w:color w:val="000000"/>
                <w:szCs w:val="18"/>
              </w:rPr>
              <w:t>$10</w:t>
            </w:r>
            <w:r w:rsidR="00523499">
              <w:rPr>
                <w:rFonts w:ascii="Calibri" w:hAnsi="Calibri" w:cs="Calibri"/>
                <w:color w:val="000000"/>
                <w:szCs w:val="18"/>
              </w:rPr>
              <w:t>2</w:t>
            </w:r>
            <w:r w:rsidR="00127622">
              <w:rPr>
                <w:rFonts w:ascii="Calibri" w:hAnsi="Calibri" w:cs="Calibri"/>
                <w:color w:val="000000"/>
                <w:szCs w:val="18"/>
              </w:rPr>
              <w:t>.1</w:t>
            </w:r>
          </w:p>
        </w:tc>
        <w:tc>
          <w:tcPr>
            <w:tcW w:w="1845" w:type="dxa"/>
            <w:tcBorders>
              <w:top w:val="single" w:sz="4" w:space="0" w:color="2C384A" w:themeColor="accent1"/>
              <w:left w:val="nil"/>
              <w:bottom w:val="single" w:sz="12" w:space="0" w:color="2C384A" w:themeColor="accent1"/>
              <w:right w:val="nil"/>
            </w:tcBorders>
            <w:shd w:val="clear" w:color="auto" w:fill="auto"/>
            <w:vAlign w:val="center"/>
            <w:hideMark/>
          </w:tcPr>
          <w:p w14:paraId="771DBFF9" w14:textId="5DAA9000" w:rsidR="009E70B6" w:rsidRPr="00631284" w:rsidRDefault="009E70B6" w:rsidP="009E70B6">
            <w:pPr>
              <w:rPr>
                <w:szCs w:val="18"/>
                <w:highlight w:val="yellow"/>
              </w:rPr>
            </w:pPr>
            <w:r>
              <w:rPr>
                <w:rFonts w:ascii="Calibri" w:hAnsi="Calibri" w:cs="Calibri"/>
                <w:color w:val="000000"/>
                <w:szCs w:val="18"/>
              </w:rPr>
              <w:t>Nil</w:t>
            </w:r>
          </w:p>
        </w:tc>
        <w:tc>
          <w:tcPr>
            <w:tcW w:w="1824" w:type="dxa"/>
            <w:tcBorders>
              <w:top w:val="single" w:sz="4" w:space="0" w:color="2C384A" w:themeColor="accent1"/>
              <w:left w:val="nil"/>
              <w:bottom w:val="single" w:sz="12" w:space="0" w:color="2C384A" w:themeColor="accent1"/>
              <w:right w:val="nil"/>
            </w:tcBorders>
            <w:shd w:val="clear" w:color="auto" w:fill="auto"/>
            <w:vAlign w:val="center"/>
            <w:hideMark/>
          </w:tcPr>
          <w:p w14:paraId="4B5A9C5B" w14:textId="3F993FA6" w:rsidR="009E70B6" w:rsidRPr="00631284" w:rsidRDefault="009E70B6" w:rsidP="009E70B6">
            <w:pPr>
              <w:rPr>
                <w:szCs w:val="18"/>
                <w:highlight w:val="yellow"/>
              </w:rPr>
            </w:pPr>
            <w:r>
              <w:rPr>
                <w:rFonts w:ascii="Calibri" w:hAnsi="Calibri" w:cs="Calibri"/>
                <w:color w:val="000000"/>
                <w:szCs w:val="18"/>
              </w:rPr>
              <w:t>Nil</w:t>
            </w:r>
          </w:p>
        </w:tc>
        <w:tc>
          <w:tcPr>
            <w:tcW w:w="1797" w:type="dxa"/>
            <w:tcBorders>
              <w:top w:val="single" w:sz="4" w:space="0" w:color="2C384A" w:themeColor="accent1"/>
              <w:left w:val="nil"/>
              <w:bottom w:val="single" w:sz="12" w:space="0" w:color="2C384A" w:themeColor="accent1"/>
              <w:right w:val="nil"/>
            </w:tcBorders>
            <w:shd w:val="clear" w:color="auto" w:fill="auto"/>
            <w:vAlign w:val="center"/>
            <w:hideMark/>
          </w:tcPr>
          <w:p w14:paraId="6E2D3449" w14:textId="3870D8B0" w:rsidR="009E70B6" w:rsidRPr="005A16CB" w:rsidRDefault="009E70B6" w:rsidP="009E70B6">
            <w:pPr>
              <w:spacing w:before="0" w:after="0"/>
              <w:rPr>
                <w:rFonts w:ascii="Calibri" w:hAnsi="Calibri" w:cs="Calibri"/>
                <w:color w:val="000000"/>
                <w:szCs w:val="18"/>
              </w:rPr>
            </w:pPr>
            <w:r>
              <w:rPr>
                <w:rFonts w:ascii="Calibri" w:hAnsi="Calibri" w:cs="Calibri"/>
                <w:color w:val="000000"/>
                <w:szCs w:val="18"/>
              </w:rPr>
              <w:t>$10</w:t>
            </w:r>
            <w:r w:rsidR="008626CD">
              <w:rPr>
                <w:rFonts w:ascii="Calibri" w:hAnsi="Calibri" w:cs="Calibri"/>
                <w:color w:val="000000"/>
                <w:szCs w:val="18"/>
              </w:rPr>
              <w:t>2.1</w:t>
            </w:r>
          </w:p>
        </w:tc>
      </w:tr>
    </w:tbl>
    <w:p w14:paraId="25C9F078" w14:textId="6342A45E" w:rsidR="00990809" w:rsidRDefault="00AC262D" w:rsidP="006140A7">
      <w:pPr>
        <w:pStyle w:val="Heading3"/>
      </w:pPr>
      <w:bookmarkStart w:id="47" w:name="_Ref175823177"/>
      <w:bookmarkStart w:id="48" w:name="_Ref177024171"/>
      <w:bookmarkStart w:id="49" w:name="_Toc179556403"/>
      <w:r>
        <w:lastRenderedPageBreak/>
        <w:t xml:space="preserve">4.2 </w:t>
      </w:r>
      <w:r w:rsidR="00C336AF">
        <w:t>G</w:t>
      </w:r>
      <w:r w:rsidR="006140A7">
        <w:t>overnment</w:t>
      </w:r>
      <w:r w:rsidR="00C336AF">
        <w:t xml:space="preserve"> costs</w:t>
      </w:r>
      <w:bookmarkEnd w:id="47"/>
      <w:bookmarkEnd w:id="48"/>
      <w:bookmarkEnd w:id="49"/>
    </w:p>
    <w:p w14:paraId="6FE36CDC" w14:textId="77777777" w:rsidR="006140A7" w:rsidRDefault="006140A7" w:rsidP="00DA1E3F">
      <w:pPr>
        <w:pStyle w:val="Heading7"/>
      </w:pPr>
      <w:r>
        <w:t>Option 1 – Status quo</w:t>
      </w:r>
    </w:p>
    <w:p w14:paraId="17DF106A" w14:textId="525C0679" w:rsidR="00EC4F2B" w:rsidRDefault="0055019E" w:rsidP="00EC4F2B">
      <w:r>
        <w:t xml:space="preserve">As Option 1 </w:t>
      </w:r>
      <w:r w:rsidR="00BD5836">
        <w:t xml:space="preserve">represents the status quo </w:t>
      </w:r>
      <w:r w:rsidR="00DF0AD8">
        <w:t>it does not involve additional</w:t>
      </w:r>
      <w:r w:rsidR="00BD5836">
        <w:t xml:space="preserve"> costs</w:t>
      </w:r>
      <w:r w:rsidR="00857A56">
        <w:t xml:space="preserve"> for government</w:t>
      </w:r>
      <w:r>
        <w:t xml:space="preserve"> </w:t>
      </w:r>
      <w:r w:rsidR="00DF0AD8">
        <w:t>relative</w:t>
      </w:r>
      <w:r w:rsidR="00857A56">
        <w:t xml:space="preserve"> to</w:t>
      </w:r>
      <w:r w:rsidR="00DF0AD8">
        <w:t xml:space="preserve"> </w:t>
      </w:r>
      <w:r w:rsidR="00001A7A">
        <w:t xml:space="preserve">the current </w:t>
      </w:r>
      <w:r w:rsidR="0098155A">
        <w:t>arrangements</w:t>
      </w:r>
      <w:r w:rsidR="00DF0AD8">
        <w:t>.</w:t>
      </w:r>
      <w:r w:rsidR="001E379A" w:rsidRPr="001E379A">
        <w:t xml:space="preserve"> </w:t>
      </w:r>
      <w:r w:rsidR="001E379A">
        <w:t xml:space="preserve">However, from the government’s perspective, as the scams problem grows, the resources required to address issue at a later point in time will also grow. </w:t>
      </w:r>
    </w:p>
    <w:p w14:paraId="69F8231D" w14:textId="726360D3" w:rsidR="006140A7" w:rsidRDefault="006140A7" w:rsidP="00DA1E3F">
      <w:pPr>
        <w:pStyle w:val="Heading7"/>
      </w:pPr>
      <w:r>
        <w:t xml:space="preserve">Option 2 – </w:t>
      </w:r>
      <w:r w:rsidR="000A746C">
        <w:t>Scams Prevention</w:t>
      </w:r>
      <w:r>
        <w:t xml:space="preserve"> Framework</w:t>
      </w:r>
    </w:p>
    <w:p w14:paraId="5377A542" w14:textId="5F7CD039" w:rsidR="00335D4F" w:rsidRPr="00335D4F" w:rsidRDefault="00B53F93" w:rsidP="00500A8C">
      <w:pPr>
        <w:rPr>
          <w:rStyle w:val="Hyperlink"/>
          <w:color w:val="auto"/>
        </w:rPr>
      </w:pPr>
      <w:r>
        <w:t xml:space="preserve">As announced in the 2024-25 Budget, </w:t>
      </w:r>
      <w:r w:rsidR="005806F7">
        <w:t xml:space="preserve">the government would provide </w:t>
      </w:r>
      <w:r w:rsidR="00500A8C">
        <w:t xml:space="preserve">$37.3 million </w:t>
      </w:r>
      <w:r w:rsidR="005806F7">
        <w:t xml:space="preserve">for the </w:t>
      </w:r>
      <w:r w:rsidR="00E832A4">
        <w:t xml:space="preserve">introduction of mandatory industry codes to be established under a </w:t>
      </w:r>
      <w:r w:rsidR="00AB609C">
        <w:t>SPF</w:t>
      </w:r>
      <w:r w:rsidR="005806F7">
        <w:t xml:space="preserve"> </w:t>
      </w:r>
      <w:r w:rsidR="00500A8C">
        <w:t>over four years from 2024–25</w:t>
      </w:r>
      <w:r w:rsidR="00C763F6">
        <w:t>.</w:t>
      </w:r>
      <w:r w:rsidR="00040360" w:rsidRPr="003E3621">
        <w:rPr>
          <w:rStyle w:val="FootnoteReference"/>
          <w:vertAlign w:val="superscript"/>
        </w:rPr>
        <w:footnoteReference w:id="44"/>
      </w:r>
      <w:r w:rsidR="00C763F6" w:rsidRPr="003E3621">
        <w:rPr>
          <w:vertAlign w:val="superscript"/>
        </w:rPr>
        <w:t xml:space="preserve"> </w:t>
      </w:r>
      <w:r w:rsidR="00C763F6">
        <w:t>This includes</w:t>
      </w:r>
      <w:r w:rsidR="00500A8C">
        <w:t xml:space="preserve"> $8.6 million per year ongoing for </w:t>
      </w:r>
      <w:r w:rsidR="00B47FED">
        <w:t>government regulators</w:t>
      </w:r>
      <w:r w:rsidR="00500A8C">
        <w:t xml:space="preserve"> to administer and enforce mandatory industry codes for regulated businesses to address scams on their platforms and services, initially targeting telecommunications, banks and digital platforms services relating to social media, paid search engine advertising and direct messaging.</w:t>
      </w:r>
      <w:r w:rsidR="00072BE1" w:rsidRPr="0003489B">
        <w:rPr>
          <w:rStyle w:val="FootnoteReference"/>
          <w:vertAlign w:val="superscript"/>
        </w:rPr>
        <w:footnoteReference w:id="45"/>
      </w:r>
      <w:r w:rsidR="005B48CB" w:rsidRPr="0003489B">
        <w:rPr>
          <w:vertAlign w:val="superscript"/>
        </w:rPr>
        <w:t xml:space="preserve"> </w:t>
      </w:r>
    </w:p>
    <w:p w14:paraId="48E93377" w14:textId="3482299F" w:rsidR="00010990" w:rsidRDefault="00B30CFE" w:rsidP="00500A8C">
      <w:pPr>
        <w:rPr>
          <w:rFonts w:eastAsia="Arial"/>
        </w:rPr>
      </w:pPr>
      <w:r w:rsidRPr="00874346">
        <w:t xml:space="preserve">To </w:t>
      </w:r>
      <w:r w:rsidR="00EE0AD7" w:rsidRPr="00874346">
        <w:t xml:space="preserve">implement </w:t>
      </w:r>
      <w:r w:rsidR="00C66603" w:rsidRPr="00874346">
        <w:t xml:space="preserve">a single EDR scheme for scam disputes for the three initial regulated sectors under the SPF </w:t>
      </w:r>
      <w:r w:rsidR="00C44921" w:rsidRPr="00874346">
        <w:t xml:space="preserve">would </w:t>
      </w:r>
      <w:r w:rsidR="006A6A73" w:rsidRPr="00874346">
        <w:t xml:space="preserve">involve </w:t>
      </w:r>
      <w:r w:rsidR="00A75EC1" w:rsidRPr="00874346">
        <w:t xml:space="preserve">seed funding </w:t>
      </w:r>
      <w:r w:rsidR="00507B4A" w:rsidRPr="00874346">
        <w:t xml:space="preserve">of </w:t>
      </w:r>
      <w:r w:rsidR="00A209B0" w:rsidRPr="00874346">
        <w:t>$14.7</w:t>
      </w:r>
      <w:r w:rsidR="00507B4A" w:rsidRPr="00874346">
        <w:t xml:space="preserve"> million </w:t>
      </w:r>
      <w:r w:rsidR="00286223" w:rsidRPr="00874346">
        <w:t>over two years from 202</w:t>
      </w:r>
      <w:r w:rsidR="00A209B0" w:rsidRPr="00874346">
        <w:t xml:space="preserve">4-25 </w:t>
      </w:r>
      <w:r w:rsidR="00A75EC1" w:rsidRPr="00874346">
        <w:t xml:space="preserve">for </w:t>
      </w:r>
      <w:r w:rsidR="004D3BA6" w:rsidRPr="00874346">
        <w:t>AFCA</w:t>
      </w:r>
      <w:r w:rsidR="00D92110" w:rsidRPr="00874346">
        <w:t xml:space="preserve"> to </w:t>
      </w:r>
      <w:r w:rsidR="007A6D32" w:rsidRPr="00874346">
        <w:t>expand its</w:t>
      </w:r>
      <w:r w:rsidR="004B7D37" w:rsidRPr="00874346">
        <w:t xml:space="preserve"> </w:t>
      </w:r>
      <w:r w:rsidR="007A6D32" w:rsidRPr="00874346">
        <w:t xml:space="preserve">jurisdiction and establish its capacity to handle </w:t>
      </w:r>
      <w:r w:rsidR="00C07A9C" w:rsidRPr="00874346">
        <w:t xml:space="preserve">SPF disputes. </w:t>
      </w:r>
      <w:r w:rsidR="004E48C5" w:rsidRPr="00874346">
        <w:t xml:space="preserve">There would </w:t>
      </w:r>
      <w:r w:rsidR="004D3BA6" w:rsidRPr="00874346">
        <w:t>no</w:t>
      </w:r>
      <w:r w:rsidR="004456EC" w:rsidRPr="00874346">
        <w:t xml:space="preserve"> </w:t>
      </w:r>
      <w:r w:rsidR="00C46149" w:rsidRPr="00874346">
        <w:t xml:space="preserve">ongoing </w:t>
      </w:r>
      <w:r w:rsidR="006E40AE" w:rsidRPr="00874346">
        <w:t xml:space="preserve">government </w:t>
      </w:r>
      <w:r w:rsidR="00C46149" w:rsidRPr="00874346">
        <w:t>costs</w:t>
      </w:r>
      <w:r w:rsidR="004D3BA6" w:rsidRPr="00874346">
        <w:t>. O</w:t>
      </w:r>
      <w:r w:rsidR="005A766A" w:rsidRPr="00874346">
        <w:rPr>
          <w:rFonts w:eastAsia="Arial" w:cs="Arial"/>
        </w:rPr>
        <w:t xml:space="preserve">nce established, </w:t>
      </w:r>
      <w:r w:rsidR="004D3BA6" w:rsidRPr="00874346">
        <w:rPr>
          <w:rFonts w:eastAsia="Arial" w:cs="Arial"/>
        </w:rPr>
        <w:t>AFCA</w:t>
      </w:r>
      <w:r w:rsidR="005A766A" w:rsidRPr="00874346">
        <w:rPr>
          <w:rFonts w:eastAsia="Arial" w:cs="Arial"/>
        </w:rPr>
        <w:t xml:space="preserve"> would recover its </w:t>
      </w:r>
      <w:r w:rsidR="008D223C">
        <w:rPr>
          <w:rFonts w:eastAsia="Arial" w:cs="Arial"/>
        </w:rPr>
        <w:t xml:space="preserve">operating </w:t>
      </w:r>
      <w:r w:rsidR="005A766A" w:rsidRPr="00874346">
        <w:rPr>
          <w:rFonts w:eastAsia="Arial" w:cs="Arial"/>
        </w:rPr>
        <w:t>costs from its members</w:t>
      </w:r>
      <w:r w:rsidR="00286223" w:rsidRPr="00874346">
        <w:rPr>
          <w:rFonts w:eastAsia="Arial" w:cs="Arial"/>
        </w:rPr>
        <w:t>.</w:t>
      </w:r>
    </w:p>
    <w:p w14:paraId="1F2E0553" w14:textId="1285A18C" w:rsidR="00504A10" w:rsidRPr="00BE17D1" w:rsidRDefault="00504A10" w:rsidP="00500A8C">
      <w:pPr>
        <w:rPr>
          <w:rFonts w:eastAsia="Arial"/>
        </w:rPr>
      </w:pPr>
      <w:r>
        <w:rPr>
          <w:rFonts w:eastAsia="Arial"/>
        </w:rPr>
        <w:t xml:space="preserve">As outlined in </w:t>
      </w:r>
      <w:r>
        <w:rPr>
          <w:rFonts w:eastAsia="Arial"/>
        </w:rPr>
        <w:fldChar w:fldCharType="begin"/>
      </w:r>
      <w:r>
        <w:rPr>
          <w:rFonts w:eastAsia="Arial"/>
        </w:rPr>
        <w:instrText xml:space="preserve"> REF _Ref179228646 \h </w:instrText>
      </w:r>
      <w:r>
        <w:rPr>
          <w:rFonts w:eastAsia="Arial"/>
        </w:rPr>
      </w:r>
      <w:r>
        <w:rPr>
          <w:rFonts w:eastAsia="Arial"/>
        </w:rPr>
        <w:fldChar w:fldCharType="separate"/>
      </w:r>
      <w:r>
        <w:t xml:space="preserve">Table </w:t>
      </w:r>
      <w:r>
        <w:rPr>
          <w:noProof/>
        </w:rPr>
        <w:t>13</w:t>
      </w:r>
      <w:r>
        <w:rPr>
          <w:rFonts w:eastAsia="Arial"/>
        </w:rPr>
        <w:fldChar w:fldCharType="end"/>
      </w:r>
      <w:r>
        <w:rPr>
          <w:rFonts w:eastAsia="Arial"/>
        </w:rPr>
        <w:t xml:space="preserve">, </w:t>
      </w:r>
      <w:r w:rsidR="00B26351">
        <w:rPr>
          <w:rFonts w:eastAsia="Arial"/>
        </w:rPr>
        <w:t xml:space="preserve">government costs </w:t>
      </w:r>
      <w:r w:rsidR="006C5622">
        <w:rPr>
          <w:rFonts w:eastAsia="Arial"/>
        </w:rPr>
        <w:t>for the</w:t>
      </w:r>
      <w:r w:rsidR="00B26351">
        <w:rPr>
          <w:rFonts w:eastAsia="Arial"/>
        </w:rPr>
        <w:t xml:space="preserve"> initial year would be </w:t>
      </w:r>
      <w:r w:rsidR="006C5622">
        <w:rPr>
          <w:rFonts w:eastAsia="Arial"/>
        </w:rPr>
        <w:t xml:space="preserve">$26.2 million for </w:t>
      </w:r>
      <w:r w:rsidR="00A70852">
        <w:rPr>
          <w:rFonts w:eastAsia="Arial"/>
        </w:rPr>
        <w:t>establishing the SPF and AFCA</w:t>
      </w:r>
      <w:r w:rsidR="00F4789A">
        <w:rPr>
          <w:rFonts w:eastAsia="Arial"/>
        </w:rPr>
        <w:t>’s expanded jurisdiction,</w:t>
      </w:r>
      <w:r w:rsidR="006C5622">
        <w:rPr>
          <w:rFonts w:eastAsia="Arial"/>
        </w:rPr>
        <w:t xml:space="preserve"> followed by $8.6 million</w:t>
      </w:r>
      <w:r w:rsidR="00F4789A">
        <w:rPr>
          <w:rFonts w:eastAsia="Arial"/>
        </w:rPr>
        <w:t xml:space="preserve"> each year </w:t>
      </w:r>
      <w:r w:rsidR="006C4A78">
        <w:rPr>
          <w:rFonts w:eastAsia="Arial"/>
        </w:rPr>
        <w:t>to administer the SPF.</w:t>
      </w:r>
    </w:p>
    <w:p w14:paraId="2550A58C" w14:textId="30285B9A" w:rsidR="005D0BEA" w:rsidRDefault="005D0BEA" w:rsidP="005D0BEA">
      <w:pPr>
        <w:pStyle w:val="Heading8"/>
      </w:pPr>
      <w:bookmarkStart w:id="50" w:name="_Ref179228646"/>
      <w:r>
        <w:t xml:space="preserve">Table </w:t>
      </w:r>
      <w:fldSimple w:instr=" SEQ Table \* ARABIC ">
        <w:r w:rsidR="00824A75">
          <w:rPr>
            <w:noProof/>
          </w:rPr>
          <w:t>13</w:t>
        </w:r>
      </w:fldSimple>
      <w:bookmarkEnd w:id="50"/>
      <w:r>
        <w:t xml:space="preserve"> – </w:t>
      </w:r>
      <w:r w:rsidRPr="005153D2">
        <w:t>Annual</w:t>
      </w:r>
      <w:r>
        <w:t xml:space="preserve"> government</w:t>
      </w:r>
      <w:r w:rsidRPr="005153D2">
        <w:t xml:space="preserve"> costs </w:t>
      </w:r>
      <w:r w:rsidR="00830EB9">
        <w:t>($ millions)</w:t>
      </w:r>
    </w:p>
    <w:tbl>
      <w:tblPr>
        <w:tblStyle w:val="Custom1"/>
        <w:tblW w:w="9015" w:type="dxa"/>
        <w:tblInd w:w="0" w:type="dxa"/>
        <w:tblLook w:val="04A0" w:firstRow="1" w:lastRow="0" w:firstColumn="1" w:lastColumn="0" w:noHBand="0" w:noVBand="1"/>
      </w:tblPr>
      <w:tblGrid>
        <w:gridCol w:w="5954"/>
        <w:gridCol w:w="1559"/>
        <w:gridCol w:w="1502"/>
      </w:tblGrid>
      <w:tr w:rsidR="00B26351" w:rsidRPr="00EC3D9F" w14:paraId="153ECE85" w14:textId="77777777" w:rsidTr="00BE17D1">
        <w:trPr>
          <w:cnfStyle w:val="100000000000" w:firstRow="1" w:lastRow="0" w:firstColumn="0" w:lastColumn="0" w:oddVBand="0" w:evenVBand="0" w:oddHBand="0" w:evenHBand="0" w:firstRowFirstColumn="0" w:firstRowLastColumn="0" w:lastRowFirstColumn="0" w:lastRowLastColumn="0"/>
          <w:trHeight w:val="269"/>
        </w:trPr>
        <w:tc>
          <w:tcPr>
            <w:tcW w:w="5954" w:type="dxa"/>
            <w:noWrap/>
            <w:hideMark/>
          </w:tcPr>
          <w:p w14:paraId="09A95B6E" w14:textId="6E7F47FB" w:rsidR="00B26351" w:rsidRPr="000E11E5" w:rsidRDefault="00B26351">
            <w:pPr>
              <w:spacing w:before="0" w:after="0"/>
              <w:rPr>
                <w:rFonts w:ascii="Calibri" w:hAnsi="Calibri" w:cs="Calibri"/>
                <w:bCs/>
                <w:color w:val="FFFFFF" w:themeColor="background1"/>
                <w:sz w:val="22"/>
                <w:szCs w:val="22"/>
              </w:rPr>
            </w:pPr>
          </w:p>
        </w:tc>
        <w:tc>
          <w:tcPr>
            <w:tcW w:w="1559" w:type="dxa"/>
            <w:noWrap/>
            <w:hideMark/>
          </w:tcPr>
          <w:p w14:paraId="41253C7D" w14:textId="21BD9288" w:rsidR="00B26351" w:rsidRPr="000E11E5" w:rsidRDefault="00B26351" w:rsidP="00BE17D1">
            <w:pPr>
              <w:spacing w:before="0" w:after="0"/>
              <w:jc w:val="right"/>
              <w:rPr>
                <w:rFonts w:ascii="Calibri" w:hAnsi="Calibri" w:cs="Calibri"/>
                <w:bCs/>
                <w:color w:val="FFFFFF" w:themeColor="background1"/>
                <w:sz w:val="22"/>
                <w:szCs w:val="22"/>
              </w:rPr>
            </w:pPr>
            <w:r>
              <w:rPr>
                <w:rFonts w:ascii="Calibri" w:hAnsi="Calibri" w:cs="Calibri"/>
                <w:bCs/>
                <w:color w:val="FFFFFF" w:themeColor="background1"/>
                <w:sz w:val="22"/>
                <w:szCs w:val="22"/>
              </w:rPr>
              <w:t>Initial</w:t>
            </w:r>
          </w:p>
        </w:tc>
        <w:tc>
          <w:tcPr>
            <w:tcW w:w="1502" w:type="dxa"/>
            <w:noWrap/>
            <w:hideMark/>
          </w:tcPr>
          <w:p w14:paraId="4C8E63B9" w14:textId="77777777" w:rsidR="00B26351" w:rsidRPr="000E11E5" w:rsidRDefault="00B26351" w:rsidP="00BE17D1">
            <w:pPr>
              <w:spacing w:before="0" w:after="0"/>
              <w:jc w:val="right"/>
              <w:rPr>
                <w:rFonts w:ascii="Calibri" w:hAnsi="Calibri" w:cs="Calibri"/>
                <w:bCs/>
                <w:color w:val="FFFFFF" w:themeColor="background1"/>
                <w:sz w:val="22"/>
                <w:szCs w:val="22"/>
              </w:rPr>
            </w:pPr>
            <w:r w:rsidRPr="000E11E5">
              <w:rPr>
                <w:rFonts w:ascii="Calibri" w:hAnsi="Calibri" w:cs="Calibri"/>
                <w:bCs/>
                <w:color w:val="FFFFFF" w:themeColor="background1"/>
                <w:sz w:val="22"/>
                <w:szCs w:val="22"/>
              </w:rPr>
              <w:t>Ongoing</w:t>
            </w:r>
          </w:p>
        </w:tc>
      </w:tr>
      <w:tr w:rsidR="00B26351" w:rsidRPr="00EC3D9F" w14:paraId="1EA63245" w14:textId="77777777" w:rsidTr="00BE17D1">
        <w:trPr>
          <w:cnfStyle w:val="000000100000" w:firstRow="0" w:lastRow="0" w:firstColumn="0" w:lastColumn="0" w:oddVBand="0" w:evenVBand="0" w:oddHBand="1" w:evenHBand="0" w:firstRowFirstColumn="0" w:firstRowLastColumn="0" w:lastRowFirstColumn="0" w:lastRowLastColumn="0"/>
          <w:trHeight w:val="269"/>
        </w:trPr>
        <w:tc>
          <w:tcPr>
            <w:tcW w:w="5954" w:type="dxa"/>
            <w:noWrap/>
            <w:vAlign w:val="bottom"/>
            <w:hideMark/>
          </w:tcPr>
          <w:p w14:paraId="2585788B" w14:textId="064C32A1" w:rsidR="00B26351" w:rsidRPr="000E11E5" w:rsidRDefault="00B26351">
            <w:pPr>
              <w:spacing w:before="0" w:after="0"/>
              <w:rPr>
                <w:rFonts w:ascii="Calibri" w:hAnsi="Calibri" w:cs="Calibri"/>
                <w:color w:val="000000"/>
                <w:sz w:val="22"/>
                <w:szCs w:val="22"/>
              </w:rPr>
            </w:pPr>
            <w:r>
              <w:rPr>
                <w:rFonts w:ascii="Calibri" w:hAnsi="Calibri" w:cs="Calibri"/>
                <w:color w:val="000000"/>
                <w:sz w:val="22"/>
                <w:szCs w:val="22"/>
              </w:rPr>
              <w:t>Administering and enforcing SPF obligations</w:t>
            </w:r>
          </w:p>
        </w:tc>
        <w:tc>
          <w:tcPr>
            <w:tcW w:w="1559" w:type="dxa"/>
            <w:noWrap/>
            <w:hideMark/>
          </w:tcPr>
          <w:p w14:paraId="0C6E3721" w14:textId="19966F05" w:rsidR="00B26351" w:rsidRPr="000E11E5" w:rsidRDefault="00B26351">
            <w:pPr>
              <w:spacing w:before="0" w:after="0"/>
              <w:jc w:val="right"/>
              <w:rPr>
                <w:rFonts w:ascii="Calibri" w:hAnsi="Calibri" w:cs="Calibri"/>
                <w:color w:val="000000"/>
                <w:sz w:val="22"/>
                <w:szCs w:val="22"/>
              </w:rPr>
            </w:pPr>
            <w:r w:rsidRPr="000E11E5">
              <w:rPr>
                <w:rFonts w:ascii="Calibri" w:hAnsi="Calibri" w:cs="Calibri"/>
                <w:color w:val="000000"/>
                <w:sz w:val="22"/>
                <w:szCs w:val="22"/>
              </w:rPr>
              <w:t>$</w:t>
            </w:r>
            <w:r>
              <w:rPr>
                <w:rFonts w:ascii="Calibri" w:hAnsi="Calibri" w:cs="Calibri"/>
                <w:color w:val="000000"/>
                <w:sz w:val="22"/>
                <w:szCs w:val="22"/>
              </w:rPr>
              <w:t>11.5</w:t>
            </w:r>
          </w:p>
        </w:tc>
        <w:tc>
          <w:tcPr>
            <w:tcW w:w="1502" w:type="dxa"/>
            <w:noWrap/>
            <w:hideMark/>
          </w:tcPr>
          <w:p w14:paraId="7B459D2A" w14:textId="49B7A8C1" w:rsidR="00B26351" w:rsidRPr="000E11E5" w:rsidRDefault="00B26351">
            <w:pPr>
              <w:spacing w:before="0" w:after="0"/>
              <w:jc w:val="right"/>
              <w:rPr>
                <w:rFonts w:ascii="Calibri" w:hAnsi="Calibri" w:cs="Calibri"/>
                <w:color w:val="000000"/>
                <w:sz w:val="22"/>
                <w:szCs w:val="22"/>
              </w:rPr>
            </w:pPr>
            <w:r w:rsidRPr="000E11E5">
              <w:rPr>
                <w:rFonts w:ascii="Calibri" w:hAnsi="Calibri" w:cs="Calibri"/>
                <w:color w:val="000000"/>
                <w:sz w:val="22"/>
                <w:szCs w:val="22"/>
              </w:rPr>
              <w:t>$</w:t>
            </w:r>
            <w:r>
              <w:rPr>
                <w:rFonts w:ascii="Calibri" w:hAnsi="Calibri" w:cs="Calibri"/>
                <w:color w:val="000000"/>
                <w:sz w:val="22"/>
                <w:szCs w:val="22"/>
              </w:rPr>
              <w:t>8.6</w:t>
            </w:r>
          </w:p>
        </w:tc>
      </w:tr>
      <w:tr w:rsidR="00B26351" w:rsidRPr="003A6E2B" w14:paraId="67C5DD70" w14:textId="77777777" w:rsidTr="00BE17D1">
        <w:trPr>
          <w:trHeight w:val="269"/>
        </w:trPr>
        <w:tc>
          <w:tcPr>
            <w:tcW w:w="5954" w:type="dxa"/>
            <w:noWrap/>
            <w:vAlign w:val="bottom"/>
            <w:hideMark/>
          </w:tcPr>
          <w:p w14:paraId="68E34CBE" w14:textId="174EDD8B" w:rsidR="00B26351" w:rsidRPr="00874780" w:rsidRDefault="00B26351">
            <w:pPr>
              <w:spacing w:before="0" w:after="0"/>
              <w:rPr>
                <w:rFonts w:ascii="Calibri" w:hAnsi="Calibri" w:cs="Calibri"/>
                <w:color w:val="000000"/>
                <w:sz w:val="22"/>
                <w:szCs w:val="26"/>
              </w:rPr>
            </w:pPr>
            <w:r w:rsidRPr="00874780">
              <w:rPr>
                <w:rFonts w:ascii="Calibri" w:hAnsi="Calibri" w:cs="Calibri"/>
                <w:color w:val="000000"/>
                <w:sz w:val="22"/>
                <w:szCs w:val="26"/>
              </w:rPr>
              <w:t xml:space="preserve">AFCA – establish single EDR scheme for </w:t>
            </w:r>
            <w:r>
              <w:rPr>
                <w:rFonts w:ascii="Calibri" w:hAnsi="Calibri" w:cs="Calibri"/>
                <w:color w:val="000000"/>
                <w:sz w:val="22"/>
                <w:szCs w:val="26"/>
              </w:rPr>
              <w:t>3</w:t>
            </w:r>
            <w:r w:rsidRPr="00874780">
              <w:rPr>
                <w:rFonts w:ascii="Calibri" w:hAnsi="Calibri" w:cs="Calibri"/>
                <w:color w:val="000000"/>
                <w:sz w:val="22"/>
                <w:szCs w:val="26"/>
              </w:rPr>
              <w:t xml:space="preserve"> initial sectors</w:t>
            </w:r>
            <w:r w:rsidRPr="00874780">
              <w:rPr>
                <w:rStyle w:val="FootnoteReference"/>
                <w:rFonts w:ascii="Calibri" w:hAnsi="Calibri" w:cs="Calibri"/>
                <w:color w:val="000000"/>
                <w:sz w:val="22"/>
                <w:szCs w:val="26"/>
                <w:vertAlign w:val="superscript"/>
              </w:rPr>
              <w:footnoteReference w:id="46"/>
            </w:r>
          </w:p>
        </w:tc>
        <w:tc>
          <w:tcPr>
            <w:tcW w:w="1559" w:type="dxa"/>
            <w:noWrap/>
            <w:hideMark/>
          </w:tcPr>
          <w:p w14:paraId="73040065" w14:textId="45F87C0A" w:rsidR="00B26351" w:rsidRPr="00874780" w:rsidRDefault="00B26351">
            <w:pPr>
              <w:spacing w:before="0" w:after="0"/>
              <w:jc w:val="right"/>
              <w:rPr>
                <w:rFonts w:ascii="Calibri" w:hAnsi="Calibri" w:cs="Calibri"/>
                <w:color w:val="000000"/>
                <w:sz w:val="22"/>
                <w:szCs w:val="26"/>
              </w:rPr>
            </w:pPr>
            <w:r w:rsidRPr="00874780">
              <w:rPr>
                <w:rFonts w:ascii="Calibri" w:hAnsi="Calibri" w:cs="Calibri"/>
                <w:color w:val="000000"/>
                <w:sz w:val="22"/>
                <w:szCs w:val="26"/>
              </w:rPr>
              <w:t>$14.7</w:t>
            </w:r>
          </w:p>
        </w:tc>
        <w:tc>
          <w:tcPr>
            <w:tcW w:w="1502" w:type="dxa"/>
            <w:noWrap/>
            <w:hideMark/>
          </w:tcPr>
          <w:p w14:paraId="7B9007B1" w14:textId="13DBA010" w:rsidR="00B26351" w:rsidRPr="00874780" w:rsidRDefault="00B26351">
            <w:pPr>
              <w:spacing w:before="0" w:after="0"/>
              <w:jc w:val="right"/>
              <w:rPr>
                <w:rFonts w:ascii="Calibri" w:hAnsi="Calibri" w:cs="Calibri"/>
                <w:color w:val="000000"/>
                <w:sz w:val="22"/>
                <w:szCs w:val="26"/>
              </w:rPr>
            </w:pPr>
            <w:r w:rsidRPr="00874780">
              <w:rPr>
                <w:rFonts w:ascii="Calibri" w:hAnsi="Calibri" w:cs="Calibri"/>
                <w:color w:val="000000"/>
                <w:sz w:val="22"/>
                <w:szCs w:val="26"/>
              </w:rPr>
              <w:t>$0.0</w:t>
            </w:r>
          </w:p>
        </w:tc>
      </w:tr>
      <w:tr w:rsidR="00B26351" w:rsidRPr="00EC3D9F" w14:paraId="117211D5" w14:textId="77777777" w:rsidTr="00BE17D1">
        <w:trPr>
          <w:cnfStyle w:val="000000100000" w:firstRow="0" w:lastRow="0" w:firstColumn="0" w:lastColumn="0" w:oddVBand="0" w:evenVBand="0" w:oddHBand="1" w:evenHBand="0" w:firstRowFirstColumn="0" w:firstRowLastColumn="0" w:lastRowFirstColumn="0" w:lastRowLastColumn="0"/>
          <w:trHeight w:val="269"/>
        </w:trPr>
        <w:tc>
          <w:tcPr>
            <w:tcW w:w="5954" w:type="dxa"/>
            <w:noWrap/>
            <w:hideMark/>
          </w:tcPr>
          <w:p w14:paraId="0D19D624" w14:textId="77777777" w:rsidR="00B26351" w:rsidRPr="00141814" w:rsidRDefault="00B26351" w:rsidP="00FE01AD">
            <w:pPr>
              <w:spacing w:before="0" w:after="0"/>
              <w:rPr>
                <w:rFonts w:ascii="Calibri" w:hAnsi="Calibri" w:cs="Calibri"/>
                <w:b/>
                <w:bCs/>
                <w:color w:val="000000"/>
                <w:sz w:val="22"/>
                <w:szCs w:val="22"/>
              </w:rPr>
            </w:pPr>
            <w:r w:rsidRPr="00141814">
              <w:rPr>
                <w:rFonts w:ascii="Calibri" w:hAnsi="Calibri" w:cs="Calibri"/>
                <w:b/>
                <w:bCs/>
                <w:color w:val="000000"/>
                <w:sz w:val="22"/>
                <w:szCs w:val="22"/>
              </w:rPr>
              <w:t xml:space="preserve">Total </w:t>
            </w:r>
          </w:p>
        </w:tc>
        <w:tc>
          <w:tcPr>
            <w:tcW w:w="1559" w:type="dxa"/>
            <w:noWrap/>
            <w:hideMark/>
          </w:tcPr>
          <w:p w14:paraId="3338D2A9" w14:textId="5AE560C8" w:rsidR="00B26351" w:rsidRPr="00FE01AD" w:rsidRDefault="00B26351" w:rsidP="00FE01AD">
            <w:pPr>
              <w:spacing w:before="0" w:after="0"/>
              <w:jc w:val="right"/>
              <w:rPr>
                <w:rFonts w:ascii="Calibri" w:hAnsi="Calibri" w:cs="Calibri"/>
                <w:b/>
                <w:bCs/>
                <w:color w:val="000000"/>
                <w:sz w:val="22"/>
                <w:szCs w:val="22"/>
              </w:rPr>
            </w:pPr>
            <w:r w:rsidRPr="00FE01AD">
              <w:rPr>
                <w:rFonts w:ascii="Calibri" w:hAnsi="Calibri" w:cs="Calibri"/>
                <w:b/>
                <w:bCs/>
                <w:color w:val="000000"/>
                <w:sz w:val="22"/>
                <w:szCs w:val="22"/>
              </w:rPr>
              <w:t>$26.</w:t>
            </w:r>
            <w:r>
              <w:rPr>
                <w:rFonts w:ascii="Calibri" w:hAnsi="Calibri" w:cs="Calibri"/>
                <w:b/>
                <w:color w:val="000000"/>
                <w:sz w:val="22"/>
                <w:szCs w:val="22"/>
              </w:rPr>
              <w:t>2</w:t>
            </w:r>
          </w:p>
        </w:tc>
        <w:tc>
          <w:tcPr>
            <w:tcW w:w="1502" w:type="dxa"/>
            <w:noWrap/>
            <w:vAlign w:val="bottom"/>
            <w:hideMark/>
          </w:tcPr>
          <w:p w14:paraId="25F65DFC" w14:textId="16B7BA50" w:rsidR="00B26351" w:rsidRPr="00FE01AD" w:rsidRDefault="00B26351" w:rsidP="00FE01AD">
            <w:pPr>
              <w:spacing w:before="0" w:after="0"/>
              <w:jc w:val="right"/>
              <w:rPr>
                <w:rFonts w:ascii="Calibri" w:hAnsi="Calibri" w:cs="Calibri"/>
                <w:b/>
                <w:bCs/>
                <w:color w:val="000000"/>
                <w:sz w:val="22"/>
                <w:szCs w:val="22"/>
              </w:rPr>
            </w:pPr>
            <w:r w:rsidRPr="00FE01AD">
              <w:rPr>
                <w:rFonts w:ascii="Calibri" w:hAnsi="Calibri" w:cs="Calibri"/>
                <w:b/>
                <w:bCs/>
                <w:color w:val="000000"/>
                <w:sz w:val="22"/>
                <w:szCs w:val="22"/>
              </w:rPr>
              <w:t>$8.6</w:t>
            </w:r>
          </w:p>
        </w:tc>
      </w:tr>
    </w:tbl>
    <w:p w14:paraId="4445288D" w14:textId="4C3C6AF7" w:rsidR="005E504F" w:rsidRDefault="00AC262D" w:rsidP="008C2D8F">
      <w:pPr>
        <w:pStyle w:val="Heading3"/>
      </w:pPr>
      <w:bookmarkStart w:id="51" w:name="_Ref177024294"/>
      <w:bookmarkStart w:id="52" w:name="_Toc179556404"/>
      <w:r>
        <w:t xml:space="preserve">4.3 </w:t>
      </w:r>
      <w:r w:rsidR="00C376EC">
        <w:t>Benefits</w:t>
      </w:r>
      <w:bookmarkEnd w:id="51"/>
      <w:bookmarkEnd w:id="52"/>
      <w:r w:rsidR="00C376EC">
        <w:t xml:space="preserve"> </w:t>
      </w:r>
    </w:p>
    <w:p w14:paraId="005AEE0C" w14:textId="725C7DE5" w:rsidR="00127AAA" w:rsidRDefault="00FD11DF" w:rsidP="005E504F">
      <w:pPr>
        <w:pStyle w:val="Heading4"/>
      </w:pPr>
      <w:bookmarkStart w:id="53" w:name="_Ref177024187"/>
      <w:r>
        <w:t xml:space="preserve">4.3.1 </w:t>
      </w:r>
      <w:r w:rsidR="005E504F">
        <w:t>R</w:t>
      </w:r>
      <w:r w:rsidR="007C6F7E">
        <w:t>edu</w:t>
      </w:r>
      <w:r w:rsidR="00FB38A6">
        <w:t>cing</w:t>
      </w:r>
      <w:r w:rsidR="00127AAA">
        <w:t xml:space="preserve"> </w:t>
      </w:r>
      <w:r w:rsidR="002D3CB4">
        <w:t xml:space="preserve">exposure to </w:t>
      </w:r>
      <w:r w:rsidR="00C376EC">
        <w:t>scam</w:t>
      </w:r>
      <w:r w:rsidR="002D3CB4">
        <w:t>s</w:t>
      </w:r>
      <w:bookmarkEnd w:id="53"/>
    </w:p>
    <w:p w14:paraId="70F168F0" w14:textId="77777777" w:rsidR="00632533" w:rsidRDefault="00632533" w:rsidP="00632533">
      <w:pPr>
        <w:pStyle w:val="Heading7"/>
      </w:pPr>
      <w:r>
        <w:t>Option 1 – Status quo</w:t>
      </w:r>
    </w:p>
    <w:p w14:paraId="26FE319E" w14:textId="6842F8F3" w:rsidR="00492BD3" w:rsidRDefault="008974D5" w:rsidP="00492BD3">
      <w:r>
        <w:t>There would be two</w:t>
      </w:r>
      <w:r w:rsidR="00101576">
        <w:t xml:space="preserve"> key</w:t>
      </w:r>
      <w:r>
        <w:t xml:space="preserve"> </w:t>
      </w:r>
      <w:r w:rsidR="0025700A">
        <w:t>factors</w:t>
      </w:r>
      <w:r w:rsidR="00101576">
        <w:t xml:space="preserve"> limiting</w:t>
      </w:r>
      <w:r w:rsidR="00511FEF">
        <w:t xml:space="preserve"> future reductions in exposure to scams</w:t>
      </w:r>
      <w:r w:rsidR="00E43EDB">
        <w:t xml:space="preserve"> under the status quo policy settings: lack of clear industry obligations and lack of co</w:t>
      </w:r>
      <w:r w:rsidR="00303A40">
        <w:t>-</w:t>
      </w:r>
      <w:r w:rsidR="00E43EDB">
        <w:t>ordination</w:t>
      </w:r>
      <w:r w:rsidR="003B36F2">
        <w:t xml:space="preserve"> across the economy</w:t>
      </w:r>
      <w:r w:rsidR="00E43EDB">
        <w:t>.</w:t>
      </w:r>
    </w:p>
    <w:p w14:paraId="3574A280" w14:textId="67057195" w:rsidR="000A3567" w:rsidRDefault="000A3567" w:rsidP="000A3567">
      <w:pPr>
        <w:pStyle w:val="Heading7"/>
      </w:pPr>
      <w:r>
        <w:t xml:space="preserve">Option 2 – </w:t>
      </w:r>
      <w:r w:rsidR="000A746C">
        <w:t>Scams Prevention</w:t>
      </w:r>
      <w:r>
        <w:t xml:space="preserve"> Framework</w:t>
      </w:r>
    </w:p>
    <w:p w14:paraId="1C497D1D" w14:textId="50A75D67" w:rsidR="00586A6E" w:rsidRPr="00586A6E" w:rsidRDefault="00C07A80" w:rsidP="003E06DA">
      <w:pPr>
        <w:pStyle w:val="Heading8"/>
      </w:pPr>
      <w:r>
        <w:t xml:space="preserve">Clear obligations </w:t>
      </w:r>
      <w:r w:rsidR="00BA68FD">
        <w:t>on regulated entities</w:t>
      </w:r>
    </w:p>
    <w:p w14:paraId="3D37FE21" w14:textId="2635F864" w:rsidR="001955C8" w:rsidRDefault="00C26284" w:rsidP="00A37732">
      <w:r>
        <w:t xml:space="preserve">The primary objective of the </w:t>
      </w:r>
      <w:r w:rsidR="000277C9">
        <w:t xml:space="preserve">SPF </w:t>
      </w:r>
      <w:r>
        <w:t>is to set clear roles and responsibilities for the Government, regulators, and the private sector in combatting scams.</w:t>
      </w:r>
      <w:r w:rsidRPr="00614123">
        <w:t xml:space="preserve"> </w:t>
      </w:r>
      <w:r w:rsidR="00A37732">
        <w:t xml:space="preserve">The key benefit of the </w:t>
      </w:r>
      <w:r w:rsidR="000277C9">
        <w:t xml:space="preserve">SPF </w:t>
      </w:r>
      <w:r w:rsidR="00A37732">
        <w:t xml:space="preserve">is that mandatory </w:t>
      </w:r>
      <w:r w:rsidR="00A37732">
        <w:lastRenderedPageBreak/>
        <w:t xml:space="preserve">and consistent standards across industry sectors will uplift anti-scam activities and in turn </w:t>
      </w:r>
      <w:r w:rsidR="00030E6E">
        <w:t>reduce</w:t>
      </w:r>
      <w:r w:rsidR="001955C8">
        <w:t xml:space="preserve"> exposure to</w:t>
      </w:r>
      <w:r w:rsidR="00A37732">
        <w:t xml:space="preserve"> scams </w:t>
      </w:r>
      <w:r w:rsidR="001955C8">
        <w:t>for</w:t>
      </w:r>
      <w:r w:rsidR="00A37732">
        <w:t xml:space="preserve"> consumers. </w:t>
      </w:r>
    </w:p>
    <w:p w14:paraId="5E7F212F" w14:textId="10D76EB4" w:rsidR="005A5EBF" w:rsidRDefault="005A5EBF" w:rsidP="005A5EBF">
      <w:r>
        <w:t>Uplifting</w:t>
      </w:r>
      <w:r w:rsidR="00410071">
        <w:t xml:space="preserve"> these</w:t>
      </w:r>
      <w:r>
        <w:t xml:space="preserve"> anti-scam activities</w:t>
      </w:r>
      <w:r w:rsidR="00410071">
        <w:t xml:space="preserve"> to a consistent standard</w:t>
      </w:r>
      <w:r>
        <w:t xml:space="preserve"> across the designated sectors of banking, telecommunications and digital platforms would result in more consistent consumer protections across the Australian economy. </w:t>
      </w:r>
      <w:r w:rsidR="00AD0B5F">
        <w:t>This would result in lower frequency of scam activity reaching consumers and reduced losses to scams</w:t>
      </w:r>
      <w:r w:rsidR="005C6226">
        <w:t xml:space="preserve">, as has been </w:t>
      </w:r>
      <w:r w:rsidR="00C9451F">
        <w:t xml:space="preserve">demonstrated by </w:t>
      </w:r>
      <w:r w:rsidR="005C22C0">
        <w:t>industry activities</w:t>
      </w:r>
      <w:r w:rsidR="00DD70C5">
        <w:t xml:space="preserve"> including</w:t>
      </w:r>
      <w:r w:rsidR="00303221">
        <w:t>:</w:t>
      </w:r>
      <w:r w:rsidR="00AD0B5F">
        <w:t xml:space="preserve"> </w:t>
      </w:r>
    </w:p>
    <w:p w14:paraId="5A27913D" w14:textId="1CAD296C" w:rsidR="00B47137" w:rsidRPr="00BE17D1" w:rsidRDefault="00B47137">
      <w:pPr>
        <w:pStyle w:val="ListParagraph"/>
        <w:numPr>
          <w:ilvl w:val="0"/>
          <w:numId w:val="62"/>
        </w:numPr>
      </w:pPr>
      <w:r>
        <w:rPr>
          <w:color w:val="000000"/>
          <w:szCs w:val="22"/>
        </w:rPr>
        <w:t xml:space="preserve">Under </w:t>
      </w:r>
      <w:r w:rsidR="000D67F3" w:rsidRPr="000D67F3">
        <w:rPr>
          <w:rFonts w:eastAsiaTheme="minorEastAsia" w:cs="Calibri Light"/>
          <w:szCs w:val="22"/>
        </w:rPr>
        <w:t xml:space="preserve">the </w:t>
      </w:r>
      <w:r w:rsidR="000D67F3" w:rsidRPr="000D67F3">
        <w:rPr>
          <w:rFonts w:eastAsiaTheme="minorEastAsia"/>
          <w:iCs/>
        </w:rPr>
        <w:t>Reducing Scam Calls and Scam SMs</w:t>
      </w:r>
      <w:r w:rsidR="000D67F3" w:rsidRPr="000D67F3">
        <w:rPr>
          <w:rFonts w:eastAsiaTheme="minorEastAsia"/>
          <w:i/>
        </w:rPr>
        <w:t xml:space="preserve"> </w:t>
      </w:r>
      <w:r w:rsidR="000D67F3" w:rsidRPr="00A9501D">
        <w:t>industry</w:t>
      </w:r>
      <w:r w:rsidR="000D67F3" w:rsidRPr="000D67F3">
        <w:rPr>
          <w:i/>
          <w:iCs/>
        </w:rPr>
        <w:t xml:space="preserve"> </w:t>
      </w:r>
      <w:r w:rsidR="000D67F3" w:rsidRPr="00A9501D">
        <w:t>code</w:t>
      </w:r>
      <w:r w:rsidR="000D67F3" w:rsidRPr="000D67F3">
        <w:rPr>
          <w:color w:val="000000"/>
          <w:szCs w:val="22"/>
        </w:rPr>
        <w:t xml:space="preserve"> </w:t>
      </w:r>
      <w:r w:rsidR="005C6226" w:rsidRPr="009060B1">
        <w:rPr>
          <w:rFonts w:eastAsiaTheme="minorEastAsia" w:cs="Calibri Light"/>
          <w:iCs/>
          <w:szCs w:val="22"/>
        </w:rPr>
        <w:t>t</w:t>
      </w:r>
      <w:r w:rsidR="005C6226" w:rsidRPr="009060B1">
        <w:rPr>
          <w:rFonts w:eastAsiaTheme="minorEastAsia" w:cs="Calibri Light"/>
          <w:iCs/>
        </w:rPr>
        <w:t>elecommunications</w:t>
      </w:r>
      <w:r w:rsidR="005C6226" w:rsidRPr="000D67F3">
        <w:rPr>
          <w:rFonts w:eastAsiaTheme="minorEastAsia" w:cs="Calibri Light"/>
        </w:rPr>
        <w:t xml:space="preserve"> providers have blocked 1.5 billion scam calls and 668 million scam SMS</w:t>
      </w:r>
      <w:r w:rsidR="0018577C">
        <w:rPr>
          <w:rFonts w:eastAsiaTheme="minorEastAsia" w:cs="Calibri Light"/>
        </w:rPr>
        <w:t xml:space="preserve"> </w:t>
      </w:r>
      <w:r w:rsidR="00120CB3">
        <w:rPr>
          <w:rFonts w:eastAsiaTheme="minorEastAsia" w:cs="Calibri Light"/>
        </w:rPr>
        <w:t xml:space="preserve">between </w:t>
      </w:r>
      <w:r w:rsidR="0018577C" w:rsidRPr="000D67F3">
        <w:rPr>
          <w:rFonts w:eastAsiaTheme="minorEastAsia" w:cs="Calibri Light"/>
          <w:szCs w:val="22"/>
        </w:rPr>
        <w:t xml:space="preserve">July </w:t>
      </w:r>
      <w:r w:rsidR="0018577C" w:rsidRPr="009060B1">
        <w:rPr>
          <w:rFonts w:eastAsiaTheme="minorEastAsia" w:cs="Calibri Light"/>
          <w:iCs/>
          <w:szCs w:val="22"/>
        </w:rPr>
        <w:t>2022</w:t>
      </w:r>
      <w:r w:rsidR="00120CB3">
        <w:rPr>
          <w:rFonts w:eastAsiaTheme="minorEastAsia" w:cs="Calibri Light"/>
          <w:iCs/>
          <w:szCs w:val="22"/>
        </w:rPr>
        <w:t xml:space="preserve"> and June 2024</w:t>
      </w:r>
      <w:r w:rsidR="005C6226" w:rsidRPr="000D67F3">
        <w:rPr>
          <w:rFonts w:eastAsiaTheme="minorEastAsia" w:cs="Calibri Light"/>
        </w:rPr>
        <w:t>.</w:t>
      </w:r>
      <w:r w:rsidR="005C6226" w:rsidRPr="00743274">
        <w:rPr>
          <w:rStyle w:val="FootnoteReference"/>
          <w:rFonts w:eastAsiaTheme="minorEastAsia" w:cs="Calibri Light"/>
          <w:vertAlign w:val="superscript"/>
        </w:rPr>
        <w:footnoteReference w:id="47"/>
      </w:r>
    </w:p>
    <w:p w14:paraId="7696BB00" w14:textId="6B645172" w:rsidR="005C6226" w:rsidRPr="00370F0D" w:rsidRDefault="00827673">
      <w:pPr>
        <w:pStyle w:val="ListParagraph"/>
        <w:numPr>
          <w:ilvl w:val="0"/>
          <w:numId w:val="62"/>
        </w:numPr>
      </w:pPr>
      <w:r>
        <w:rPr>
          <w:rFonts w:eastAsiaTheme="minorEastAsia" w:cs="Calibri Light"/>
        </w:rPr>
        <w:t>Google</w:t>
      </w:r>
      <w:r w:rsidR="00BE3979">
        <w:rPr>
          <w:rFonts w:eastAsiaTheme="minorEastAsia" w:cs="Calibri Light"/>
        </w:rPr>
        <w:t xml:space="preserve"> </w:t>
      </w:r>
      <w:r w:rsidR="004E56DA">
        <w:rPr>
          <w:rFonts w:eastAsiaTheme="minorEastAsia" w:cs="Calibri Light"/>
        </w:rPr>
        <w:t xml:space="preserve">reported </w:t>
      </w:r>
      <w:r w:rsidR="00BD2FEB" w:rsidRPr="00BD2FEB">
        <w:rPr>
          <w:rFonts w:eastAsiaTheme="minorEastAsia" w:cs="Calibri Light"/>
        </w:rPr>
        <w:t>block</w:t>
      </w:r>
      <w:r w:rsidR="004E56DA">
        <w:rPr>
          <w:rFonts w:eastAsiaTheme="minorEastAsia" w:cs="Calibri Light"/>
        </w:rPr>
        <w:t>ing</w:t>
      </w:r>
      <w:r w:rsidR="00BD2FEB" w:rsidRPr="00BD2FEB">
        <w:rPr>
          <w:rFonts w:eastAsiaTheme="minorEastAsia" w:cs="Calibri Light"/>
        </w:rPr>
        <w:t xml:space="preserve"> or remov</w:t>
      </w:r>
      <w:r w:rsidR="004E56DA">
        <w:rPr>
          <w:rFonts w:eastAsiaTheme="minorEastAsia" w:cs="Calibri Light"/>
        </w:rPr>
        <w:t>ing</w:t>
      </w:r>
      <w:r w:rsidR="00BD2FEB" w:rsidRPr="00BD2FEB">
        <w:rPr>
          <w:rFonts w:eastAsiaTheme="minorEastAsia" w:cs="Calibri Light"/>
        </w:rPr>
        <w:t xml:space="preserve"> 206.5 million advertisements </w:t>
      </w:r>
      <w:r w:rsidR="00F85352">
        <w:rPr>
          <w:rFonts w:eastAsiaTheme="minorEastAsia" w:cs="Calibri Light"/>
        </w:rPr>
        <w:t xml:space="preserve">which </w:t>
      </w:r>
      <w:r w:rsidR="00BD2FEB" w:rsidRPr="00BD2FEB">
        <w:rPr>
          <w:rFonts w:eastAsiaTheme="minorEastAsia" w:cs="Calibri Light"/>
        </w:rPr>
        <w:t>violat</w:t>
      </w:r>
      <w:r w:rsidR="0001622A">
        <w:rPr>
          <w:rFonts w:eastAsiaTheme="minorEastAsia" w:cs="Calibri Light"/>
        </w:rPr>
        <w:t>ed</w:t>
      </w:r>
      <w:r w:rsidR="00BD2FEB" w:rsidRPr="00BD2FEB">
        <w:rPr>
          <w:rFonts w:eastAsiaTheme="minorEastAsia" w:cs="Calibri Light"/>
        </w:rPr>
        <w:t xml:space="preserve"> </w:t>
      </w:r>
      <w:r w:rsidR="004E56DA">
        <w:rPr>
          <w:rFonts w:eastAsiaTheme="minorEastAsia" w:cs="Calibri Light"/>
        </w:rPr>
        <w:t>their</w:t>
      </w:r>
      <w:r w:rsidR="00BD2FEB" w:rsidRPr="00BD2FEB">
        <w:rPr>
          <w:rFonts w:eastAsiaTheme="minorEastAsia" w:cs="Calibri Light"/>
        </w:rPr>
        <w:t xml:space="preserve"> misrepresentation policy</w:t>
      </w:r>
      <w:r w:rsidR="00F36A2B">
        <w:rPr>
          <w:rFonts w:eastAsiaTheme="minorEastAsia" w:cs="Calibri Light"/>
        </w:rPr>
        <w:t xml:space="preserve"> in 2023</w:t>
      </w:r>
      <w:r w:rsidR="00EC0DF8">
        <w:rPr>
          <w:rFonts w:eastAsiaTheme="minorEastAsia" w:cs="Calibri Light"/>
        </w:rPr>
        <w:t xml:space="preserve">, </w:t>
      </w:r>
      <w:r w:rsidR="00EC0DF8" w:rsidRPr="00BD2FEB">
        <w:rPr>
          <w:rFonts w:eastAsiaTheme="minorEastAsia" w:cs="Calibri Light"/>
        </w:rPr>
        <w:t>includ</w:t>
      </w:r>
      <w:r w:rsidR="00FC11D1">
        <w:rPr>
          <w:rFonts w:eastAsiaTheme="minorEastAsia" w:cs="Calibri Light"/>
        </w:rPr>
        <w:t>ing</w:t>
      </w:r>
      <w:r w:rsidR="00EC0DF8" w:rsidRPr="00BD2FEB">
        <w:rPr>
          <w:rFonts w:eastAsiaTheme="minorEastAsia" w:cs="Calibri Light"/>
        </w:rPr>
        <w:t xml:space="preserve"> man</w:t>
      </w:r>
      <w:r w:rsidR="00274C8B">
        <w:rPr>
          <w:rFonts w:eastAsiaTheme="minorEastAsia" w:cs="Calibri Light"/>
        </w:rPr>
        <w:t xml:space="preserve">y </w:t>
      </w:r>
      <w:r w:rsidR="00FC11D1">
        <w:rPr>
          <w:rFonts w:eastAsiaTheme="minorEastAsia" w:cs="Calibri Light"/>
        </w:rPr>
        <w:t>scams</w:t>
      </w:r>
      <w:r w:rsidR="00BD2FEB">
        <w:rPr>
          <w:rFonts w:eastAsiaTheme="minorEastAsia" w:cs="Calibri Light"/>
        </w:rPr>
        <w:t>.</w:t>
      </w:r>
      <w:r w:rsidR="0019118B" w:rsidRPr="00BE17D1">
        <w:rPr>
          <w:rStyle w:val="FootnoteReference"/>
          <w:rFonts w:eastAsiaTheme="minorEastAsia" w:cs="Calibri Light"/>
          <w:vertAlign w:val="superscript"/>
        </w:rPr>
        <w:footnoteReference w:id="48"/>
      </w:r>
      <w:r w:rsidR="0001622A">
        <w:rPr>
          <w:rFonts w:eastAsiaTheme="minorEastAsia" w:cs="Calibri Light"/>
        </w:rPr>
        <w:t xml:space="preserve"> </w:t>
      </w:r>
    </w:p>
    <w:p w14:paraId="40F0FC44" w14:textId="30B940A8" w:rsidR="00911A48" w:rsidRDefault="00911A48" w:rsidP="00BE17D1">
      <w:pPr>
        <w:pStyle w:val="ListParagraph"/>
        <w:numPr>
          <w:ilvl w:val="0"/>
          <w:numId w:val="62"/>
        </w:numPr>
      </w:pPr>
      <w:r>
        <w:rPr>
          <w:rFonts w:eastAsiaTheme="minorEastAsia" w:cs="Calibri Light"/>
        </w:rPr>
        <w:t xml:space="preserve">Meta conducted a targeted search for scam investment ads in July 2024 which resulted in </w:t>
      </w:r>
      <w:r w:rsidR="0097445E">
        <w:rPr>
          <w:rFonts w:eastAsiaTheme="minorEastAsia" w:cs="Calibri Light"/>
        </w:rPr>
        <w:t>nearly 20,000 such scam ads being identified and removed.</w:t>
      </w:r>
      <w:r w:rsidR="0097445E" w:rsidRPr="00BE17D1">
        <w:rPr>
          <w:rStyle w:val="FootnoteReference"/>
          <w:rFonts w:eastAsiaTheme="minorEastAsia" w:cs="Calibri Light"/>
          <w:vertAlign w:val="superscript"/>
        </w:rPr>
        <w:footnoteReference w:id="49"/>
      </w:r>
    </w:p>
    <w:p w14:paraId="6F7425C6" w14:textId="53779500" w:rsidR="007A750F" w:rsidRDefault="00733ECF" w:rsidP="007A750F">
      <w:r>
        <w:t>E</w:t>
      </w:r>
      <w:r w:rsidR="008F2F70">
        <w:t xml:space="preserve">nsuring consistency across the sectors in which scams operate would </w:t>
      </w:r>
      <w:r>
        <w:t xml:space="preserve">also </w:t>
      </w:r>
      <w:r w:rsidR="008F2F70">
        <w:t>reduce the potential movement of scam activity to other sectors.</w:t>
      </w:r>
      <w:r w:rsidR="008F2F70" w:rsidRPr="00431529">
        <w:t xml:space="preserve"> </w:t>
      </w:r>
      <w:r w:rsidR="008F2F70">
        <w:t>The use of mandatory obligations would deliver a benefit over the status quo as there are recognised gaps in existing anti-scam policies and procedures.</w:t>
      </w:r>
      <w:r w:rsidR="0072750E" w:rsidRPr="00BE17D1">
        <w:rPr>
          <w:rStyle w:val="FootnoteReference"/>
          <w:vertAlign w:val="superscript"/>
        </w:rPr>
        <w:footnoteReference w:id="50"/>
      </w:r>
      <w:r w:rsidR="008F2F70">
        <w:t xml:space="preserve"> </w:t>
      </w:r>
    </w:p>
    <w:p w14:paraId="4679504B" w14:textId="3C60FA6E" w:rsidR="00BA68FD" w:rsidRDefault="00BA68FD" w:rsidP="00BA68FD">
      <w:pPr>
        <w:pStyle w:val="Heading8"/>
      </w:pPr>
      <w:r>
        <w:t>Coordination of anti-scam actions</w:t>
      </w:r>
    </w:p>
    <w:p w14:paraId="384B9A8D" w14:textId="676849CE" w:rsidR="000D6D8E" w:rsidRDefault="00F401E8" w:rsidP="005A5EBF">
      <w:r>
        <w:t xml:space="preserve">The </w:t>
      </w:r>
      <w:r w:rsidR="00AB609C">
        <w:t>SPF</w:t>
      </w:r>
      <w:r>
        <w:t xml:space="preserve"> </w:t>
      </w:r>
      <w:r w:rsidR="00AA18F9">
        <w:t xml:space="preserve">would </w:t>
      </w:r>
      <w:r w:rsidR="00C65579">
        <w:t xml:space="preserve">enhance </w:t>
      </w:r>
      <w:r w:rsidR="001F7828">
        <w:t xml:space="preserve">information sharing </w:t>
      </w:r>
      <w:r w:rsidR="00C65579">
        <w:t xml:space="preserve">arrangements </w:t>
      </w:r>
      <w:r w:rsidR="00202B8A">
        <w:t>to enable more</w:t>
      </w:r>
      <w:r>
        <w:t xml:space="preserve"> e</w:t>
      </w:r>
      <w:r w:rsidRPr="00F401E8">
        <w:t xml:space="preserve">fficient and timely sharing of information critical to support </w:t>
      </w:r>
      <w:r>
        <w:t>government</w:t>
      </w:r>
      <w:r w:rsidRPr="00F401E8">
        <w:t xml:space="preserve"> regulators and </w:t>
      </w:r>
      <w:r w:rsidR="004435DF">
        <w:t xml:space="preserve">industry </w:t>
      </w:r>
      <w:r w:rsidR="00622D5D">
        <w:t xml:space="preserve">to </w:t>
      </w:r>
      <w:r w:rsidRPr="00F401E8">
        <w:t xml:space="preserve">effectively protect </w:t>
      </w:r>
      <w:r w:rsidR="003B7BE8">
        <w:t>consumers</w:t>
      </w:r>
      <w:r w:rsidRPr="00F401E8">
        <w:t xml:space="preserve"> against scams.</w:t>
      </w:r>
      <w:r w:rsidR="00922208">
        <w:t xml:space="preserve"> S</w:t>
      </w:r>
      <w:r w:rsidR="00922208" w:rsidRPr="00922208">
        <w:t xml:space="preserve">haring information </w:t>
      </w:r>
      <w:r w:rsidR="00743A9E">
        <w:t>would</w:t>
      </w:r>
      <w:r w:rsidR="00922208" w:rsidRPr="00922208">
        <w:t xml:space="preserve"> enabl</w:t>
      </w:r>
      <w:r w:rsidR="00DA45E3">
        <w:t>e</w:t>
      </w:r>
      <w:r w:rsidR="00922208" w:rsidRPr="00922208">
        <w:t xml:space="preserve"> regulator</w:t>
      </w:r>
      <w:r w:rsidR="00DA45E3">
        <w:t>s</w:t>
      </w:r>
      <w:r w:rsidR="00922208" w:rsidRPr="00922208">
        <w:t xml:space="preserve"> and </w:t>
      </w:r>
      <w:r w:rsidR="006F56E7">
        <w:t xml:space="preserve">businesses </w:t>
      </w:r>
      <w:r w:rsidR="00922208" w:rsidRPr="00922208">
        <w:t xml:space="preserve">to act </w:t>
      </w:r>
      <w:r w:rsidR="006E4869">
        <w:t>quickly</w:t>
      </w:r>
      <w:r w:rsidR="00922208" w:rsidRPr="00922208">
        <w:t xml:space="preserve"> to prevent and disrupt the scam occurring, to mitigate the impact of the scam and/or prevent future scams. </w:t>
      </w:r>
      <w:r w:rsidR="006268E0">
        <w:t>This would also include information sharing with law enforcement and government agencies via the government regulator.</w:t>
      </w:r>
    </w:p>
    <w:p w14:paraId="088D9409" w14:textId="33C792C4" w:rsidR="008954C1" w:rsidRDefault="00922208" w:rsidP="005A5EBF">
      <w:r w:rsidRPr="00922208">
        <w:t xml:space="preserve">For example, </w:t>
      </w:r>
      <w:r w:rsidR="004E6E8D">
        <w:t xml:space="preserve">the </w:t>
      </w:r>
      <w:r w:rsidR="00AB609C">
        <w:t>SPF</w:t>
      </w:r>
      <w:r w:rsidRPr="00922208">
        <w:t xml:space="preserve"> would enable a bank that</w:t>
      </w:r>
      <w:r w:rsidR="00FC59F1">
        <w:t xml:space="preserve"> is notified it</w:t>
      </w:r>
      <w:r w:rsidRPr="00922208">
        <w:t xml:space="preserve"> has facilitated the transfer of funds </w:t>
      </w:r>
      <w:r w:rsidR="00E53996">
        <w:t xml:space="preserve">through a scam </w:t>
      </w:r>
      <w:r w:rsidRPr="00922208">
        <w:t xml:space="preserve">into an account at another bank to report details about both the sending and receiving account holders </w:t>
      </w:r>
      <w:r w:rsidR="00213D6E">
        <w:t>to</w:t>
      </w:r>
      <w:r w:rsidR="00213D6E" w:rsidRPr="00922208">
        <w:t xml:space="preserve"> </w:t>
      </w:r>
      <w:r w:rsidRPr="00922208">
        <w:t>the regulator</w:t>
      </w:r>
      <w:r w:rsidR="00043612">
        <w:t xml:space="preserve">. </w:t>
      </w:r>
      <w:r w:rsidR="00880FDB">
        <w:t>The information</w:t>
      </w:r>
      <w:r w:rsidR="00043612">
        <w:t xml:space="preserve"> would then be pro</w:t>
      </w:r>
      <w:r w:rsidR="00880FDB">
        <w:t xml:space="preserve">vided to </w:t>
      </w:r>
      <w:r w:rsidR="00C06285">
        <w:t>other regulated entities</w:t>
      </w:r>
      <w:r w:rsidRPr="00922208">
        <w:t xml:space="preserve"> so that prompt action can be taken to </w:t>
      </w:r>
      <w:r w:rsidR="00C06285">
        <w:t xml:space="preserve">disrupt other transfers to the </w:t>
      </w:r>
      <w:r w:rsidR="00A04484">
        <w:t xml:space="preserve">scammers receiving account and </w:t>
      </w:r>
      <w:r w:rsidR="002F415F">
        <w:t xml:space="preserve">attempt </w:t>
      </w:r>
      <w:r w:rsidR="00A04484">
        <w:t xml:space="preserve">to </w:t>
      </w:r>
      <w:r w:rsidRPr="00922208">
        <w:t xml:space="preserve">recover the funds. </w:t>
      </w:r>
      <w:r w:rsidR="0096175F">
        <w:t xml:space="preserve">Sharing scam information </w:t>
      </w:r>
      <w:r w:rsidR="005B5183">
        <w:t xml:space="preserve">across the ecosystem could also </w:t>
      </w:r>
      <w:r w:rsidRPr="00922208">
        <w:t xml:space="preserve">enable a social media service provider to quickly remove </w:t>
      </w:r>
      <w:r w:rsidR="00CA1B7D">
        <w:t xml:space="preserve">an </w:t>
      </w:r>
      <w:r w:rsidRPr="00922208">
        <w:t xml:space="preserve">advertisement or suspend an account suspected to be associated with scam activity </w:t>
      </w:r>
      <w:r w:rsidR="00631E8B">
        <w:t xml:space="preserve">reported by the bank </w:t>
      </w:r>
      <w:r w:rsidRPr="00922208">
        <w:t>to prevent further consumers from being impacted</w:t>
      </w:r>
      <w:r w:rsidR="00692FE9" w:rsidRPr="00922208">
        <w:t>.</w:t>
      </w:r>
    </w:p>
    <w:p w14:paraId="13E25337" w14:textId="6C3BF5F8" w:rsidR="009B17F5" w:rsidRDefault="009429FD" w:rsidP="005A5EBF">
      <w:r>
        <w:t xml:space="preserve">These capabilities would build on </w:t>
      </w:r>
      <w:r w:rsidR="006E54E1">
        <w:t xml:space="preserve">other coordination activities </w:t>
      </w:r>
      <w:r w:rsidR="008900CE">
        <w:t>which have been effective in</w:t>
      </w:r>
      <w:r w:rsidR="006E54E1">
        <w:t xml:space="preserve"> reduc</w:t>
      </w:r>
      <w:r w:rsidR="008900CE">
        <w:t>ing</w:t>
      </w:r>
      <w:r w:rsidR="006E54E1">
        <w:t xml:space="preserve"> scam exposure, including</w:t>
      </w:r>
      <w:r w:rsidR="00CD556B">
        <w:t xml:space="preserve"> the following</w:t>
      </w:r>
      <w:r w:rsidR="006E54E1">
        <w:t>:</w:t>
      </w:r>
    </w:p>
    <w:p w14:paraId="5F210DCF" w14:textId="0619ECED" w:rsidR="00023381" w:rsidRPr="00BE17D1" w:rsidRDefault="00023381" w:rsidP="005A5EBF">
      <w:pPr>
        <w:pStyle w:val="ListParagraph"/>
        <w:numPr>
          <w:ilvl w:val="0"/>
          <w:numId w:val="62"/>
        </w:numPr>
      </w:pPr>
      <w:r w:rsidRPr="000D67F3">
        <w:rPr>
          <w:rFonts w:eastAsiaTheme="minorEastAsia" w:cs="Calibri Light"/>
          <w:szCs w:val="22"/>
        </w:rPr>
        <w:t xml:space="preserve">ASIC’s website takedown service </w:t>
      </w:r>
      <w:r w:rsidR="002F0548">
        <w:rPr>
          <w:rFonts w:eastAsiaTheme="minorEastAsia" w:cs="Calibri Light"/>
          <w:szCs w:val="22"/>
        </w:rPr>
        <w:t xml:space="preserve">has </w:t>
      </w:r>
      <w:r w:rsidR="00F3231C">
        <w:rPr>
          <w:rFonts w:eastAsiaTheme="minorEastAsia" w:cs="Calibri Light"/>
          <w:szCs w:val="22"/>
        </w:rPr>
        <w:t>work</w:t>
      </w:r>
      <w:r w:rsidR="002F0548">
        <w:rPr>
          <w:rFonts w:eastAsiaTheme="minorEastAsia" w:cs="Calibri Light"/>
          <w:szCs w:val="22"/>
        </w:rPr>
        <w:t>ed</w:t>
      </w:r>
      <w:r w:rsidR="00F3231C">
        <w:rPr>
          <w:rFonts w:eastAsiaTheme="minorEastAsia" w:cs="Calibri Light"/>
          <w:szCs w:val="22"/>
        </w:rPr>
        <w:t xml:space="preserve"> with other government agencies and industry to </w:t>
      </w:r>
      <w:r w:rsidRPr="000D67F3">
        <w:rPr>
          <w:rFonts w:eastAsiaTheme="minorEastAsia" w:cs="Calibri Light"/>
          <w:szCs w:val="22"/>
        </w:rPr>
        <w:t>coordinat</w:t>
      </w:r>
      <w:r w:rsidR="00226CCA">
        <w:rPr>
          <w:rFonts w:eastAsiaTheme="minorEastAsia" w:cs="Calibri Light"/>
          <w:szCs w:val="22"/>
        </w:rPr>
        <w:t>e</w:t>
      </w:r>
      <w:r w:rsidRPr="000D67F3">
        <w:rPr>
          <w:rFonts w:eastAsiaTheme="minorEastAsia" w:cs="Calibri Light"/>
          <w:szCs w:val="22"/>
        </w:rPr>
        <w:t xml:space="preserve"> the removal of over 5,530 fake investment platform scams, 1,065 phishing scam hyperlinks and 615 cryptocurrency investment scams between July 2023 and August 2024.</w:t>
      </w:r>
      <w:r w:rsidRPr="00C1682B">
        <w:rPr>
          <w:rStyle w:val="FootnoteReference"/>
          <w:rFonts w:eastAsiaTheme="minorEastAsia" w:cs="Calibri Light"/>
          <w:szCs w:val="22"/>
          <w:vertAlign w:val="superscript"/>
        </w:rPr>
        <w:footnoteReference w:id="51"/>
      </w:r>
      <w:r w:rsidRPr="000D67F3">
        <w:rPr>
          <w:rFonts w:eastAsiaTheme="minorEastAsia" w:cs="Calibri Light"/>
          <w:szCs w:val="22"/>
        </w:rPr>
        <w:t xml:space="preserve"> </w:t>
      </w:r>
    </w:p>
    <w:p w14:paraId="2428A2AA" w14:textId="77521ECA" w:rsidR="00353A98" w:rsidRDefault="000E2665" w:rsidP="00BE17D1">
      <w:pPr>
        <w:pStyle w:val="ListParagraph"/>
        <w:numPr>
          <w:ilvl w:val="0"/>
          <w:numId w:val="62"/>
        </w:numPr>
      </w:pPr>
      <w:r>
        <w:t xml:space="preserve">The Optus </w:t>
      </w:r>
      <w:r w:rsidR="00F12EA9">
        <w:t>‘</w:t>
      </w:r>
      <w:r>
        <w:t>Call Stop</w:t>
      </w:r>
      <w:r w:rsidR="00F12EA9">
        <w:t>’</w:t>
      </w:r>
      <w:r>
        <w:t xml:space="preserve"> program</w:t>
      </w:r>
      <w:r w:rsidR="00736E9A">
        <w:t xml:space="preserve"> </w:t>
      </w:r>
      <w:r w:rsidR="00110930">
        <w:t>target</w:t>
      </w:r>
      <w:r w:rsidR="00F12EA9">
        <w:t>s</w:t>
      </w:r>
      <w:r w:rsidR="00110930">
        <w:t xml:space="preserve"> call back scams</w:t>
      </w:r>
      <w:r w:rsidR="00810792">
        <w:t xml:space="preserve"> </w:t>
      </w:r>
      <w:r w:rsidR="00F12EA9">
        <w:t xml:space="preserve">by </w:t>
      </w:r>
      <w:r w:rsidR="00AA775E">
        <w:t xml:space="preserve">diverting calls to </w:t>
      </w:r>
      <w:r w:rsidR="00B31C6F">
        <w:t xml:space="preserve">scam </w:t>
      </w:r>
      <w:r w:rsidR="00AA775E">
        <w:t>phone numbers identified by banks and their customers</w:t>
      </w:r>
      <w:r w:rsidR="00FA635A">
        <w:t xml:space="preserve">, </w:t>
      </w:r>
      <w:r>
        <w:t>operated through the AFCX</w:t>
      </w:r>
      <w:r w:rsidR="00736E9A">
        <w:t>.</w:t>
      </w:r>
      <w:r w:rsidR="00C86980" w:rsidRPr="00037A0E">
        <w:rPr>
          <w:rStyle w:val="FootnoteReference"/>
          <w:vertAlign w:val="superscript"/>
        </w:rPr>
        <w:footnoteReference w:id="52"/>
      </w:r>
    </w:p>
    <w:p w14:paraId="3ABE4248" w14:textId="1D2FEB4E" w:rsidR="00C86980" w:rsidRDefault="00850FE3">
      <w:pPr>
        <w:pStyle w:val="ListParagraph"/>
        <w:numPr>
          <w:ilvl w:val="0"/>
          <w:numId w:val="62"/>
        </w:numPr>
      </w:pPr>
      <w:r>
        <w:t xml:space="preserve">The NASC investment scam </w:t>
      </w:r>
      <w:r w:rsidR="006F5929">
        <w:t>F</w:t>
      </w:r>
      <w:r>
        <w:t xml:space="preserve">usion </w:t>
      </w:r>
      <w:r w:rsidR="006F5929">
        <w:t>C</w:t>
      </w:r>
      <w:r>
        <w:t xml:space="preserve">ell </w:t>
      </w:r>
      <w:r w:rsidR="00D17F18">
        <w:t>brought tog</w:t>
      </w:r>
      <w:r w:rsidR="003E7AFC">
        <w:t>ether</w:t>
      </w:r>
      <w:r w:rsidR="00FC320D">
        <w:t xml:space="preserve"> 43 organisations</w:t>
      </w:r>
      <w:r w:rsidR="00C36B79">
        <w:t xml:space="preserve"> to </w:t>
      </w:r>
      <w:r w:rsidR="0095346D">
        <w:t xml:space="preserve">identify and block investment </w:t>
      </w:r>
      <w:r w:rsidR="00916454" w:rsidRPr="00916454">
        <w:t>scam</w:t>
      </w:r>
      <w:r w:rsidR="00916454">
        <w:t>s</w:t>
      </w:r>
      <w:r w:rsidR="00FC320D">
        <w:t xml:space="preserve"> </w:t>
      </w:r>
      <w:r w:rsidR="00C36B79">
        <w:t>including</w:t>
      </w:r>
      <w:r w:rsidR="003E7AFC">
        <w:t xml:space="preserve"> banks, social media platforms</w:t>
      </w:r>
      <w:r w:rsidR="00545DDF">
        <w:t xml:space="preserve">, </w:t>
      </w:r>
      <w:proofErr w:type="gramStart"/>
      <w:r w:rsidR="00545DDF">
        <w:t>payment</w:t>
      </w:r>
      <w:proofErr w:type="gramEnd"/>
      <w:r w:rsidR="00545DDF">
        <w:t xml:space="preserve"> platforms, </w:t>
      </w:r>
      <w:r w:rsidR="00040C60">
        <w:t xml:space="preserve">trading </w:t>
      </w:r>
      <w:r w:rsidR="00040C60">
        <w:lastRenderedPageBreak/>
        <w:t>platforms, investment</w:t>
      </w:r>
      <w:r w:rsidR="00545DDF">
        <w:t xml:space="preserve"> services</w:t>
      </w:r>
      <w:r w:rsidR="004A039E">
        <w:t xml:space="preserve">, </w:t>
      </w:r>
      <w:r w:rsidR="00545DDF">
        <w:t>telecommunications providers</w:t>
      </w:r>
      <w:r w:rsidR="004A039E">
        <w:t xml:space="preserve"> and government agencies</w:t>
      </w:r>
      <w:r w:rsidR="00FC320D">
        <w:t>. Between August 2023 and February 2024</w:t>
      </w:r>
      <w:r w:rsidR="006F5929">
        <w:t>,</w:t>
      </w:r>
      <w:r w:rsidR="00FC320D">
        <w:t xml:space="preserve"> the Fusion</w:t>
      </w:r>
      <w:r w:rsidR="0088509D">
        <w:t xml:space="preserve"> Cell’s </w:t>
      </w:r>
      <w:r w:rsidR="005652FA">
        <w:t xml:space="preserve">information sharing </w:t>
      </w:r>
      <w:r w:rsidR="0088509D">
        <w:t xml:space="preserve">activity resulted in </w:t>
      </w:r>
      <w:r w:rsidR="00957160">
        <w:t xml:space="preserve">1,000 </w:t>
      </w:r>
      <w:r w:rsidR="00B84AA2">
        <w:t xml:space="preserve">instances of scam advertisements, advertorials, and videos being removed by digital platforms, </w:t>
      </w:r>
      <w:r w:rsidR="00077921">
        <w:t xml:space="preserve">takedown of 220 scam websites and diversion of 113 </w:t>
      </w:r>
      <w:r w:rsidR="00A31DA3">
        <w:t>call back scams.</w:t>
      </w:r>
      <w:r w:rsidR="005652FA" w:rsidRPr="00BE17D1">
        <w:rPr>
          <w:rStyle w:val="FootnoteReference"/>
          <w:vertAlign w:val="superscript"/>
        </w:rPr>
        <w:footnoteReference w:id="53"/>
      </w:r>
    </w:p>
    <w:p w14:paraId="1704E115" w14:textId="6BC09B39" w:rsidR="008F075D" w:rsidRDefault="008F075D" w:rsidP="00BE17D1">
      <w:pPr>
        <w:pStyle w:val="ListParagraph"/>
        <w:numPr>
          <w:ilvl w:val="0"/>
          <w:numId w:val="62"/>
        </w:numPr>
      </w:pPr>
      <w:r>
        <w:t xml:space="preserve">Between April and May 2024 Meta </w:t>
      </w:r>
      <w:r w:rsidR="008C6CA7">
        <w:t xml:space="preserve">engaged in an intelligence sharing initiative with the banking industry through the Fraud Intelligence Reciprocal Exchange, </w:t>
      </w:r>
      <w:r w:rsidR="003F266A">
        <w:t xml:space="preserve">via the AFCX. Meta was able to act on 102 </w:t>
      </w:r>
      <w:r w:rsidR="00DF0840">
        <w:t xml:space="preserve">scam </w:t>
      </w:r>
      <w:r w:rsidR="003F266A">
        <w:t xml:space="preserve">reports </w:t>
      </w:r>
      <w:r w:rsidR="00DF0840">
        <w:t xml:space="preserve">to conduct a wider investigation, </w:t>
      </w:r>
      <w:r w:rsidR="00224BB6">
        <w:t>resulting in the removal of over 9,000 pages and over 8,000 AI-generated celeb-bait scams.</w:t>
      </w:r>
      <w:r w:rsidR="009D3221" w:rsidRPr="00BE17D1">
        <w:rPr>
          <w:rStyle w:val="FootnoteReference"/>
          <w:vertAlign w:val="superscript"/>
        </w:rPr>
        <w:footnoteReference w:id="54"/>
      </w:r>
    </w:p>
    <w:p w14:paraId="40ED7CDD" w14:textId="45903B6B" w:rsidR="002D3CB4" w:rsidRDefault="00FD11DF" w:rsidP="005E504F">
      <w:pPr>
        <w:pStyle w:val="Heading4"/>
      </w:pPr>
      <w:bookmarkStart w:id="54" w:name="_Ref177024202"/>
      <w:bookmarkStart w:id="55" w:name="_Ref175734061"/>
      <w:r>
        <w:t>4.</w:t>
      </w:r>
      <w:r w:rsidR="005C0986">
        <w:t xml:space="preserve">3.2 </w:t>
      </w:r>
      <w:r w:rsidR="005E504F">
        <w:t>R</w:t>
      </w:r>
      <w:r w:rsidR="002D3CB4">
        <w:t>educing scam losses</w:t>
      </w:r>
      <w:bookmarkEnd w:id="54"/>
    </w:p>
    <w:p w14:paraId="2AA7286D" w14:textId="77777777" w:rsidR="004123BA" w:rsidRDefault="004123BA" w:rsidP="004123BA">
      <w:pPr>
        <w:pStyle w:val="Heading7"/>
      </w:pPr>
      <w:r>
        <w:t>Option 1 – Status quo</w:t>
      </w:r>
    </w:p>
    <w:p w14:paraId="151804A1" w14:textId="5111B571" w:rsidR="00C876C7" w:rsidRPr="00C876C7" w:rsidRDefault="00C876C7" w:rsidP="004123BA">
      <w:r>
        <w:t xml:space="preserve">Inaction from Government to close gaps in the ecosystem targeted by scams </w:t>
      </w:r>
      <w:r w:rsidR="00C73488">
        <w:t xml:space="preserve">would </w:t>
      </w:r>
      <w:r>
        <w:t xml:space="preserve">continue to expose Australians to vulnerabilities and high volumes of scam activity and resulting financial, psychological </w:t>
      </w:r>
      <w:r w:rsidR="00851C88">
        <w:t xml:space="preserve">and </w:t>
      </w:r>
      <w:r>
        <w:t>social detriment.</w:t>
      </w:r>
      <w:r w:rsidR="00C813F9" w:rsidRPr="00C813F9">
        <w:t xml:space="preserve"> </w:t>
      </w:r>
    </w:p>
    <w:p w14:paraId="34EA29F8" w14:textId="246A2102" w:rsidR="00B23B46" w:rsidRDefault="00B23B46" w:rsidP="00B23B46">
      <w:pPr>
        <w:pStyle w:val="Heading7"/>
      </w:pPr>
      <w:r>
        <w:t xml:space="preserve">Option 2 – </w:t>
      </w:r>
      <w:r w:rsidR="000A746C">
        <w:t>Scams Prevention</w:t>
      </w:r>
      <w:r>
        <w:t xml:space="preserve"> Framework</w:t>
      </w:r>
    </w:p>
    <w:p w14:paraId="092F3036" w14:textId="1EE077DF" w:rsidR="00410071" w:rsidRDefault="00BF29FA" w:rsidP="00023F87">
      <w:r>
        <w:t xml:space="preserve">Reducing exposure to scams </w:t>
      </w:r>
      <w:r w:rsidR="0093735C">
        <w:t xml:space="preserve">under option 2 </w:t>
      </w:r>
      <w:r>
        <w:t xml:space="preserve">would result in reduced scam losses. </w:t>
      </w:r>
      <w:r w:rsidR="00E94423">
        <w:t xml:space="preserve">In addition to the benefit of Option 2 </w:t>
      </w:r>
      <w:r w:rsidR="00EE48FE">
        <w:t xml:space="preserve">in reducing exposure to scams resulting in </w:t>
      </w:r>
      <w:r w:rsidR="007949E9">
        <w:t xml:space="preserve">reduced losses to scams, there are </w:t>
      </w:r>
      <w:r w:rsidR="00ED11FB">
        <w:t xml:space="preserve">particular actions related to the </w:t>
      </w:r>
      <w:r w:rsidR="00AB609C">
        <w:t>SPF</w:t>
      </w:r>
      <w:r w:rsidR="00ED11FB">
        <w:t xml:space="preserve"> principles which would </w:t>
      </w:r>
      <w:r w:rsidR="004547AE">
        <w:t xml:space="preserve">result in </w:t>
      </w:r>
      <w:r w:rsidR="003C71CF">
        <w:t xml:space="preserve">lower amounts being lost to scams </w:t>
      </w:r>
      <w:r w:rsidR="0097043F">
        <w:t xml:space="preserve">once a consumer has been exposed to a scam </w:t>
      </w:r>
      <w:r w:rsidR="00AA0F01">
        <w:t xml:space="preserve">or a scam is underway. </w:t>
      </w:r>
      <w:r w:rsidR="003C6B28">
        <w:rPr>
          <w:rFonts w:cs="Calibri Light"/>
          <w:szCs w:val="22"/>
        </w:rPr>
        <w:t>Option 2 would uplift the capa</w:t>
      </w:r>
      <w:r w:rsidR="00CC4D89">
        <w:rPr>
          <w:rFonts w:cs="Calibri Light"/>
          <w:szCs w:val="22"/>
        </w:rPr>
        <w:t>bil</w:t>
      </w:r>
      <w:r w:rsidR="003C6B28">
        <w:rPr>
          <w:rFonts w:cs="Calibri Light"/>
          <w:szCs w:val="22"/>
        </w:rPr>
        <w:t xml:space="preserve">ity </w:t>
      </w:r>
      <w:r w:rsidR="00343528">
        <w:rPr>
          <w:rFonts w:cs="Calibri Light"/>
          <w:szCs w:val="22"/>
        </w:rPr>
        <w:t>of</w:t>
      </w:r>
      <w:r w:rsidR="003C6B28">
        <w:rPr>
          <w:rFonts w:cs="Calibri Light"/>
          <w:szCs w:val="22"/>
        </w:rPr>
        <w:t xml:space="preserve"> regulated entities across the chain of services involved in a scam, improving the likelihood scam </w:t>
      </w:r>
      <w:r w:rsidR="000D1ABA">
        <w:rPr>
          <w:rFonts w:cs="Calibri Light"/>
          <w:szCs w:val="22"/>
        </w:rPr>
        <w:t xml:space="preserve">activity can be </w:t>
      </w:r>
      <w:r w:rsidR="007F2B52">
        <w:rPr>
          <w:rFonts w:cs="Calibri Light"/>
          <w:szCs w:val="22"/>
        </w:rPr>
        <w:t xml:space="preserve">prevented, </w:t>
      </w:r>
      <w:r w:rsidR="000D1ABA">
        <w:rPr>
          <w:rFonts w:cs="Calibri Light"/>
          <w:szCs w:val="22"/>
        </w:rPr>
        <w:t>disrupted and potentially amounts recovered</w:t>
      </w:r>
      <w:r w:rsidR="00343528">
        <w:rPr>
          <w:rFonts w:cs="Calibri Light"/>
          <w:szCs w:val="22"/>
        </w:rPr>
        <w:t>.</w:t>
      </w:r>
      <w:r w:rsidR="00410071">
        <w:t xml:space="preserve"> This would result in reduced losse</w:t>
      </w:r>
      <w:r w:rsidR="00EE5FD4">
        <w:t xml:space="preserve">s in </w:t>
      </w:r>
      <w:r w:rsidR="002507F9">
        <w:t>the Australian economy</w:t>
      </w:r>
      <w:r w:rsidR="00410071">
        <w:t xml:space="preserve">. </w:t>
      </w:r>
    </w:p>
    <w:p w14:paraId="15ED76CF" w14:textId="4C2C5438" w:rsidR="004551A1" w:rsidRDefault="00A84338" w:rsidP="004551A1">
      <w:r>
        <w:t>There is evidence that uplifts to anti-scam activities</w:t>
      </w:r>
      <w:r w:rsidR="006324D8">
        <w:t xml:space="preserve"> consistent with</w:t>
      </w:r>
      <w:r w:rsidR="00E93219">
        <w:t xml:space="preserve"> potential obligations under the SPF</w:t>
      </w:r>
      <w:r>
        <w:t xml:space="preserve"> have resulted in measurable benefits to industry and consumers, indicating that creating consistent standards for these uplifts in capacity through mandatory obligations would result in further reductions in scam losses. </w:t>
      </w:r>
      <w:r w:rsidR="004551A1">
        <w:t>In the banking sector, major banks have announced that their existing measures have diverted millions of dollars from being lost to scams and fraud.</w:t>
      </w:r>
      <w:r w:rsidR="004551A1" w:rsidRPr="003A525A">
        <w:rPr>
          <w:rStyle w:val="FootnoteReference"/>
          <w:vertAlign w:val="superscript"/>
        </w:rPr>
        <w:footnoteReference w:id="55"/>
      </w:r>
      <w:r w:rsidR="004551A1" w:rsidRPr="00392B3F">
        <w:rPr>
          <w:vertAlign w:val="superscript"/>
        </w:rPr>
        <w:t xml:space="preserve">  </w:t>
      </w:r>
      <w:r w:rsidR="003A46C5">
        <w:rPr>
          <w:vertAlign w:val="superscript"/>
        </w:rPr>
        <w:fldChar w:fldCharType="begin"/>
      </w:r>
      <w:r w:rsidR="003A46C5">
        <w:rPr>
          <w:vertAlign w:val="superscript"/>
        </w:rPr>
        <w:instrText xml:space="preserve"> REF _Ref178597665 \h </w:instrText>
      </w:r>
      <w:r w:rsidR="003A46C5">
        <w:rPr>
          <w:vertAlign w:val="superscript"/>
        </w:rPr>
      </w:r>
      <w:r w:rsidR="003A46C5">
        <w:rPr>
          <w:vertAlign w:val="superscript"/>
        </w:rPr>
        <w:fldChar w:fldCharType="separate"/>
      </w:r>
      <w:r w:rsidR="003A46C5">
        <w:t xml:space="preserve">Table </w:t>
      </w:r>
      <w:r w:rsidR="003A46C5">
        <w:rPr>
          <w:noProof/>
        </w:rPr>
        <w:t>14</w:t>
      </w:r>
      <w:r w:rsidR="003A46C5">
        <w:rPr>
          <w:vertAlign w:val="superscript"/>
        </w:rPr>
        <w:fldChar w:fldCharType="end"/>
      </w:r>
      <w:r w:rsidR="00962C40">
        <w:rPr>
          <w:vertAlign w:val="superscript"/>
        </w:rPr>
        <w:t xml:space="preserve"> </w:t>
      </w:r>
      <w:r w:rsidR="004551A1">
        <w:t xml:space="preserve">outlines a summary of reported scams losses prevented due to anti-scam activities in the banking sector. </w:t>
      </w:r>
    </w:p>
    <w:p w14:paraId="51F394F3" w14:textId="7403ADB8" w:rsidR="004551A1" w:rsidRPr="00CE7B08" w:rsidRDefault="004551A1" w:rsidP="004551A1">
      <w:pPr>
        <w:pStyle w:val="Heading8"/>
      </w:pPr>
      <w:bookmarkStart w:id="56" w:name="_Ref178597665"/>
      <w:r>
        <w:t xml:space="preserve">Table </w:t>
      </w:r>
      <w:fldSimple w:instr=" SEQ Table \* ARABIC ">
        <w:r w:rsidR="00962C40">
          <w:rPr>
            <w:noProof/>
          </w:rPr>
          <w:t>14</w:t>
        </w:r>
      </w:fldSimple>
      <w:bookmarkEnd w:id="56"/>
      <w:r>
        <w:t xml:space="preserve"> - </w:t>
      </w:r>
      <w:r w:rsidRPr="001A5294">
        <w:rPr>
          <w:rStyle w:val="cf01"/>
          <w:rFonts w:ascii="Calibri Light" w:hAnsi="Calibri Light" w:cs="Calibri Light"/>
          <w:bCs/>
          <w:color w:val="auto"/>
          <w:sz w:val="22"/>
          <w:szCs w:val="22"/>
        </w:rPr>
        <w:t>Reported banking sector savings</w:t>
      </w:r>
      <w:r w:rsidRPr="0082510F">
        <w:rPr>
          <w:rStyle w:val="cf01"/>
          <w:rFonts w:ascii="Calibri Light" w:hAnsi="Calibri Light" w:cs="Calibri Light"/>
          <w:bCs/>
          <w:sz w:val="22"/>
          <w:szCs w:val="22"/>
        </w:rPr>
        <w:t xml:space="preserve"> due to </w:t>
      </w:r>
      <w:r>
        <w:rPr>
          <w:rStyle w:val="cf01"/>
          <w:rFonts w:ascii="Calibri Light" w:hAnsi="Calibri Light" w:cs="Calibri Light"/>
          <w:bCs/>
          <w:sz w:val="22"/>
          <w:szCs w:val="22"/>
        </w:rPr>
        <w:t>disruption</w:t>
      </w:r>
      <w:r w:rsidRPr="0082510F">
        <w:rPr>
          <w:rStyle w:val="cf01"/>
          <w:rFonts w:ascii="Calibri Light" w:hAnsi="Calibri Light" w:cs="Calibri Light"/>
          <w:bCs/>
          <w:sz w:val="22"/>
          <w:szCs w:val="22"/>
        </w:rPr>
        <w:t xml:space="preserve"> of payments to scammers</w:t>
      </w:r>
    </w:p>
    <w:tbl>
      <w:tblPr>
        <w:tblStyle w:val="TableGrid"/>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132"/>
        <w:gridCol w:w="2843"/>
        <w:gridCol w:w="2004"/>
      </w:tblGrid>
      <w:tr w:rsidR="00406C44" w14:paraId="73EB7C50" w14:textId="77777777" w:rsidTr="00962C40">
        <w:trPr>
          <w:cnfStyle w:val="100000000000" w:firstRow="1" w:lastRow="0" w:firstColumn="0" w:lastColumn="0" w:oddVBand="0" w:evenVBand="0" w:oddHBand="0" w:evenHBand="0" w:firstRowFirstColumn="0" w:firstRowLastColumn="0" w:lastRowFirstColumn="0" w:lastRowLastColumn="0"/>
          <w:trHeight w:val="157"/>
        </w:trPr>
        <w:tc>
          <w:tcPr>
            <w:tcW w:w="2128" w:type="dxa"/>
            <w:vAlign w:val="center"/>
          </w:tcPr>
          <w:p w14:paraId="08A61F7F" w14:textId="77777777" w:rsidR="004551A1" w:rsidRPr="00C648F3" w:rsidRDefault="004551A1" w:rsidP="00962C40">
            <w:pPr>
              <w:spacing w:before="0"/>
              <w:contextualSpacing/>
              <w:rPr>
                <w:rStyle w:val="cf01"/>
                <w:rFonts w:ascii="Calibri Light" w:eastAsiaTheme="majorEastAsia" w:hAnsi="Calibri Light" w:cs="Calibri Light"/>
                <w:b w:val="0"/>
                <w:bCs/>
                <w:sz w:val="22"/>
                <w:szCs w:val="22"/>
              </w:rPr>
            </w:pPr>
            <w:r w:rsidRPr="00C648F3">
              <w:rPr>
                <w:rStyle w:val="cf01"/>
                <w:rFonts w:ascii="Calibri Light" w:eastAsiaTheme="majorEastAsia" w:hAnsi="Calibri Light" w:cs="Calibri Light"/>
                <w:bCs/>
                <w:sz w:val="22"/>
                <w:szCs w:val="22"/>
              </w:rPr>
              <w:t>Bank</w:t>
            </w:r>
          </w:p>
        </w:tc>
        <w:tc>
          <w:tcPr>
            <w:tcW w:w="2132" w:type="dxa"/>
            <w:vAlign w:val="center"/>
          </w:tcPr>
          <w:p w14:paraId="68131038" w14:textId="77777777" w:rsidR="004551A1" w:rsidRPr="00C648F3" w:rsidRDefault="004551A1" w:rsidP="00962C40">
            <w:pPr>
              <w:spacing w:before="0"/>
              <w:contextualSpacing/>
              <w:rPr>
                <w:rStyle w:val="cf01"/>
                <w:rFonts w:ascii="Calibri Light" w:eastAsiaTheme="majorEastAsia" w:hAnsi="Calibri Light" w:cs="Calibri Light"/>
                <w:b w:val="0"/>
                <w:bCs/>
                <w:sz w:val="22"/>
                <w:szCs w:val="22"/>
              </w:rPr>
            </w:pPr>
            <w:r w:rsidRPr="00C648F3">
              <w:rPr>
                <w:rStyle w:val="cf01"/>
                <w:rFonts w:ascii="Calibri Light" w:eastAsiaTheme="majorEastAsia" w:hAnsi="Calibri Light" w:cs="Calibri Light"/>
                <w:bCs/>
                <w:sz w:val="22"/>
                <w:szCs w:val="22"/>
              </w:rPr>
              <w:t>Measure</w:t>
            </w:r>
          </w:p>
        </w:tc>
        <w:tc>
          <w:tcPr>
            <w:tcW w:w="2843" w:type="dxa"/>
            <w:vAlign w:val="center"/>
          </w:tcPr>
          <w:p w14:paraId="3E622051" w14:textId="77777777" w:rsidR="004551A1" w:rsidRPr="00C648F3" w:rsidRDefault="004551A1" w:rsidP="00962C40">
            <w:pPr>
              <w:spacing w:before="0"/>
              <w:contextualSpacing/>
              <w:rPr>
                <w:rStyle w:val="cf01"/>
                <w:rFonts w:ascii="Calibri Light" w:eastAsiaTheme="majorEastAsia" w:hAnsi="Calibri Light" w:cs="Calibri Light"/>
                <w:b w:val="0"/>
                <w:bCs/>
                <w:sz w:val="22"/>
                <w:szCs w:val="22"/>
              </w:rPr>
            </w:pPr>
            <w:r w:rsidRPr="00C648F3">
              <w:rPr>
                <w:rStyle w:val="cf01"/>
                <w:rFonts w:ascii="Calibri Light" w:eastAsiaTheme="majorEastAsia" w:hAnsi="Calibri Light" w:cs="Calibri Light"/>
                <w:bCs/>
                <w:sz w:val="22"/>
                <w:szCs w:val="22"/>
              </w:rPr>
              <w:t>Description</w:t>
            </w:r>
          </w:p>
        </w:tc>
        <w:tc>
          <w:tcPr>
            <w:tcW w:w="2004" w:type="dxa"/>
            <w:vAlign w:val="center"/>
          </w:tcPr>
          <w:p w14:paraId="557E9373" w14:textId="77777777" w:rsidR="004551A1" w:rsidRPr="00C648F3" w:rsidRDefault="004551A1" w:rsidP="00962C40">
            <w:pPr>
              <w:spacing w:before="0"/>
              <w:contextualSpacing/>
              <w:rPr>
                <w:rStyle w:val="cf01"/>
                <w:rFonts w:ascii="Calibri Light" w:eastAsiaTheme="majorEastAsia" w:hAnsi="Calibri Light" w:cs="Calibri Light"/>
                <w:b w:val="0"/>
                <w:bCs/>
                <w:sz w:val="22"/>
                <w:szCs w:val="22"/>
              </w:rPr>
            </w:pPr>
            <w:r>
              <w:rPr>
                <w:rStyle w:val="cf01"/>
                <w:rFonts w:ascii="Calibri Light" w:eastAsiaTheme="majorEastAsia" w:hAnsi="Calibri Light" w:cs="Calibri Light"/>
                <w:bCs/>
                <w:sz w:val="22"/>
                <w:szCs w:val="22"/>
              </w:rPr>
              <w:t>Value</w:t>
            </w:r>
            <w:r w:rsidRPr="00C648F3">
              <w:rPr>
                <w:rStyle w:val="cf01"/>
                <w:rFonts w:ascii="Calibri Light" w:eastAsiaTheme="majorEastAsia" w:hAnsi="Calibri Light" w:cs="Calibri Light"/>
                <w:bCs/>
                <w:sz w:val="22"/>
                <w:szCs w:val="22"/>
              </w:rPr>
              <w:t xml:space="preserve"> </w:t>
            </w:r>
          </w:p>
        </w:tc>
      </w:tr>
      <w:tr w:rsidR="00406C44" w14:paraId="5445F00F" w14:textId="77777777" w:rsidTr="00BE17D1">
        <w:trPr>
          <w:trHeight w:val="220"/>
        </w:trPr>
        <w:tc>
          <w:tcPr>
            <w:tcW w:w="2128" w:type="dxa"/>
          </w:tcPr>
          <w:p w14:paraId="2C0D0B97" w14:textId="77777777" w:rsidR="004551A1" w:rsidRPr="00C648F3"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A</w:t>
            </w:r>
            <w:r w:rsidRPr="0082510F">
              <w:rPr>
                <w:rStyle w:val="cf01"/>
                <w:rFonts w:ascii="Calibri Light" w:eastAsiaTheme="majorEastAsia" w:hAnsi="Calibri Light" w:cs="Calibri Light"/>
                <w:sz w:val="22"/>
                <w:szCs w:val="22"/>
              </w:rPr>
              <w:t xml:space="preserve">NZ </w:t>
            </w:r>
          </w:p>
        </w:tc>
        <w:tc>
          <w:tcPr>
            <w:tcW w:w="2132" w:type="dxa"/>
          </w:tcPr>
          <w:p w14:paraId="0B826385" w14:textId="77777777" w:rsidR="004551A1" w:rsidRPr="00C648F3"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 xml:space="preserve">Overall </w:t>
            </w:r>
          </w:p>
        </w:tc>
        <w:tc>
          <w:tcPr>
            <w:tcW w:w="2843" w:type="dxa"/>
          </w:tcPr>
          <w:p w14:paraId="2430999E" w14:textId="4A39085D" w:rsidR="004551A1" w:rsidRPr="00C648F3"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Jan</w:t>
            </w:r>
            <w:r w:rsidR="006023B1">
              <w:rPr>
                <w:rStyle w:val="cf01"/>
                <w:rFonts w:ascii="Calibri Light" w:eastAsiaTheme="majorEastAsia" w:hAnsi="Calibri Light" w:cs="Calibri Light"/>
                <w:sz w:val="22"/>
                <w:szCs w:val="22"/>
              </w:rPr>
              <w:t xml:space="preserve"> 2</w:t>
            </w:r>
            <w:r w:rsidR="006023B1" w:rsidRPr="00BE17D1">
              <w:rPr>
                <w:rStyle w:val="cf01"/>
                <w:rFonts w:ascii="Calibri Light" w:eastAsiaTheme="majorEastAsia" w:hAnsi="Calibri Light" w:cs="Calibri Light"/>
                <w:sz w:val="22"/>
                <w:szCs w:val="22"/>
              </w:rPr>
              <w:t>023</w:t>
            </w:r>
            <w:r w:rsidR="0081727C">
              <w:rPr>
                <w:rStyle w:val="cf01"/>
                <w:rFonts w:ascii="Calibri Light" w:eastAsiaTheme="majorEastAsia" w:hAnsi="Calibri Light" w:cs="Calibri Light"/>
              </w:rPr>
              <w:t xml:space="preserve"> </w:t>
            </w:r>
            <w:r w:rsidR="006023B1">
              <w:rPr>
                <w:rStyle w:val="cf01"/>
                <w:rFonts w:ascii="Calibri Light" w:eastAsiaTheme="majorEastAsia" w:hAnsi="Calibri Light" w:cs="Calibri Light"/>
                <w:sz w:val="22"/>
                <w:szCs w:val="22"/>
              </w:rPr>
              <w:t xml:space="preserve">– </w:t>
            </w:r>
            <w:r w:rsidRPr="00C648F3">
              <w:rPr>
                <w:rStyle w:val="cf01"/>
                <w:rFonts w:ascii="Calibri Light" w:eastAsiaTheme="majorEastAsia" w:hAnsi="Calibri Light" w:cs="Calibri Light"/>
                <w:sz w:val="22"/>
                <w:szCs w:val="22"/>
              </w:rPr>
              <w:t xml:space="preserve">Oct 2023 </w:t>
            </w:r>
          </w:p>
        </w:tc>
        <w:tc>
          <w:tcPr>
            <w:tcW w:w="2004" w:type="dxa"/>
          </w:tcPr>
          <w:p w14:paraId="778213FE" w14:textId="77777777" w:rsidR="004551A1" w:rsidRPr="00C648F3"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$100-120 million</w:t>
            </w:r>
            <w:r w:rsidRPr="0082510F">
              <w:rPr>
                <w:rStyle w:val="FootnoteReference"/>
                <w:rFonts w:eastAsiaTheme="majorEastAsia" w:cs="Calibri Light"/>
                <w:sz w:val="22"/>
                <w:szCs w:val="22"/>
                <w:vertAlign w:val="superscript"/>
              </w:rPr>
              <w:footnoteReference w:id="56"/>
            </w:r>
          </w:p>
        </w:tc>
      </w:tr>
      <w:tr w:rsidR="00406C44" w14:paraId="4AA6104A" w14:textId="77777777" w:rsidTr="00BE17D1">
        <w:trPr>
          <w:trHeight w:val="220"/>
        </w:trPr>
        <w:tc>
          <w:tcPr>
            <w:tcW w:w="2128" w:type="dxa"/>
          </w:tcPr>
          <w:p w14:paraId="593AA89E" w14:textId="2F8702C3" w:rsidR="00BC7F6B" w:rsidRDefault="00BC7F6B" w:rsidP="00BC7F6B">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Bendigo Bank</w:t>
            </w:r>
          </w:p>
        </w:tc>
        <w:tc>
          <w:tcPr>
            <w:tcW w:w="2132" w:type="dxa"/>
          </w:tcPr>
          <w:p w14:paraId="3A63ACFC" w14:textId="310F3DFB" w:rsidR="00BC7F6B" w:rsidRDefault="00BC7F6B" w:rsidP="00BC7F6B">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B</w:t>
            </w:r>
            <w:r w:rsidRPr="0082510F">
              <w:rPr>
                <w:rStyle w:val="cf01"/>
                <w:rFonts w:ascii="Calibri Light" w:eastAsiaTheme="majorEastAsia" w:hAnsi="Calibri Light" w:cs="Calibri Light"/>
                <w:sz w:val="22"/>
                <w:szCs w:val="22"/>
              </w:rPr>
              <w:t>locks</w:t>
            </w:r>
          </w:p>
        </w:tc>
        <w:tc>
          <w:tcPr>
            <w:tcW w:w="2843" w:type="dxa"/>
          </w:tcPr>
          <w:p w14:paraId="1CF0157E" w14:textId="30C9A618" w:rsidR="00BC7F6B" w:rsidRDefault="00BC7F6B" w:rsidP="00BC7F6B">
            <w:pPr>
              <w:contextualSpacing/>
              <w:rPr>
                <w:rStyle w:val="cf01"/>
                <w:rFonts w:ascii="Calibri Light" w:eastAsiaTheme="majorEastAsia" w:hAnsi="Calibri Light" w:cs="Calibri Light"/>
                <w:sz w:val="22"/>
                <w:szCs w:val="22"/>
              </w:rPr>
            </w:pPr>
            <w:r>
              <w:rPr>
                <w:rStyle w:val="cf01"/>
                <w:rFonts w:ascii="Calibri Light" w:eastAsiaTheme="majorEastAsia" w:hAnsi="Calibri Light" w:cs="Calibri Light"/>
                <w:sz w:val="22"/>
                <w:szCs w:val="22"/>
              </w:rPr>
              <w:t xml:space="preserve">2022 – </w:t>
            </w:r>
            <w:r w:rsidRPr="00C648F3">
              <w:rPr>
                <w:rStyle w:val="cf01"/>
                <w:rFonts w:ascii="Calibri Light" w:eastAsiaTheme="majorEastAsia" w:hAnsi="Calibri Light" w:cs="Calibri Light"/>
                <w:sz w:val="22"/>
                <w:szCs w:val="22"/>
              </w:rPr>
              <w:t>2023</w:t>
            </w:r>
          </w:p>
        </w:tc>
        <w:tc>
          <w:tcPr>
            <w:tcW w:w="2004" w:type="dxa"/>
          </w:tcPr>
          <w:p w14:paraId="4175435D" w14:textId="31757855" w:rsidR="00BC7F6B" w:rsidRDefault="00BC7F6B" w:rsidP="00BC7F6B">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$39 million</w:t>
            </w:r>
            <w:r w:rsidRPr="0082510F">
              <w:rPr>
                <w:rStyle w:val="FootnoteReference"/>
                <w:rFonts w:eastAsiaTheme="majorEastAsia" w:cs="Calibri Light"/>
                <w:sz w:val="22"/>
                <w:szCs w:val="22"/>
                <w:vertAlign w:val="superscript"/>
              </w:rPr>
              <w:footnoteReference w:id="57"/>
            </w:r>
          </w:p>
        </w:tc>
      </w:tr>
      <w:tr w:rsidR="00406C44" w14:paraId="733FC936" w14:textId="77777777" w:rsidTr="00BE17D1">
        <w:trPr>
          <w:trHeight w:val="331"/>
        </w:trPr>
        <w:tc>
          <w:tcPr>
            <w:tcW w:w="2128" w:type="dxa"/>
          </w:tcPr>
          <w:p w14:paraId="1A1741CC" w14:textId="0902BF01" w:rsidR="004551A1" w:rsidRPr="00C648F3" w:rsidRDefault="00655FD1">
            <w:pPr>
              <w:contextualSpacing/>
              <w:rPr>
                <w:rStyle w:val="cf01"/>
                <w:rFonts w:ascii="Calibri Light" w:eastAsiaTheme="majorEastAsia" w:hAnsi="Calibri Light" w:cs="Calibri Light"/>
                <w:sz w:val="22"/>
                <w:szCs w:val="22"/>
              </w:rPr>
            </w:pPr>
            <w:r w:rsidRPr="00655FD1">
              <w:rPr>
                <w:rStyle w:val="cf01"/>
                <w:rFonts w:ascii="Calibri Light" w:eastAsiaTheme="majorEastAsia" w:hAnsi="Calibri Light" w:cs="Calibri Light"/>
                <w:sz w:val="22"/>
                <w:szCs w:val="22"/>
              </w:rPr>
              <w:t>Commonwealth Bank</w:t>
            </w:r>
          </w:p>
        </w:tc>
        <w:tc>
          <w:tcPr>
            <w:tcW w:w="2132" w:type="dxa"/>
          </w:tcPr>
          <w:p w14:paraId="0943FA7E" w14:textId="77777777" w:rsidR="004551A1" w:rsidRPr="00C648F3" w:rsidRDefault="004551A1">
            <w:pPr>
              <w:contextualSpacing/>
              <w:rPr>
                <w:rStyle w:val="cf01"/>
                <w:rFonts w:ascii="Calibri Light" w:eastAsiaTheme="majorEastAsia" w:hAnsi="Calibri Light" w:cs="Calibri Light"/>
                <w:sz w:val="22"/>
                <w:szCs w:val="22"/>
              </w:rPr>
            </w:pPr>
            <w:r>
              <w:rPr>
                <w:rStyle w:val="cf01"/>
                <w:rFonts w:ascii="Calibri Light" w:eastAsiaTheme="majorEastAsia" w:hAnsi="Calibri Light" w:cs="Calibri Light"/>
                <w:sz w:val="22"/>
                <w:szCs w:val="22"/>
              </w:rPr>
              <w:t>Customer verification</w:t>
            </w:r>
          </w:p>
        </w:tc>
        <w:tc>
          <w:tcPr>
            <w:tcW w:w="2843" w:type="dxa"/>
          </w:tcPr>
          <w:p w14:paraId="0FED5CEA" w14:textId="77777777" w:rsidR="004551A1" w:rsidRDefault="004551A1">
            <w:pPr>
              <w:contextualSpacing/>
              <w:rPr>
                <w:rStyle w:val="cf01"/>
                <w:rFonts w:ascii="Calibri Light" w:eastAsiaTheme="majorEastAsia" w:hAnsi="Calibri Light" w:cs="Calibri Light"/>
                <w:sz w:val="22"/>
                <w:szCs w:val="22"/>
              </w:rPr>
            </w:pPr>
            <w:r>
              <w:rPr>
                <w:rStyle w:val="cf01"/>
                <w:rFonts w:ascii="Calibri Light" w:eastAsiaTheme="majorEastAsia" w:hAnsi="Calibri Light" w:cs="Calibri Light"/>
                <w:sz w:val="22"/>
                <w:szCs w:val="22"/>
              </w:rPr>
              <w:t xml:space="preserve">Mar 2023 – May 2023 </w:t>
            </w:r>
          </w:p>
        </w:tc>
        <w:tc>
          <w:tcPr>
            <w:tcW w:w="2004" w:type="dxa"/>
          </w:tcPr>
          <w:p w14:paraId="201225C5" w14:textId="77777777" w:rsidR="004551A1" w:rsidRPr="00C648F3" w:rsidRDefault="004551A1">
            <w:pPr>
              <w:contextualSpacing/>
              <w:rPr>
                <w:rStyle w:val="cf01"/>
                <w:rFonts w:ascii="Calibri Light" w:eastAsiaTheme="majorEastAsia" w:hAnsi="Calibri Light" w:cs="Calibri Light"/>
                <w:sz w:val="22"/>
                <w:szCs w:val="22"/>
              </w:rPr>
            </w:pPr>
            <w:r>
              <w:rPr>
                <w:rStyle w:val="cf01"/>
                <w:rFonts w:ascii="Calibri Light" w:eastAsiaTheme="majorEastAsia" w:hAnsi="Calibri Light" w:cs="Calibri Light"/>
                <w:sz w:val="22"/>
                <w:szCs w:val="22"/>
              </w:rPr>
              <w:t>$11 million</w:t>
            </w:r>
            <w:r w:rsidRPr="0082510F">
              <w:rPr>
                <w:rStyle w:val="FootnoteReference"/>
                <w:rFonts w:eastAsiaTheme="majorEastAsia" w:cs="Calibri Light"/>
                <w:szCs w:val="22"/>
                <w:vertAlign w:val="superscript"/>
              </w:rPr>
              <w:footnoteReference w:id="58"/>
            </w:r>
          </w:p>
        </w:tc>
      </w:tr>
      <w:tr w:rsidR="00406C44" w14:paraId="12EA956D" w14:textId="77777777" w:rsidTr="00BE17D1">
        <w:trPr>
          <w:trHeight w:val="220"/>
        </w:trPr>
        <w:tc>
          <w:tcPr>
            <w:tcW w:w="2128" w:type="dxa"/>
          </w:tcPr>
          <w:p w14:paraId="5530D284" w14:textId="77777777" w:rsidR="004551A1" w:rsidRPr="00C648F3"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 xml:space="preserve">NAB </w:t>
            </w:r>
          </w:p>
        </w:tc>
        <w:tc>
          <w:tcPr>
            <w:tcW w:w="2132" w:type="dxa"/>
          </w:tcPr>
          <w:p w14:paraId="4D08E280" w14:textId="77777777" w:rsidR="004551A1" w:rsidRPr="00C648F3"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Overall</w:t>
            </w:r>
          </w:p>
        </w:tc>
        <w:tc>
          <w:tcPr>
            <w:tcW w:w="2843" w:type="dxa"/>
          </w:tcPr>
          <w:p w14:paraId="68E62C74" w14:textId="230E8710" w:rsidR="004551A1" w:rsidRPr="00C648F3"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Jan</w:t>
            </w:r>
            <w:r w:rsidR="006023B1">
              <w:rPr>
                <w:rStyle w:val="cf01"/>
                <w:rFonts w:ascii="Calibri Light" w:eastAsiaTheme="majorEastAsia" w:hAnsi="Calibri Light" w:cs="Calibri Light"/>
                <w:sz w:val="22"/>
                <w:szCs w:val="22"/>
              </w:rPr>
              <w:t xml:space="preserve"> </w:t>
            </w:r>
            <w:r w:rsidR="006023B1" w:rsidRPr="00BE17D1">
              <w:rPr>
                <w:rStyle w:val="cf01"/>
                <w:rFonts w:ascii="Calibri Light" w:eastAsiaTheme="majorEastAsia" w:hAnsi="Calibri Light" w:cs="Calibri Light"/>
                <w:sz w:val="22"/>
                <w:szCs w:val="22"/>
              </w:rPr>
              <w:t>2023</w:t>
            </w:r>
            <w:r w:rsidR="006023B1">
              <w:rPr>
                <w:rStyle w:val="cf01"/>
                <w:rFonts w:ascii="Calibri Light" w:eastAsiaTheme="majorEastAsia" w:hAnsi="Calibri Light" w:cs="Calibri Light"/>
                <w:sz w:val="22"/>
                <w:szCs w:val="22"/>
              </w:rPr>
              <w:t xml:space="preserve"> – </w:t>
            </w:r>
            <w:r w:rsidRPr="00C648F3">
              <w:rPr>
                <w:rStyle w:val="cf01"/>
                <w:rFonts w:ascii="Calibri Light" w:eastAsiaTheme="majorEastAsia" w:hAnsi="Calibri Light" w:cs="Calibri Light"/>
                <w:sz w:val="22"/>
                <w:szCs w:val="22"/>
              </w:rPr>
              <w:t xml:space="preserve">Apr 2023 </w:t>
            </w:r>
          </w:p>
        </w:tc>
        <w:tc>
          <w:tcPr>
            <w:tcW w:w="2004" w:type="dxa"/>
          </w:tcPr>
          <w:p w14:paraId="614443D1" w14:textId="77777777" w:rsidR="004551A1" w:rsidRPr="00C648F3"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$270 million</w:t>
            </w:r>
            <w:r w:rsidRPr="0082510F">
              <w:rPr>
                <w:rStyle w:val="FootnoteReference"/>
                <w:rFonts w:eastAsiaTheme="majorEastAsia" w:cs="Calibri Light"/>
                <w:sz w:val="22"/>
                <w:szCs w:val="22"/>
                <w:vertAlign w:val="superscript"/>
              </w:rPr>
              <w:footnoteReference w:id="59"/>
            </w:r>
          </w:p>
        </w:tc>
      </w:tr>
      <w:tr w:rsidR="00406C44" w14:paraId="2930E809" w14:textId="77777777" w:rsidTr="00BE17D1">
        <w:trPr>
          <w:trHeight w:val="220"/>
        </w:trPr>
        <w:tc>
          <w:tcPr>
            <w:tcW w:w="2128" w:type="dxa"/>
          </w:tcPr>
          <w:p w14:paraId="4C732AAC" w14:textId="77777777" w:rsidR="004551A1" w:rsidRPr="00C648F3"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W</w:t>
            </w:r>
            <w:r w:rsidRPr="0082510F">
              <w:rPr>
                <w:rStyle w:val="cf01"/>
                <w:rFonts w:ascii="Calibri Light" w:eastAsiaTheme="majorEastAsia" w:hAnsi="Calibri Light" w:cs="Calibri Light"/>
                <w:sz w:val="22"/>
                <w:szCs w:val="22"/>
              </w:rPr>
              <w:t>estpac</w:t>
            </w:r>
          </w:p>
        </w:tc>
        <w:tc>
          <w:tcPr>
            <w:tcW w:w="2132" w:type="dxa"/>
          </w:tcPr>
          <w:p w14:paraId="7938EB89" w14:textId="77777777" w:rsidR="004551A1" w:rsidRPr="00C648F3"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Blocks</w:t>
            </w:r>
          </w:p>
        </w:tc>
        <w:tc>
          <w:tcPr>
            <w:tcW w:w="2843" w:type="dxa"/>
          </w:tcPr>
          <w:p w14:paraId="17B0EBEB" w14:textId="77777777" w:rsidR="004551A1" w:rsidRPr="00C648F3" w:rsidDel="001A1DDE"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J</w:t>
            </w:r>
            <w:r w:rsidRPr="0082510F">
              <w:rPr>
                <w:rStyle w:val="cf01"/>
                <w:rFonts w:ascii="Calibri Light" w:eastAsiaTheme="majorEastAsia" w:hAnsi="Calibri Light" w:cs="Calibri Light"/>
                <w:sz w:val="22"/>
                <w:szCs w:val="22"/>
              </w:rPr>
              <w:t xml:space="preserve">an 2022 – May 2023 </w:t>
            </w:r>
          </w:p>
        </w:tc>
        <w:tc>
          <w:tcPr>
            <w:tcW w:w="2004" w:type="dxa"/>
          </w:tcPr>
          <w:p w14:paraId="795767AA" w14:textId="77777777" w:rsidR="004551A1" w:rsidRPr="00C648F3"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$131,000</w:t>
            </w:r>
            <w:r w:rsidRPr="0082510F">
              <w:rPr>
                <w:rStyle w:val="FootnoteReference"/>
                <w:rFonts w:eastAsiaTheme="majorEastAsia" w:cs="Calibri Light"/>
                <w:sz w:val="22"/>
                <w:szCs w:val="22"/>
                <w:vertAlign w:val="superscript"/>
              </w:rPr>
              <w:footnoteReference w:id="60"/>
            </w:r>
          </w:p>
        </w:tc>
      </w:tr>
      <w:tr w:rsidR="00406C44" w14:paraId="15594BEA" w14:textId="77777777" w:rsidTr="00BE17D1">
        <w:trPr>
          <w:trHeight w:val="325"/>
        </w:trPr>
        <w:tc>
          <w:tcPr>
            <w:tcW w:w="2128" w:type="dxa"/>
          </w:tcPr>
          <w:p w14:paraId="54425DBC" w14:textId="77777777" w:rsidR="004551A1" w:rsidRPr="00C648F3"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lastRenderedPageBreak/>
              <w:t>W</w:t>
            </w:r>
            <w:r w:rsidRPr="0082510F">
              <w:rPr>
                <w:rStyle w:val="cf01"/>
                <w:rFonts w:ascii="Calibri Light" w:eastAsiaTheme="majorEastAsia" w:hAnsi="Calibri Light" w:cs="Calibri Light"/>
                <w:sz w:val="22"/>
                <w:szCs w:val="22"/>
              </w:rPr>
              <w:t>estpac</w:t>
            </w:r>
          </w:p>
        </w:tc>
        <w:tc>
          <w:tcPr>
            <w:tcW w:w="2132" w:type="dxa"/>
          </w:tcPr>
          <w:p w14:paraId="1112E58B" w14:textId="77777777" w:rsidR="004551A1" w:rsidRPr="00C648F3"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Customer verification</w:t>
            </w:r>
          </w:p>
        </w:tc>
        <w:tc>
          <w:tcPr>
            <w:tcW w:w="2843" w:type="dxa"/>
          </w:tcPr>
          <w:p w14:paraId="1CFCBCB9" w14:textId="77777777" w:rsidR="004551A1" w:rsidRPr="00C648F3" w:rsidDel="001A1DDE"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Mar</w:t>
            </w:r>
            <w:r w:rsidRPr="0082510F">
              <w:rPr>
                <w:rStyle w:val="cf01"/>
                <w:rFonts w:ascii="Calibri Light" w:eastAsiaTheme="majorEastAsia" w:hAnsi="Calibri Light" w:cs="Calibri Light"/>
                <w:sz w:val="22"/>
                <w:szCs w:val="22"/>
              </w:rPr>
              <w:t xml:space="preserve"> 2022 – May 2023</w:t>
            </w:r>
          </w:p>
        </w:tc>
        <w:tc>
          <w:tcPr>
            <w:tcW w:w="2004" w:type="dxa"/>
          </w:tcPr>
          <w:p w14:paraId="26E0B3AA" w14:textId="77777777" w:rsidR="004551A1" w:rsidRPr="00C648F3" w:rsidRDefault="004551A1">
            <w:pPr>
              <w:contextualSpacing/>
              <w:rPr>
                <w:rStyle w:val="cf01"/>
                <w:rFonts w:ascii="Calibri Light" w:eastAsiaTheme="majorEastAsia" w:hAnsi="Calibri Light" w:cs="Calibri Light"/>
                <w:sz w:val="22"/>
                <w:szCs w:val="22"/>
              </w:rPr>
            </w:pPr>
            <w:r w:rsidRPr="00C648F3">
              <w:rPr>
                <w:rStyle w:val="cf01"/>
                <w:rFonts w:ascii="Calibri Light" w:eastAsiaTheme="majorEastAsia" w:hAnsi="Calibri Light" w:cs="Calibri Light"/>
                <w:sz w:val="22"/>
                <w:szCs w:val="22"/>
              </w:rPr>
              <w:t>$250,000</w:t>
            </w:r>
            <w:r w:rsidRPr="0082510F">
              <w:rPr>
                <w:rStyle w:val="FootnoteReference"/>
                <w:rFonts w:eastAsiaTheme="majorEastAsia" w:cs="Calibri Light"/>
                <w:sz w:val="22"/>
                <w:szCs w:val="22"/>
                <w:vertAlign w:val="superscript"/>
              </w:rPr>
              <w:footnoteReference w:id="61"/>
            </w:r>
          </w:p>
        </w:tc>
      </w:tr>
    </w:tbl>
    <w:p w14:paraId="1DC20A9B" w14:textId="7F604926" w:rsidR="004551A1" w:rsidRDefault="004551A1" w:rsidP="004551A1">
      <w:r>
        <w:t xml:space="preserve">As an example, </w:t>
      </w:r>
      <w:r w:rsidR="00655FD1">
        <w:t xml:space="preserve">the </w:t>
      </w:r>
      <w:r>
        <w:t xml:space="preserve">Commonwealth Bank introduced a </w:t>
      </w:r>
      <w:proofErr w:type="spellStart"/>
      <w:r>
        <w:t>NameCheck</w:t>
      </w:r>
      <w:proofErr w:type="spellEnd"/>
      <w:r>
        <w:t xml:space="preserve"> confirmation of payee system</w:t>
      </w:r>
      <w:r w:rsidRPr="00272C5B">
        <w:t xml:space="preserve"> </w:t>
      </w:r>
      <w:r>
        <w:t>in February 2023</w:t>
      </w:r>
      <w:r w:rsidRPr="00DD08FB">
        <w:rPr>
          <w:rStyle w:val="FootnoteReference"/>
          <w:vertAlign w:val="superscript"/>
        </w:rPr>
        <w:footnoteReference w:id="62"/>
      </w:r>
      <w:r w:rsidRPr="00DD08FB">
        <w:rPr>
          <w:vertAlign w:val="superscript"/>
        </w:rPr>
        <w:t xml:space="preserve"> </w:t>
      </w:r>
      <w:r>
        <w:t xml:space="preserve">which diverted 10,000 scam payments valued at over $38 million between </w:t>
      </w:r>
      <w:proofErr w:type="gramStart"/>
      <w:r>
        <w:t>March</w:t>
      </w:r>
      <w:proofErr w:type="gramEnd"/>
      <w:r>
        <w:t xml:space="preserve"> to September 2023.</w:t>
      </w:r>
      <w:r w:rsidRPr="00DD08FB">
        <w:rPr>
          <w:rStyle w:val="FootnoteReference"/>
          <w:vertAlign w:val="superscript"/>
        </w:rPr>
        <w:footnoteReference w:id="63"/>
      </w:r>
      <w:r w:rsidRPr="00DD08FB">
        <w:rPr>
          <w:vertAlign w:val="superscript"/>
        </w:rPr>
        <w:t xml:space="preserve"> </w:t>
      </w:r>
      <w:r>
        <w:t>This technology, which is licensed to other entities, has led to benefits reflected in reducing customer losses by a third over 6 months.</w:t>
      </w:r>
      <w:r w:rsidRPr="00DD08FB">
        <w:rPr>
          <w:rStyle w:val="FootnoteReference"/>
          <w:vertAlign w:val="superscript"/>
        </w:rPr>
        <w:footnoteReference w:id="64"/>
      </w:r>
      <w:r w:rsidRPr="00DD08FB">
        <w:rPr>
          <w:vertAlign w:val="superscript"/>
        </w:rPr>
        <w:t xml:space="preserve"> </w:t>
      </w:r>
    </w:p>
    <w:p w14:paraId="7CD75DAE" w14:textId="1A6A45FB" w:rsidR="004551A1" w:rsidRDefault="004551A1" w:rsidP="00410071">
      <w:r>
        <w:t>There is also evidence that Government and regulator intervention is reducing the trajectory of scam losses</w:t>
      </w:r>
      <w:r w:rsidR="00E15EF7">
        <w:t xml:space="preserve"> as outlined in section 2.2.1</w:t>
      </w:r>
      <w:r>
        <w:t xml:space="preserve">. </w:t>
      </w:r>
    </w:p>
    <w:p w14:paraId="31884356" w14:textId="27D29B4A" w:rsidR="007E2ABC" w:rsidRDefault="005C0986" w:rsidP="005E504F">
      <w:pPr>
        <w:pStyle w:val="Heading4"/>
      </w:pPr>
      <w:bookmarkStart w:id="57" w:name="_Ref175918074"/>
      <w:r>
        <w:t xml:space="preserve">4.3.3 </w:t>
      </w:r>
      <w:r w:rsidR="005E504F">
        <w:t>I</w:t>
      </w:r>
      <w:r w:rsidR="002D3CB4">
        <w:t>mprov</w:t>
      </w:r>
      <w:r w:rsidR="00856F35">
        <w:t>ing</w:t>
      </w:r>
      <w:r w:rsidR="002D3CB4">
        <w:t xml:space="preserve"> r</w:t>
      </w:r>
      <w:r w:rsidR="00B36B80">
        <w:t>edress</w:t>
      </w:r>
      <w:r w:rsidR="007E2ABC">
        <w:t xml:space="preserve"> of scam losses</w:t>
      </w:r>
      <w:bookmarkEnd w:id="55"/>
      <w:bookmarkEnd w:id="57"/>
    </w:p>
    <w:p w14:paraId="46C69426" w14:textId="77777777" w:rsidR="009561B4" w:rsidRDefault="009561B4" w:rsidP="009561B4">
      <w:pPr>
        <w:pStyle w:val="Heading7"/>
      </w:pPr>
      <w:r>
        <w:t>Option 1 – Status quo</w:t>
      </w:r>
    </w:p>
    <w:p w14:paraId="3AF549B7" w14:textId="42853DBE" w:rsidR="00D554A9" w:rsidRPr="00164A4E" w:rsidRDefault="00D554A9" w:rsidP="00D554A9">
      <w:pPr>
        <w:rPr>
          <w:bCs/>
        </w:rPr>
      </w:pPr>
      <w:r w:rsidRPr="00DF5814">
        <w:t xml:space="preserve">This option would not achieve an economy wide understanding or agreement on responsibilities in </w:t>
      </w:r>
      <w:r w:rsidR="00DD704C" w:rsidRPr="00DF5814">
        <w:t>responding to</w:t>
      </w:r>
      <w:r w:rsidRPr="00DF5814">
        <w:t xml:space="preserve"> scams. As a result, consumers will continue to be subject to the imbalance of power they face in requesting a service provider investigate or accept a proportion of accountability for a </w:t>
      </w:r>
      <w:r w:rsidR="00382B2C" w:rsidRPr="00DF5814">
        <w:t>scam</w:t>
      </w:r>
      <w:r w:rsidRPr="00DF5814">
        <w:t xml:space="preserve"> loss.</w:t>
      </w:r>
      <w:r>
        <w:t xml:space="preserve"> </w:t>
      </w:r>
    </w:p>
    <w:p w14:paraId="4A86C270" w14:textId="21DF60EE" w:rsidR="00306482" w:rsidRDefault="00306482" w:rsidP="00306482">
      <w:pPr>
        <w:pStyle w:val="Heading7"/>
      </w:pPr>
      <w:r>
        <w:t xml:space="preserve">Option 2 – </w:t>
      </w:r>
      <w:r w:rsidR="000A746C">
        <w:t>Scams Prevention</w:t>
      </w:r>
      <w:r>
        <w:t xml:space="preserve"> Framework</w:t>
      </w:r>
    </w:p>
    <w:p w14:paraId="595A9CE0" w14:textId="7EC1A6E6" w:rsidR="00155D23" w:rsidRPr="00874346" w:rsidRDefault="00CC5A55" w:rsidP="00B30DF8">
      <w:r w:rsidRPr="00874346">
        <w:t>The</w:t>
      </w:r>
      <w:r w:rsidRPr="00874346" w:rsidDel="00AD37FF">
        <w:t xml:space="preserve"> </w:t>
      </w:r>
      <w:r w:rsidR="004C065E" w:rsidRPr="00874346">
        <w:t xml:space="preserve">SPF </w:t>
      </w:r>
      <w:r w:rsidR="00AD37FF" w:rsidRPr="00874346">
        <w:t xml:space="preserve">would </w:t>
      </w:r>
      <w:r w:rsidR="00F42E97" w:rsidRPr="00874346">
        <w:t>impose clear obligations on regulated entities</w:t>
      </w:r>
      <w:r w:rsidR="000C4AF0" w:rsidRPr="00874346">
        <w:t xml:space="preserve">, </w:t>
      </w:r>
      <w:r w:rsidR="003530E7" w:rsidRPr="00874346">
        <w:t>provide</w:t>
      </w:r>
      <w:r w:rsidRPr="00874346">
        <w:t xml:space="preserve"> </w:t>
      </w:r>
      <w:r w:rsidR="003530E7" w:rsidRPr="00874346">
        <w:t>clear</w:t>
      </w:r>
      <w:r w:rsidRPr="00874346">
        <w:t xml:space="preserve"> pathways </w:t>
      </w:r>
      <w:r w:rsidR="003530E7" w:rsidRPr="00874346">
        <w:t>for consumers to</w:t>
      </w:r>
      <w:r w:rsidRPr="00874346">
        <w:t xml:space="preserve"> seek redress</w:t>
      </w:r>
      <w:r w:rsidR="00297D41" w:rsidRPr="00874346">
        <w:t xml:space="preserve"> </w:t>
      </w:r>
      <w:r w:rsidR="00BB00C9" w:rsidRPr="00874346">
        <w:t xml:space="preserve">and ensure consistency in </w:t>
      </w:r>
      <w:r w:rsidR="00007687" w:rsidRPr="00874346">
        <w:t>consideration</w:t>
      </w:r>
      <w:r w:rsidR="00BB00C9" w:rsidRPr="00874346">
        <w:t xml:space="preserve"> of </w:t>
      </w:r>
      <w:r w:rsidR="00007687" w:rsidRPr="00874346">
        <w:t>scam</w:t>
      </w:r>
      <w:r w:rsidR="00750E2F" w:rsidRPr="00874346">
        <w:t>s</w:t>
      </w:r>
      <w:r w:rsidR="00BB00C9" w:rsidRPr="00874346">
        <w:t xml:space="preserve"> complaints</w:t>
      </w:r>
      <w:r w:rsidR="00007687" w:rsidRPr="00874346">
        <w:t>. Under the SPF, responsibility for redress wil</w:t>
      </w:r>
      <w:r w:rsidR="00EF56B1" w:rsidRPr="00874346">
        <w:t xml:space="preserve">l sit with all regulated </w:t>
      </w:r>
      <w:r w:rsidR="009E6C96" w:rsidRPr="00874346">
        <w:t>entities</w:t>
      </w:r>
      <w:r w:rsidR="00EF56B1" w:rsidRPr="00874346">
        <w:t xml:space="preserve"> where they have not taken </w:t>
      </w:r>
      <w:r w:rsidR="009E6C96" w:rsidRPr="00874346">
        <w:t>appropriate action</w:t>
      </w:r>
      <w:r w:rsidR="00EF56B1" w:rsidRPr="00874346">
        <w:t>. This</w:t>
      </w:r>
      <w:r w:rsidR="00EF56B1" w:rsidRPr="00874346" w:rsidDel="007C64F4">
        <w:t xml:space="preserve"> </w:t>
      </w:r>
      <w:r w:rsidR="007C64F4" w:rsidRPr="00874346">
        <w:t xml:space="preserve">would </w:t>
      </w:r>
      <w:r w:rsidR="00EF56B1" w:rsidRPr="00874346">
        <w:t xml:space="preserve">ensure the </w:t>
      </w:r>
      <w:r w:rsidR="004D3B6A" w:rsidRPr="00874346">
        <w:t>liability for scam losses</w:t>
      </w:r>
      <w:r w:rsidR="00EF56B1" w:rsidRPr="00874346">
        <w:t xml:space="preserve"> </w:t>
      </w:r>
      <w:r w:rsidR="009E6C96" w:rsidRPr="00874346">
        <w:t xml:space="preserve">is </w:t>
      </w:r>
      <w:r w:rsidR="00750E2F" w:rsidRPr="00874346">
        <w:t>appropriately</w:t>
      </w:r>
      <w:r w:rsidR="009E6C96" w:rsidRPr="00874346">
        <w:t xml:space="preserve"> allocated across the ecosystem. </w:t>
      </w:r>
    </w:p>
    <w:p w14:paraId="54BC15C2" w14:textId="66428347" w:rsidR="00155D23" w:rsidRPr="00874346" w:rsidRDefault="00196F81" w:rsidP="00B30DF8">
      <w:pPr>
        <w:rPr>
          <w:i/>
        </w:rPr>
      </w:pPr>
      <w:r w:rsidRPr="00874346">
        <w:rPr>
          <w:i/>
        </w:rPr>
        <w:t>Mandatory IDR</w:t>
      </w:r>
    </w:p>
    <w:p w14:paraId="22A23666" w14:textId="146A9130" w:rsidR="0064221E" w:rsidRPr="003A6E2B" w:rsidRDefault="00297D41" w:rsidP="00297D41">
      <w:r w:rsidRPr="00874346">
        <w:rPr>
          <w:rStyle w:val="ui-provider"/>
        </w:rPr>
        <w:t xml:space="preserve">Under the </w:t>
      </w:r>
      <w:r w:rsidR="00AB609C" w:rsidRPr="00874346">
        <w:rPr>
          <w:rStyle w:val="ui-provider"/>
        </w:rPr>
        <w:t>SPF</w:t>
      </w:r>
      <w:r w:rsidR="003D5180" w:rsidRPr="00874346">
        <w:rPr>
          <w:rStyle w:val="ui-provider"/>
        </w:rPr>
        <w:t>, regulated entities</w:t>
      </w:r>
      <w:r w:rsidRPr="00874346">
        <w:rPr>
          <w:rStyle w:val="ui-provider"/>
        </w:rPr>
        <w:t xml:space="preserve"> </w:t>
      </w:r>
      <w:r w:rsidR="006D1A5D">
        <w:rPr>
          <w:rStyle w:val="ui-provider"/>
        </w:rPr>
        <w:t xml:space="preserve">operating </w:t>
      </w:r>
      <w:r w:rsidR="00CB1EF2">
        <w:rPr>
          <w:rStyle w:val="ui-provider"/>
        </w:rPr>
        <w:t xml:space="preserve">designated digital platforms </w:t>
      </w:r>
      <w:r w:rsidRPr="00874346">
        <w:t xml:space="preserve">would be required to </w:t>
      </w:r>
      <w:r w:rsidR="0064221E" w:rsidRPr="00874346">
        <w:t xml:space="preserve">have an accessible and transparent IDR mechanism for consumers to complain about scams </w:t>
      </w:r>
      <w:r w:rsidR="00824216" w:rsidRPr="00874346">
        <w:t xml:space="preserve">on its services </w:t>
      </w:r>
      <w:r w:rsidR="00F93AFC" w:rsidRPr="00874346">
        <w:t>(including the entity</w:t>
      </w:r>
      <w:r w:rsidR="00824216" w:rsidRPr="00874346">
        <w:t xml:space="preserve">’s </w:t>
      </w:r>
      <w:r w:rsidR="0064221E" w:rsidRPr="00874346">
        <w:t>conduct relating to such scams</w:t>
      </w:r>
      <w:r w:rsidR="00824216" w:rsidRPr="00874346">
        <w:t>)</w:t>
      </w:r>
      <w:r w:rsidR="00EC6AB7">
        <w:t xml:space="preserve"> </w:t>
      </w:r>
      <w:r w:rsidR="007A081D">
        <w:rPr>
          <w:rStyle w:val="ui-provider"/>
        </w:rPr>
        <w:t>consistent with standards for banks and telecommunications providers</w:t>
      </w:r>
      <w:r w:rsidR="006879D1" w:rsidRPr="00874346">
        <w:t xml:space="preserve">. </w:t>
      </w:r>
      <w:r w:rsidR="002125A0">
        <w:t>E</w:t>
      </w:r>
      <w:r w:rsidR="006879D1" w:rsidRPr="00874346">
        <w:t>ffective IDR mechanism</w:t>
      </w:r>
      <w:r w:rsidR="002456DE">
        <w:t>s</w:t>
      </w:r>
      <w:r w:rsidR="006879D1" w:rsidRPr="00874346">
        <w:t xml:space="preserve"> benefit both consumers and businesses by providing regulated entities an opportunity to assess its conduct and resolve the complaints in a timely and efficient manner.</w:t>
      </w:r>
      <w:r w:rsidR="0064221E" w:rsidRPr="00874346" w:rsidDel="006879D1">
        <w:t xml:space="preserve"> </w:t>
      </w:r>
      <w:r w:rsidR="0064221E" w:rsidRPr="00874346">
        <w:t xml:space="preserve">The IDR obligation would encourage the early resolution of complaints, including for compensation or other remedies to be provided to consumers where there has been a breach of </w:t>
      </w:r>
      <w:r w:rsidR="000265CF" w:rsidRPr="00874346">
        <w:t xml:space="preserve">their </w:t>
      </w:r>
      <w:r w:rsidR="0064221E" w:rsidRPr="00874346">
        <w:t>obligation</w:t>
      </w:r>
      <w:r w:rsidR="000265CF" w:rsidRPr="00874346">
        <w:t xml:space="preserve">s under the </w:t>
      </w:r>
      <w:r w:rsidR="00AB609C" w:rsidRPr="00874346">
        <w:t>SPF</w:t>
      </w:r>
      <w:r w:rsidR="0064221E" w:rsidRPr="00874346">
        <w:t>.</w:t>
      </w:r>
    </w:p>
    <w:p w14:paraId="5D09BEF8" w14:textId="16537E95" w:rsidR="00297D41" w:rsidRPr="00874346" w:rsidRDefault="00297D41" w:rsidP="00B30DF8">
      <w:pPr>
        <w:rPr>
          <w:i/>
        </w:rPr>
      </w:pPr>
      <w:r w:rsidRPr="00874346">
        <w:rPr>
          <w:i/>
        </w:rPr>
        <w:t>Mandatory EDR</w:t>
      </w:r>
    </w:p>
    <w:p w14:paraId="0C7B9C7E" w14:textId="5750A731" w:rsidR="00232D59" w:rsidRPr="00874346" w:rsidRDefault="00AB0534" w:rsidP="00B30DF8">
      <w:pPr>
        <w:rPr>
          <w:rStyle w:val="ui-provider"/>
        </w:rPr>
      </w:pPr>
      <w:r w:rsidRPr="00874346">
        <w:rPr>
          <w:rStyle w:val="ui-provider"/>
        </w:rPr>
        <w:t>Entities that are providing a service that is regulated by</w:t>
      </w:r>
      <w:r w:rsidR="00C15AE0" w:rsidRPr="00874346">
        <w:rPr>
          <w:rStyle w:val="ui-provider"/>
        </w:rPr>
        <w:t xml:space="preserve"> the </w:t>
      </w:r>
      <w:r w:rsidR="00AB609C" w:rsidRPr="00874346">
        <w:rPr>
          <w:rStyle w:val="ui-provider"/>
        </w:rPr>
        <w:t>SPF</w:t>
      </w:r>
      <w:r w:rsidR="00C15AE0" w:rsidRPr="00874346">
        <w:rPr>
          <w:rStyle w:val="ui-provider"/>
        </w:rPr>
        <w:t xml:space="preserve"> </w:t>
      </w:r>
      <w:r w:rsidRPr="00874346">
        <w:rPr>
          <w:rStyle w:val="ui-provider"/>
        </w:rPr>
        <w:t xml:space="preserve">will be required to become a member of the EDR scheme </w:t>
      </w:r>
      <w:r w:rsidR="009D2BF3" w:rsidRPr="00874346">
        <w:rPr>
          <w:rStyle w:val="ui-provider"/>
        </w:rPr>
        <w:t>for</w:t>
      </w:r>
      <w:r w:rsidRPr="00874346">
        <w:rPr>
          <w:rStyle w:val="ui-provider"/>
        </w:rPr>
        <w:t xml:space="preserve"> their sector. </w:t>
      </w:r>
      <w:r w:rsidR="00232D59" w:rsidRPr="00874346">
        <w:rPr>
          <w:rStyle w:val="ui-provider"/>
        </w:rPr>
        <w:t xml:space="preserve">An EDR scheme offers a </w:t>
      </w:r>
      <w:r w:rsidR="00F03507" w:rsidRPr="00874346">
        <w:rPr>
          <w:rStyle w:val="ui-provider"/>
        </w:rPr>
        <w:t>no-cost</w:t>
      </w:r>
      <w:r w:rsidR="00632E82" w:rsidRPr="00874346">
        <w:rPr>
          <w:rStyle w:val="ui-provider"/>
        </w:rPr>
        <w:t>, independent and fair mechanism</w:t>
      </w:r>
      <w:r w:rsidR="00232D59" w:rsidRPr="00874346">
        <w:rPr>
          <w:rStyle w:val="ui-provider"/>
        </w:rPr>
        <w:t xml:space="preserve"> for consumers to escalate their complaint</w:t>
      </w:r>
      <w:r w:rsidR="00632E82" w:rsidRPr="00874346">
        <w:t xml:space="preserve"> </w:t>
      </w:r>
      <w:r w:rsidR="0011046B" w:rsidRPr="00874346">
        <w:t xml:space="preserve">when </w:t>
      </w:r>
      <w:r w:rsidR="00632E82" w:rsidRPr="00874346">
        <w:t>they are not resolved at the IDR stage or if the IDR outcome is unsatisfactory. An effective ombudsman also incentivises regulated entities to meet their obligations, knowing that consumers have a</w:t>
      </w:r>
      <w:r w:rsidR="00135C31" w:rsidRPr="00874346">
        <w:t>n accessible</w:t>
      </w:r>
      <w:r w:rsidR="00632E82" w:rsidRPr="00874346">
        <w:t xml:space="preserve"> </w:t>
      </w:r>
      <w:r w:rsidR="00347E1C" w:rsidRPr="00874346">
        <w:t>pathway</w:t>
      </w:r>
      <w:r w:rsidR="00632E82" w:rsidRPr="00874346">
        <w:t xml:space="preserve"> to seek redress.</w:t>
      </w:r>
      <w:r w:rsidR="002877CD" w:rsidRPr="00874346">
        <w:t xml:space="preserve"> </w:t>
      </w:r>
    </w:p>
    <w:p w14:paraId="6AA23CCF" w14:textId="1C6ED82E" w:rsidR="00306482" w:rsidRDefault="00215FBC" w:rsidP="00306482">
      <w:r w:rsidRPr="00874346">
        <w:rPr>
          <w:rStyle w:val="ui-provider"/>
        </w:rPr>
        <w:t>As scammers often operate across multiple entities and sectors in their deception of consumers, a</w:t>
      </w:r>
      <w:r w:rsidR="000A5D32" w:rsidRPr="00874346">
        <w:t xml:space="preserve"> single EDR scheme offers SPF consumers a holistic experience where there are multiple regulated entities involved in complaints. It would also bring consistency in consideration of complaints and be less burdensome for SPF consumers and industry when compared with multi-scheme alternatives.</w:t>
      </w:r>
    </w:p>
    <w:p w14:paraId="13EB7CEF" w14:textId="1834711D" w:rsidR="00E02F8F" w:rsidRPr="00E02F8F" w:rsidRDefault="00AC262D" w:rsidP="00B61165">
      <w:pPr>
        <w:pStyle w:val="Heading3"/>
      </w:pPr>
      <w:bookmarkStart w:id="58" w:name="_Ref177024323"/>
      <w:bookmarkStart w:id="59" w:name="_Toc179556405"/>
      <w:r>
        <w:lastRenderedPageBreak/>
        <w:t xml:space="preserve">4.4 </w:t>
      </w:r>
      <w:bookmarkEnd w:id="58"/>
      <w:r w:rsidR="00823753">
        <w:t>Comp</w:t>
      </w:r>
      <w:r w:rsidR="00231646">
        <w:t>arison of benefits and costs</w:t>
      </w:r>
      <w:bookmarkEnd w:id="59"/>
    </w:p>
    <w:p w14:paraId="7624A962" w14:textId="59263CAC" w:rsidR="00D07898" w:rsidRPr="00D07898" w:rsidRDefault="00DA491B" w:rsidP="00D07898">
      <w:r>
        <w:t xml:space="preserve">Assessment of </w:t>
      </w:r>
      <w:proofErr w:type="gramStart"/>
      <w:r>
        <w:t xml:space="preserve">the </w:t>
      </w:r>
      <w:r w:rsidR="00677944">
        <w:t>of</w:t>
      </w:r>
      <w:proofErr w:type="gramEnd"/>
      <w:r w:rsidR="00677944">
        <w:t xml:space="preserve"> Options </w:t>
      </w:r>
      <w:r w:rsidR="00C727FC">
        <w:t>2</w:t>
      </w:r>
      <w:r w:rsidR="00677944">
        <w:t xml:space="preserve"> </w:t>
      </w:r>
      <w:r w:rsidR="008A3EFA">
        <w:t xml:space="preserve">is based on both </w:t>
      </w:r>
      <w:r w:rsidR="00832EDE">
        <w:t xml:space="preserve">break-even analysis </w:t>
      </w:r>
      <w:r w:rsidR="0037406E">
        <w:t xml:space="preserve">and </w:t>
      </w:r>
      <w:r w:rsidR="00332E7A">
        <w:t xml:space="preserve">assessment of the expected relative level </w:t>
      </w:r>
      <w:r w:rsidR="00D501F6">
        <w:t xml:space="preserve">of </w:t>
      </w:r>
      <w:r w:rsidR="00332E7A">
        <w:t>benefits</w:t>
      </w:r>
      <w:r w:rsidR="00107034">
        <w:t xml:space="preserve"> from each option.</w:t>
      </w:r>
      <w:r w:rsidR="00F56669">
        <w:t xml:space="preserve"> As previously discussed, the status quo would involve </w:t>
      </w:r>
      <w:r w:rsidR="008E4D90">
        <w:t>persistence of</w:t>
      </w:r>
      <w:r w:rsidR="00420128">
        <w:t xml:space="preserve"> </w:t>
      </w:r>
      <w:r w:rsidR="00A66BDC">
        <w:t xml:space="preserve">harmful </w:t>
      </w:r>
      <w:r w:rsidR="00B421FB" w:rsidRPr="00B421FB">
        <w:t xml:space="preserve">costs of scams associated with personal data breaches, financial losses, </w:t>
      </w:r>
      <w:proofErr w:type="gramStart"/>
      <w:r w:rsidR="00B421FB" w:rsidRPr="00B421FB">
        <w:t>psychological</w:t>
      </w:r>
      <w:proofErr w:type="gramEnd"/>
      <w:r w:rsidR="00B421FB" w:rsidRPr="00B421FB">
        <w:t xml:space="preserve"> damages with broader socioeconomic consequences</w:t>
      </w:r>
      <w:r w:rsidR="00B421FB">
        <w:t>.</w:t>
      </w:r>
      <w:r w:rsidR="00DF58FF">
        <w:t xml:space="preserve"> There</w:t>
      </w:r>
      <w:r w:rsidR="00E96DC6">
        <w:t>for</w:t>
      </w:r>
      <w:r w:rsidR="00427D9C">
        <w:t>e</w:t>
      </w:r>
      <w:r w:rsidR="00537605">
        <w:t>,</w:t>
      </w:r>
      <w:r w:rsidR="00E96DC6">
        <w:t xml:space="preserve"> the net benefit </w:t>
      </w:r>
      <w:r w:rsidR="0050479F">
        <w:t xml:space="preserve">is an assessment of </w:t>
      </w:r>
      <w:r w:rsidR="00ED1903">
        <w:t>whether their implementation</w:t>
      </w:r>
      <w:r w:rsidR="00427D9C">
        <w:t xml:space="preserve"> </w:t>
      </w:r>
      <w:r w:rsidR="00ED1903">
        <w:t>costs are outweighed by the l</w:t>
      </w:r>
      <w:r w:rsidR="001239BA">
        <w:t xml:space="preserve">evel to which they reduce these </w:t>
      </w:r>
      <w:r w:rsidR="00E55D1B">
        <w:t xml:space="preserve">scam </w:t>
      </w:r>
      <w:r w:rsidR="001239BA">
        <w:t>harms.</w:t>
      </w:r>
    </w:p>
    <w:p w14:paraId="5C668F19" w14:textId="4EB5B09F" w:rsidR="009D26CE" w:rsidRPr="009D26CE" w:rsidRDefault="009B6A55" w:rsidP="00DA1E3F">
      <w:pPr>
        <w:pStyle w:val="Heading4"/>
      </w:pPr>
      <w:r>
        <w:t xml:space="preserve">Option 2 – </w:t>
      </w:r>
      <w:r w:rsidR="000A746C">
        <w:t>Scams Prevention</w:t>
      </w:r>
      <w:r>
        <w:t xml:space="preserve"> Framework</w:t>
      </w:r>
    </w:p>
    <w:p w14:paraId="1F2082B9" w14:textId="6E917EC9" w:rsidR="00AC324E" w:rsidRPr="002B6319" w:rsidRDefault="002B6319" w:rsidP="002B6319">
      <w:pPr>
        <w:pStyle w:val="Heading7"/>
      </w:pPr>
      <w:r>
        <w:t>B</w:t>
      </w:r>
      <w:r w:rsidRPr="002B6319">
        <w:t xml:space="preserve">reak-even </w:t>
      </w:r>
      <w:r>
        <w:t>analysis</w:t>
      </w:r>
    </w:p>
    <w:p w14:paraId="2A24B0EF" w14:textId="2E28B615" w:rsidR="00E40883" w:rsidRDefault="005F574C" w:rsidP="007C0C81">
      <w:r>
        <w:t xml:space="preserve">As </w:t>
      </w:r>
      <w:r w:rsidR="003274E0">
        <w:t xml:space="preserve">outlined in </w:t>
      </w:r>
      <w:r w:rsidR="00A15E94">
        <w:t xml:space="preserve">the </w:t>
      </w:r>
      <w:r w:rsidR="00143F16" w:rsidRPr="00BE17D1">
        <w:fldChar w:fldCharType="begin"/>
      </w:r>
      <w:r w:rsidR="00143F16" w:rsidRPr="00A452F4">
        <w:rPr>
          <w:b/>
          <w:bCs/>
        </w:rPr>
        <w:instrText xml:space="preserve"> REF _Ref175823159 \h </w:instrText>
      </w:r>
      <w:r w:rsidR="00DA746C" w:rsidRPr="00A452F4">
        <w:rPr>
          <w:b/>
          <w:bCs/>
        </w:rPr>
        <w:instrText xml:space="preserve"> \* MERGEFORMAT </w:instrText>
      </w:r>
      <w:r w:rsidR="00143F16" w:rsidRPr="00BE17D1">
        <w:fldChar w:fldCharType="separate"/>
      </w:r>
      <w:r w:rsidR="00A452F4" w:rsidRPr="00BE17D1">
        <w:rPr>
          <w:b/>
          <w:bCs/>
        </w:rPr>
        <w:t xml:space="preserve">4.1.5 </w:t>
      </w:r>
      <w:proofErr w:type="gramStart"/>
      <w:r w:rsidR="00A452F4" w:rsidRPr="00BE17D1">
        <w:rPr>
          <w:b/>
          <w:bCs/>
        </w:rPr>
        <w:t>Overall</w:t>
      </w:r>
      <w:proofErr w:type="gramEnd"/>
      <w:r w:rsidR="00A452F4" w:rsidRPr="00BE17D1">
        <w:rPr>
          <w:b/>
          <w:bCs/>
        </w:rPr>
        <w:t xml:space="preserve"> regulatory</w:t>
      </w:r>
      <w:r w:rsidR="00A452F4">
        <w:t xml:space="preserve"> costs</w:t>
      </w:r>
      <w:r w:rsidR="00143F16" w:rsidRPr="00BE17D1">
        <w:fldChar w:fldCharType="end"/>
      </w:r>
      <w:r w:rsidR="00143F16" w:rsidRPr="005D0881">
        <w:t xml:space="preserve"> and </w:t>
      </w:r>
      <w:r w:rsidR="00143F16" w:rsidRPr="00BE17D1">
        <w:fldChar w:fldCharType="begin"/>
      </w:r>
      <w:r w:rsidR="00143F16" w:rsidRPr="00A452F4">
        <w:rPr>
          <w:b/>
          <w:bCs/>
        </w:rPr>
        <w:instrText xml:space="preserve"> REF _Ref175823177 \h </w:instrText>
      </w:r>
      <w:r w:rsidR="00DA746C" w:rsidRPr="00A452F4">
        <w:rPr>
          <w:b/>
          <w:bCs/>
        </w:rPr>
        <w:instrText xml:space="preserve"> \* MERGEFORMAT </w:instrText>
      </w:r>
      <w:r w:rsidR="00143F16" w:rsidRPr="00BE17D1">
        <w:fldChar w:fldCharType="separate"/>
      </w:r>
      <w:r w:rsidR="00A452F4" w:rsidRPr="00BE17D1">
        <w:rPr>
          <w:b/>
          <w:bCs/>
        </w:rPr>
        <w:t>4.2 Government</w:t>
      </w:r>
      <w:r w:rsidR="00A452F4">
        <w:t xml:space="preserve"> costs</w:t>
      </w:r>
      <w:r w:rsidR="00143F16" w:rsidRPr="00BE17D1">
        <w:fldChar w:fldCharType="end"/>
      </w:r>
      <w:r w:rsidR="00EE58E1">
        <w:t xml:space="preserve"> sections</w:t>
      </w:r>
      <w:r w:rsidR="00143F16">
        <w:t>, the average</w:t>
      </w:r>
      <w:r w:rsidR="00E17334" w:rsidRPr="00E17334">
        <w:t xml:space="preserve"> annual </w:t>
      </w:r>
      <w:r w:rsidR="00143F16">
        <w:t xml:space="preserve">costs </w:t>
      </w:r>
      <w:r w:rsidR="00F07DB5">
        <w:t xml:space="preserve">to implement </w:t>
      </w:r>
      <w:r w:rsidR="00E10788">
        <w:t>Option 2 over the first 10 years will be $</w:t>
      </w:r>
      <w:r w:rsidR="00743DEF" w:rsidRPr="001D4340">
        <w:t>1</w:t>
      </w:r>
      <w:r w:rsidR="00D97B6F">
        <w:t>1</w:t>
      </w:r>
      <w:r w:rsidR="00B71612">
        <w:t>2.5</w:t>
      </w:r>
      <w:r w:rsidR="00E10788">
        <w:t xml:space="preserve"> million</w:t>
      </w:r>
      <w:r w:rsidR="00A2201E">
        <w:t xml:space="preserve"> (</w:t>
      </w:r>
      <w:r w:rsidR="007F6305">
        <w:t>$</w:t>
      </w:r>
      <w:r w:rsidR="00D97B6F">
        <w:t>10</w:t>
      </w:r>
      <w:r w:rsidR="005150FD">
        <w:t>2.1</w:t>
      </w:r>
      <w:r w:rsidR="007F6305">
        <w:t xml:space="preserve"> million </w:t>
      </w:r>
      <w:r w:rsidR="006B1C0D">
        <w:t xml:space="preserve">in regulatory costs </w:t>
      </w:r>
      <w:r w:rsidR="007F6305">
        <w:t>plus $10.</w:t>
      </w:r>
      <w:r w:rsidR="006A169A">
        <w:t>4</w:t>
      </w:r>
      <w:r w:rsidR="007F6305">
        <w:t xml:space="preserve"> million</w:t>
      </w:r>
      <w:r w:rsidR="006B1C0D">
        <w:t xml:space="preserve"> in government costs</w:t>
      </w:r>
      <w:r w:rsidR="007F6305">
        <w:t>)</w:t>
      </w:r>
      <w:r w:rsidR="00E10788">
        <w:t>.</w:t>
      </w:r>
      <w:r w:rsidR="001A0BDC">
        <w:t xml:space="preserve"> </w:t>
      </w:r>
      <w:r w:rsidR="00E40883">
        <w:t>Given</w:t>
      </w:r>
      <w:r w:rsidR="00B628A1">
        <w:t xml:space="preserve"> the</w:t>
      </w:r>
      <w:r w:rsidR="00E40883">
        <w:t xml:space="preserve"> </w:t>
      </w:r>
      <w:r w:rsidR="00D3515A">
        <w:t xml:space="preserve">average scam victim in Australia </w:t>
      </w:r>
      <w:r w:rsidR="003F18BB">
        <w:t xml:space="preserve">reported </w:t>
      </w:r>
      <w:r w:rsidR="00D3515A">
        <w:t>los</w:t>
      </w:r>
      <w:r w:rsidR="003F18BB">
        <w:t>ing</w:t>
      </w:r>
      <w:r w:rsidR="00D3515A">
        <w:t xml:space="preserve"> $16,000 in 2023</w:t>
      </w:r>
      <w:r w:rsidR="00A71EBB">
        <w:t>,</w:t>
      </w:r>
      <w:r w:rsidR="00284A27" w:rsidRPr="00DD08FB">
        <w:rPr>
          <w:rStyle w:val="FootnoteReference"/>
          <w:vertAlign w:val="superscript"/>
        </w:rPr>
        <w:footnoteReference w:id="65"/>
      </w:r>
      <w:r w:rsidR="00284A27">
        <w:t xml:space="preserve"> </w:t>
      </w:r>
      <w:r w:rsidR="005A7689">
        <w:t xml:space="preserve">for </w:t>
      </w:r>
      <w:r w:rsidR="0066304A">
        <w:t xml:space="preserve">Option 2 to </w:t>
      </w:r>
      <w:r w:rsidR="00A35D1F">
        <w:t>result in</w:t>
      </w:r>
      <w:r w:rsidR="0066304A">
        <w:t xml:space="preserve"> a net benefit to society </w:t>
      </w:r>
      <w:r w:rsidR="0090042F">
        <w:t>(</w:t>
      </w:r>
      <w:r w:rsidR="00E07FD6">
        <w:t xml:space="preserve">based on reduced </w:t>
      </w:r>
      <w:r w:rsidR="0090042F">
        <w:t xml:space="preserve">financial </w:t>
      </w:r>
      <w:r w:rsidR="00E07FD6">
        <w:t>losses to scams alone</w:t>
      </w:r>
      <w:r w:rsidR="0090042F">
        <w:t>)</w:t>
      </w:r>
      <w:r w:rsidR="00E07FD6">
        <w:t xml:space="preserve"> </w:t>
      </w:r>
      <w:r w:rsidR="00A12897">
        <w:t xml:space="preserve">the </w:t>
      </w:r>
      <w:r w:rsidR="00F04400">
        <w:t>number</w:t>
      </w:r>
      <w:r w:rsidR="00A12897">
        <w:t xml:space="preserve"> of </w:t>
      </w:r>
      <w:r w:rsidR="00FF1D0B">
        <w:t>insta</w:t>
      </w:r>
      <w:r w:rsidR="00E81E96">
        <w:t>nces of consumers experiencing a</w:t>
      </w:r>
      <w:r w:rsidR="00A13CA0">
        <w:t xml:space="preserve"> </w:t>
      </w:r>
      <w:r w:rsidR="00A12897">
        <w:t xml:space="preserve">scam loss </w:t>
      </w:r>
      <w:r w:rsidR="008413E0">
        <w:t xml:space="preserve">would need to reduce </w:t>
      </w:r>
      <w:r w:rsidR="00A12897" w:rsidRPr="001D4340">
        <w:t xml:space="preserve">by </w:t>
      </w:r>
      <w:r w:rsidR="00093969">
        <w:t>7,</w:t>
      </w:r>
      <w:r w:rsidR="005150FD">
        <w:t>028</w:t>
      </w:r>
      <w:r w:rsidR="001230F3">
        <w:t>. This is equal to</w:t>
      </w:r>
      <w:r w:rsidR="00B628A1">
        <w:t xml:space="preserve"> </w:t>
      </w:r>
      <w:r w:rsidR="00EC54AE">
        <w:t>4.6</w:t>
      </w:r>
      <w:r w:rsidR="00CD5D6D" w:rsidRPr="00CD5D6D">
        <w:t xml:space="preserve"> </w:t>
      </w:r>
      <w:r w:rsidR="00CD5D6D">
        <w:t>per cent</w:t>
      </w:r>
      <w:r w:rsidR="00EC54AE">
        <w:t xml:space="preserve"> reduction</w:t>
      </w:r>
      <w:r w:rsidR="001230F3">
        <w:t xml:space="preserve"> of the </w:t>
      </w:r>
      <w:r w:rsidR="00C74CAA">
        <w:t>$2.7</w:t>
      </w:r>
      <w:r w:rsidR="00994FB4">
        <w:t xml:space="preserve"> billion of reported scam losses</w:t>
      </w:r>
      <w:r w:rsidR="001230F3">
        <w:t xml:space="preserve"> in 2023</w:t>
      </w:r>
      <w:r w:rsidR="00F04400">
        <w:t>.</w:t>
      </w:r>
      <w:r w:rsidR="0012720F" w:rsidRPr="00056ED2">
        <w:rPr>
          <w:rStyle w:val="FootnoteReference"/>
          <w:vertAlign w:val="superscript"/>
        </w:rPr>
        <w:footnoteReference w:id="66"/>
      </w:r>
      <w:r w:rsidR="00CB4797">
        <w:t xml:space="preserve"> </w:t>
      </w:r>
    </w:p>
    <w:p w14:paraId="74A35D99" w14:textId="0014B17B" w:rsidR="00E17334" w:rsidRDefault="00FA381E" w:rsidP="00FA381E">
      <w:pPr>
        <w:pStyle w:val="Heading7"/>
      </w:pPr>
      <w:r>
        <w:t>Likelihood of achieving a net benefit</w:t>
      </w:r>
    </w:p>
    <w:p w14:paraId="485870AC" w14:textId="53A530F7" w:rsidR="00B1097B" w:rsidRDefault="007A44DD" w:rsidP="007C0C81">
      <w:r>
        <w:t xml:space="preserve">As Option 2 would substantially improve the regulatory framework for </w:t>
      </w:r>
      <w:r w:rsidR="00653848">
        <w:t xml:space="preserve">industry </w:t>
      </w:r>
      <w:r w:rsidR="007D2DE5">
        <w:t xml:space="preserve">anti-scam activities </w:t>
      </w:r>
      <w:r w:rsidR="000F1B16">
        <w:t>and</w:t>
      </w:r>
      <w:r w:rsidRPr="007A44DD">
        <w:t xml:space="preserve"> improve </w:t>
      </w:r>
      <w:r w:rsidR="00B27E37">
        <w:t>industry</w:t>
      </w:r>
      <w:r w:rsidR="00B27E37" w:rsidRPr="007A44DD">
        <w:t xml:space="preserve"> </w:t>
      </w:r>
      <w:r w:rsidRPr="007A44DD">
        <w:t xml:space="preserve">practices </w:t>
      </w:r>
      <w:r w:rsidR="000F1B16">
        <w:t>in</w:t>
      </w:r>
      <w:r w:rsidRPr="007A44DD">
        <w:t xml:space="preserve"> respond</w:t>
      </w:r>
      <w:r w:rsidR="000F1B16">
        <w:t>ing</w:t>
      </w:r>
      <w:r w:rsidRPr="007A44DD">
        <w:t xml:space="preserve"> and shar</w:t>
      </w:r>
      <w:r w:rsidR="00B4438A">
        <w:t>ing</w:t>
      </w:r>
      <w:r w:rsidRPr="007A44DD">
        <w:t xml:space="preserve"> </w:t>
      </w:r>
      <w:r w:rsidR="000F1B16">
        <w:t xml:space="preserve">scam </w:t>
      </w:r>
      <w:r w:rsidRPr="007A44DD">
        <w:t>information</w:t>
      </w:r>
      <w:r w:rsidR="00BE5C9C">
        <w:t xml:space="preserve">, it would be </w:t>
      </w:r>
      <w:r w:rsidR="001E54C7">
        <w:t xml:space="preserve">broadly expected to reduce </w:t>
      </w:r>
      <w:r w:rsidR="005312D7">
        <w:t xml:space="preserve">instances of </w:t>
      </w:r>
      <w:r w:rsidR="00236B20">
        <w:t xml:space="preserve">scam losses by </w:t>
      </w:r>
      <w:r w:rsidR="004D526D">
        <w:t>at le</w:t>
      </w:r>
      <w:r w:rsidR="004D526D" w:rsidRPr="001D4340">
        <w:t xml:space="preserve">ast </w:t>
      </w:r>
      <w:r w:rsidR="005312D7" w:rsidRPr="005312D7">
        <w:t>7,028</w:t>
      </w:r>
      <w:r w:rsidR="005312D7">
        <w:t xml:space="preserve"> </w:t>
      </w:r>
      <w:r w:rsidR="004D526D">
        <w:t xml:space="preserve">resulting in </w:t>
      </w:r>
      <w:r w:rsidR="007C0C81" w:rsidRPr="00396DB1">
        <w:t>the benefits of this option outweigh</w:t>
      </w:r>
      <w:r w:rsidR="00533A71" w:rsidRPr="00396DB1">
        <w:t>ing</w:t>
      </w:r>
      <w:r w:rsidR="007C0C81" w:rsidRPr="00396DB1">
        <w:t xml:space="preserve"> the costs associated with its implementation</w:t>
      </w:r>
      <w:r w:rsidR="00D05D3F" w:rsidRPr="00396DB1">
        <w:t xml:space="preserve">. </w:t>
      </w:r>
    </w:p>
    <w:p w14:paraId="781BCBC9" w14:textId="475597AD" w:rsidR="007C0C81" w:rsidRDefault="00B1097B" w:rsidP="007C0C81">
      <w:r>
        <w:t xml:space="preserve">As outlined above, there is evidence that uplifts to anti-scam activities have resulted in reduced measured scam losses. Although the level of </w:t>
      </w:r>
      <w:r w:rsidR="00DF18CA">
        <w:t xml:space="preserve">further scam losses which could be avoided is uncertain, it is reasonable to assume </w:t>
      </w:r>
      <w:r w:rsidR="006D40EB">
        <w:t xml:space="preserve">that strengthening of scam protections, including coordination across the scam ecosystem, would </w:t>
      </w:r>
      <w:r w:rsidR="002440C9">
        <w:t xml:space="preserve">result in further reductions in scam losses. </w:t>
      </w:r>
      <w:r w:rsidR="004E4750" w:rsidRPr="00396DB1">
        <w:t>Therefore,</w:t>
      </w:r>
      <w:r w:rsidR="003F3BD0" w:rsidRPr="00396DB1">
        <w:t xml:space="preserve"> although quantification of the level of benefit </w:t>
      </w:r>
      <w:r w:rsidR="00C321C3">
        <w:t>i</w:t>
      </w:r>
      <w:r w:rsidR="003F3BD0" w:rsidRPr="00396DB1">
        <w:t>s not possible given the current level of evidence available,</w:t>
      </w:r>
      <w:r w:rsidR="004E4750" w:rsidRPr="00396DB1">
        <w:t xml:space="preserve"> </w:t>
      </w:r>
      <w:r w:rsidR="00332C74" w:rsidRPr="00396DB1">
        <w:t xml:space="preserve">it would be more than </w:t>
      </w:r>
      <w:r w:rsidR="00D834EE" w:rsidRPr="00396DB1">
        <w:t xml:space="preserve">that </w:t>
      </w:r>
      <w:r w:rsidR="00332C74" w:rsidRPr="00396DB1">
        <w:t xml:space="preserve">likely Option 2 </w:t>
      </w:r>
      <w:r w:rsidR="00D834EE" w:rsidRPr="00396DB1">
        <w:t xml:space="preserve">would result in </w:t>
      </w:r>
      <w:r w:rsidR="007C0C81" w:rsidRPr="00396DB1">
        <w:t xml:space="preserve">a net gain for Australian society. </w:t>
      </w:r>
    </w:p>
    <w:p w14:paraId="4F4088F7" w14:textId="0B864C74" w:rsidR="00A461B8" w:rsidRDefault="00303F34" w:rsidP="007C0C81">
      <w:r>
        <w:t>I</w:t>
      </w:r>
      <w:r w:rsidR="00056162">
        <w:t xml:space="preserve">n addition, </w:t>
      </w:r>
      <w:r w:rsidR="00396DB1">
        <w:t xml:space="preserve">Option 2 is </w:t>
      </w:r>
      <w:r w:rsidR="00F52018">
        <w:t xml:space="preserve">highly likely to </w:t>
      </w:r>
      <w:r w:rsidR="000435D7">
        <w:t>reduce exposure to scams</w:t>
      </w:r>
      <w:r w:rsidR="00932ED0">
        <w:t xml:space="preserve">, </w:t>
      </w:r>
      <w:r w:rsidR="000435D7">
        <w:t>improv</w:t>
      </w:r>
      <w:r w:rsidR="00932ED0">
        <w:t>e redress of scam losses and</w:t>
      </w:r>
      <w:r w:rsidR="007C4250">
        <w:t xml:space="preserve"> provide benefits in addition to those directly related to reducing scam losses.</w:t>
      </w:r>
      <w:r w:rsidR="00635E1C">
        <w:t xml:space="preserve"> </w:t>
      </w:r>
      <w:r w:rsidR="00AE154F">
        <w:t>Although t</w:t>
      </w:r>
      <w:r w:rsidR="00D95CA0">
        <w:t xml:space="preserve">hese additional benefits </w:t>
      </w:r>
      <w:r w:rsidR="00AE154F">
        <w:t xml:space="preserve">are also </w:t>
      </w:r>
      <w:r w:rsidR="004E00FC">
        <w:t xml:space="preserve">unquantifiable </w:t>
      </w:r>
      <w:r w:rsidR="00ED3BF0">
        <w:t>for the purposes of this analysis</w:t>
      </w:r>
      <w:r w:rsidR="00E76553">
        <w:t xml:space="preserve">, they </w:t>
      </w:r>
      <w:r w:rsidR="007C2E37">
        <w:t xml:space="preserve">would </w:t>
      </w:r>
      <w:r w:rsidR="00E07530">
        <w:t xml:space="preserve">likely substantially </w:t>
      </w:r>
      <w:r w:rsidR="00AE154F">
        <w:t>increase the level of net benefit</w:t>
      </w:r>
      <w:r w:rsidR="00E07530">
        <w:t xml:space="preserve"> associated with Option 2.</w:t>
      </w:r>
    </w:p>
    <w:p w14:paraId="126FFA08" w14:textId="2064E5AF" w:rsidR="00E35219" w:rsidRDefault="00E35219" w:rsidP="00E55D1B">
      <w:pPr>
        <w:rPr>
          <w:rFonts w:ascii="Calibri" w:hAnsi="Calibri" w:cs="Arial"/>
          <w:b/>
          <w:color w:val="5D779D" w:themeColor="accent3"/>
          <w:kern w:val="32"/>
          <w:sz w:val="44"/>
          <w:szCs w:val="36"/>
        </w:rPr>
      </w:pPr>
      <w:bookmarkStart w:id="60" w:name="_Toc178944142"/>
      <w:bookmarkStart w:id="61" w:name="_Toc178944143"/>
      <w:bookmarkStart w:id="62" w:name="_Toc178944146"/>
      <w:bookmarkEnd w:id="60"/>
      <w:bookmarkEnd w:id="61"/>
      <w:bookmarkEnd w:id="62"/>
      <w:r>
        <w:br w:type="page"/>
      </w:r>
      <w:bookmarkStart w:id="63" w:name="_Toc178944147"/>
      <w:bookmarkEnd w:id="63"/>
    </w:p>
    <w:p w14:paraId="27AD7F4F" w14:textId="17871A01" w:rsidR="00E523D3" w:rsidRDefault="00270617" w:rsidP="008F7728">
      <w:pPr>
        <w:pStyle w:val="Heading1"/>
        <w:numPr>
          <w:ilvl w:val="0"/>
          <w:numId w:val="42"/>
        </w:numPr>
        <w:ind w:hanging="720"/>
      </w:pPr>
      <w:bookmarkStart w:id="64" w:name="_Toc179556406"/>
      <w:r>
        <w:lastRenderedPageBreak/>
        <w:t>Consultation</w:t>
      </w:r>
      <w:bookmarkEnd w:id="64"/>
      <w:r w:rsidR="00E523D3">
        <w:t xml:space="preserve"> </w:t>
      </w:r>
    </w:p>
    <w:p w14:paraId="45F9C0E2" w14:textId="09E2A548" w:rsidR="00E523D3" w:rsidRDefault="00A66CF6" w:rsidP="00E523D3">
      <w:r>
        <w:t>E</w:t>
      </w:r>
      <w:r w:rsidR="00E523D3">
        <w:t xml:space="preserve">xtensive consultation was undertaken to inform the design, objectives and challenges </w:t>
      </w:r>
      <w:r w:rsidR="00CB6686">
        <w:t xml:space="preserve">policy interventions on scams </w:t>
      </w:r>
      <w:r w:rsidR="00E523D3">
        <w:t xml:space="preserve">may encounter, as well as </w:t>
      </w:r>
      <w:r w:rsidR="00A0230A">
        <w:t xml:space="preserve">to </w:t>
      </w:r>
      <w:r w:rsidR="00E523D3">
        <w:t>gauge industry and civil society’s attitudes toward the proposed option</w:t>
      </w:r>
      <w:r w:rsidR="00F56A74">
        <w:t>s</w:t>
      </w:r>
      <w:r w:rsidR="00E523D3">
        <w:t xml:space="preserve">. </w:t>
      </w:r>
    </w:p>
    <w:p w14:paraId="65AC1529" w14:textId="33757443" w:rsidR="002F0D5E" w:rsidRDefault="00D34A48" w:rsidP="002F0D5E">
      <w:pPr>
        <w:pStyle w:val="Heading3"/>
      </w:pPr>
      <w:bookmarkStart w:id="65" w:name="_Toc179556407"/>
      <w:r>
        <w:t xml:space="preserve">5.1 </w:t>
      </w:r>
      <w:r w:rsidR="00633C2A">
        <w:t>Initial</w:t>
      </w:r>
      <w:r w:rsidR="002F0D5E">
        <w:t xml:space="preserve"> public consultation</w:t>
      </w:r>
      <w:bookmarkEnd w:id="65"/>
      <w:r w:rsidR="002F0D5E">
        <w:t xml:space="preserve"> </w:t>
      </w:r>
    </w:p>
    <w:p w14:paraId="15B4B4B7" w14:textId="21E8E40D" w:rsidR="002F0D5E" w:rsidRDefault="002F0D5E" w:rsidP="002F0D5E">
      <w:r>
        <w:t xml:space="preserve">Treasury and </w:t>
      </w:r>
      <w:r w:rsidR="00705E61">
        <w:t xml:space="preserve">DITRDCA </w:t>
      </w:r>
      <w:r>
        <w:t>consulted on a comprehensive scams framework from 30 November 2023 to 29 January 2024.</w:t>
      </w:r>
      <w:r w:rsidR="00705E61" w:rsidRPr="4ED998E6">
        <w:rPr>
          <w:rStyle w:val="FootnoteReference"/>
          <w:vertAlign w:val="superscript"/>
        </w:rPr>
        <w:footnoteReference w:id="67"/>
      </w:r>
      <w:r>
        <w:t xml:space="preserve"> Consultation involved seeking feedback on a paper that outlined a </w:t>
      </w:r>
      <w:r w:rsidR="00BC5C01">
        <w:t xml:space="preserve">Scams Code Framework </w:t>
      </w:r>
      <w:r>
        <w:t>with proposed principles, features and sector-specific obligations for banks, telecommunication providers and digital platforms to adhere to in an effort to combat scams. To compl</w:t>
      </w:r>
      <w:r w:rsidR="00C85812">
        <w:t>e</w:t>
      </w:r>
      <w:r>
        <w:t xml:space="preserve">ment the consultation paper, a survey was released to seek feedback from members of the public on their personal experience with scams, as an alternative to providing a written submission. </w:t>
      </w:r>
    </w:p>
    <w:p w14:paraId="00419ADE" w14:textId="49E05530" w:rsidR="002D4DBD" w:rsidRDefault="002F0D5E" w:rsidP="002F0D5E">
      <w:r>
        <w:t xml:space="preserve">As part of consultation, roundtables and bilateral meetings were held with key stakeholders. This included digital platforms, telecommunications, consumer and banking roundtables; and a regulator workshop with </w:t>
      </w:r>
      <w:r w:rsidR="002F660C">
        <w:t>the</w:t>
      </w:r>
      <w:r>
        <w:t xml:space="preserve"> ASIC, the ACCC and the ACMA. </w:t>
      </w:r>
    </w:p>
    <w:p w14:paraId="50859CC2" w14:textId="770A6445" w:rsidR="002F0D5E" w:rsidRDefault="00C14E2C" w:rsidP="002F0D5E">
      <w:r>
        <w:t xml:space="preserve">There were </w:t>
      </w:r>
      <w:r w:rsidR="002F0D5E">
        <w:t xml:space="preserve">67 written submissions received </w:t>
      </w:r>
      <w:r w:rsidR="006D0F6F">
        <w:t>(</w:t>
      </w:r>
      <w:r w:rsidR="002F0D5E">
        <w:t>including 13 confidential submissions</w:t>
      </w:r>
      <w:r w:rsidR="006D0F6F">
        <w:t>)</w:t>
      </w:r>
      <w:r w:rsidR="002F0D5E">
        <w:t xml:space="preserve"> from banks and financial services, digital platforms, telecommunication providers, consumer and other advocacy organisations, external dispute resolution bodies and regulators. Non-confidential submissions </w:t>
      </w:r>
      <w:r w:rsidR="00402A7A">
        <w:t>are</w:t>
      </w:r>
      <w:r w:rsidR="002F0D5E">
        <w:t xml:space="preserve"> published on Treasury’s website. </w:t>
      </w:r>
      <w:r w:rsidR="00BD432D">
        <w:t xml:space="preserve">The public survey received </w:t>
      </w:r>
      <w:r w:rsidR="002F0D5E">
        <w:t xml:space="preserve">203 responses. </w:t>
      </w:r>
    </w:p>
    <w:p w14:paraId="2A1B60F2" w14:textId="64B5AC77" w:rsidR="00230485" w:rsidRPr="00400186" w:rsidDel="00440419" w:rsidRDefault="00EA71F0" w:rsidP="00230485">
      <w:r>
        <w:t>In response to consultation, businesses did not provide estimates of the quantum for anticipated costs to meet the standard of the proposed policy.</w:t>
      </w:r>
      <w:r w:rsidR="00230485" w:rsidDel="00EA71F0">
        <w:t xml:space="preserve"> </w:t>
      </w:r>
      <w:r w:rsidR="00230485">
        <w:t>Reasons for this include a reluctance to provide estimates or commit funding without greater detail on expectations from Government and guidance from regulators.</w:t>
      </w:r>
    </w:p>
    <w:p w14:paraId="77A06CB8" w14:textId="75A1AF8C" w:rsidR="002F0D5E" w:rsidRDefault="002F0D5E" w:rsidP="00BE17D1">
      <w:pPr>
        <w:pStyle w:val="Heading4"/>
      </w:pPr>
      <w:r>
        <w:t xml:space="preserve">Key themes and </w:t>
      </w:r>
      <w:r w:rsidR="009D74B7">
        <w:t xml:space="preserve">findings </w:t>
      </w:r>
    </w:p>
    <w:p w14:paraId="2519F88E" w14:textId="778B1D66" w:rsidR="00B078A9" w:rsidRDefault="002F0D5E" w:rsidP="00BE17D1">
      <w:pPr>
        <w:pStyle w:val="Heading7"/>
      </w:pPr>
      <w:r>
        <w:t>Consultation paper</w:t>
      </w:r>
    </w:p>
    <w:p w14:paraId="49E51EB7" w14:textId="5AA80CB7" w:rsidR="002F0D5E" w:rsidRDefault="002F0D5E" w:rsidP="00BE17D1">
      <w:r>
        <w:t xml:space="preserve">Stakeholders </w:t>
      </w:r>
      <w:r w:rsidR="00791ED9">
        <w:t xml:space="preserve">generally supported </w:t>
      </w:r>
      <w:r>
        <w:t>the</w:t>
      </w:r>
      <w:r w:rsidR="00666629">
        <w:t xml:space="preserve"> policy intent and design of the Framework. This included general support for a </w:t>
      </w:r>
      <w:r>
        <w:t xml:space="preserve">two-tiered model characterised by an overarching </w:t>
      </w:r>
      <w:r w:rsidR="00BC5C01">
        <w:t xml:space="preserve">framework </w:t>
      </w:r>
      <w:r>
        <w:t>with principles-based obligations and mandatory sector-specific codes.</w:t>
      </w:r>
      <w:r w:rsidR="00A572ED">
        <w:t xml:space="preserve"> </w:t>
      </w:r>
      <w:r>
        <w:t xml:space="preserve">Stakeholders generally agreed the definition of a ‘scam’ and ‘consumer’ should be legislated, with suggestions for refinement in order to capture the appropriate consumer and scam activity. </w:t>
      </w:r>
    </w:p>
    <w:p w14:paraId="709F10B1" w14:textId="6AC0AAA4" w:rsidR="005B27EE" w:rsidRDefault="00D81FC8" w:rsidP="005B27EE">
      <w:r>
        <w:t>Stakeholders agreed that banks, telecommunication providers and digital communication platforms be captured in the initial scope, noting it will be expanded to other sectors later</w:t>
      </w:r>
      <w:r w:rsidR="756DFC54">
        <w:t xml:space="preserve"> and suggesting rapid integration of</w:t>
      </w:r>
      <w:r w:rsidR="00DA2253">
        <w:t xml:space="preserve"> </w:t>
      </w:r>
      <w:r w:rsidR="21ECEFBA">
        <w:t xml:space="preserve">several </w:t>
      </w:r>
      <w:r w:rsidR="00DA2253">
        <w:t xml:space="preserve">further </w:t>
      </w:r>
      <w:r w:rsidR="756DFC54">
        <w:t>sectors</w:t>
      </w:r>
      <w:r>
        <w:t xml:space="preserve">. </w:t>
      </w:r>
      <w:r w:rsidR="002F0D5E">
        <w:t>Given the complexity of multiple regulators enforcing different sector-specific codes, stakeholders noted how regulation and enforcement across the ecosystem may differ. Banks and telecommunication providers supported an anti-scam strategy requirement and other stakeholders recommended making certain changes to the obligations, to reduce the reporting burden on businesses.</w:t>
      </w:r>
      <w:r w:rsidR="005B27EE" w:rsidRPr="005B27EE">
        <w:t xml:space="preserve"> </w:t>
      </w:r>
      <w:r w:rsidR="005B27EE">
        <w:t xml:space="preserve">Digital platforms expressed a desire for the creation of industry-developed codes and suggested voluntary approaches. Through DIGI, entities expressed encouragement for further engagement to clarify the scope of services relevant to the framework and associated definitions. </w:t>
      </w:r>
    </w:p>
    <w:p w14:paraId="06974B3C" w14:textId="33AE15CC" w:rsidR="002F0D5E" w:rsidRPr="00873908" w:rsidRDefault="001A1615" w:rsidP="00BE17D1">
      <w:r>
        <w:t>Industry s</w:t>
      </w:r>
      <w:r w:rsidR="002F0D5E">
        <w:t xml:space="preserve">takeholders welcomed dispute resolution processes, </w:t>
      </w:r>
      <w:r>
        <w:t>particularly banks and telecommunication providers with existing EDR regimes</w:t>
      </w:r>
      <w:r w:rsidR="00DC7B02">
        <w:t>.</w:t>
      </w:r>
      <w:r>
        <w:t xml:space="preserve"> </w:t>
      </w:r>
      <w:r w:rsidR="00DC7B02">
        <w:t>S</w:t>
      </w:r>
      <w:r>
        <w:t>ome</w:t>
      </w:r>
      <w:r w:rsidR="00DC7B02">
        <w:t xml:space="preserve"> stakeholders</w:t>
      </w:r>
      <w:r>
        <w:t xml:space="preserve"> including digital platforms </w:t>
      </w:r>
      <w:r w:rsidR="002F0D5E">
        <w:lastRenderedPageBreak/>
        <w:t>not</w:t>
      </w:r>
      <w:r w:rsidR="00DC7B02">
        <w:t>ed</w:t>
      </w:r>
      <w:r w:rsidR="002F0D5E">
        <w:t xml:space="preserve"> further work </w:t>
      </w:r>
      <w:r w:rsidR="00A16C58">
        <w:t xml:space="preserve">would be </w:t>
      </w:r>
      <w:r w:rsidR="002F0D5E">
        <w:t>required on determining the requirements on businesses and scope for stakeholders</w:t>
      </w:r>
      <w:r w:rsidR="212C9008">
        <w:t xml:space="preserve"> </w:t>
      </w:r>
      <w:r w:rsidR="002F0D5E">
        <w:t xml:space="preserve">to seek redress, as well as determining an appropriate external dispute resolution body. </w:t>
      </w:r>
      <w:r w:rsidR="00683ED3" w:rsidRPr="00683ED3">
        <w:t xml:space="preserve">Consumer advocates generally supported the intent of dispute resolution processes, although expressed a desire to streamline the consumer journey through dispute resolution and avoid complexity or delay with disputes. </w:t>
      </w:r>
      <w:r w:rsidR="002F0D5E">
        <w:t xml:space="preserve">In terms of penalties and enforcement, stakeholders largely supported a consistent approach to enabling regulators with appropriate tools and penalties for non-compliance. </w:t>
      </w:r>
    </w:p>
    <w:p w14:paraId="4EDBF362" w14:textId="7931AED6" w:rsidR="00864783" w:rsidRPr="00873908" w:rsidRDefault="00671B22" w:rsidP="00BE17D1">
      <w:r>
        <w:t>C</w:t>
      </w:r>
      <w:r w:rsidR="00864783" w:rsidRPr="00864783">
        <w:t>onsumers and consumer advocates</w:t>
      </w:r>
      <w:r w:rsidR="00965DFD" w:rsidRPr="00965DFD">
        <w:t xml:space="preserve"> </w:t>
      </w:r>
      <w:r w:rsidR="00965DFD">
        <w:t xml:space="preserve">recommended </w:t>
      </w:r>
      <w:r w:rsidR="00136640">
        <w:t xml:space="preserve">obligations </w:t>
      </w:r>
      <w:r w:rsidR="00223AEB">
        <w:t xml:space="preserve">on banks </w:t>
      </w:r>
      <w:r w:rsidR="00E70D8C">
        <w:t xml:space="preserve">be introduced </w:t>
      </w:r>
      <w:r w:rsidR="00136640">
        <w:t xml:space="preserve">for mandatory reimbursement of consumer losses </w:t>
      </w:r>
      <w:r w:rsidR="00F71202">
        <w:t xml:space="preserve">in </w:t>
      </w:r>
      <w:r>
        <w:t>addition to the proposed framework of mandatory and enforceable industry codes</w:t>
      </w:r>
      <w:r w:rsidR="00DF0D35">
        <w:t>.</w:t>
      </w:r>
      <w:r w:rsidR="00864783" w:rsidRPr="00864783">
        <w:t xml:space="preserve"> </w:t>
      </w:r>
      <w:r w:rsidR="003B0AC1">
        <w:t>The recommendation was proposed</w:t>
      </w:r>
      <w:r w:rsidR="65231DA7">
        <w:t xml:space="preserve"> </w:t>
      </w:r>
      <w:r w:rsidR="00F10F10">
        <w:t xml:space="preserve">as a way </w:t>
      </w:r>
      <w:r w:rsidR="65231DA7">
        <w:t>to</w:t>
      </w:r>
      <w:r w:rsidR="00864783" w:rsidRPr="00864783" w:rsidDel="003D5F2B">
        <w:t xml:space="preserve"> </w:t>
      </w:r>
      <w:r w:rsidR="00A7241A" w:rsidRPr="00864783" w:rsidDel="003D5F2B">
        <w:t xml:space="preserve">incentivise </w:t>
      </w:r>
      <w:r w:rsidR="00F77845">
        <w:t xml:space="preserve">primarily </w:t>
      </w:r>
      <w:r w:rsidR="000E19D6">
        <w:t xml:space="preserve">the banking </w:t>
      </w:r>
      <w:r w:rsidR="00A7241A" w:rsidRPr="00864783" w:rsidDel="003D5F2B">
        <w:t xml:space="preserve">industry to take greater steps to reduce scam-related risks in the banking and payments system </w:t>
      </w:r>
      <w:r w:rsidR="65231DA7">
        <w:t>to</w:t>
      </w:r>
      <w:r w:rsidR="00864783" w:rsidRPr="00864783" w:rsidDel="003D5F2B">
        <w:t xml:space="preserve"> mitigate the impacts of losses stolen from Australians by scammers.</w:t>
      </w:r>
      <w:r w:rsidR="00981949" w:rsidDel="003D5F2B">
        <w:t xml:space="preserve"> </w:t>
      </w:r>
      <w:r w:rsidR="00C7592B">
        <w:t xml:space="preserve">For instance, </w:t>
      </w:r>
      <w:r w:rsidR="00FF79B2">
        <w:t xml:space="preserve">a joint submission by the Consumer Action Law Centre, CHOICE and The Australian Communications Consumer Action Network recommended </w:t>
      </w:r>
      <w:r w:rsidR="000F5BBB">
        <w:t xml:space="preserve">a strong presumption of reimbursement for consumer losses by the bank apply, with a corresponding </w:t>
      </w:r>
      <w:r w:rsidR="0042192C" w:rsidRPr="0042192C">
        <w:t xml:space="preserve">mechanism for banks to </w:t>
      </w:r>
      <w:r w:rsidR="00C34870">
        <w:t xml:space="preserve">seek </w:t>
      </w:r>
      <w:r w:rsidR="00BA6F90">
        <w:t xml:space="preserve">to </w:t>
      </w:r>
      <w:r w:rsidR="0042192C" w:rsidRPr="0042192C">
        <w:t xml:space="preserve">recover </w:t>
      </w:r>
      <w:r w:rsidR="00C34870">
        <w:t>a portion of</w:t>
      </w:r>
      <w:r w:rsidR="0042192C" w:rsidRPr="0042192C">
        <w:t xml:space="preserve"> the</w:t>
      </w:r>
      <w:r w:rsidR="0085419C">
        <w:t>se</w:t>
      </w:r>
      <w:r w:rsidR="0042192C" w:rsidRPr="0042192C">
        <w:t xml:space="preserve"> cost</w:t>
      </w:r>
      <w:r w:rsidR="0085419C">
        <w:t>s</w:t>
      </w:r>
      <w:r w:rsidR="0042192C" w:rsidRPr="0042192C">
        <w:t xml:space="preserve"> from other regulated </w:t>
      </w:r>
      <w:r w:rsidR="0042192C">
        <w:t xml:space="preserve">entities </w:t>
      </w:r>
      <w:r w:rsidR="006F3C6E">
        <w:t xml:space="preserve">where </w:t>
      </w:r>
      <w:r w:rsidR="00CA7983">
        <w:t>those entit</w:t>
      </w:r>
      <w:r w:rsidR="00052A7A">
        <w:t>ies’ actions have contributed to the scam occu</w:t>
      </w:r>
      <w:r w:rsidR="00BD7C86">
        <w:t>r</w:t>
      </w:r>
      <w:r w:rsidR="00052A7A">
        <w:t>ring</w:t>
      </w:r>
      <w:r w:rsidR="0042192C">
        <w:t>.</w:t>
      </w:r>
      <w:r w:rsidR="0042192C" w:rsidRPr="0042192C">
        <w:t xml:space="preserve"> </w:t>
      </w:r>
      <w:r w:rsidR="00981949">
        <w:t xml:space="preserve">This </w:t>
      </w:r>
      <w:r w:rsidR="00401BFE">
        <w:t xml:space="preserve">recommendation </w:t>
      </w:r>
      <w:r w:rsidR="00981949">
        <w:t xml:space="preserve">was considered </w:t>
      </w:r>
      <w:r w:rsidR="00AC75E7">
        <w:t xml:space="preserve">in the policy development process, particularly as </w:t>
      </w:r>
      <w:r w:rsidR="00277669">
        <w:t xml:space="preserve">a </w:t>
      </w:r>
      <w:r w:rsidR="3F3541B3">
        <w:t xml:space="preserve">partially </w:t>
      </w:r>
      <w:r w:rsidR="33C308A0">
        <w:t>related</w:t>
      </w:r>
      <w:r w:rsidR="00277669">
        <w:t xml:space="preserve"> model</w:t>
      </w:r>
      <w:r w:rsidR="00AC75E7">
        <w:t xml:space="preserve"> </w:t>
      </w:r>
      <w:r w:rsidR="7250F46E">
        <w:t xml:space="preserve">has been </w:t>
      </w:r>
      <w:r w:rsidR="75361ED1">
        <w:t xml:space="preserve">adopted </w:t>
      </w:r>
      <w:r w:rsidR="0076223B">
        <w:t>in the United Kingdom.</w:t>
      </w:r>
      <w:r w:rsidR="0076223B" w:rsidDel="00C66377">
        <w:t xml:space="preserve"> </w:t>
      </w:r>
      <w:r w:rsidR="00C66377">
        <w:t>T</w:t>
      </w:r>
      <w:r w:rsidR="0076223B">
        <w:t xml:space="preserve">he </w:t>
      </w:r>
      <w:r w:rsidR="00401BFE">
        <w:t xml:space="preserve">recommendation to </w:t>
      </w:r>
      <w:r w:rsidR="004B535A">
        <w:t>introduce</w:t>
      </w:r>
      <w:r w:rsidR="00143896">
        <w:t xml:space="preserve"> mandatory reimbursement by banks as an additional component to the </w:t>
      </w:r>
      <w:r w:rsidR="00822070">
        <w:t>framework of mandatory industry codes</w:t>
      </w:r>
      <w:r w:rsidR="00143896">
        <w:t xml:space="preserve"> </w:t>
      </w:r>
      <w:r w:rsidR="00981949" w:rsidRPr="00981949">
        <w:t xml:space="preserve">is not appropriate to be assessed as an </w:t>
      </w:r>
      <w:r w:rsidR="009C361B">
        <w:t xml:space="preserve">additional component to </w:t>
      </w:r>
      <w:r w:rsidR="00981949" w:rsidRPr="00981949">
        <w:t>option</w:t>
      </w:r>
      <w:r w:rsidR="009C361B">
        <w:t xml:space="preserve"> 2</w:t>
      </w:r>
      <w:r w:rsidR="00981949" w:rsidRPr="00981949">
        <w:t xml:space="preserve"> </w:t>
      </w:r>
      <w:r w:rsidR="0076223B">
        <w:t xml:space="preserve">in this IA </w:t>
      </w:r>
      <w:r w:rsidR="00981949" w:rsidRPr="00981949">
        <w:t>as it would</w:t>
      </w:r>
      <w:r w:rsidR="007D5C5D">
        <w:t xml:space="preserve"> </w:t>
      </w:r>
      <w:r w:rsidR="00CD27D6">
        <w:t xml:space="preserve">predominantly </w:t>
      </w:r>
      <w:r w:rsidR="006020B2">
        <w:t xml:space="preserve">place </w:t>
      </w:r>
      <w:r w:rsidR="00667E83">
        <w:t xml:space="preserve">an additional presumption of </w:t>
      </w:r>
      <w:r w:rsidR="006020B2">
        <w:t>liability</w:t>
      </w:r>
      <w:r w:rsidR="00551C9F">
        <w:t xml:space="preserve"> of scam losses</w:t>
      </w:r>
      <w:r w:rsidR="00ED2A62">
        <w:t xml:space="preserve"> </w:t>
      </w:r>
      <w:r w:rsidR="004B535A">
        <w:t xml:space="preserve">and costs for </w:t>
      </w:r>
      <w:r w:rsidR="00055C58">
        <w:t>resolution of redress apportionment</w:t>
      </w:r>
      <w:r w:rsidR="00ED2A62">
        <w:t xml:space="preserve"> on</w:t>
      </w:r>
      <w:r w:rsidR="00551C9F">
        <w:t>to</w:t>
      </w:r>
      <w:r w:rsidR="00CB6D42">
        <w:t xml:space="preserve"> one </w:t>
      </w:r>
      <w:r w:rsidR="00ED2A62">
        <w:t>sector</w:t>
      </w:r>
      <w:r w:rsidR="001B6184">
        <w:t xml:space="preserve">, with </w:t>
      </w:r>
      <w:r w:rsidR="00902578">
        <w:t xml:space="preserve">minimal corresponding </w:t>
      </w:r>
      <w:r w:rsidR="00A71B80">
        <w:t xml:space="preserve">additional </w:t>
      </w:r>
      <w:r w:rsidR="00902578">
        <w:t>incentives for other sectors</w:t>
      </w:r>
      <w:r w:rsidR="00055C58">
        <w:t xml:space="preserve"> to </w:t>
      </w:r>
      <w:r w:rsidR="000747B1">
        <w:t>recognise liability for not meeting their obligations</w:t>
      </w:r>
      <w:r w:rsidR="00902578">
        <w:t>. This approach would not</w:t>
      </w:r>
      <w:r w:rsidR="00981949" w:rsidRPr="00981949">
        <w:t xml:space="preserve"> </w:t>
      </w:r>
      <w:r w:rsidR="0067026F">
        <w:t xml:space="preserve">effectively </w:t>
      </w:r>
      <w:r w:rsidR="00807FA3">
        <w:t xml:space="preserve">address </w:t>
      </w:r>
      <w:r w:rsidR="00981949" w:rsidRPr="00981949">
        <w:t xml:space="preserve">the key policy objectives to </w:t>
      </w:r>
      <w:r w:rsidR="00675970">
        <w:t>align</w:t>
      </w:r>
      <w:r w:rsidR="00675970" w:rsidRPr="00981949">
        <w:t xml:space="preserve"> </w:t>
      </w:r>
      <w:r w:rsidR="00981949" w:rsidRPr="00981949">
        <w:t>industry responsibilities</w:t>
      </w:r>
      <w:r w:rsidR="00F3682D" w:rsidRPr="00F3682D">
        <w:t xml:space="preserve"> </w:t>
      </w:r>
      <w:r w:rsidR="00F3682D">
        <w:t xml:space="preserve">for scam prevention </w:t>
      </w:r>
      <w:r w:rsidR="00AD31C4">
        <w:t>with the</w:t>
      </w:r>
      <w:r w:rsidR="00116087">
        <w:t xml:space="preserve"> presence of scam activity on platforms and services </w:t>
      </w:r>
      <w:r w:rsidR="00981949" w:rsidRPr="00981949">
        <w:t>across the economy</w:t>
      </w:r>
      <w:r w:rsidR="00185929">
        <w:t xml:space="preserve"> </w:t>
      </w:r>
      <w:r w:rsidR="00116087">
        <w:t xml:space="preserve">and would not </w:t>
      </w:r>
      <w:r w:rsidR="00F50141">
        <w:t xml:space="preserve">further </w:t>
      </w:r>
      <w:r w:rsidR="00EE0B6C">
        <w:t xml:space="preserve">incentivise </w:t>
      </w:r>
      <w:r w:rsidR="00116087">
        <w:t xml:space="preserve">co-ordination of anti-scam responses </w:t>
      </w:r>
      <w:r w:rsidR="00185929">
        <w:t>(see section 2.2.2)</w:t>
      </w:r>
      <w:r w:rsidR="0076223B">
        <w:t>.</w:t>
      </w:r>
      <w:r w:rsidR="005206FF">
        <w:t xml:space="preserve"> </w:t>
      </w:r>
      <w:r w:rsidR="00D504D5">
        <w:t>T</w:t>
      </w:r>
      <w:r w:rsidR="005206FF">
        <w:t xml:space="preserve">he design of the </w:t>
      </w:r>
      <w:r w:rsidR="00FE75CF">
        <w:t>redress arrangements in</w:t>
      </w:r>
      <w:r w:rsidR="007851B7">
        <w:t xml:space="preserve"> government’s </w:t>
      </w:r>
      <w:r w:rsidR="005206FF">
        <w:t xml:space="preserve">framework will </w:t>
      </w:r>
      <w:r w:rsidR="00FE75CF">
        <w:t xml:space="preserve">consider consumer advocates </w:t>
      </w:r>
      <w:r w:rsidR="005206FF">
        <w:t>feedback</w:t>
      </w:r>
      <w:r w:rsidR="00DF2041">
        <w:t xml:space="preserve"> </w:t>
      </w:r>
      <w:r w:rsidR="00FE75CF">
        <w:t xml:space="preserve">to look to make </w:t>
      </w:r>
      <w:r w:rsidR="00D84553">
        <w:t xml:space="preserve">the </w:t>
      </w:r>
      <w:r w:rsidR="00DF2041">
        <w:t>dispute resolution and redress process as consumer focused as possible, whi</w:t>
      </w:r>
      <w:r w:rsidR="006F4A96">
        <w:t>le</w:t>
      </w:r>
      <w:r w:rsidR="00DF2041">
        <w:t xml:space="preserve"> maintaining the objective of </w:t>
      </w:r>
      <w:r w:rsidR="00FE75CF">
        <w:t xml:space="preserve">aligning </w:t>
      </w:r>
      <w:r w:rsidR="00DF2041">
        <w:t xml:space="preserve">responsibility </w:t>
      </w:r>
      <w:r w:rsidR="00363B88">
        <w:t xml:space="preserve">for </w:t>
      </w:r>
      <w:r w:rsidR="00FE75CF">
        <w:t xml:space="preserve">liability and </w:t>
      </w:r>
      <w:r w:rsidR="006B2A87">
        <w:t xml:space="preserve">obligations </w:t>
      </w:r>
      <w:r w:rsidR="00363B88">
        <w:t xml:space="preserve">for scam prevention </w:t>
      </w:r>
      <w:r w:rsidR="00DF2041">
        <w:t>across the economy.</w:t>
      </w:r>
    </w:p>
    <w:p w14:paraId="752DF0DE" w14:textId="77777777" w:rsidR="002F0D5E" w:rsidRDefault="002F0D5E" w:rsidP="00874346">
      <w:pPr>
        <w:pStyle w:val="Heading7"/>
      </w:pPr>
      <w:r>
        <w:t xml:space="preserve">Consumer survey </w:t>
      </w:r>
    </w:p>
    <w:p w14:paraId="55B7311C" w14:textId="683F612A" w:rsidR="002F0D5E" w:rsidRDefault="002F0D5E" w:rsidP="00BE17D1">
      <w:r>
        <w:t xml:space="preserve">Respondents broadly expressed their challenges with reporting and managing scam complaints to businesses, such as delays in responses and poor visibility of actions taken by the businesses. Respondents were most exposed to and were victimised by phishing, false billing and online shopping scams. Phone calls and text messages were the most common medium for scams. </w:t>
      </w:r>
    </w:p>
    <w:p w14:paraId="62FBEF81" w14:textId="0190E178" w:rsidR="002F0D5E" w:rsidRDefault="002F0D5E" w:rsidP="00BE17D1">
      <w:r>
        <w:t xml:space="preserve">Respondents supported the need for greater industry accountability and suggested improvements in access to reporting, account authentication and verification and information sharing. Respondents support the current regulatory action, including the centralised approach to data reporting, compliance activities and co-ordination via the NASC. To supplement existing action, respondents recommended measures to improve consumer education and digital literacy and greater law enforcement. </w:t>
      </w:r>
    </w:p>
    <w:p w14:paraId="76201EFF" w14:textId="14F28A5C" w:rsidR="002F0D5E" w:rsidRDefault="002F0D5E" w:rsidP="00BE17D1">
      <w:r>
        <w:t>In terms of sector-specific obligations, respondents call</w:t>
      </w:r>
      <w:r w:rsidR="00621004">
        <w:t>ed</w:t>
      </w:r>
      <w:r>
        <w:t xml:space="preserve"> for banks to improve methods to create and verify new accounts and improve processes to recall user funds; for telecommunication providers to address scam texts and calls and prevent the registration of scam numbers; and for digital platforms to restrict reported accounts, such as accounts with </w:t>
      </w:r>
      <w:r w:rsidR="00190566">
        <w:t>false</w:t>
      </w:r>
      <w:r>
        <w:t xml:space="preserve"> and misleading advertisements, and improve customer service responses. </w:t>
      </w:r>
    </w:p>
    <w:p w14:paraId="1999E1A9" w14:textId="605683EA" w:rsidR="00F005B2" w:rsidRPr="00F005B2" w:rsidRDefault="00D34A48" w:rsidP="00CD4969">
      <w:pPr>
        <w:pStyle w:val="Heading3"/>
      </w:pPr>
      <w:bookmarkStart w:id="66" w:name="_Toc179556408"/>
      <w:r>
        <w:lastRenderedPageBreak/>
        <w:t xml:space="preserve">5.2 </w:t>
      </w:r>
      <w:r w:rsidR="002F0D5E">
        <w:t>Targeted consultation</w:t>
      </w:r>
      <w:bookmarkEnd w:id="66"/>
      <w:r w:rsidR="002F0D5E">
        <w:t xml:space="preserve"> </w:t>
      </w:r>
    </w:p>
    <w:p w14:paraId="070F4346" w14:textId="1B58FB6F" w:rsidR="002F0D5E" w:rsidRDefault="00B43846" w:rsidP="00AF7D81">
      <w:r>
        <w:t>Post-consultation</w:t>
      </w:r>
      <w:r w:rsidR="007F2C59">
        <w:t xml:space="preserve"> </w:t>
      </w:r>
      <w:r w:rsidR="009C67BB">
        <w:t>in January</w:t>
      </w:r>
      <w:r w:rsidR="00DF3AB9">
        <w:t>,</w:t>
      </w:r>
      <w:r w:rsidR="009C67BB">
        <w:t xml:space="preserve"> </w:t>
      </w:r>
      <w:r w:rsidR="002F0D5E" w:rsidRPr="00047F74">
        <w:t>Treasury and the DITRDCA</w:t>
      </w:r>
      <w:r w:rsidR="007F2C59">
        <w:t xml:space="preserve"> contin</w:t>
      </w:r>
      <w:r w:rsidR="009C67BB">
        <w:t>ued to</w:t>
      </w:r>
      <w:r w:rsidR="002F0D5E" w:rsidRPr="00047F74">
        <w:t> </w:t>
      </w:r>
      <w:r w:rsidR="002F0D5E">
        <w:t xml:space="preserve">lead the policy development process and sought feedback on the proposed features of the </w:t>
      </w:r>
      <w:r w:rsidR="00427854">
        <w:t xml:space="preserve">policy </w:t>
      </w:r>
      <w:r w:rsidR="002F0D5E">
        <w:t>for the public consultation.</w:t>
      </w:r>
      <w:r w:rsidR="00427854">
        <w:t xml:space="preserve"> </w:t>
      </w:r>
      <w:r w:rsidR="00B20AB8">
        <w:t xml:space="preserve">The </w:t>
      </w:r>
      <w:r w:rsidR="002F0D5E">
        <w:t xml:space="preserve">ACCC, ASIC and ACMA </w:t>
      </w:r>
      <w:r w:rsidR="00F77CB1">
        <w:t>were</w:t>
      </w:r>
      <w:r w:rsidR="00A0492D">
        <w:t xml:space="preserve"> also</w:t>
      </w:r>
      <w:r w:rsidR="002F0D5E">
        <w:t xml:space="preserve"> regularly engaged with Treasury in developing the regulatory and administrative aspects of the proposed </w:t>
      </w:r>
      <w:r w:rsidR="00F77CB1">
        <w:t>SPF under option 2</w:t>
      </w:r>
      <w:r w:rsidR="002F0D5E">
        <w:t xml:space="preserve">. </w:t>
      </w:r>
    </w:p>
    <w:p w14:paraId="3AE2EC4E" w14:textId="4BE803EA" w:rsidR="00A0492D" w:rsidRDefault="00A0492D" w:rsidP="00AF7D81">
      <w:r>
        <w:t xml:space="preserve">Treasury also engaged with key </w:t>
      </w:r>
      <w:r w:rsidR="00287F98">
        <w:t xml:space="preserve">private sector </w:t>
      </w:r>
      <w:r w:rsidR="00A00E26">
        <w:t xml:space="preserve">stakeholder groups including </w:t>
      </w:r>
      <w:r w:rsidR="00A80C4C">
        <w:t>the Communications Alliance, AFCX, ABA, COBA</w:t>
      </w:r>
      <w:r w:rsidR="004D0EC6">
        <w:t xml:space="preserve"> and </w:t>
      </w:r>
      <w:r w:rsidR="0061407E">
        <w:t>DIGI</w:t>
      </w:r>
      <w:r w:rsidR="00832D5F">
        <w:t xml:space="preserve"> on key aspects of the policy development</w:t>
      </w:r>
      <w:r w:rsidR="003C7359">
        <w:t xml:space="preserve"> throughout 2024</w:t>
      </w:r>
      <w:r w:rsidR="00287F98">
        <w:t>.</w:t>
      </w:r>
      <w:r w:rsidR="001130B6">
        <w:t xml:space="preserve"> </w:t>
      </w:r>
    </w:p>
    <w:p w14:paraId="0C2BC6BD" w14:textId="77777777" w:rsidR="002F0D5E" w:rsidRDefault="002F0D5E" w:rsidP="00DA1E3F">
      <w:pPr>
        <w:pStyle w:val="Heading4"/>
      </w:pPr>
      <w:r>
        <w:t xml:space="preserve">Key themes and findings </w:t>
      </w:r>
    </w:p>
    <w:p w14:paraId="2AB44584" w14:textId="56FA7E2D" w:rsidR="002F0D5E" w:rsidRDefault="00D27A50" w:rsidP="00F21D15">
      <w:r>
        <w:t>Targeted</w:t>
      </w:r>
      <w:r w:rsidR="002F0D5E">
        <w:t xml:space="preserve"> discussions informed the policy development process.</w:t>
      </w:r>
      <w:r>
        <w:t xml:space="preserve"> </w:t>
      </w:r>
      <w:r w:rsidR="002F0D5E">
        <w:t xml:space="preserve">They represented opportunities for entities and representative bodies to explore initiatives in relation to the development of standards to prevent, detect, disrupt and respond to scams.  </w:t>
      </w:r>
    </w:p>
    <w:p w14:paraId="0178BBFE" w14:textId="54A6DE7B" w:rsidR="00103C1F" w:rsidRDefault="00B678B2" w:rsidP="00BE17D1">
      <w:r>
        <w:t>Input was specifically sought on the regulatory costs</w:t>
      </w:r>
      <w:r w:rsidR="00D41AC1" w:rsidDel="00B678B2">
        <w:t xml:space="preserve"> </w:t>
      </w:r>
      <w:r w:rsidR="00D41AC1">
        <w:t>which were likely to be incurred by regulated entities in complying with new obligations under the SPF. Responses were received with reference to investments previously undertaken to initiate anti-scam procedures and information sharing systems</w:t>
      </w:r>
      <w:r w:rsidR="00DC7A80">
        <w:t>, as follows:</w:t>
      </w:r>
      <w:r w:rsidR="00D41AC1">
        <w:t xml:space="preserve"> </w:t>
      </w:r>
    </w:p>
    <w:p w14:paraId="5534304D" w14:textId="146E23C3" w:rsidR="00D41AC1" w:rsidRDefault="00E5767C" w:rsidP="00103C1F">
      <w:pPr>
        <w:pStyle w:val="ListParagraph"/>
        <w:numPr>
          <w:ilvl w:val="0"/>
          <w:numId w:val="53"/>
        </w:numPr>
      </w:pPr>
      <w:r>
        <w:t>O</w:t>
      </w:r>
      <w:r w:rsidR="00D41AC1">
        <w:t xml:space="preserve">bligations for information sharing with the government regulator were identified to be </w:t>
      </w:r>
      <w:r w:rsidR="00AB265D">
        <w:t xml:space="preserve">similar in nature to those required under the </w:t>
      </w:r>
      <w:r w:rsidR="000C6349">
        <w:t xml:space="preserve">Consumer Data Right, which is also administered by the </w:t>
      </w:r>
      <w:r w:rsidR="009A3893">
        <w:t>ACCC</w:t>
      </w:r>
      <w:r>
        <w:t xml:space="preserve">. However, the likely level of </w:t>
      </w:r>
      <w:r w:rsidR="00D7422A">
        <w:t>cost burden from information sharing</w:t>
      </w:r>
      <w:r w:rsidR="00A851F1">
        <w:t xml:space="preserve"> for regulated entities</w:t>
      </w:r>
      <w:r w:rsidR="00D7422A">
        <w:t xml:space="preserve"> was indicated to be </w:t>
      </w:r>
      <w:r w:rsidR="003F5F93">
        <w:t>of a smaller scale given the scope</w:t>
      </w:r>
      <w:r w:rsidR="000C7010">
        <w:t xml:space="preserve"> for information to be shared</w:t>
      </w:r>
      <w:r w:rsidR="003F5F93">
        <w:t xml:space="preserve"> would be</w:t>
      </w:r>
      <w:r w:rsidR="000C7010">
        <w:t xml:space="preserve"> more</w:t>
      </w:r>
      <w:r w:rsidR="003F5F93">
        <w:t xml:space="preserve"> limited to scam activity</w:t>
      </w:r>
      <w:r w:rsidR="000C7010">
        <w:t xml:space="preserve">, in comparison to information on </w:t>
      </w:r>
      <w:r w:rsidR="00A851F1">
        <w:t>customers.</w:t>
      </w:r>
    </w:p>
    <w:p w14:paraId="398FD83E" w14:textId="0CE81904" w:rsidR="00103C1F" w:rsidRDefault="00103C1F" w:rsidP="00874346">
      <w:pPr>
        <w:pStyle w:val="ListParagraph"/>
        <w:numPr>
          <w:ilvl w:val="0"/>
          <w:numId w:val="53"/>
        </w:numPr>
      </w:pPr>
      <w:r>
        <w:t xml:space="preserve">Stakeholders </w:t>
      </w:r>
      <w:r w:rsidR="001C656F">
        <w:t xml:space="preserve">noted the likely level of regulatory cost would be highly dependent on </w:t>
      </w:r>
      <w:r w:rsidR="006C2495">
        <w:t>prior or planned investments in anti-scam activities. In particular,</w:t>
      </w:r>
      <w:r w:rsidR="009C3E14">
        <w:t xml:space="preserve"> entities which are already constructing</w:t>
      </w:r>
      <w:r w:rsidR="006C2495">
        <w:t xml:space="preserve"> information sharing </w:t>
      </w:r>
      <w:r w:rsidR="009C3E14">
        <w:t xml:space="preserve">arrangements such as through the AFCX would have a lower </w:t>
      </w:r>
      <w:r w:rsidR="00DA7841">
        <w:t>administrative burden.</w:t>
      </w:r>
    </w:p>
    <w:p w14:paraId="60DBA4C7" w14:textId="4B1C4F04" w:rsidR="002F0D5E" w:rsidRDefault="00344AAF" w:rsidP="00874346">
      <w:pPr>
        <w:pStyle w:val="Heading3"/>
        <w:numPr>
          <w:ilvl w:val="1"/>
          <w:numId w:val="54"/>
        </w:numPr>
      </w:pPr>
      <w:r>
        <w:t xml:space="preserve"> </w:t>
      </w:r>
      <w:bookmarkStart w:id="67" w:name="_Toc179556409"/>
      <w:r w:rsidR="00D34A48">
        <w:t>C</w:t>
      </w:r>
      <w:r w:rsidR="002F0D5E">
        <w:t>onsultation</w:t>
      </w:r>
      <w:r w:rsidR="00987D1B">
        <w:t xml:space="preserve"> on draft legislation</w:t>
      </w:r>
      <w:bookmarkEnd w:id="67"/>
      <w:r w:rsidR="002F0D5E">
        <w:t xml:space="preserve"> </w:t>
      </w:r>
    </w:p>
    <w:p w14:paraId="1DE2861A" w14:textId="525F468B" w:rsidR="00E07F45" w:rsidRDefault="00147163" w:rsidP="00874346">
      <w:r>
        <w:t>Treasury</w:t>
      </w:r>
      <w:r w:rsidR="00A419D8">
        <w:t xml:space="preserve"> and DITRDCA</w:t>
      </w:r>
      <w:r>
        <w:t xml:space="preserve"> </w:t>
      </w:r>
      <w:r w:rsidR="00175168">
        <w:t xml:space="preserve">undertook consultation on the exposure draft </w:t>
      </w:r>
      <w:r w:rsidR="00E80052">
        <w:t>of legislation that established the SPF from 13 September to 4 October 2024</w:t>
      </w:r>
      <w:r>
        <w:t>.</w:t>
      </w:r>
      <w:r w:rsidR="002F0D5E" w:rsidDel="00147163">
        <w:t xml:space="preserve"> </w:t>
      </w:r>
      <w:r w:rsidR="002F0D5E">
        <w:t>This process involve</w:t>
      </w:r>
      <w:r w:rsidR="00270BCF">
        <w:t xml:space="preserve">d direct engagement through roundtables and meetings with </w:t>
      </w:r>
      <w:r w:rsidR="002F0D5E">
        <w:t>regulators, consumer groups, industry associations and banks, telecommunication providers</w:t>
      </w:r>
      <w:r w:rsidR="00273C60">
        <w:t xml:space="preserve">, digital platforms (providing </w:t>
      </w:r>
      <w:r w:rsidR="002F0D5E">
        <w:t>social media</w:t>
      </w:r>
      <w:r w:rsidR="00273C60">
        <w:t>, direct messaging</w:t>
      </w:r>
      <w:r w:rsidR="002F0D5E">
        <w:t xml:space="preserve"> and </w:t>
      </w:r>
      <w:r w:rsidR="00273C60">
        <w:t xml:space="preserve">paid advertising search services) and other relevant stakeholders. </w:t>
      </w:r>
    </w:p>
    <w:p w14:paraId="787061C9" w14:textId="43D66C09" w:rsidR="00E07F45" w:rsidRDefault="00E07F45" w:rsidP="00874346">
      <w:r>
        <w:t xml:space="preserve">To inform analysis of the regulatory impacts of option 2, </w:t>
      </w:r>
      <w:r w:rsidR="009164C9">
        <w:t xml:space="preserve">consultation </w:t>
      </w:r>
      <w:r w:rsidR="00DE22FB">
        <w:t>materials included a paper outlining consultation questions for stakeholder,</w:t>
      </w:r>
      <w:r w:rsidR="00186AEB" w:rsidRPr="00BE17D1">
        <w:rPr>
          <w:rStyle w:val="FootnoteReference"/>
          <w:vertAlign w:val="superscript"/>
        </w:rPr>
        <w:footnoteReference w:id="68"/>
      </w:r>
      <w:r w:rsidR="00DE22FB">
        <w:t xml:space="preserve"> including the following</w:t>
      </w:r>
      <w:r w:rsidR="00786A79">
        <w:t xml:space="preserve"> requested input from stakeholders</w:t>
      </w:r>
      <w:r w:rsidR="00DE22FB">
        <w:t>:</w:t>
      </w:r>
    </w:p>
    <w:p w14:paraId="1BF30866" w14:textId="349DC844" w:rsidR="00DE22FB" w:rsidRDefault="00DE22FB" w:rsidP="00DE22FB">
      <w:r>
        <w:t xml:space="preserve">“If possible, please include a breakdown of the following including upfront and ongoing impacts: </w:t>
      </w:r>
    </w:p>
    <w:p w14:paraId="5595F683" w14:textId="77777777" w:rsidR="00DE22FB" w:rsidRDefault="00DE22FB" w:rsidP="00BE17D1">
      <w:pPr>
        <w:pStyle w:val="ListParagraph"/>
        <w:numPr>
          <w:ilvl w:val="0"/>
          <w:numId w:val="64"/>
        </w:numPr>
      </w:pPr>
      <w:r>
        <w:t>uplift in administrative processes (including staff capacity building),</w:t>
      </w:r>
    </w:p>
    <w:p w14:paraId="751EE809" w14:textId="77777777" w:rsidR="00DE22FB" w:rsidRDefault="00DE22FB" w:rsidP="00BE17D1">
      <w:pPr>
        <w:pStyle w:val="ListParagraph"/>
        <w:numPr>
          <w:ilvl w:val="0"/>
          <w:numId w:val="64"/>
        </w:numPr>
      </w:pPr>
      <w:r>
        <w:t>change management and education support costs,</w:t>
      </w:r>
    </w:p>
    <w:p w14:paraId="3DB8A96A" w14:textId="77777777" w:rsidR="00DE22FB" w:rsidRDefault="00DE22FB" w:rsidP="00BE17D1">
      <w:pPr>
        <w:pStyle w:val="ListParagraph"/>
        <w:numPr>
          <w:ilvl w:val="0"/>
          <w:numId w:val="64"/>
        </w:numPr>
      </w:pPr>
      <w:r>
        <w:t>governance costs,</w:t>
      </w:r>
    </w:p>
    <w:p w14:paraId="704822FE" w14:textId="77777777" w:rsidR="00DE22FB" w:rsidRDefault="00DE22FB" w:rsidP="00BE17D1">
      <w:pPr>
        <w:pStyle w:val="ListParagraph"/>
        <w:numPr>
          <w:ilvl w:val="0"/>
          <w:numId w:val="64"/>
        </w:numPr>
      </w:pPr>
      <w:r>
        <w:t>technology uplift, including for data-sharing requirements,</w:t>
      </w:r>
    </w:p>
    <w:p w14:paraId="1A736229" w14:textId="77777777" w:rsidR="00DE22FB" w:rsidRDefault="00DE22FB" w:rsidP="00BE17D1">
      <w:pPr>
        <w:pStyle w:val="ListParagraph"/>
        <w:numPr>
          <w:ilvl w:val="0"/>
          <w:numId w:val="64"/>
        </w:numPr>
      </w:pPr>
      <w:r>
        <w:t xml:space="preserve">building and maintaining appropriate mechanisms to meet IDR and EDR requirements, </w:t>
      </w:r>
    </w:p>
    <w:p w14:paraId="57898A59" w14:textId="77777777" w:rsidR="00DE22FB" w:rsidRDefault="00DE22FB" w:rsidP="00BE17D1">
      <w:pPr>
        <w:pStyle w:val="ListParagraph"/>
        <w:numPr>
          <w:ilvl w:val="0"/>
          <w:numId w:val="64"/>
        </w:numPr>
      </w:pPr>
      <w:r>
        <w:t>additional costs, time, resources or effort for consumers, and</w:t>
      </w:r>
    </w:p>
    <w:p w14:paraId="528D4ECC" w14:textId="57B6CB95" w:rsidR="00DE22FB" w:rsidRPr="00496E15" w:rsidRDefault="00DE22FB" w:rsidP="00BE17D1">
      <w:pPr>
        <w:pStyle w:val="ListParagraph"/>
        <w:numPr>
          <w:ilvl w:val="0"/>
          <w:numId w:val="64"/>
        </w:numPr>
      </w:pPr>
      <w:proofErr w:type="gramStart"/>
      <w:r>
        <w:t>any</w:t>
      </w:r>
      <w:proofErr w:type="gramEnd"/>
      <w:r>
        <w:t xml:space="preserve"> other expected compliance impacts.”</w:t>
      </w:r>
    </w:p>
    <w:p w14:paraId="24F8ADDB" w14:textId="0EAE656E" w:rsidR="00657F68" w:rsidRDefault="00657F68" w:rsidP="00657F68">
      <w:pPr>
        <w:pStyle w:val="Heading4"/>
      </w:pPr>
      <w:r>
        <w:lastRenderedPageBreak/>
        <w:t xml:space="preserve">Key themes and findings </w:t>
      </w:r>
    </w:p>
    <w:p w14:paraId="17CCAC52" w14:textId="6C87B048" w:rsidR="00657F68" w:rsidRDefault="00657F68" w:rsidP="00874346">
      <w:r>
        <w:t>Direct engagement identified</w:t>
      </w:r>
      <w:r w:rsidR="00F34ABF">
        <w:t xml:space="preserve"> the following key </w:t>
      </w:r>
      <w:r w:rsidR="0032153C">
        <w:t>issues</w:t>
      </w:r>
      <w:r w:rsidR="00D067C9">
        <w:t xml:space="preserve"> with the </w:t>
      </w:r>
      <w:r w:rsidR="008F3BCC">
        <w:t xml:space="preserve">design of the proposed </w:t>
      </w:r>
      <w:r w:rsidR="00D067C9">
        <w:t>SPF</w:t>
      </w:r>
      <w:r w:rsidR="008F3BCC">
        <w:t xml:space="preserve"> policy</w:t>
      </w:r>
      <w:r w:rsidR="00F34ABF">
        <w:t>:</w:t>
      </w:r>
    </w:p>
    <w:p w14:paraId="7CDFC5EB" w14:textId="2AE2C897" w:rsidR="00F34ABF" w:rsidRDefault="00054E24" w:rsidP="00CF6E09">
      <w:pPr>
        <w:pStyle w:val="ListParagraph"/>
        <w:numPr>
          <w:ilvl w:val="0"/>
          <w:numId w:val="53"/>
        </w:numPr>
      </w:pPr>
      <w:r>
        <w:t>Co</w:t>
      </w:r>
      <w:r w:rsidR="00091FAA">
        <w:t>ncern</w:t>
      </w:r>
      <w:r>
        <w:t xml:space="preserve"> about the interaction between </w:t>
      </w:r>
      <w:r w:rsidR="00D314E0">
        <w:t xml:space="preserve">obligations under </w:t>
      </w:r>
      <w:r>
        <w:t xml:space="preserve">the SPF </w:t>
      </w:r>
      <w:r w:rsidR="00D314E0">
        <w:t>principles</w:t>
      </w:r>
      <w:r>
        <w:t xml:space="preserve"> and </w:t>
      </w:r>
      <w:r w:rsidR="00D314E0">
        <w:t xml:space="preserve">sector specific </w:t>
      </w:r>
      <w:r>
        <w:t>codes</w:t>
      </w:r>
      <w:r w:rsidR="00FF2D5C">
        <w:t xml:space="preserve">, and </w:t>
      </w:r>
      <w:r w:rsidR="00B92D2F">
        <w:t>coordination between the regulators</w:t>
      </w:r>
      <w:r>
        <w:t>.</w:t>
      </w:r>
      <w:r w:rsidR="001C6818">
        <w:t xml:space="preserve"> </w:t>
      </w:r>
    </w:p>
    <w:p w14:paraId="09C2F7DF" w14:textId="46E2D527" w:rsidR="0022159D" w:rsidRDefault="00714DAE" w:rsidP="00CF6E09">
      <w:pPr>
        <w:pStyle w:val="ListParagraph"/>
        <w:numPr>
          <w:ilvl w:val="0"/>
          <w:numId w:val="53"/>
        </w:numPr>
      </w:pPr>
      <w:r>
        <w:t>The l</w:t>
      </w:r>
      <w:r w:rsidR="0022159D">
        <w:t xml:space="preserve">egislative structure may </w:t>
      </w:r>
      <w:r>
        <w:t xml:space="preserve">not </w:t>
      </w:r>
      <w:r w:rsidR="00DF2404">
        <w:t>allow for adequate tailoring of obligations to specific sectors</w:t>
      </w:r>
      <w:r w:rsidR="004B1CA9">
        <w:t>.</w:t>
      </w:r>
    </w:p>
    <w:p w14:paraId="2FABD91A" w14:textId="4C81E504" w:rsidR="00327BB0" w:rsidRDefault="00327BB0" w:rsidP="00327BB0">
      <w:pPr>
        <w:pStyle w:val="ListParagraph"/>
        <w:numPr>
          <w:ilvl w:val="0"/>
          <w:numId w:val="53"/>
        </w:numPr>
      </w:pPr>
      <w:r w:rsidRPr="007F3532">
        <w:t xml:space="preserve">Industry </w:t>
      </w:r>
      <w:r w:rsidR="00902467">
        <w:t>representatives</w:t>
      </w:r>
      <w:r w:rsidRPr="007F3532">
        <w:t xml:space="preserve"> discussed a desire to align obligations with existing industry codes or instruments, such as the Scam-Safe Accord, Reducing Scam Calls and SMs Code, and DIGI</w:t>
      </w:r>
      <w:r w:rsidR="007800E6">
        <w:t>’s</w:t>
      </w:r>
      <w:r w:rsidRPr="007F3532">
        <w:t xml:space="preserve"> AOSC.</w:t>
      </w:r>
    </w:p>
    <w:p w14:paraId="278DC04F" w14:textId="31B268A7" w:rsidR="00054E24" w:rsidRDefault="0032153C" w:rsidP="00CF6E09">
      <w:pPr>
        <w:pStyle w:val="ListParagraph"/>
        <w:numPr>
          <w:ilvl w:val="0"/>
          <w:numId w:val="53"/>
        </w:numPr>
      </w:pPr>
      <w:r>
        <w:t xml:space="preserve">Concern that </w:t>
      </w:r>
      <w:r w:rsidR="001B5AAB">
        <w:t xml:space="preserve">reporting obligations would drive a high volume of reports which </w:t>
      </w:r>
      <w:r w:rsidR="002A6E6D">
        <w:t>in turn may not be useful to support disruption activities.</w:t>
      </w:r>
    </w:p>
    <w:p w14:paraId="4F63229B" w14:textId="6D6C1D63" w:rsidR="002A6E6D" w:rsidRDefault="002A6E6D" w:rsidP="00CF6E09">
      <w:pPr>
        <w:pStyle w:val="ListParagraph"/>
        <w:numPr>
          <w:ilvl w:val="0"/>
          <w:numId w:val="53"/>
        </w:numPr>
      </w:pPr>
      <w:r>
        <w:t>Concern that consumer warning</w:t>
      </w:r>
      <w:r w:rsidR="00E26B9D">
        <w:t xml:space="preserve"> obligations may lead to a high volume of warnings and be ineffective.</w:t>
      </w:r>
    </w:p>
    <w:p w14:paraId="7053399E" w14:textId="640EAE3E" w:rsidR="0073460A" w:rsidRDefault="001C700E" w:rsidP="00CF6E09">
      <w:pPr>
        <w:pStyle w:val="ListParagraph"/>
        <w:numPr>
          <w:ilvl w:val="0"/>
          <w:numId w:val="53"/>
        </w:numPr>
      </w:pPr>
      <w:r>
        <w:t>A lack of clarity regarding l</w:t>
      </w:r>
      <w:r w:rsidR="00E26B9D">
        <w:t>iability</w:t>
      </w:r>
      <w:r w:rsidR="00165DE9">
        <w:t xml:space="preserve"> for compensation</w:t>
      </w:r>
      <w:r>
        <w:t xml:space="preserve">, including </w:t>
      </w:r>
      <w:r w:rsidR="00E26B9D">
        <w:t xml:space="preserve">apportionment </w:t>
      </w:r>
      <w:r>
        <w:t>between regulated entities.</w:t>
      </w:r>
    </w:p>
    <w:p w14:paraId="72C79405" w14:textId="5045D8A2" w:rsidR="00E26B9D" w:rsidRDefault="0073460A">
      <w:pPr>
        <w:pStyle w:val="ListParagraph"/>
        <w:numPr>
          <w:ilvl w:val="0"/>
          <w:numId w:val="53"/>
        </w:numPr>
      </w:pPr>
      <w:r>
        <w:t xml:space="preserve">Concerns about the effective operation of </w:t>
      </w:r>
      <w:r w:rsidR="00662B89">
        <w:t xml:space="preserve">dispute resolution, including how regulated entities may </w:t>
      </w:r>
      <w:r w:rsidR="002775AE">
        <w:t>work together at the IDR stage.</w:t>
      </w:r>
    </w:p>
    <w:p w14:paraId="1A49E824" w14:textId="0EBD05FF" w:rsidR="00987883" w:rsidRDefault="00987883" w:rsidP="00987883">
      <w:r>
        <w:t xml:space="preserve">Stakeholders did not provide estimates of </w:t>
      </w:r>
      <w:r w:rsidR="00A075E8">
        <w:t xml:space="preserve">additional </w:t>
      </w:r>
      <w:r>
        <w:t>regulatory costs</w:t>
      </w:r>
      <w:r w:rsidR="00A075E8">
        <w:t xml:space="preserve"> expected to be </w:t>
      </w:r>
      <w:r w:rsidR="00210AAE">
        <w:t xml:space="preserve">incurred by regulated entities or consumers. However, they provided qualitative </w:t>
      </w:r>
      <w:r w:rsidR="009C63B2">
        <w:t>feedback including:</w:t>
      </w:r>
    </w:p>
    <w:p w14:paraId="0C43BCA9" w14:textId="17ED5548" w:rsidR="00952F56" w:rsidRDefault="0046105E" w:rsidP="007A66A4">
      <w:pPr>
        <w:pStyle w:val="ListParagraph"/>
        <w:numPr>
          <w:ilvl w:val="0"/>
          <w:numId w:val="65"/>
        </w:numPr>
      </w:pPr>
      <w:r w:rsidRPr="0046105E">
        <w:t>Expect</w:t>
      </w:r>
      <w:r w:rsidR="00352519">
        <w:t xml:space="preserve"> to have</w:t>
      </w:r>
      <w:r w:rsidRPr="0046105E">
        <w:t xml:space="preserve"> increase</w:t>
      </w:r>
      <w:r w:rsidR="00352519">
        <w:t>s</w:t>
      </w:r>
      <w:r w:rsidRPr="0046105E">
        <w:t xml:space="preserve"> in reporting and compliance costs</w:t>
      </w:r>
      <w:r w:rsidR="00352519">
        <w:t xml:space="preserve"> for regulated entities</w:t>
      </w:r>
      <w:r w:rsidRPr="0046105E">
        <w:t>. These costs would include implementing the new annual certification regime, system enhancements, additional resources for IDR, staff training and change management costs.</w:t>
      </w:r>
    </w:p>
    <w:p w14:paraId="18BB699A" w14:textId="29B65516" w:rsidR="007F3532" w:rsidRDefault="007F3532" w:rsidP="00352519">
      <w:pPr>
        <w:pStyle w:val="ListParagraph"/>
        <w:numPr>
          <w:ilvl w:val="0"/>
          <w:numId w:val="65"/>
        </w:numPr>
      </w:pPr>
      <w:r w:rsidRPr="007F3532">
        <w:t xml:space="preserve">Participants in existing industry initiatives were expected to have a lower level of regulatory burden. </w:t>
      </w:r>
      <w:r w:rsidR="00327BB0">
        <w:t>E</w:t>
      </w:r>
      <w:r w:rsidRPr="007F3532">
        <w:t xml:space="preserve">ntities that already have information sharing arrangements such as through the AFCX </w:t>
      </w:r>
      <w:r w:rsidR="004D319C">
        <w:t xml:space="preserve">and ACMA </w:t>
      </w:r>
      <w:r w:rsidRPr="007F3532">
        <w:t>would already be developing the infrastructure to support it under the SPF.</w:t>
      </w:r>
    </w:p>
    <w:p w14:paraId="631ADECF" w14:textId="202DD119" w:rsidR="00352519" w:rsidRDefault="00352519" w:rsidP="00352519">
      <w:pPr>
        <w:pStyle w:val="ListParagraph"/>
        <w:numPr>
          <w:ilvl w:val="0"/>
          <w:numId w:val="65"/>
        </w:numPr>
      </w:pPr>
      <w:r w:rsidRPr="007A66A4">
        <w:t xml:space="preserve">There would be </w:t>
      </w:r>
      <w:r w:rsidR="00D75F2C">
        <w:t>substantial</w:t>
      </w:r>
      <w:r w:rsidRPr="007A66A4">
        <w:t xml:space="preserve"> burdens on smaller entities to implement SPF obligations, which </w:t>
      </w:r>
      <w:r w:rsidR="00A97D02">
        <w:t>have more limited</w:t>
      </w:r>
      <w:r w:rsidRPr="007A66A4">
        <w:t xml:space="preserve"> personnel</w:t>
      </w:r>
      <w:r w:rsidR="00D75F2C">
        <w:t xml:space="preserve"> and technology</w:t>
      </w:r>
      <w:r w:rsidRPr="007A66A4">
        <w:t xml:space="preserve"> </w:t>
      </w:r>
      <w:r w:rsidR="00A97D02">
        <w:t>resources</w:t>
      </w:r>
      <w:r w:rsidRPr="007A66A4">
        <w:t xml:space="preserve">. </w:t>
      </w:r>
      <w:r w:rsidR="006248FB">
        <w:t>There were concerns</w:t>
      </w:r>
      <w:r w:rsidR="00533F0F">
        <w:t xml:space="preserve"> this would put</w:t>
      </w:r>
      <w:r w:rsidR="006248FB">
        <w:t xml:space="preserve"> </w:t>
      </w:r>
      <w:r w:rsidR="006F34B7">
        <w:t>smaller</w:t>
      </w:r>
      <w:r w:rsidR="001F3F18">
        <w:t xml:space="preserve"> entities </w:t>
      </w:r>
      <w:r w:rsidR="006F34B7">
        <w:t>at</w:t>
      </w:r>
      <w:r w:rsidR="001F3F18">
        <w:t xml:space="preserve"> a competitive </w:t>
      </w:r>
      <w:r w:rsidR="00F4235F">
        <w:t>dis</w:t>
      </w:r>
      <w:r w:rsidR="001F3F18">
        <w:t>advantage</w:t>
      </w:r>
      <w:r w:rsidR="00533F0F">
        <w:t>.</w:t>
      </w:r>
    </w:p>
    <w:p w14:paraId="16E1A6D1" w14:textId="77777777" w:rsidR="00D20D08" w:rsidRDefault="00273AB8" w:rsidP="007A66A4">
      <w:pPr>
        <w:pStyle w:val="ListParagraph"/>
        <w:numPr>
          <w:ilvl w:val="0"/>
          <w:numId w:val="65"/>
        </w:numPr>
      </w:pPr>
      <w:r w:rsidRPr="00273AB8">
        <w:t xml:space="preserve">Entities may face overlapping obligations with existing IDR/EDR requirements, the Anti-Money Laundering/Counter-Terrorism Financing (AML/CTF) regime and existing industry codes. </w:t>
      </w:r>
    </w:p>
    <w:p w14:paraId="3CFB3C29" w14:textId="0E100021" w:rsidR="007A66A4" w:rsidRDefault="006B5A85" w:rsidP="007A66A4">
      <w:pPr>
        <w:pStyle w:val="ListParagraph"/>
        <w:numPr>
          <w:ilvl w:val="0"/>
          <w:numId w:val="65"/>
        </w:numPr>
      </w:pPr>
      <w:r w:rsidRPr="006B5A85">
        <w:t>Increased costs are likely to be passed onto consumers, making it important initiatives are efficient</w:t>
      </w:r>
      <w:r w:rsidR="00787DDC">
        <w:t xml:space="preserve"> and proportionate to scam risk</w:t>
      </w:r>
      <w:r w:rsidRPr="006B5A85">
        <w:t>.</w:t>
      </w:r>
      <w:r>
        <w:t xml:space="preserve"> </w:t>
      </w:r>
      <w:r w:rsidR="00273AB8" w:rsidRPr="00273AB8">
        <w:t>Stakeholders suggest existing frameworks be recognised to reduce inefficiencies and minimise additional compliance costs.</w:t>
      </w:r>
    </w:p>
    <w:p w14:paraId="49BE6F38" w14:textId="638831E7" w:rsidR="002E0286" w:rsidRDefault="002E0286" w:rsidP="007A66A4">
      <w:pPr>
        <w:pStyle w:val="ListParagraph"/>
        <w:numPr>
          <w:ilvl w:val="0"/>
          <w:numId w:val="65"/>
        </w:numPr>
      </w:pPr>
      <w:r w:rsidRPr="002E0286">
        <w:t>Digital platforms discussed that completely new obligations, such as the development of pathways for dispute resolution arrangements, would have a disproportionately higher impact on the sector to develop and implement than other sectors with existing systems.</w:t>
      </w:r>
    </w:p>
    <w:p w14:paraId="707B401A" w14:textId="52939658" w:rsidR="00352519" w:rsidRDefault="00352519" w:rsidP="00BE17D1">
      <w:pPr>
        <w:pStyle w:val="ListParagraph"/>
        <w:numPr>
          <w:ilvl w:val="0"/>
          <w:numId w:val="65"/>
        </w:numPr>
      </w:pPr>
      <w:r>
        <w:t xml:space="preserve">Transitional arrangements would be </w:t>
      </w:r>
      <w:r w:rsidR="00C11234">
        <w:t xml:space="preserve">required to enable entities to undertake uplifts in </w:t>
      </w:r>
      <w:r w:rsidR="00575582">
        <w:t>capabilities prior to obligations being enforced.</w:t>
      </w:r>
    </w:p>
    <w:p w14:paraId="0F4179F6" w14:textId="396504E4" w:rsidR="00234B83" w:rsidRDefault="00234B83" w:rsidP="00E632ED">
      <w:pPr>
        <w:pStyle w:val="Heading3"/>
      </w:pPr>
      <w:bookmarkStart w:id="68" w:name="_Toc179556410"/>
      <w:r>
        <w:t>5.4 Future consultation</w:t>
      </w:r>
      <w:bookmarkEnd w:id="68"/>
    </w:p>
    <w:p w14:paraId="48ED37EF" w14:textId="684A307D" w:rsidR="00234B83" w:rsidRDefault="0085052D" w:rsidP="00874346">
      <w:r>
        <w:t>To proceed with option 2, f</w:t>
      </w:r>
      <w:r w:rsidR="00E632ED">
        <w:t xml:space="preserve">ollowing the </w:t>
      </w:r>
      <w:r w:rsidR="00513D56">
        <w:t xml:space="preserve">finalisation of the </w:t>
      </w:r>
      <w:r w:rsidR="00E55D1B">
        <w:t>legislation the</w:t>
      </w:r>
      <w:r w:rsidR="001C0FA6">
        <w:t xml:space="preserve">re would be several consultation </w:t>
      </w:r>
      <w:r w:rsidR="00E55D1B">
        <w:t xml:space="preserve">processes </w:t>
      </w:r>
      <w:r w:rsidR="00513D56">
        <w:t>undertaken</w:t>
      </w:r>
      <w:r>
        <w:t xml:space="preserve"> to further refine the policy design</w:t>
      </w:r>
      <w:r w:rsidR="00513D56">
        <w:t>:</w:t>
      </w:r>
    </w:p>
    <w:p w14:paraId="70BF12FF" w14:textId="01C0F5CC" w:rsidR="00465A2E" w:rsidRDefault="00937FC6" w:rsidP="00E004C0">
      <w:pPr>
        <w:pStyle w:val="ListParagraph"/>
        <w:numPr>
          <w:ilvl w:val="0"/>
          <w:numId w:val="12"/>
        </w:numPr>
      </w:pPr>
      <w:r>
        <w:t>c</w:t>
      </w:r>
      <w:r w:rsidR="00465A2E">
        <w:t>onsultation on the instruments to designate the initial target sectors</w:t>
      </w:r>
      <w:r w:rsidR="00223DB5">
        <w:t>;</w:t>
      </w:r>
    </w:p>
    <w:p w14:paraId="7D32F934" w14:textId="057DC58D" w:rsidR="00223DB5" w:rsidRDefault="00937FC6" w:rsidP="00E004C0">
      <w:pPr>
        <w:pStyle w:val="ListParagraph"/>
        <w:numPr>
          <w:ilvl w:val="0"/>
          <w:numId w:val="12"/>
        </w:numPr>
      </w:pPr>
      <w:r>
        <w:t>consultation on the d</w:t>
      </w:r>
      <w:r w:rsidR="00223DB5">
        <w:t xml:space="preserve">esign and </w:t>
      </w:r>
      <w:r w:rsidR="00230643">
        <w:t>i</w:t>
      </w:r>
      <w:r w:rsidR="00223DB5">
        <w:t xml:space="preserve">mplementation aspects for EDR to be operated by AFCA to deliver whole-of-ecosystem </w:t>
      </w:r>
      <w:r w:rsidR="00A94D63">
        <w:t xml:space="preserve">external </w:t>
      </w:r>
      <w:r w:rsidR="00223DB5">
        <w:t xml:space="preserve">dispute </w:t>
      </w:r>
      <w:r w:rsidR="00A94D63">
        <w:t>escalation approach, and integrated with IDR processes;</w:t>
      </w:r>
    </w:p>
    <w:p w14:paraId="56B8BBA6" w14:textId="45106746" w:rsidR="002F0D5E" w:rsidRDefault="002F0D5E" w:rsidP="00E004C0">
      <w:pPr>
        <w:pStyle w:val="ListParagraph"/>
        <w:numPr>
          <w:ilvl w:val="0"/>
          <w:numId w:val="12"/>
        </w:numPr>
      </w:pPr>
      <w:r>
        <w:t>consultation on the obligations in the banking sector code;</w:t>
      </w:r>
    </w:p>
    <w:p w14:paraId="0803A16E" w14:textId="406529E2" w:rsidR="002F0D5E" w:rsidRDefault="004E7B4E" w:rsidP="00E004C0">
      <w:pPr>
        <w:pStyle w:val="ListParagraph"/>
        <w:numPr>
          <w:ilvl w:val="0"/>
          <w:numId w:val="12"/>
        </w:numPr>
      </w:pPr>
      <w:r>
        <w:lastRenderedPageBreak/>
        <w:t xml:space="preserve">co-development between ACMA and the </w:t>
      </w:r>
      <w:r w:rsidR="002F0D5E">
        <w:t xml:space="preserve">Communications Alliance </w:t>
      </w:r>
      <w:r>
        <w:t xml:space="preserve">of obligations in the </w:t>
      </w:r>
      <w:r w:rsidR="00DF0B45">
        <w:t>telecommunications sector</w:t>
      </w:r>
      <w:r w:rsidR="00937FC6">
        <w:t xml:space="preserve"> code</w:t>
      </w:r>
      <w:r w:rsidR="00DF0B45">
        <w:t xml:space="preserve">, informed by experience with the current </w:t>
      </w:r>
      <w:r w:rsidR="00B505FF" w:rsidRPr="005A16CB">
        <w:rPr>
          <w:i/>
          <w:iCs/>
        </w:rPr>
        <w:t xml:space="preserve">Reducing Scam Calls and Scam </w:t>
      </w:r>
      <w:r w:rsidR="00DF0B45" w:rsidRPr="005A16CB">
        <w:rPr>
          <w:i/>
          <w:iCs/>
        </w:rPr>
        <w:t>SM</w:t>
      </w:r>
      <w:r w:rsidR="00B505FF" w:rsidRPr="005A16CB">
        <w:rPr>
          <w:i/>
          <w:iCs/>
        </w:rPr>
        <w:t>s</w:t>
      </w:r>
      <w:r w:rsidR="00B505FF">
        <w:t xml:space="preserve"> </w:t>
      </w:r>
      <w:r w:rsidR="002F0D5E">
        <w:t xml:space="preserve">code; and </w:t>
      </w:r>
    </w:p>
    <w:p w14:paraId="0E54AF70" w14:textId="7ABEA45A" w:rsidR="002F0D5E" w:rsidRPr="00DB77F1" w:rsidRDefault="00952619" w:rsidP="00E004C0">
      <w:pPr>
        <w:pStyle w:val="ListParagraph"/>
        <w:numPr>
          <w:ilvl w:val="0"/>
          <w:numId w:val="12"/>
        </w:numPr>
      </w:pPr>
      <w:proofErr w:type="gramStart"/>
      <w:r>
        <w:t>consultation</w:t>
      </w:r>
      <w:proofErr w:type="gramEnd"/>
      <w:r>
        <w:t xml:space="preserve"> on the obligations in the </w:t>
      </w:r>
      <w:r w:rsidR="002F0D5E">
        <w:t xml:space="preserve">digital platform </w:t>
      </w:r>
      <w:r w:rsidR="00937FC6">
        <w:t>sector</w:t>
      </w:r>
      <w:r w:rsidR="002F0D5E">
        <w:t xml:space="preserve"> code. </w:t>
      </w:r>
    </w:p>
    <w:p w14:paraId="61DB112F" w14:textId="5B55166D" w:rsidR="002F0D5E" w:rsidRDefault="00987D1B" w:rsidP="002F0D5E">
      <w:pPr>
        <w:pStyle w:val="Heading3"/>
      </w:pPr>
      <w:bookmarkStart w:id="69" w:name="_Toc179556411"/>
      <w:r>
        <w:t>5.</w:t>
      </w:r>
      <w:r w:rsidR="00E632ED">
        <w:t>5</w:t>
      </w:r>
      <w:r>
        <w:t xml:space="preserve"> </w:t>
      </w:r>
      <w:r w:rsidR="002F0D5E">
        <w:t xml:space="preserve">Evaluation of </w:t>
      </w:r>
      <w:r w:rsidR="00656CA9">
        <w:t xml:space="preserve">the </w:t>
      </w:r>
      <w:r w:rsidR="002F0D5E">
        <w:t>consultation process</w:t>
      </w:r>
      <w:bookmarkEnd w:id="69"/>
    </w:p>
    <w:p w14:paraId="2C2F2C70" w14:textId="418147B7" w:rsidR="002F0D5E" w:rsidRDefault="002F0D5E" w:rsidP="00DA1E3F">
      <w:pPr>
        <w:pStyle w:val="Heading4"/>
      </w:pPr>
      <w:r>
        <w:t>How feedback was incorporated into policy design</w:t>
      </w:r>
    </w:p>
    <w:p w14:paraId="28C8A1E6" w14:textId="74D08E85" w:rsidR="002F0D5E" w:rsidRDefault="002F0D5E" w:rsidP="002F0D5E">
      <w:r>
        <w:t xml:space="preserve">In response to general support from stakeholders, key design aspects of the </w:t>
      </w:r>
      <w:r w:rsidR="00564958">
        <w:t>SPF under option 2</w:t>
      </w:r>
      <w:r>
        <w:t xml:space="preserve"> have been retained. Namely, the two-tiered model with its initial designated sectors (along with the intention of expanding of the framework to future sectors). Certain aspects of the </w:t>
      </w:r>
      <w:r w:rsidR="00BC5C01">
        <w:t>SPF</w:t>
      </w:r>
      <w:r>
        <w:t xml:space="preserve"> were modified in consideration of stakeholders’ suggestions, for instance, stakeholders noted the importance information sharing and reporting and encouraged consideration of how to remove duplication between the multiple sectors and regulators involved in implementation of the </w:t>
      </w:r>
      <w:r w:rsidR="00BC5C01">
        <w:t>SPF</w:t>
      </w:r>
      <w:r>
        <w:t xml:space="preserve">. As a consequence, the option has been adjusted to establish a streamlined overarching principles-based obligation for reporting and information sharing, with further details to be clarified outside of primary legislation. </w:t>
      </w:r>
    </w:p>
    <w:p w14:paraId="4169BBDA" w14:textId="38AE9AFE" w:rsidR="004942AE" w:rsidRPr="004942AE" w:rsidRDefault="008D499C" w:rsidP="00A60846">
      <w:r>
        <w:t>The d</w:t>
      </w:r>
      <w:r w:rsidR="004942AE" w:rsidRPr="004942AE">
        <w:t xml:space="preserve">igital </w:t>
      </w:r>
      <w:r>
        <w:t>platforms sector has</w:t>
      </w:r>
      <w:r w:rsidR="009D666F">
        <w:t xml:space="preserve"> expressed concerns that the proposed definition</w:t>
      </w:r>
      <w:r w:rsidR="005A326C" w:rsidRPr="006F293B">
        <w:rPr>
          <w:rStyle w:val="FootnoteReference"/>
          <w:vertAlign w:val="superscript"/>
        </w:rPr>
        <w:footnoteReference w:id="69"/>
      </w:r>
      <w:r w:rsidR="009D666F">
        <w:t xml:space="preserve"> of </w:t>
      </w:r>
      <w:r w:rsidR="00CD5534">
        <w:t>“</w:t>
      </w:r>
      <w:r w:rsidR="005E4E97">
        <w:t>digital communication platforms</w:t>
      </w:r>
      <w:r w:rsidR="00CD5534">
        <w:t>”</w:t>
      </w:r>
      <w:r w:rsidR="008B5DC4">
        <w:t xml:space="preserve"> was too broad and </w:t>
      </w:r>
      <w:r w:rsidR="005A326C">
        <w:t xml:space="preserve">may </w:t>
      </w:r>
      <w:r w:rsidR="008B5DC4">
        <w:t>capture entities</w:t>
      </w:r>
      <w:r w:rsidR="009F692F">
        <w:t>, such as new</w:t>
      </w:r>
      <w:r w:rsidR="00900F15">
        <w:t xml:space="preserve">s, </w:t>
      </w:r>
      <w:r w:rsidR="00357605">
        <w:t>music, audiobooks or podcast aggregators</w:t>
      </w:r>
      <w:r w:rsidR="00B764AB">
        <w:t>,</w:t>
      </w:r>
      <w:r w:rsidR="008B5DC4">
        <w:t xml:space="preserve"> on which scams may not occur</w:t>
      </w:r>
      <w:r w:rsidR="005A326C">
        <w:t>.</w:t>
      </w:r>
      <w:r w:rsidR="002502C9">
        <w:t xml:space="preserve"> The </w:t>
      </w:r>
      <w:r w:rsidR="00BC5C01">
        <w:t>SPF</w:t>
      </w:r>
      <w:r w:rsidR="002502C9">
        <w:t xml:space="preserve"> </w:t>
      </w:r>
      <w:r w:rsidR="001D622E">
        <w:t xml:space="preserve">has been subsequently modified to capture </w:t>
      </w:r>
      <w:r w:rsidR="00BA2197">
        <w:t>social media</w:t>
      </w:r>
      <w:r w:rsidR="00720D17">
        <w:t>, messaging</w:t>
      </w:r>
      <w:r w:rsidR="00BA2197">
        <w:t xml:space="preserve"> and search advertising services</w:t>
      </w:r>
      <w:r w:rsidR="001D622E">
        <w:t>.</w:t>
      </w:r>
    </w:p>
    <w:p w14:paraId="5A8B306F" w14:textId="3343A359" w:rsidR="00E70147" w:rsidRDefault="002B1288" w:rsidP="00476A94">
      <w:r>
        <w:t>Concerns about r</w:t>
      </w:r>
      <w:r w:rsidR="009C63B2">
        <w:t xml:space="preserve">isks of burdens on smaller regulated entities </w:t>
      </w:r>
      <w:r w:rsidR="005825C7">
        <w:t xml:space="preserve">identified by stakeholders </w:t>
      </w:r>
      <w:r w:rsidR="0065670B">
        <w:t>are to</w:t>
      </w:r>
      <w:r>
        <w:t xml:space="preserve"> be mitigated by</w:t>
      </w:r>
      <w:r w:rsidR="00F4235F">
        <w:t xml:space="preserve"> enabling the SPF </w:t>
      </w:r>
      <w:r w:rsidR="007434BD">
        <w:t>the</w:t>
      </w:r>
      <w:r w:rsidR="00F4235F">
        <w:t xml:space="preserve"> flexib</w:t>
      </w:r>
      <w:r w:rsidR="007434BD">
        <w:t>ility</w:t>
      </w:r>
      <w:r w:rsidR="00EB3235">
        <w:t xml:space="preserve"> to tailor obligations to the size, structure and operations of the entities</w:t>
      </w:r>
      <w:r w:rsidR="005825C7">
        <w:t xml:space="preserve">. </w:t>
      </w:r>
      <w:r w:rsidR="0065670B">
        <w:t xml:space="preserve">Differences in capabilities would be </w:t>
      </w:r>
      <w:r w:rsidR="00916DF8">
        <w:t>accounted for when providing further detail on obligations under the SPF principles and sector-specific code obligations</w:t>
      </w:r>
      <w:r w:rsidR="00185B55">
        <w:t xml:space="preserve">. Similarly, transitional </w:t>
      </w:r>
      <w:r w:rsidR="00476A94">
        <w:t>arrangements for penalty provisions across the framework</w:t>
      </w:r>
      <w:r w:rsidR="009507C8" w:rsidRPr="009507C8">
        <w:t xml:space="preserve"> </w:t>
      </w:r>
      <w:r w:rsidR="009507C8">
        <w:t>would also be considered</w:t>
      </w:r>
      <w:r w:rsidR="00476A94">
        <w:t>, noting the uplift that is required in capability and infrastructure to adhere to obligations. This must be balanced against the need for immediate and coordinated action to respond to the threat of scam activity and protect SPF consumers.</w:t>
      </w:r>
    </w:p>
    <w:p w14:paraId="6BDACE4A" w14:textId="4743959A" w:rsidR="00484F59" w:rsidRPr="004942AE" w:rsidRDefault="00484F59" w:rsidP="00476A94">
      <w:r>
        <w:t xml:space="preserve">Feedback on the primary areas for expected </w:t>
      </w:r>
      <w:r w:rsidR="00AE4DAA">
        <w:t>additional regulatory</w:t>
      </w:r>
      <w:r>
        <w:t xml:space="preserve"> costs </w:t>
      </w:r>
      <w:r w:rsidR="00AE4DAA">
        <w:t xml:space="preserve">has been </w:t>
      </w:r>
      <w:r w:rsidR="00727489">
        <w:t>checked against IA assumptions</w:t>
      </w:r>
      <w:r w:rsidR="008771D0">
        <w:t>. Stakeholder feedback</w:t>
      </w:r>
      <w:r w:rsidR="00FC6D1C">
        <w:t xml:space="preserve"> broadly align</w:t>
      </w:r>
      <w:r w:rsidR="008771D0">
        <w:t>s</w:t>
      </w:r>
      <w:r w:rsidR="00FC6D1C">
        <w:t xml:space="preserve"> with </w:t>
      </w:r>
      <w:r w:rsidR="008771D0">
        <w:t>assumptions used</w:t>
      </w:r>
      <w:r w:rsidR="00E12DB5">
        <w:t xml:space="preserve"> for </w:t>
      </w:r>
      <w:r w:rsidR="00953D93">
        <w:t>costs for regulated entities</w:t>
      </w:r>
      <w:r w:rsidR="00727489">
        <w:t>.</w:t>
      </w:r>
      <w:r w:rsidR="00AE4DAA">
        <w:t xml:space="preserve"> </w:t>
      </w:r>
    </w:p>
    <w:p w14:paraId="447C4CF3" w14:textId="77777777" w:rsidR="002F0D5E" w:rsidRPr="007A4AED" w:rsidRDefault="002F0D5E" w:rsidP="001C2E9B">
      <w:pPr>
        <w:pStyle w:val="Heading4"/>
      </w:pPr>
      <w:r w:rsidRPr="00766752">
        <w:t>Limitations</w:t>
      </w:r>
    </w:p>
    <w:p w14:paraId="227E308A" w14:textId="4076D158" w:rsidR="00CA6AFD" w:rsidRDefault="002F0D5E" w:rsidP="00A60846">
      <w:pPr>
        <w:spacing w:before="100" w:beforeAutospacing="1" w:after="100" w:afterAutospacing="1"/>
        <w:rPr>
          <w:rFonts w:cs="Calibri Light"/>
          <w:szCs w:val="22"/>
        </w:rPr>
      </w:pPr>
      <w:r w:rsidRPr="00A60846">
        <w:rPr>
          <w:rFonts w:cs="Calibri Light"/>
          <w:szCs w:val="22"/>
        </w:rPr>
        <w:t xml:space="preserve">The design of the public consultation paper was high-level in nature as it aimed to assess the capabilities of and sought broad advice on a comprehensive model. </w:t>
      </w:r>
      <w:r w:rsidR="000D6DD2">
        <w:rPr>
          <w:rFonts w:cs="Calibri Light"/>
          <w:szCs w:val="22"/>
        </w:rPr>
        <w:t>Similarly, consultation on exposure draft legislation</w:t>
      </w:r>
      <w:r w:rsidR="009778CA">
        <w:rPr>
          <w:rFonts w:cs="Calibri Light"/>
          <w:szCs w:val="22"/>
        </w:rPr>
        <w:t xml:space="preserve"> </w:t>
      </w:r>
      <w:r w:rsidR="00EE212D">
        <w:rPr>
          <w:rFonts w:cs="Calibri Light"/>
          <w:szCs w:val="22"/>
        </w:rPr>
        <w:t>focused on</w:t>
      </w:r>
      <w:r w:rsidR="00CD23CE">
        <w:rPr>
          <w:rFonts w:cs="Calibri Light"/>
          <w:szCs w:val="22"/>
        </w:rPr>
        <w:t xml:space="preserve"> the over-arching</w:t>
      </w:r>
      <w:r w:rsidR="00EE212D">
        <w:rPr>
          <w:rFonts w:cs="Calibri Light"/>
          <w:szCs w:val="22"/>
        </w:rPr>
        <w:t xml:space="preserve"> design of the SPF </w:t>
      </w:r>
      <w:r w:rsidR="00CD23CE">
        <w:rPr>
          <w:rFonts w:cs="Calibri Light"/>
          <w:szCs w:val="22"/>
        </w:rPr>
        <w:t>legislation</w:t>
      </w:r>
      <w:r w:rsidR="0082642D">
        <w:rPr>
          <w:rFonts w:cs="Calibri Light"/>
          <w:szCs w:val="22"/>
        </w:rPr>
        <w:t>.</w:t>
      </w:r>
      <w:r w:rsidR="000D6DD2">
        <w:rPr>
          <w:rFonts w:cs="Calibri Light"/>
          <w:szCs w:val="22"/>
        </w:rPr>
        <w:t xml:space="preserve"> </w:t>
      </w:r>
      <w:r w:rsidRPr="00A60846">
        <w:rPr>
          <w:rFonts w:cs="Calibri Light"/>
          <w:szCs w:val="22"/>
        </w:rPr>
        <w:t xml:space="preserve">Subsequently, the opportunity to ask more specific questions to refine details on certain elements, like sector-specific codes’ details and their impacts, was limited. </w:t>
      </w:r>
      <w:r w:rsidR="00EA1833">
        <w:rPr>
          <w:rFonts w:cs="Calibri Light"/>
          <w:szCs w:val="22"/>
        </w:rPr>
        <w:t>R</w:t>
      </w:r>
      <w:r w:rsidR="00EA1833" w:rsidRPr="00EA1833">
        <w:rPr>
          <w:rFonts w:cs="Calibri Light"/>
          <w:szCs w:val="22"/>
        </w:rPr>
        <w:t>eg</w:t>
      </w:r>
      <w:r w:rsidR="00EA1833">
        <w:rPr>
          <w:rFonts w:cs="Calibri Light"/>
          <w:szCs w:val="22"/>
        </w:rPr>
        <w:t>ulatory</w:t>
      </w:r>
      <w:r w:rsidR="00EA1833" w:rsidRPr="00EA1833">
        <w:rPr>
          <w:rFonts w:cs="Calibri Light"/>
          <w:szCs w:val="22"/>
        </w:rPr>
        <w:t xml:space="preserve"> costs</w:t>
      </w:r>
      <w:r w:rsidR="00EA1833">
        <w:rPr>
          <w:rFonts w:cs="Calibri Light"/>
          <w:szCs w:val="22"/>
        </w:rPr>
        <w:t xml:space="preserve"> estimated</w:t>
      </w:r>
      <w:r w:rsidR="00EA1833" w:rsidRPr="00EA1833">
        <w:rPr>
          <w:rFonts w:cs="Calibri Light"/>
          <w:szCs w:val="22"/>
        </w:rPr>
        <w:t xml:space="preserve"> in this IA </w:t>
      </w:r>
      <w:r w:rsidR="00EA1833">
        <w:rPr>
          <w:rFonts w:cs="Calibri Light"/>
          <w:szCs w:val="22"/>
        </w:rPr>
        <w:t>were</w:t>
      </w:r>
      <w:r w:rsidR="00EA1833" w:rsidRPr="00EA1833">
        <w:rPr>
          <w:rFonts w:cs="Calibri Light"/>
          <w:szCs w:val="22"/>
        </w:rPr>
        <w:t xml:space="preserve"> not </w:t>
      </w:r>
      <w:r w:rsidR="00EA1833">
        <w:rPr>
          <w:rFonts w:cs="Calibri Light"/>
          <w:szCs w:val="22"/>
        </w:rPr>
        <w:t xml:space="preserve">able to </w:t>
      </w:r>
      <w:r w:rsidR="00EA1833" w:rsidRPr="00EA1833">
        <w:rPr>
          <w:rFonts w:cs="Calibri Light"/>
          <w:szCs w:val="22"/>
        </w:rPr>
        <w:t>be tested with stakeholders</w:t>
      </w:r>
      <w:r w:rsidR="00EA1833">
        <w:rPr>
          <w:rFonts w:cs="Calibri Light"/>
          <w:szCs w:val="22"/>
        </w:rPr>
        <w:t xml:space="preserve"> and</w:t>
      </w:r>
      <w:r w:rsidR="008919A5" w:rsidRPr="00A60846">
        <w:rPr>
          <w:rFonts w:cs="Calibri Light"/>
          <w:szCs w:val="22"/>
        </w:rPr>
        <w:t xml:space="preserve"> industry was also not able to quantify their compliance costs which may be a result of the range of questions raised that diverted capacities</w:t>
      </w:r>
      <w:r w:rsidR="008919A5">
        <w:rPr>
          <w:rFonts w:cs="Calibri Light"/>
          <w:szCs w:val="22"/>
        </w:rPr>
        <w:t>.</w:t>
      </w:r>
      <w:r w:rsidRPr="00A60846" w:rsidDel="008919A5">
        <w:rPr>
          <w:rFonts w:cs="Calibri Light"/>
          <w:szCs w:val="22"/>
        </w:rPr>
        <w:t xml:space="preserve"> </w:t>
      </w:r>
    </w:p>
    <w:p w14:paraId="0A8BE785" w14:textId="294A05A5" w:rsidR="002F0D5E" w:rsidRPr="00790BFB" w:rsidRDefault="002F0D5E" w:rsidP="00A60846">
      <w:pPr>
        <w:spacing w:before="100" w:beforeAutospacing="1" w:after="100" w:afterAutospacing="1"/>
        <w:rPr>
          <w:rFonts w:cs="Calibri Light"/>
          <w:szCs w:val="22"/>
        </w:rPr>
      </w:pPr>
      <w:r w:rsidRPr="00A60846">
        <w:rPr>
          <w:rFonts w:cs="Calibri Light"/>
        </w:rPr>
        <w:t xml:space="preserve">The public consultation begun on 30 November 2023 and concluded on 29 January 2024 which coincided with major holiday celebrations that may have influenced stakeholder capacities. </w:t>
      </w:r>
      <w:r w:rsidR="00CF7F31">
        <w:rPr>
          <w:rFonts w:cs="Calibri Light"/>
        </w:rPr>
        <w:t xml:space="preserve">Likewise, </w:t>
      </w:r>
      <w:r w:rsidR="00CF7F31">
        <w:rPr>
          <w:rFonts w:cs="Calibri Light"/>
        </w:rPr>
        <w:lastRenderedPageBreak/>
        <w:t xml:space="preserve">the consultation on exposure draft legislation </w:t>
      </w:r>
      <w:r w:rsidR="00FA1DDB">
        <w:rPr>
          <w:rFonts w:cs="Calibri Light"/>
        </w:rPr>
        <w:t>ran for 3-weeks due to time constraints in the legislative development process.</w:t>
      </w:r>
    </w:p>
    <w:p w14:paraId="55EBD2E0" w14:textId="77777777" w:rsidR="009A7F3E" w:rsidRDefault="009A7F3E">
      <w:pPr>
        <w:spacing w:before="0" w:after="200" w:line="276" w:lineRule="auto"/>
        <w:rPr>
          <w:rFonts w:ascii="Calibri" w:hAnsi="Calibri" w:cs="Arial"/>
          <w:b/>
          <w:color w:val="5D779D" w:themeColor="accent3"/>
          <w:kern w:val="32"/>
          <w:sz w:val="44"/>
          <w:szCs w:val="36"/>
        </w:rPr>
      </w:pPr>
      <w:r>
        <w:br w:type="page"/>
      </w:r>
    </w:p>
    <w:p w14:paraId="3A196B7C" w14:textId="4B1ADD39" w:rsidR="0008769C" w:rsidRDefault="00270617" w:rsidP="00A5697B">
      <w:pPr>
        <w:pStyle w:val="Heading1"/>
        <w:numPr>
          <w:ilvl w:val="0"/>
          <w:numId w:val="42"/>
        </w:numPr>
        <w:ind w:hanging="720"/>
      </w:pPr>
      <w:bookmarkStart w:id="70" w:name="_Toc179556412"/>
      <w:r>
        <w:lastRenderedPageBreak/>
        <w:t>Preferred option</w:t>
      </w:r>
      <w:bookmarkEnd w:id="70"/>
    </w:p>
    <w:p w14:paraId="3F368A49" w14:textId="6FFD1547" w:rsidR="009439A9" w:rsidRDefault="00546E3C" w:rsidP="00546E3C">
      <w:pPr>
        <w:pStyle w:val="Heading3"/>
      </w:pPr>
      <w:bookmarkStart w:id="71" w:name="_Toc179556413"/>
      <w:r>
        <w:t xml:space="preserve">6.1 </w:t>
      </w:r>
      <w:r w:rsidR="00E32B16">
        <w:t xml:space="preserve">Comparison of </w:t>
      </w:r>
      <w:r w:rsidR="001D5B72">
        <w:t>options</w:t>
      </w:r>
      <w:bookmarkEnd w:id="71"/>
    </w:p>
    <w:p w14:paraId="4136F6E3" w14:textId="61CAA9C1" w:rsidR="00A5697B" w:rsidRDefault="00C27BC7" w:rsidP="00A5697B">
      <w:r>
        <w:t xml:space="preserve">Option 2 is preferred. </w:t>
      </w:r>
      <w:r w:rsidR="00191B77">
        <w:t>T</w:t>
      </w:r>
      <w:r w:rsidR="00D97A86">
        <w:t xml:space="preserve">he benefits of implementing </w:t>
      </w:r>
      <w:r w:rsidR="002867D3">
        <w:t xml:space="preserve">a </w:t>
      </w:r>
      <w:r w:rsidR="00D97A86">
        <w:t xml:space="preserve">coordinated approach to </w:t>
      </w:r>
      <w:r w:rsidR="001617FC">
        <w:t>mandatory industry codes</w:t>
      </w:r>
      <w:r w:rsidR="000F5A8C">
        <w:t xml:space="preserve">, information sharing and </w:t>
      </w:r>
      <w:r w:rsidR="00587204">
        <w:t>a single EDR scheme</w:t>
      </w:r>
      <w:r w:rsidR="001617FC">
        <w:t xml:space="preserve"> </w:t>
      </w:r>
      <w:r w:rsidR="007D5FF6">
        <w:t xml:space="preserve">under option 2 </w:t>
      </w:r>
      <w:r w:rsidR="00191B77">
        <w:t xml:space="preserve">have been assessed as making it </w:t>
      </w:r>
      <w:r w:rsidR="004A08E9">
        <w:t>the</w:t>
      </w:r>
      <w:r w:rsidR="00B32146">
        <w:t xml:space="preserve"> preferred</w:t>
      </w:r>
      <w:r w:rsidR="004A08E9">
        <w:t xml:space="preserve"> option</w:t>
      </w:r>
      <w:r w:rsidR="00B86A1A">
        <w:t xml:space="preserve"> in comparison to</w:t>
      </w:r>
      <w:r w:rsidR="003D5A3A">
        <w:t xml:space="preserve"> </w:t>
      </w:r>
      <w:r w:rsidR="001617FC">
        <w:t xml:space="preserve">the status quo </w:t>
      </w:r>
      <w:r w:rsidR="00C673CA">
        <w:t xml:space="preserve">under </w:t>
      </w:r>
      <w:r w:rsidR="001617FC">
        <w:t>option 1.</w:t>
      </w:r>
      <w:r w:rsidR="00C673CA">
        <w:t xml:space="preserve"> </w:t>
      </w:r>
      <w:r w:rsidR="007D495F">
        <w:t>O</w:t>
      </w:r>
      <w:r w:rsidR="00DD2ADF">
        <w:t>ption 2 is preferred</w:t>
      </w:r>
      <w:r w:rsidR="00C673CA">
        <w:t xml:space="preserve"> </w:t>
      </w:r>
      <w:r w:rsidR="007D495F">
        <w:t>as</w:t>
      </w:r>
      <w:r w:rsidR="003C56FE">
        <w:t xml:space="preserve"> it</w:t>
      </w:r>
      <w:r w:rsidR="007D495F">
        <w:t xml:space="preserve"> </w:t>
      </w:r>
      <w:r w:rsidR="007D5FF6">
        <w:t>has been ass</w:t>
      </w:r>
      <w:r w:rsidR="00E15D9E">
        <w:t>es</w:t>
      </w:r>
      <w:r w:rsidR="007D5FF6">
        <w:t xml:space="preserve">sed to </w:t>
      </w:r>
      <w:r w:rsidR="0005054A">
        <w:t>result in</w:t>
      </w:r>
      <w:r w:rsidR="00EC2553">
        <w:t xml:space="preserve"> better outcomes for</w:t>
      </w:r>
      <w:r w:rsidR="00253454">
        <w:t xml:space="preserve"> </w:t>
      </w:r>
      <w:r w:rsidR="004A08E9">
        <w:t xml:space="preserve">the 2 </w:t>
      </w:r>
      <w:r w:rsidR="004A09BB">
        <w:t>core</w:t>
      </w:r>
      <w:r w:rsidR="004A08E9">
        <w:t xml:space="preserve"> objectives</w:t>
      </w:r>
      <w:r w:rsidR="00253454">
        <w:t xml:space="preserve"> of </w:t>
      </w:r>
      <w:r w:rsidR="00EC2553">
        <w:t>government action</w:t>
      </w:r>
      <w:r w:rsidR="004A09BB">
        <w:t xml:space="preserve"> outline</w:t>
      </w:r>
      <w:r w:rsidR="00707221">
        <w:t>d</w:t>
      </w:r>
      <w:r w:rsidR="004A09BB">
        <w:t xml:space="preserve"> in section 2.2.2</w:t>
      </w:r>
      <w:r w:rsidR="00B71282">
        <w:t>: reduce scam harms and align benefits and costs of scam prevention</w:t>
      </w:r>
      <w:r w:rsidR="00253454">
        <w:t>.</w:t>
      </w:r>
    </w:p>
    <w:p w14:paraId="55DA2A20" w14:textId="45F959FC" w:rsidR="008C1967" w:rsidRDefault="00174DA2" w:rsidP="00A5697B">
      <w:pPr>
        <w:pStyle w:val="Heading7"/>
        <w:numPr>
          <w:ilvl w:val="2"/>
          <w:numId w:val="14"/>
        </w:numPr>
        <w:ind w:left="284" w:hanging="284"/>
      </w:pPr>
      <w:r>
        <w:t>Reduc</w:t>
      </w:r>
      <w:r w:rsidR="00DE1E29">
        <w:t>e scam harms</w:t>
      </w:r>
    </w:p>
    <w:p w14:paraId="747737D8" w14:textId="36DF361E" w:rsidR="00ED6BE8" w:rsidRPr="00ED6BE8" w:rsidRDefault="00ED6BE8" w:rsidP="00ED6BE8">
      <w:pPr>
        <w:rPr>
          <w:rFonts w:cs="Calibri Light"/>
          <w:szCs w:val="22"/>
        </w:rPr>
      </w:pPr>
      <w:r w:rsidRPr="00ED6BE8">
        <w:rPr>
          <w:rFonts w:cs="Calibri Light"/>
          <w:szCs w:val="22"/>
        </w:rPr>
        <w:t xml:space="preserve">The key benefit of option 2, is that mandatory and consistent standards across industry sectors will uplift scam </w:t>
      </w:r>
      <w:r w:rsidR="009214AA">
        <w:rPr>
          <w:rFonts w:cs="Calibri Light"/>
          <w:szCs w:val="22"/>
        </w:rPr>
        <w:t xml:space="preserve">prevention </w:t>
      </w:r>
      <w:r w:rsidRPr="00ED6BE8">
        <w:rPr>
          <w:rFonts w:cs="Calibri Light"/>
          <w:szCs w:val="22"/>
        </w:rPr>
        <w:t xml:space="preserve">activities and in turn reduce exposure to scams for businesses and consumers. </w:t>
      </w:r>
    </w:p>
    <w:p w14:paraId="34AB4E94" w14:textId="71B452D4" w:rsidR="00ED6BE8" w:rsidRPr="00ED6BE8" w:rsidRDefault="00ED6BE8" w:rsidP="00E751C3">
      <w:pPr>
        <w:rPr>
          <w:rFonts w:cs="Calibri Light"/>
          <w:szCs w:val="22"/>
        </w:rPr>
      </w:pPr>
      <w:r w:rsidRPr="00ED6BE8">
        <w:rPr>
          <w:rFonts w:cs="Calibri Light"/>
          <w:szCs w:val="22"/>
        </w:rPr>
        <w:t xml:space="preserve">Under the status quo there may be some improvement in actions from entities to reduce exposure to scams, but inaction from Government to close gaps in the ecosystem targeted by scams would continue to expose Australians to vulnerabilities and high volumes of scam activity. </w:t>
      </w:r>
    </w:p>
    <w:p w14:paraId="59D18098" w14:textId="26555D52" w:rsidR="00F76ADD" w:rsidRDefault="00E751C3" w:rsidP="00ED6BE8">
      <w:pPr>
        <w:rPr>
          <w:rFonts w:cs="Calibri Light"/>
          <w:szCs w:val="22"/>
        </w:rPr>
      </w:pPr>
      <w:r>
        <w:rPr>
          <w:rFonts w:cs="Calibri Light"/>
          <w:szCs w:val="22"/>
        </w:rPr>
        <w:t>O</w:t>
      </w:r>
      <w:r w:rsidRPr="00ED6BE8">
        <w:rPr>
          <w:rFonts w:cs="Calibri Light"/>
          <w:szCs w:val="22"/>
        </w:rPr>
        <w:t xml:space="preserve">ption 2 would provide substantial improvement toward creating clear obligations on regulated entities and coordination of scam </w:t>
      </w:r>
      <w:r>
        <w:rPr>
          <w:rFonts w:cs="Calibri Light"/>
          <w:szCs w:val="22"/>
        </w:rPr>
        <w:t xml:space="preserve">prevention </w:t>
      </w:r>
      <w:r w:rsidRPr="00ED6BE8">
        <w:rPr>
          <w:rFonts w:cs="Calibri Light"/>
          <w:szCs w:val="22"/>
        </w:rPr>
        <w:t>activities</w:t>
      </w:r>
      <w:r>
        <w:rPr>
          <w:rFonts w:cs="Calibri Light"/>
          <w:szCs w:val="22"/>
        </w:rPr>
        <w:t>.</w:t>
      </w:r>
      <w:r w:rsidRPr="00ED6BE8">
        <w:rPr>
          <w:rFonts w:cs="Calibri Light"/>
          <w:szCs w:val="22"/>
        </w:rPr>
        <w:t xml:space="preserve"> </w:t>
      </w:r>
      <w:r w:rsidR="00ED6BE8" w:rsidRPr="00ED6BE8">
        <w:rPr>
          <w:rFonts w:cs="Calibri Light"/>
          <w:szCs w:val="22"/>
        </w:rPr>
        <w:t xml:space="preserve">Option 2 would uplift the capacity for regulated entities across the chain of services involved in a scam, improving the likelihood scam exposure </w:t>
      </w:r>
      <w:r w:rsidR="00840DC8" w:rsidRPr="00ED6BE8">
        <w:rPr>
          <w:rFonts w:cs="Calibri Light"/>
          <w:szCs w:val="22"/>
        </w:rPr>
        <w:t>does not lead to financial loss</w:t>
      </w:r>
      <w:r w:rsidR="00ED6BE8" w:rsidRPr="00ED6BE8">
        <w:rPr>
          <w:rFonts w:cs="Calibri Light"/>
          <w:szCs w:val="22"/>
        </w:rPr>
        <w:t xml:space="preserve">. </w:t>
      </w:r>
      <w:r w:rsidR="008C6E51" w:rsidRPr="00ED6BE8">
        <w:rPr>
          <w:rFonts w:cs="Calibri Light"/>
          <w:szCs w:val="22"/>
        </w:rPr>
        <w:t>Uplifts</w:t>
      </w:r>
      <w:r w:rsidR="00ED6BE8" w:rsidRPr="00ED6BE8">
        <w:rPr>
          <w:rFonts w:cs="Calibri Light"/>
          <w:szCs w:val="22"/>
        </w:rPr>
        <w:t xml:space="preserve"> to scam entity disruption activities and information sharing between entities would result in more scam activity being circumvented before amounts are transferred to a scammer.</w:t>
      </w:r>
      <w:r w:rsidR="005230D6">
        <w:rPr>
          <w:rFonts w:cs="Calibri Light"/>
          <w:szCs w:val="22"/>
        </w:rPr>
        <w:t xml:space="preserve"> </w:t>
      </w:r>
    </w:p>
    <w:p w14:paraId="59D20D1A" w14:textId="3DEED529" w:rsidR="00ED6BE8" w:rsidRPr="00ED6BE8" w:rsidRDefault="00ED6BE8" w:rsidP="00ED6BE8">
      <w:pPr>
        <w:rPr>
          <w:rFonts w:cs="Calibri Light"/>
          <w:szCs w:val="22"/>
        </w:rPr>
      </w:pPr>
      <w:r w:rsidRPr="00ED6BE8">
        <w:rPr>
          <w:rFonts w:cs="Calibri Light"/>
          <w:szCs w:val="22"/>
        </w:rPr>
        <w:t xml:space="preserve">While there may otherwise be continued progress on voluntary information sharing and anti-scam activities, the status quo would not involve the level of uplift or coordination of option 2. Similarly, </w:t>
      </w:r>
      <w:r w:rsidR="00EA7B98">
        <w:rPr>
          <w:rFonts w:cs="Calibri Light"/>
          <w:szCs w:val="22"/>
        </w:rPr>
        <w:t xml:space="preserve">under the status quo </w:t>
      </w:r>
      <w:r w:rsidRPr="00ED6BE8">
        <w:rPr>
          <w:rFonts w:cs="Calibri Light"/>
          <w:szCs w:val="22"/>
        </w:rPr>
        <w:t xml:space="preserve">there would not be the benefit of ecosystem-wide improvements and </w:t>
      </w:r>
      <w:r w:rsidR="00B70E57">
        <w:rPr>
          <w:rFonts w:cs="Calibri Light"/>
          <w:szCs w:val="22"/>
        </w:rPr>
        <w:t xml:space="preserve">it </w:t>
      </w:r>
      <w:r w:rsidRPr="00ED6BE8">
        <w:rPr>
          <w:rFonts w:cs="Calibri Light"/>
          <w:szCs w:val="22"/>
        </w:rPr>
        <w:t xml:space="preserve">may involve risks of such a system being exploited by scammers. </w:t>
      </w:r>
    </w:p>
    <w:p w14:paraId="2D35F983" w14:textId="44DF1998" w:rsidR="003A1D73" w:rsidRDefault="003A1D73" w:rsidP="003A1D73">
      <w:r>
        <w:t xml:space="preserve">The proposed SPF under option 2 addresses a variety of socioeconomic challenges which arise from scams through introducing a cohesive overarching structure to Australia’s response to scam activity supported by government. Establishing a coherent </w:t>
      </w:r>
      <w:r w:rsidR="00276456">
        <w:t xml:space="preserve">government </w:t>
      </w:r>
      <w:r>
        <w:t xml:space="preserve">framework would </w:t>
      </w:r>
      <w:r w:rsidR="0029184E">
        <w:t xml:space="preserve">provide a consistent message </w:t>
      </w:r>
      <w:r w:rsidR="0037713E">
        <w:t>in relation to consumer protections for scams</w:t>
      </w:r>
      <w:r w:rsidR="005B4293">
        <w:t xml:space="preserve"> (see section 2.1.3)</w:t>
      </w:r>
      <w:r w:rsidR="0037713E">
        <w:t xml:space="preserve">. This would </w:t>
      </w:r>
      <w:r>
        <w:t>assist in improving confidence for engaging in communications and economic activity, and understanding there are structures in place for acting on evolving scam activity into the future.</w:t>
      </w:r>
    </w:p>
    <w:p w14:paraId="14043331" w14:textId="30E5E33E" w:rsidR="00655D21" w:rsidRDefault="00A23139" w:rsidP="00A23139">
      <w:pPr>
        <w:pStyle w:val="Heading7"/>
      </w:pPr>
      <w:r>
        <w:t>2</w:t>
      </w:r>
      <w:r w:rsidR="00655D21">
        <w:t>) Align benefits and costs of scam prevention</w:t>
      </w:r>
    </w:p>
    <w:p w14:paraId="002C9CD8" w14:textId="55AAA9F0" w:rsidR="00655D21" w:rsidRPr="0052243D" w:rsidRDefault="00655D21" w:rsidP="00655D21">
      <w:r>
        <w:t>Given the role of different types of entities offering services vulnerable to scams across the Australian economy, it is preferable to pursue an approach which does not inequitably burden one sector with the regulatory burden of complying with scam prevention and response obligations.</w:t>
      </w:r>
      <w:r w:rsidRPr="0005054A">
        <w:t xml:space="preserve"> </w:t>
      </w:r>
      <w:r w:rsidR="003431D9">
        <w:t xml:space="preserve">Allocation of incentives across the scams ecosystems associated with option 2 make it preferable to </w:t>
      </w:r>
      <w:r w:rsidR="006E4AC7">
        <w:t>the status quo</w:t>
      </w:r>
      <w:r w:rsidR="00DC2299">
        <w:t xml:space="preserve"> </w:t>
      </w:r>
      <w:r w:rsidR="003431D9">
        <w:t xml:space="preserve">Option </w:t>
      </w:r>
      <w:r w:rsidR="00DC2299">
        <w:t>1</w:t>
      </w:r>
      <w:r w:rsidR="003431D9">
        <w:t xml:space="preserve"> would not result in alignment of the benefits of anti-scam activity as protections</w:t>
      </w:r>
      <w:r w:rsidR="00DC2299">
        <w:t xml:space="preserve">, with </w:t>
      </w:r>
      <w:r w:rsidR="00AF7C12">
        <w:t xml:space="preserve">incentives currently more concentrated on </w:t>
      </w:r>
      <w:r w:rsidR="003431D9">
        <w:t>banking services</w:t>
      </w:r>
      <w:r w:rsidR="006D6840">
        <w:t xml:space="preserve"> and major entities rather than across </w:t>
      </w:r>
      <w:r w:rsidR="00F766EE">
        <w:t xml:space="preserve">entities in </w:t>
      </w:r>
      <w:r w:rsidR="006D6840">
        <w:t xml:space="preserve">the scam </w:t>
      </w:r>
      <w:r w:rsidR="00F766EE">
        <w:t>ecosystem</w:t>
      </w:r>
      <w:r w:rsidR="003431D9">
        <w:t>.</w:t>
      </w:r>
    </w:p>
    <w:p w14:paraId="76973CD3" w14:textId="2B352CCD" w:rsidR="00655D21" w:rsidRDefault="00655D21" w:rsidP="0008769C">
      <w:r>
        <w:t xml:space="preserve">Option </w:t>
      </w:r>
      <w:r w:rsidR="008C1D41">
        <w:t>2</w:t>
      </w:r>
      <w:r>
        <w:t xml:space="preserve"> involves </w:t>
      </w:r>
      <w:r w:rsidR="00AA25C8">
        <w:t>aligning</w:t>
      </w:r>
      <w:r w:rsidR="00814D36">
        <w:t xml:space="preserve"> the</w:t>
      </w:r>
      <w:r>
        <w:t xml:space="preserve"> imposition of costs across the economy</w:t>
      </w:r>
      <w:r w:rsidR="00AA25C8">
        <w:t xml:space="preserve"> with </w:t>
      </w:r>
      <w:r w:rsidR="00D62F5D">
        <w:t xml:space="preserve">where there would be benefit from scam prevention activity. </w:t>
      </w:r>
      <w:r w:rsidR="003E58A1">
        <w:t>O</w:t>
      </w:r>
      <w:r>
        <w:t xml:space="preserve">ption 2 would involve regulatory burden improving anti-scam activities and complying with mandatory obligations spread across the initially designated sectors of </w:t>
      </w:r>
      <w:r w:rsidRPr="001C0FA6">
        <w:t>banking ($3</w:t>
      </w:r>
      <w:r>
        <w:t>8.7</w:t>
      </w:r>
      <w:r w:rsidRPr="001C0FA6">
        <w:t xml:space="preserve"> million average over the first 10 years), telecommunications ($1</w:t>
      </w:r>
      <w:r>
        <w:t>4.9</w:t>
      </w:r>
      <w:r w:rsidRPr="001C0FA6">
        <w:t xml:space="preserve"> million) and digital platforms ($</w:t>
      </w:r>
      <w:r w:rsidR="003E68A1">
        <w:t>48.5</w:t>
      </w:r>
      <w:r w:rsidRPr="001C0FA6">
        <w:t xml:space="preserve"> million</w:t>
      </w:r>
      <w:r>
        <w:t xml:space="preserve">), and then potentially onto designated future services where scams are occurring. </w:t>
      </w:r>
      <w:r w:rsidR="00F91B7A">
        <w:t>Within these sectors, costs</w:t>
      </w:r>
      <w:r w:rsidR="007549DE">
        <w:t xml:space="preserve"> are expected to be</w:t>
      </w:r>
      <w:r w:rsidR="00F91B7A">
        <w:t xml:space="preserve"> </w:t>
      </w:r>
      <w:r w:rsidR="007549DE">
        <w:t>aligned with</w:t>
      </w:r>
      <w:r w:rsidR="00ED3A2C">
        <w:t xml:space="preserve"> the extent there are</w:t>
      </w:r>
      <w:r w:rsidR="007549DE">
        <w:t xml:space="preserve"> </w:t>
      </w:r>
      <w:r w:rsidR="007549DE">
        <w:lastRenderedPageBreak/>
        <w:t xml:space="preserve">opportunities for </w:t>
      </w:r>
      <w:r w:rsidR="004F35A6">
        <w:t xml:space="preserve">certain categories of entities to </w:t>
      </w:r>
      <w:r w:rsidR="007549DE">
        <w:t xml:space="preserve">uplift </w:t>
      </w:r>
      <w:r w:rsidR="004F35A6">
        <w:t>their</w:t>
      </w:r>
      <w:r w:rsidR="007549DE">
        <w:t xml:space="preserve"> anti-scam activities and </w:t>
      </w:r>
      <w:r w:rsidR="004F35A6">
        <w:t xml:space="preserve">engage in </w:t>
      </w:r>
      <w:r w:rsidR="00ED3A2C">
        <w:t>improve</w:t>
      </w:r>
      <w:r w:rsidR="00E81E35">
        <w:t>d</w:t>
      </w:r>
      <w:r w:rsidR="00ED3A2C">
        <w:t xml:space="preserve"> information sharing </w:t>
      </w:r>
      <w:r w:rsidR="00E81E35">
        <w:t xml:space="preserve">arrangements </w:t>
      </w:r>
      <w:r w:rsidR="00ED3A2C">
        <w:t>and EDR.</w:t>
      </w:r>
      <w:r w:rsidR="00F91B7A">
        <w:t xml:space="preserve"> </w:t>
      </w:r>
    </w:p>
    <w:p w14:paraId="13EFC6B6" w14:textId="531D4316" w:rsidR="00D47E71" w:rsidRDefault="00D47E71" w:rsidP="0008769C">
      <w:r>
        <w:t xml:space="preserve">The </w:t>
      </w:r>
      <w:r w:rsidRPr="00ED6BE8">
        <w:t>single EDR scheme proposal under option 2 takes a whole-of-ecosystem approach. This ensures responsibility for redress will sit with all entities regulated under option 2 where they have not taken appropriate action. This would ensure the liabilities for redress for scams are allocated across the ecosystem, including digital platforms who currently do</w:t>
      </w:r>
      <w:r>
        <w:t xml:space="preserve"> not</w:t>
      </w:r>
      <w:r w:rsidRPr="00ED6BE8">
        <w:t xml:space="preserve"> have EDR arrangements</w:t>
      </w:r>
      <w:r>
        <w:t xml:space="preserve"> in place</w:t>
      </w:r>
      <w:r w:rsidRPr="00ED6BE8">
        <w:t xml:space="preserve"> and remain a point of vulnerability in the scam</w:t>
      </w:r>
      <w:r>
        <w:t>s</w:t>
      </w:r>
      <w:r w:rsidRPr="00ED6BE8">
        <w:t xml:space="preserve"> ecosystem.</w:t>
      </w:r>
    </w:p>
    <w:p w14:paraId="5D5FF603" w14:textId="1646DF6A" w:rsidR="00EB18FA" w:rsidRDefault="00546E3C" w:rsidP="002B2986">
      <w:pPr>
        <w:pStyle w:val="Heading3"/>
      </w:pPr>
      <w:bookmarkStart w:id="72" w:name="_Toc179556414"/>
      <w:r>
        <w:t xml:space="preserve">6.2 </w:t>
      </w:r>
      <w:r w:rsidR="00C0615D">
        <w:t>Implementation</w:t>
      </w:r>
      <w:r w:rsidR="002B2986" w:rsidDel="00C0615D">
        <w:t xml:space="preserve"> </w:t>
      </w:r>
      <w:r w:rsidR="002B2986">
        <w:t xml:space="preserve">of Option 2 – </w:t>
      </w:r>
      <w:r w:rsidR="000A746C">
        <w:t>Scams Prevention</w:t>
      </w:r>
      <w:r w:rsidR="002B2986">
        <w:t xml:space="preserve"> Framework</w:t>
      </w:r>
      <w:bookmarkEnd w:id="72"/>
    </w:p>
    <w:p w14:paraId="6BCDCEC2" w14:textId="301DFBDC" w:rsidR="00E259FA" w:rsidRDefault="00DE6BDE" w:rsidP="00652697">
      <w:pPr>
        <w:spacing w:before="0" w:after="160" w:line="259" w:lineRule="auto"/>
      </w:pPr>
      <w:r>
        <w:t xml:space="preserve">To implement option 2 legislation would need to be passed </w:t>
      </w:r>
      <w:r w:rsidR="008971EF">
        <w:t xml:space="preserve">to establish the legal </w:t>
      </w:r>
      <w:r w:rsidR="00405957">
        <w:t>status of the SPF</w:t>
      </w:r>
      <w:r w:rsidR="008971EF">
        <w:t xml:space="preserve"> </w:t>
      </w:r>
      <w:r w:rsidR="00405957">
        <w:t xml:space="preserve">and enable the </w:t>
      </w:r>
      <w:r w:rsidR="005918F0">
        <w:t xml:space="preserve">establishment </w:t>
      </w:r>
      <w:r w:rsidR="00405957">
        <w:t>of</w:t>
      </w:r>
      <w:r w:rsidR="008971EF">
        <w:t xml:space="preserve"> mandatory industry codes</w:t>
      </w:r>
      <w:r w:rsidR="0046297B">
        <w:t xml:space="preserve"> for scam prevention</w:t>
      </w:r>
      <w:r w:rsidR="008971EF">
        <w:t xml:space="preserve">. </w:t>
      </w:r>
      <w:r w:rsidR="00405957">
        <w:t>T</w:t>
      </w:r>
      <w:r w:rsidR="00652697">
        <w:t xml:space="preserve">he </w:t>
      </w:r>
      <w:r w:rsidR="00AB609C">
        <w:t>SPF</w:t>
      </w:r>
      <w:r w:rsidR="00652697">
        <w:t xml:space="preserve"> </w:t>
      </w:r>
      <w:r w:rsidR="00405957">
        <w:t xml:space="preserve">would </w:t>
      </w:r>
      <w:r w:rsidR="00652697">
        <w:t xml:space="preserve">introduce mandatory requirements to combat scams in all sectors in the economy, initially </w:t>
      </w:r>
      <w:r w:rsidR="000358E5">
        <w:t>apply</w:t>
      </w:r>
      <w:r w:rsidR="00405957">
        <w:t>ing</w:t>
      </w:r>
      <w:r w:rsidR="000358E5">
        <w:t xml:space="preserve"> to </w:t>
      </w:r>
      <w:r w:rsidR="00032A81">
        <w:t xml:space="preserve">designated sectors in </w:t>
      </w:r>
      <w:r w:rsidR="00652697">
        <w:t xml:space="preserve">telecommunication providers, banks and digital platform services relating to social media, paid search engine advertising and direct messaging. Future sectors will be considered as scam methods and trends adapt and the </w:t>
      </w:r>
      <w:r w:rsidR="00AB609C">
        <w:t>SPF</w:t>
      </w:r>
      <w:r w:rsidR="00652697">
        <w:t xml:space="preserve"> matures.</w:t>
      </w:r>
    </w:p>
    <w:p w14:paraId="65F0F870" w14:textId="77777777" w:rsidR="002B12BF" w:rsidRDefault="00C132A9" w:rsidP="00652697">
      <w:pPr>
        <w:spacing w:before="0" w:after="160" w:line="259" w:lineRule="auto"/>
      </w:pPr>
      <w:r>
        <w:t xml:space="preserve">The SPF would be introduced as part of a broader effort to modernise Australia's laws for the digital age, including reforms to Australia’s privacy, money laundering and cyber settings, the modernisation of the payment system, introduction of online safety measures, as well as the rollout of Digital ID and </w:t>
      </w:r>
      <w:proofErr w:type="spellStart"/>
      <w:r>
        <w:t>eInvoicing</w:t>
      </w:r>
      <w:proofErr w:type="spellEnd"/>
      <w:r>
        <w:t xml:space="preserve"> infrastructure for businesses.</w:t>
      </w:r>
      <w:r w:rsidR="00B62CFF">
        <w:t xml:space="preserve"> </w:t>
      </w:r>
    </w:p>
    <w:p w14:paraId="4B58A0FC" w14:textId="723CBB3A" w:rsidR="00C132A9" w:rsidRDefault="00B62CFF" w:rsidP="00652697">
      <w:pPr>
        <w:spacing w:before="0" w:after="160" w:line="259" w:lineRule="auto"/>
      </w:pPr>
      <w:r>
        <w:t xml:space="preserve">Detailed obligations relating to </w:t>
      </w:r>
      <w:r w:rsidR="003C7580">
        <w:t xml:space="preserve">scam prevention activities, governance, reporting and dispute resolution </w:t>
      </w:r>
      <w:r w:rsidR="00E47304">
        <w:t xml:space="preserve">would be further refined </w:t>
      </w:r>
      <w:r w:rsidR="004E1161">
        <w:t xml:space="preserve">to ensure compatibility </w:t>
      </w:r>
      <w:r w:rsidR="00E44339">
        <w:t xml:space="preserve">with other regulatory regimes </w:t>
      </w:r>
      <w:r w:rsidR="004E1161">
        <w:t xml:space="preserve">and </w:t>
      </w:r>
      <w:r w:rsidR="00E44339">
        <w:t>industry initiative</w:t>
      </w:r>
      <w:r w:rsidR="002B12BF">
        <w:t xml:space="preserve">s. </w:t>
      </w:r>
      <w:r w:rsidR="00C12FCF">
        <w:t>Obligations would be designed</w:t>
      </w:r>
      <w:r w:rsidR="00E44339">
        <w:t xml:space="preserve"> to minimise</w:t>
      </w:r>
      <w:r w:rsidR="004E1161">
        <w:t xml:space="preserve"> inefficiencies</w:t>
      </w:r>
      <w:r w:rsidR="00E44339">
        <w:t xml:space="preserve"> and regulatory burdens where appropriate.</w:t>
      </w:r>
    </w:p>
    <w:p w14:paraId="0356C4D8" w14:textId="49EC9F02" w:rsidR="00C132A9" w:rsidRDefault="00C132A9" w:rsidP="00BE17D1">
      <w:pPr>
        <w:pStyle w:val="Heading4"/>
      </w:pPr>
      <w:r>
        <w:t>Designation of sectors</w:t>
      </w:r>
    </w:p>
    <w:p w14:paraId="67D9CA5A" w14:textId="3F7CE055" w:rsidR="00333D8F" w:rsidRDefault="003046C4" w:rsidP="00333D8F">
      <w:pPr>
        <w:spacing w:before="0" w:after="160" w:line="259" w:lineRule="auto"/>
      </w:pPr>
      <w:r>
        <w:t>With the</w:t>
      </w:r>
      <w:r w:rsidR="00BC742A">
        <w:t xml:space="preserve"> </w:t>
      </w:r>
      <w:r w:rsidR="00AB609C">
        <w:t>SPF</w:t>
      </w:r>
      <w:r w:rsidR="00BC742A">
        <w:t xml:space="preserve"> legislation</w:t>
      </w:r>
      <w:r>
        <w:t>,</w:t>
      </w:r>
      <w:r w:rsidR="00BC742A">
        <w:t xml:space="preserve"> a designation instrument would </w:t>
      </w:r>
      <w:r w:rsidR="00274478">
        <w:t xml:space="preserve">be </w:t>
      </w:r>
      <w:r w:rsidR="00F20F90">
        <w:t>issued</w:t>
      </w:r>
      <w:r w:rsidR="00EB11A1">
        <w:t xml:space="preserve"> to outline the scope of</w:t>
      </w:r>
      <w:r w:rsidR="00BC742A">
        <w:t xml:space="preserve"> entities providing services in</w:t>
      </w:r>
      <w:r w:rsidR="00BC742A" w:rsidRPr="007866E7">
        <w:t xml:space="preserve"> </w:t>
      </w:r>
      <w:r w:rsidR="00BC742A">
        <w:t xml:space="preserve">the </w:t>
      </w:r>
      <w:r w:rsidR="00BC742A" w:rsidRPr="007866E7">
        <w:t>bank</w:t>
      </w:r>
      <w:r w:rsidR="00BC742A">
        <w:t>ing</w:t>
      </w:r>
      <w:r w:rsidR="00BC742A" w:rsidRPr="007866E7">
        <w:t>,</w:t>
      </w:r>
      <w:r w:rsidR="00BC742A">
        <w:t xml:space="preserve"> </w:t>
      </w:r>
      <w:r w:rsidR="00BC742A" w:rsidRPr="007866E7">
        <w:t>telecommunications</w:t>
      </w:r>
      <w:r w:rsidR="00BC742A">
        <w:t xml:space="preserve"> and</w:t>
      </w:r>
      <w:r w:rsidR="00BC742A" w:rsidRPr="007866E7">
        <w:t xml:space="preserve"> </w:t>
      </w:r>
      <w:r w:rsidR="005B468A">
        <w:t xml:space="preserve">certain </w:t>
      </w:r>
      <w:r w:rsidR="00BC742A" w:rsidRPr="007866E7">
        <w:t>digital platform</w:t>
      </w:r>
      <w:r w:rsidR="00BC742A">
        <w:t xml:space="preserve">s (social media, </w:t>
      </w:r>
      <w:r w:rsidR="005342BC">
        <w:t xml:space="preserve">direct </w:t>
      </w:r>
      <w:r w:rsidR="00BC742A">
        <w:t xml:space="preserve">messaging and </w:t>
      </w:r>
      <w:r w:rsidR="005B468A">
        <w:t xml:space="preserve">paid </w:t>
      </w:r>
      <w:r w:rsidR="00BC742A">
        <w:t>search advertising services)</w:t>
      </w:r>
      <w:r w:rsidR="00BC742A" w:rsidRPr="007866E7">
        <w:t xml:space="preserve"> </w:t>
      </w:r>
      <w:r w:rsidR="00EB11A1">
        <w:t xml:space="preserve">which </w:t>
      </w:r>
      <w:r w:rsidR="00254CF4">
        <w:t xml:space="preserve">would </w:t>
      </w:r>
      <w:r w:rsidR="00BC742A">
        <w:t xml:space="preserve">be obligated to comply with the </w:t>
      </w:r>
      <w:r w:rsidR="00AB609C">
        <w:t>SPF</w:t>
      </w:r>
      <w:r w:rsidR="00BC742A">
        <w:t>.</w:t>
      </w:r>
      <w:r w:rsidR="00BC742A" w:rsidRPr="00D0670D">
        <w:t xml:space="preserve"> This </w:t>
      </w:r>
      <w:r w:rsidR="00BC742A">
        <w:t>would</w:t>
      </w:r>
      <w:r w:rsidR="00BC742A" w:rsidRPr="00D0670D">
        <w:t xml:space="preserve"> </w:t>
      </w:r>
      <w:r w:rsidR="00BC742A">
        <w:t>introduce mandatory anti-scam obligations on services through which</w:t>
      </w:r>
      <w:r w:rsidR="00BC742A" w:rsidRPr="00D0670D">
        <w:t xml:space="preserve"> </w:t>
      </w:r>
      <w:r w:rsidR="00C44AAB" w:rsidRPr="00D0670D">
        <w:t>most</w:t>
      </w:r>
      <w:r w:rsidR="00BC742A" w:rsidRPr="00D0670D">
        <w:t xml:space="preserve"> scam activity is occurring.</w:t>
      </w:r>
      <w:r w:rsidR="00FE419C" w:rsidRPr="00FE419C">
        <w:t xml:space="preserve"> </w:t>
      </w:r>
    </w:p>
    <w:p w14:paraId="661A317F" w14:textId="49452DAA" w:rsidR="00333D8F" w:rsidRDefault="00EB11A1" w:rsidP="00333D8F">
      <w:pPr>
        <w:spacing w:before="0" w:after="160" w:line="259" w:lineRule="auto"/>
      </w:pPr>
      <w:r>
        <w:t>Designation instruments</w:t>
      </w:r>
      <w:r w:rsidR="00BF1C78">
        <w:t xml:space="preserve"> for the </w:t>
      </w:r>
      <w:r w:rsidR="004332A8">
        <w:t>first three sectors</w:t>
      </w:r>
      <w:r>
        <w:t xml:space="preserve"> would be developed by </w:t>
      </w:r>
      <w:r w:rsidR="00E625C3">
        <w:t xml:space="preserve">Treasury and DITRDCA, in collaboration with </w:t>
      </w:r>
      <w:r w:rsidR="00BF1C78">
        <w:t>industry stakeholders and other government agencies.</w:t>
      </w:r>
      <w:r w:rsidR="00E625C3">
        <w:t xml:space="preserve"> </w:t>
      </w:r>
      <w:r w:rsidR="00B03226">
        <w:t xml:space="preserve">Public consultation on the designation instruments </w:t>
      </w:r>
      <w:r w:rsidR="00F1417A">
        <w:t>would</w:t>
      </w:r>
      <w:r w:rsidR="00B03226">
        <w:t xml:space="preserve"> occur prior to instruments taking effect</w:t>
      </w:r>
      <w:r w:rsidR="00960ED2">
        <w:t>, to minimise risk the scope of entities covered under the SPF does not match the policy intent</w:t>
      </w:r>
      <w:r w:rsidR="00B03226">
        <w:t xml:space="preserve">. </w:t>
      </w:r>
      <w:r w:rsidR="00333D8F">
        <w:t>The instrument may specify an application or a transition period before the SPF comes into effect</w:t>
      </w:r>
      <w:r w:rsidR="00960ED2">
        <w:t xml:space="preserve"> to manage implementation risks</w:t>
      </w:r>
      <w:r w:rsidR="00333D8F">
        <w:t xml:space="preserve">. </w:t>
      </w:r>
    </w:p>
    <w:p w14:paraId="07535517" w14:textId="34B6F1A0" w:rsidR="008A3293" w:rsidRDefault="008A3293" w:rsidP="00333D8F">
      <w:pPr>
        <w:spacing w:before="0" w:after="160" w:line="259" w:lineRule="auto"/>
      </w:pPr>
      <w:r w:rsidRPr="008A3293">
        <w:t xml:space="preserve">The SPF’s flexible design </w:t>
      </w:r>
      <w:r>
        <w:t>would</w:t>
      </w:r>
      <w:r w:rsidRPr="008A3293">
        <w:t xml:space="preserve"> enable additional sectors to be designated in the future. </w:t>
      </w:r>
      <w:r>
        <w:t xml:space="preserve">Prior to designating a sector, there would be consideration by Treasury and the Government of the scam activity in the sector, effectiveness of existing industry initiatives to address scams, interests of SPF consumers of the service, consequences and any other matters such as regulatory costs. </w:t>
      </w:r>
    </w:p>
    <w:p w14:paraId="217AB40B" w14:textId="2209216B" w:rsidR="00333D8F" w:rsidRDefault="00333D8F" w:rsidP="00BE17D1">
      <w:pPr>
        <w:pStyle w:val="Heading4"/>
      </w:pPr>
      <w:r>
        <w:t>Sector-specific codes</w:t>
      </w:r>
    </w:p>
    <w:p w14:paraId="77F86347" w14:textId="2934251F" w:rsidR="00620516" w:rsidRDefault="00E34555" w:rsidP="00652697">
      <w:pPr>
        <w:spacing w:before="0" w:after="160" w:line="259" w:lineRule="auto"/>
      </w:pPr>
      <w:r>
        <w:t>Sector-specific codes would be developed</w:t>
      </w:r>
      <w:r w:rsidR="007F434A">
        <w:t xml:space="preserve"> </w:t>
      </w:r>
      <w:r w:rsidR="00066924">
        <w:t xml:space="preserve">to </w:t>
      </w:r>
      <w:r w:rsidR="00066924" w:rsidRPr="00066924">
        <w:t xml:space="preserve">outline sector-specific prescriptive obligations for each sector that are consistent with the principles-based obligations. </w:t>
      </w:r>
      <w:r w:rsidR="00907CBD" w:rsidRPr="00066924">
        <w:t xml:space="preserve">This </w:t>
      </w:r>
      <w:r w:rsidR="00907CBD">
        <w:t>would</w:t>
      </w:r>
      <w:r w:rsidR="00907CBD" w:rsidRPr="00066924">
        <w:t xml:space="preserve"> enable the codes to provide specific obligations tailored to the scam activity in different sectors.</w:t>
      </w:r>
      <w:r w:rsidR="00907CBD">
        <w:t xml:space="preserve"> </w:t>
      </w:r>
      <w:r w:rsidR="00F536D8" w:rsidRPr="00F536D8">
        <w:t xml:space="preserve">The codes </w:t>
      </w:r>
      <w:r w:rsidR="00F536D8">
        <w:t>would</w:t>
      </w:r>
      <w:r w:rsidR="00F536D8" w:rsidRPr="00F536D8">
        <w:t xml:space="preserve"> also </w:t>
      </w:r>
      <w:r w:rsidR="00F536D8" w:rsidRPr="00F536D8">
        <w:lastRenderedPageBreak/>
        <w:t>provide flexibility to adapt to new and emerging scams, reflecting the fast changing and dynamic nature of scam activity in the digital economy.</w:t>
      </w:r>
    </w:p>
    <w:p w14:paraId="57C87964" w14:textId="65012514" w:rsidR="00345E22" w:rsidRDefault="00345E22" w:rsidP="00652697">
      <w:pPr>
        <w:spacing w:before="0" w:after="160" w:line="259" w:lineRule="auto"/>
      </w:pPr>
      <w:r>
        <w:t>C</w:t>
      </w:r>
      <w:r w:rsidRPr="00345E22">
        <w:t xml:space="preserve">ode-making </w:t>
      </w:r>
      <w:r>
        <w:t xml:space="preserve">may be conducted by </w:t>
      </w:r>
      <w:r w:rsidR="00072C10">
        <w:t xml:space="preserve">a Minister or a government regulator, </w:t>
      </w:r>
      <w:r w:rsidR="00C44AAB">
        <w:t>to</w:t>
      </w:r>
      <w:r w:rsidR="00072C10">
        <w:t xml:space="preserve"> provide flexibility for appropriate responsibilities across relevant sectors</w:t>
      </w:r>
      <w:r w:rsidRPr="00345E22">
        <w:t>.</w:t>
      </w:r>
      <w:r w:rsidR="00907CBD" w:rsidRPr="00907CBD">
        <w:t xml:space="preserve"> </w:t>
      </w:r>
      <w:r w:rsidR="00907CBD">
        <w:t>Consultation would be undertaken on the specific obl</w:t>
      </w:r>
      <w:r w:rsidR="001F462F">
        <w:t xml:space="preserve">igations in </w:t>
      </w:r>
      <w:r w:rsidR="00907CBD">
        <w:t>the</w:t>
      </w:r>
      <w:r w:rsidR="001F462F">
        <w:t xml:space="preserve"> sector-codes before they are made mandatory to ensure </w:t>
      </w:r>
      <w:r w:rsidR="00DA5FF2">
        <w:t>they are appropriately designed.</w:t>
      </w:r>
    </w:p>
    <w:p w14:paraId="22B61E3A" w14:textId="2E35FAC7" w:rsidR="00864841" w:rsidRDefault="00864841" w:rsidP="00652697">
      <w:pPr>
        <w:spacing w:before="0" w:after="160" w:line="259" w:lineRule="auto"/>
      </w:pPr>
      <w:r w:rsidRPr="00864841">
        <w:t xml:space="preserve">Treasury </w:t>
      </w:r>
      <w:r>
        <w:t xml:space="preserve">would </w:t>
      </w:r>
      <w:r w:rsidRPr="00864841">
        <w:t>develop the codes for banks and digital platforms</w:t>
      </w:r>
      <w:r>
        <w:t>.</w:t>
      </w:r>
      <w:r w:rsidRPr="00864841">
        <w:t xml:space="preserve"> </w:t>
      </w:r>
      <w:r w:rsidR="006470A2" w:rsidRPr="006470A2">
        <w:t xml:space="preserve">The Treasury Minister intends to delegate code making for the telecommunications sector to ACMA. </w:t>
      </w:r>
      <w:r w:rsidRPr="00864841">
        <w:t>ACMA w</w:t>
      </w:r>
      <w:r>
        <w:t>ould</w:t>
      </w:r>
      <w:r w:rsidRPr="00864841">
        <w:t xml:space="preserve"> work closely with the telecommunication industry on the telecommunications </w:t>
      </w:r>
      <w:r w:rsidR="00C65117">
        <w:t xml:space="preserve">sector </w:t>
      </w:r>
      <w:r w:rsidRPr="00864841">
        <w:t>code with DITRDCA being the relevant policy agency.</w:t>
      </w:r>
    </w:p>
    <w:p w14:paraId="6DF38104" w14:textId="5E7854F1" w:rsidR="001A1EA0" w:rsidRDefault="001A1EA0" w:rsidP="00B039F1">
      <w:pPr>
        <w:pStyle w:val="Heading4"/>
      </w:pPr>
      <w:r>
        <w:t xml:space="preserve">Enforcement of </w:t>
      </w:r>
      <w:r w:rsidR="00B039F1">
        <w:t>the code</w:t>
      </w:r>
    </w:p>
    <w:p w14:paraId="119446C9" w14:textId="3F029DAE" w:rsidR="00B039F1" w:rsidRDefault="00B039F1" w:rsidP="00B039F1">
      <w:r>
        <w:t xml:space="preserve">The tiered regulatory design of the </w:t>
      </w:r>
      <w:r w:rsidR="00731F0E">
        <w:t>SPF</w:t>
      </w:r>
      <w:r>
        <w:t xml:space="preserve"> would be administered and enforced via a multi-regulator model. This would deliver a whole-of-ecosystem approach to enforcement, and leverage existing regulatory relationships, monitoring and investigation frameworks already established by regulators. </w:t>
      </w:r>
    </w:p>
    <w:p w14:paraId="00E3B086" w14:textId="3C180D82" w:rsidR="00B039F1" w:rsidRPr="00B039F1" w:rsidRDefault="00B039F1" w:rsidP="00BE17D1">
      <w:r>
        <w:t xml:space="preserve">The intent is that ACCC will enforce the obligations in the primary law of the framework and the digital platform service provider code; the ACMA will enforce the telecommunications code; and </w:t>
      </w:r>
      <w:r w:rsidR="00131A1D">
        <w:t xml:space="preserve">the </w:t>
      </w:r>
      <w:r>
        <w:t>ASIC will enforce the banking code.</w:t>
      </w:r>
    </w:p>
    <w:p w14:paraId="36D00370" w14:textId="3F9A358B" w:rsidR="00DE1A43" w:rsidRDefault="00F370EB" w:rsidP="00652697">
      <w:pPr>
        <w:spacing w:before="0" w:after="160" w:line="259" w:lineRule="auto"/>
      </w:pPr>
      <w:r>
        <w:t xml:space="preserve">The ACCC as facilitators of information sharing </w:t>
      </w:r>
      <w:r w:rsidR="00731F0E">
        <w:t xml:space="preserve">would develop </w:t>
      </w:r>
      <w:r>
        <w:t xml:space="preserve">appropriate guidance for </w:t>
      </w:r>
      <w:r w:rsidR="00DE1A43">
        <w:t>reporting</w:t>
      </w:r>
      <w:r>
        <w:t xml:space="preserve"> </w:t>
      </w:r>
      <w:r w:rsidR="00917320">
        <w:t>by regulated entities, to align with their systems</w:t>
      </w:r>
      <w:r w:rsidR="002131AB">
        <w:t>, operational objectives and capabilities</w:t>
      </w:r>
      <w:r w:rsidR="00DE1A43">
        <w:t>.</w:t>
      </w:r>
      <w:r w:rsidR="002131AB">
        <w:t xml:space="preserve"> Sector regulators would also</w:t>
      </w:r>
      <w:r w:rsidR="00CE2E02">
        <w:t xml:space="preserve"> develop guidance </w:t>
      </w:r>
      <w:r w:rsidR="00CD318F">
        <w:t xml:space="preserve">appropriate for each </w:t>
      </w:r>
      <w:r w:rsidR="00CE2E02">
        <w:t>sector</w:t>
      </w:r>
      <w:r w:rsidR="00CD318F">
        <w:t xml:space="preserve"> in relation to obligations under the sector codes.</w:t>
      </w:r>
      <w:r w:rsidR="00DE1A43">
        <w:t xml:space="preserve"> </w:t>
      </w:r>
    </w:p>
    <w:p w14:paraId="09FF00D8" w14:textId="279D8CFC" w:rsidR="00AC42E3" w:rsidRDefault="00AC42E3" w:rsidP="00652697">
      <w:pPr>
        <w:spacing w:before="0" w:after="160" w:line="259" w:lineRule="auto"/>
      </w:pPr>
      <w:r>
        <w:t>Transitional arrangements for penalty provisions across the framework</w:t>
      </w:r>
      <w:r w:rsidRPr="009507C8">
        <w:t xml:space="preserve"> </w:t>
      </w:r>
      <w:r>
        <w:t>would be considered</w:t>
      </w:r>
      <w:r w:rsidR="00937848">
        <w:t xml:space="preserve"> to </w:t>
      </w:r>
      <w:r w:rsidR="00657D20">
        <w:t>enable uplift in</w:t>
      </w:r>
      <w:r w:rsidR="00DE0963">
        <w:t xml:space="preserve"> regulated entities</w:t>
      </w:r>
      <w:r w:rsidR="00657D20">
        <w:t xml:space="preserve"> capabilities to </w:t>
      </w:r>
      <w:r w:rsidR="004E572D">
        <w:t>be</w:t>
      </w:r>
      <w:r w:rsidR="00657D20">
        <w:t xml:space="preserve"> </w:t>
      </w:r>
      <w:r w:rsidR="004E572D">
        <w:t>conduct</w:t>
      </w:r>
      <w:r w:rsidR="00DE0963">
        <w:t>ed</w:t>
      </w:r>
      <w:r w:rsidR="00817DEE">
        <w:t>. Consideration of transitional arrangements would be</w:t>
      </w:r>
      <w:r w:rsidR="00937848">
        <w:t xml:space="preserve"> </w:t>
      </w:r>
      <w:r>
        <w:t>balanced against the need for immediate and coordinated action to respond to the threat of scam activity and protect SPF consumers.</w:t>
      </w:r>
    </w:p>
    <w:p w14:paraId="65AD756E" w14:textId="77777777" w:rsidR="009A7E5C" w:rsidRDefault="009A7E5C" w:rsidP="009A7E5C">
      <w:pPr>
        <w:pStyle w:val="base-text-paragraph"/>
        <w:numPr>
          <w:ilvl w:val="0"/>
          <w:numId w:val="0"/>
        </w:numPr>
      </w:pPr>
    </w:p>
    <w:p w14:paraId="7B82B694" w14:textId="0DF75CBD" w:rsidR="0008769C" w:rsidRPr="00F97FB6" w:rsidRDefault="0008769C" w:rsidP="009A7E5C">
      <w:pPr>
        <w:pStyle w:val="base-text-paragraph"/>
        <w:numPr>
          <w:ilvl w:val="0"/>
          <w:numId w:val="0"/>
        </w:numPr>
      </w:pPr>
      <w:r>
        <w:br w:type="page"/>
      </w:r>
    </w:p>
    <w:p w14:paraId="5A1242E1" w14:textId="4C0F34A6" w:rsidR="00D62D04" w:rsidRDefault="00F2777C" w:rsidP="00BE17D1">
      <w:pPr>
        <w:pStyle w:val="Heading1"/>
        <w:numPr>
          <w:ilvl w:val="0"/>
          <w:numId w:val="42"/>
        </w:numPr>
        <w:ind w:hanging="720"/>
      </w:pPr>
      <w:bookmarkStart w:id="73" w:name="_Toc179556415"/>
      <w:r>
        <w:lastRenderedPageBreak/>
        <w:t>Evaluation</w:t>
      </w:r>
      <w:bookmarkEnd w:id="73"/>
    </w:p>
    <w:p w14:paraId="048D1819" w14:textId="7FD15F1D" w:rsidR="003C0E77" w:rsidRDefault="00487F1C" w:rsidP="00A41AE3">
      <w:r>
        <w:t xml:space="preserve">As </w:t>
      </w:r>
      <w:r w:rsidR="003D458E">
        <w:t>outlined in the need for Government action (</w:t>
      </w:r>
      <w:r w:rsidR="00282DBE">
        <w:t xml:space="preserve">see </w:t>
      </w:r>
      <w:r w:rsidR="005C3D25" w:rsidRPr="005A16CB">
        <w:t>section 2.2.2</w:t>
      </w:r>
      <w:r w:rsidR="003D458E">
        <w:t xml:space="preserve">), the objectives of the </w:t>
      </w:r>
      <w:r w:rsidR="00BC5C01">
        <w:t xml:space="preserve">SPF </w:t>
      </w:r>
      <w:r w:rsidR="003D458E">
        <w:t xml:space="preserve">are to uplift industry efforts to address scams by </w:t>
      </w:r>
      <w:r w:rsidR="00E7416D">
        <w:t xml:space="preserve">mandating improvements in business practices, </w:t>
      </w:r>
      <w:r w:rsidR="00C245A9">
        <w:t>policies,</w:t>
      </w:r>
      <w:r w:rsidR="00E7416D">
        <w:t xml:space="preserve"> and procedures to address scams. The </w:t>
      </w:r>
      <w:r w:rsidR="00C245A9">
        <w:t xml:space="preserve">intended outcomes are that improvements in industry standards will reduce the impact of scams on Australians and improve industry responses and scam supports. </w:t>
      </w:r>
    </w:p>
    <w:p w14:paraId="275D5522" w14:textId="6BFB5419" w:rsidR="00A41740" w:rsidRDefault="008F1416" w:rsidP="008F1416">
      <w:r>
        <w:t xml:space="preserve">Evidence to inform evaluation of </w:t>
      </w:r>
      <w:r w:rsidR="0016486D">
        <w:t xml:space="preserve">the </w:t>
      </w:r>
      <w:r w:rsidR="00BC5C01">
        <w:t xml:space="preserve">SPF </w:t>
      </w:r>
      <w:r w:rsidR="0016486D">
        <w:t xml:space="preserve">and success measures </w:t>
      </w:r>
      <w:r>
        <w:t>will include</w:t>
      </w:r>
      <w:r w:rsidR="001A5B04">
        <w:t xml:space="preserve"> </w:t>
      </w:r>
      <w:r w:rsidR="00813C50">
        <w:t>information from</w:t>
      </w:r>
      <w:r w:rsidR="001A5B04">
        <w:t xml:space="preserve"> </w:t>
      </w:r>
      <w:r w:rsidR="00DC3ED1">
        <w:t>Governme</w:t>
      </w:r>
      <w:r w:rsidR="004C16A0">
        <w:t>n</w:t>
      </w:r>
      <w:r w:rsidR="00DC3ED1">
        <w:t>t and industry</w:t>
      </w:r>
      <w:r w:rsidR="0016486D">
        <w:t xml:space="preserve"> sources</w:t>
      </w:r>
      <w:r w:rsidR="0037216A">
        <w:t xml:space="preserve">. </w:t>
      </w:r>
      <w:r w:rsidR="00DC3ED1">
        <w:t>Industry</w:t>
      </w:r>
      <w:r w:rsidR="00A41740">
        <w:t xml:space="preserve"> sources include </w:t>
      </w:r>
      <w:r w:rsidR="00FF5C35">
        <w:t>existing</w:t>
      </w:r>
      <w:r w:rsidR="00A41740">
        <w:t xml:space="preserve"> reporting and monitoring</w:t>
      </w:r>
      <w:r w:rsidR="00FF5C35">
        <w:t xml:space="preserve"> mechanisms</w:t>
      </w:r>
      <w:r w:rsidR="00A41740">
        <w:t xml:space="preserve"> undertaken by </w:t>
      </w:r>
      <w:r w:rsidR="00FF5C35">
        <w:t xml:space="preserve">agencies and </w:t>
      </w:r>
      <w:r w:rsidR="00A41740">
        <w:t xml:space="preserve">regulators to monitor of scams on regulated platforms. </w:t>
      </w:r>
      <w:r w:rsidR="00B80E16">
        <w:t xml:space="preserve">Metrics for success will </w:t>
      </w:r>
      <w:r w:rsidR="00A41740">
        <w:t>include</w:t>
      </w:r>
      <w:r w:rsidR="00B80E16">
        <w:t xml:space="preserve"> information through the following mechanisms</w:t>
      </w:r>
      <w:r w:rsidR="00A41740">
        <w:t>:</w:t>
      </w:r>
    </w:p>
    <w:p w14:paraId="2B8238C5" w14:textId="42B72EA8" w:rsidR="00727D77" w:rsidRDefault="00B80E16" w:rsidP="00183D93">
      <w:pPr>
        <w:pStyle w:val="Bullet"/>
      </w:pPr>
      <w:r>
        <w:t>T</w:t>
      </w:r>
      <w:r w:rsidR="00A41740" w:rsidRPr="005F55DA">
        <w:t xml:space="preserve">he </w:t>
      </w:r>
      <w:r w:rsidR="007C6FE5">
        <w:t>NASC</w:t>
      </w:r>
      <w:r w:rsidR="00A41740">
        <w:t xml:space="preserve"> </w:t>
      </w:r>
      <w:r w:rsidR="00177AB8">
        <w:t xml:space="preserve">regularly </w:t>
      </w:r>
      <w:r w:rsidR="00FF5C35">
        <w:t xml:space="preserve">monitors and publishes information on consumer </w:t>
      </w:r>
      <w:r w:rsidR="0035514F">
        <w:t xml:space="preserve">and industry </w:t>
      </w:r>
      <w:r w:rsidR="00FF5C35">
        <w:t xml:space="preserve">reports </w:t>
      </w:r>
      <w:r w:rsidR="00727D77">
        <w:t>about scams</w:t>
      </w:r>
      <w:r w:rsidR="00FF5C35">
        <w:t xml:space="preserve"> under the </w:t>
      </w:r>
      <w:r w:rsidR="00FF5C35" w:rsidRPr="005A16CB">
        <w:t xml:space="preserve">Quarterly Report </w:t>
      </w:r>
      <w:r w:rsidR="00FF5C35">
        <w:t xml:space="preserve">and </w:t>
      </w:r>
      <w:r w:rsidR="00FF5C35" w:rsidRPr="005A16CB">
        <w:t xml:space="preserve">Targeting Scams </w:t>
      </w:r>
      <w:r w:rsidR="00FF5C35">
        <w:t xml:space="preserve">report. </w:t>
      </w:r>
    </w:p>
    <w:p w14:paraId="081E8B6D" w14:textId="2A7DA860" w:rsidR="00B80E16" w:rsidRDefault="00B80E16" w:rsidP="00183D93">
      <w:pPr>
        <w:pStyle w:val="Bullet"/>
      </w:pPr>
      <w:r>
        <w:t>A</w:t>
      </w:r>
      <w:r w:rsidR="00FF5C35">
        <w:t xml:space="preserve">gencies </w:t>
      </w:r>
      <w:r w:rsidR="0035514F">
        <w:t>monitor</w:t>
      </w:r>
      <w:r w:rsidR="00177AB8">
        <w:t xml:space="preserve"> consumer victimisation to scams, including the Australian Bureau of Statistics </w:t>
      </w:r>
      <w:r w:rsidR="00177AB8" w:rsidRPr="005A16CB">
        <w:t>Personal</w:t>
      </w:r>
      <w:r w:rsidR="00177AB8">
        <w:rPr>
          <w:i/>
        </w:rPr>
        <w:t xml:space="preserve"> </w:t>
      </w:r>
      <w:r w:rsidR="00177AB8" w:rsidRPr="00BE17D1">
        <w:rPr>
          <w:iCs w:val="0"/>
        </w:rPr>
        <w:t>Fraud</w:t>
      </w:r>
      <w:r w:rsidR="00177AB8">
        <w:rPr>
          <w:i/>
        </w:rPr>
        <w:t xml:space="preserve"> </w:t>
      </w:r>
      <w:r w:rsidR="00177AB8">
        <w:t xml:space="preserve">report and </w:t>
      </w:r>
      <w:r w:rsidR="0035514F">
        <w:t xml:space="preserve">Australian Institute of Criminology </w:t>
      </w:r>
      <w:r w:rsidR="0035514F" w:rsidRPr="00BE17D1">
        <w:rPr>
          <w:iCs w:val="0"/>
        </w:rPr>
        <w:t>Cybercrime in Australia</w:t>
      </w:r>
      <w:r w:rsidR="0035514F">
        <w:rPr>
          <w:i/>
        </w:rPr>
        <w:t xml:space="preserve"> </w:t>
      </w:r>
      <w:r w:rsidR="0035514F">
        <w:t>report</w:t>
      </w:r>
      <w:r w:rsidR="00BA7C7A">
        <w:t>.</w:t>
      </w:r>
      <w:r w:rsidR="0035514F">
        <w:t xml:space="preserve"> </w:t>
      </w:r>
    </w:p>
    <w:p w14:paraId="60441832" w14:textId="63CE222B" w:rsidR="00BA7C7A" w:rsidRPr="00BA7C7A" w:rsidRDefault="00ED3AB6" w:rsidP="00183D93">
      <w:pPr>
        <w:pStyle w:val="Bullet"/>
      </w:pPr>
      <w:r>
        <w:t>U</w:t>
      </w:r>
      <w:r w:rsidRPr="005F55DA">
        <w:t xml:space="preserve">nder the current industry codes regime, the ACMA is already monitoring and evaluating telecommunications industry compliance under the </w:t>
      </w:r>
      <w:r w:rsidRPr="00BE17D1">
        <w:rPr>
          <w:iCs w:val="0"/>
        </w:rPr>
        <w:t>Reducing Scam Calls and Scam SMs</w:t>
      </w:r>
      <w:r w:rsidR="00317BA1">
        <w:t xml:space="preserve"> code</w:t>
      </w:r>
      <w:r>
        <w:t xml:space="preserve">. </w:t>
      </w:r>
      <w:r w:rsidR="00FF5C35">
        <w:t xml:space="preserve">The </w:t>
      </w:r>
      <w:r w:rsidR="00BC5C01">
        <w:t>SPF</w:t>
      </w:r>
      <w:r w:rsidR="00FF5C35">
        <w:t xml:space="preserve"> will enhance the current evidence base </w:t>
      </w:r>
      <w:r w:rsidR="00177AB8">
        <w:t xml:space="preserve">by providing greater regulatory oversight and compliance reporting that provides transparency on measures businesses are undertaking </w:t>
      </w:r>
      <w:r w:rsidR="002D3D36">
        <w:t xml:space="preserve">to address scams. </w:t>
      </w:r>
      <w:r w:rsidR="00BC5C01">
        <w:t>R</w:t>
      </w:r>
      <w:r w:rsidR="00F82232">
        <w:t>egulators will monitor</w:t>
      </w:r>
      <w:r w:rsidR="002010A4">
        <w:t xml:space="preserve"> and evaluate</w:t>
      </w:r>
      <w:r w:rsidR="00F82232">
        <w:t xml:space="preserve"> how regulated entities in their sector implement mandatory obligations</w:t>
      </w:r>
      <w:r w:rsidR="002010A4">
        <w:t xml:space="preserve">. </w:t>
      </w:r>
    </w:p>
    <w:p w14:paraId="6926B1E1" w14:textId="77777777" w:rsidR="00D41CD1" w:rsidRDefault="00D41CD1" w:rsidP="00BE17D1">
      <w:pPr>
        <w:pStyle w:val="Bullet"/>
        <w:numPr>
          <w:ilvl w:val="0"/>
          <w:numId w:val="0"/>
        </w:numPr>
        <w:ind w:left="520"/>
      </w:pPr>
    </w:p>
    <w:p w14:paraId="072837F9" w14:textId="0E8ED801" w:rsidR="00D41CD1" w:rsidRPr="00BA7C7A" w:rsidRDefault="00BD2C6A" w:rsidP="00BE17D1">
      <w:pPr>
        <w:pStyle w:val="Bullet"/>
        <w:numPr>
          <w:ilvl w:val="0"/>
          <w:numId w:val="0"/>
        </w:numPr>
      </w:pPr>
      <w:r>
        <w:t xml:space="preserve">Reports from government regulators </w:t>
      </w:r>
      <w:r w:rsidR="002573E2">
        <w:t xml:space="preserve">including many of these metrics </w:t>
      </w:r>
      <w:r>
        <w:t xml:space="preserve">are </w:t>
      </w:r>
      <w:r w:rsidR="002573E2">
        <w:t>published</w:t>
      </w:r>
      <w:r w:rsidR="00340E20">
        <w:t xml:space="preserve"> annually or quarterly which would enable </w:t>
      </w:r>
      <w:r w:rsidR="006863D0">
        <w:t xml:space="preserve">evaluation of the intended objectives to reduce scam harms </w:t>
      </w:r>
      <w:r w:rsidR="004A79C1">
        <w:t>to be undertaken and analysis to be conducted on areas for improvement.</w:t>
      </w:r>
      <w:r w:rsidR="002573E2">
        <w:t xml:space="preserve"> </w:t>
      </w:r>
      <w:r w:rsidR="00D41CD1">
        <w:t xml:space="preserve">More details on these measures and their value for evaluation of the SPF is provided in </w:t>
      </w:r>
      <w:r w:rsidR="00D41CD1" w:rsidRPr="00EF18F9">
        <w:rPr>
          <w:b/>
          <w:i/>
        </w:rPr>
        <w:t>Appendix 3</w:t>
      </w:r>
      <w:r w:rsidR="00D41CD1">
        <w:rPr>
          <w:i/>
        </w:rPr>
        <w:t>.</w:t>
      </w:r>
    </w:p>
    <w:p w14:paraId="4BE919AD" w14:textId="2316D0BC" w:rsidR="0026054C" w:rsidRPr="00F82232" w:rsidRDefault="00EB5C7A" w:rsidP="00082B9C">
      <w:r>
        <w:t xml:space="preserve">Due to the multi-faceted, changing nature of scams, there are risks that the above </w:t>
      </w:r>
      <w:r w:rsidR="0026054C">
        <w:t xml:space="preserve">metrics for success may not be reflected by the evidence base used to evaluate the </w:t>
      </w:r>
      <w:r w:rsidR="00BC5C01">
        <w:t>SPF</w:t>
      </w:r>
      <w:r w:rsidR="001021EA">
        <w:t>. There are many factors that underpin changes in consumer reporting and losses</w:t>
      </w:r>
      <w:r w:rsidR="00082B9C">
        <w:t xml:space="preserve"> that require proper recognition</w:t>
      </w:r>
      <w:r w:rsidR="00513CF6">
        <w:t xml:space="preserve"> and </w:t>
      </w:r>
      <w:r w:rsidR="00082B9C">
        <w:t xml:space="preserve">analysis. </w:t>
      </w:r>
      <w:r w:rsidR="0026054C">
        <w:t xml:space="preserve">As the lead regulator and overarching agency </w:t>
      </w:r>
      <w:r w:rsidR="00CA58DC">
        <w:t xml:space="preserve">operating </w:t>
      </w:r>
      <w:r w:rsidR="0026054C">
        <w:t>the NASC</w:t>
      </w:r>
      <w:r w:rsidR="00CA58DC">
        <w:t xml:space="preserve"> program</w:t>
      </w:r>
      <w:r w:rsidR="0026054C">
        <w:t xml:space="preserve">, the ACCC has experiencing in monitoring </w:t>
      </w:r>
      <w:r w:rsidR="009308BD">
        <w:t>and interpreting changes in the scams ecosystem</w:t>
      </w:r>
      <w:r w:rsidR="00082B9C">
        <w:t xml:space="preserve"> and is best placed to consider these factors when using data and evidence to evaluate the outcomes of the </w:t>
      </w:r>
      <w:r w:rsidR="00BC5C01">
        <w:t>SPF</w:t>
      </w:r>
      <w:r w:rsidR="00082B9C">
        <w:t xml:space="preserve">. </w:t>
      </w:r>
    </w:p>
    <w:p w14:paraId="5B3577FD" w14:textId="77777777" w:rsidR="00A41AE3" w:rsidRDefault="00A41AE3" w:rsidP="00A41AE3"/>
    <w:p w14:paraId="62EA2606" w14:textId="77777777" w:rsidR="00CF0358" w:rsidRDefault="00CF0358">
      <w:pPr>
        <w:spacing w:before="0" w:after="200" w:line="276" w:lineRule="auto"/>
        <w:rPr>
          <w:rFonts w:ascii="Calibri" w:hAnsi="Calibri" w:cs="Arial"/>
          <w:b/>
          <w:color w:val="5D779D" w:themeColor="accent3"/>
          <w:kern w:val="32"/>
          <w:sz w:val="44"/>
          <w:szCs w:val="36"/>
        </w:rPr>
      </w:pPr>
      <w:r>
        <w:br w:type="page"/>
      </w:r>
    </w:p>
    <w:p w14:paraId="5C1FEF87" w14:textId="77777777" w:rsidR="00F70B09" w:rsidRDefault="00F70B09" w:rsidP="00F70B09">
      <w:pPr>
        <w:pStyle w:val="Heading1"/>
      </w:pPr>
      <w:bookmarkStart w:id="74" w:name="_Toc179556416"/>
      <w:r>
        <w:lastRenderedPageBreak/>
        <w:t>Glossary of acronyms</w:t>
      </w:r>
      <w:bookmarkEnd w:id="74"/>
    </w:p>
    <w:p w14:paraId="450B90A9" w14:textId="77777777" w:rsidR="00BB3657" w:rsidRDefault="00BB3657" w:rsidP="00F70B09">
      <w:pPr>
        <w:rPr>
          <w:b/>
          <w:color w:val="2C384A" w:themeColor="accent1"/>
          <w:sz w:val="20"/>
        </w:rPr>
        <w:sectPr w:rsidR="00BB3657" w:rsidSect="002847C5">
          <w:pgSz w:w="11906" w:h="16838"/>
          <w:pgMar w:top="1418" w:right="1418" w:bottom="1418" w:left="1418" w:header="709" w:footer="709" w:gutter="0"/>
          <w:cols w:space="708"/>
          <w:titlePg/>
          <w:docGrid w:linePitch="360"/>
        </w:sectPr>
      </w:pPr>
    </w:p>
    <w:p w14:paraId="19732EC7" w14:textId="77777777" w:rsidR="00382253" w:rsidRDefault="00382253" w:rsidP="00F70B09">
      <w:pPr>
        <w:sectPr w:rsidR="00382253" w:rsidSect="00BB3657">
          <w:type w:val="continuous"/>
          <w:pgSz w:w="11906" w:h="16838"/>
          <w:pgMar w:top="1418" w:right="1418" w:bottom="1418" w:left="1418" w:header="709" w:footer="709" w:gutter="0"/>
          <w:cols w:num="2" w:space="708"/>
          <w:titlePg/>
          <w:docGrid w:linePitch="360"/>
        </w:sectPr>
      </w:pPr>
    </w:p>
    <w:tbl>
      <w:tblPr>
        <w:tblStyle w:val="GridTable1Light"/>
        <w:tblW w:w="9067" w:type="dxa"/>
        <w:tblLook w:val="0480" w:firstRow="0" w:lastRow="0" w:firstColumn="1" w:lastColumn="0" w:noHBand="0" w:noVBand="1"/>
      </w:tblPr>
      <w:tblGrid>
        <w:gridCol w:w="1003"/>
        <w:gridCol w:w="8064"/>
      </w:tblGrid>
      <w:tr w:rsidR="00382253" w:rsidRPr="000E27AC" w14:paraId="2BC79159"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629BD0E7" w14:textId="396B549E" w:rsidR="00382253" w:rsidRPr="00BE17D1" w:rsidRDefault="00AE3C03" w:rsidP="00BE17D1">
            <w:pPr>
              <w:spacing w:before="0" w:after="0"/>
            </w:pPr>
            <w:r w:rsidRPr="000E0E39">
              <w:t>ABA</w:t>
            </w:r>
          </w:p>
        </w:tc>
        <w:tc>
          <w:tcPr>
            <w:tcW w:w="8064" w:type="dxa"/>
            <w:vAlign w:val="center"/>
          </w:tcPr>
          <w:p w14:paraId="0EAA067D" w14:textId="69EF1773" w:rsidR="00382253" w:rsidRPr="000E27AC" w:rsidRDefault="00AE3C03" w:rsidP="00BE17D1">
            <w:pPr>
              <w:spacing w:before="0" w:after="0"/>
              <w:cnfStyle w:val="000000000000" w:firstRow="0" w:lastRow="0" w:firstColumn="0" w:lastColumn="0" w:oddVBand="0" w:evenVBand="0" w:oddHBand="0" w:evenHBand="0" w:firstRowFirstColumn="0" w:firstRowLastColumn="0" w:lastRowFirstColumn="0" w:lastRowLastColumn="0"/>
            </w:pPr>
            <w:r w:rsidRPr="000E27AC">
              <w:t>Australian Banking Association</w:t>
            </w:r>
          </w:p>
        </w:tc>
      </w:tr>
      <w:tr w:rsidR="001129EA" w:rsidRPr="000E27AC" w14:paraId="178DBE74"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6837DD0D" w14:textId="6660F65C" w:rsidR="001129EA" w:rsidRPr="00BE17D1" w:rsidRDefault="001129EA" w:rsidP="00BE17D1">
            <w:pPr>
              <w:spacing w:before="0" w:after="0"/>
            </w:pPr>
            <w:r w:rsidRPr="000E0E39">
              <w:t>ABS</w:t>
            </w:r>
          </w:p>
        </w:tc>
        <w:tc>
          <w:tcPr>
            <w:tcW w:w="8064" w:type="dxa"/>
            <w:vAlign w:val="center"/>
          </w:tcPr>
          <w:p w14:paraId="42281A82" w14:textId="28B2925A" w:rsidR="001129EA" w:rsidRPr="000E27AC" w:rsidRDefault="001129EA" w:rsidP="00BE17D1">
            <w:pPr>
              <w:spacing w:before="0" w:after="0"/>
              <w:cnfStyle w:val="000000000000" w:firstRow="0" w:lastRow="0" w:firstColumn="0" w:lastColumn="0" w:oddVBand="0" w:evenVBand="0" w:oddHBand="0" w:evenHBand="0" w:firstRowFirstColumn="0" w:firstRowLastColumn="0" w:lastRowFirstColumn="0" w:lastRowLastColumn="0"/>
            </w:pPr>
            <w:r w:rsidRPr="000E27AC">
              <w:t>Australian Bureau of Statistics</w:t>
            </w:r>
          </w:p>
        </w:tc>
      </w:tr>
      <w:tr w:rsidR="000E27AC" w:rsidRPr="000E27AC" w14:paraId="10E406B6"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047B3284" w14:textId="27139626" w:rsidR="00BB3657" w:rsidRPr="000E0E39" w:rsidRDefault="00382253" w:rsidP="00BE17D1">
            <w:pPr>
              <w:spacing w:before="0" w:after="0"/>
            </w:pPr>
            <w:r w:rsidRPr="000E0E39">
              <w:t>ACCC</w:t>
            </w:r>
          </w:p>
        </w:tc>
        <w:tc>
          <w:tcPr>
            <w:tcW w:w="8064" w:type="dxa"/>
            <w:vAlign w:val="center"/>
          </w:tcPr>
          <w:p w14:paraId="054DB34B" w14:textId="2B69E738" w:rsidR="00BB3657" w:rsidRPr="000E27AC" w:rsidRDefault="00382253" w:rsidP="00BE17D1">
            <w:pPr>
              <w:spacing w:before="0" w:after="0"/>
              <w:cnfStyle w:val="000000000000" w:firstRow="0" w:lastRow="0" w:firstColumn="0" w:lastColumn="0" w:oddVBand="0" w:evenVBand="0" w:oddHBand="0" w:evenHBand="0" w:firstRowFirstColumn="0" w:firstRowLastColumn="0" w:lastRowFirstColumn="0" w:lastRowLastColumn="0"/>
            </w:pPr>
            <w:r w:rsidRPr="000E27AC">
              <w:t xml:space="preserve">Australian </w:t>
            </w:r>
            <w:r w:rsidR="00A13B1E" w:rsidRPr="000E27AC">
              <w:t xml:space="preserve">Competition and </w:t>
            </w:r>
            <w:r w:rsidRPr="000E27AC">
              <w:t>Consumer Commission</w:t>
            </w:r>
          </w:p>
        </w:tc>
      </w:tr>
      <w:tr w:rsidR="00CD5FCA" w:rsidRPr="000E27AC" w14:paraId="464DEA41"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50852F7D" w14:textId="7C15101E" w:rsidR="00CD5FCA" w:rsidRPr="00BE17D1" w:rsidRDefault="00CD5FCA" w:rsidP="00BE17D1">
            <w:pPr>
              <w:spacing w:before="0" w:after="0"/>
            </w:pPr>
            <w:r w:rsidRPr="000E0E39">
              <w:t>ACMA</w:t>
            </w:r>
          </w:p>
        </w:tc>
        <w:tc>
          <w:tcPr>
            <w:tcW w:w="8064" w:type="dxa"/>
            <w:vAlign w:val="center"/>
          </w:tcPr>
          <w:p w14:paraId="207BBEA8" w14:textId="01642242" w:rsidR="00CD5FCA" w:rsidRPr="000E27AC" w:rsidRDefault="00CD5FCA" w:rsidP="00BE17D1">
            <w:pPr>
              <w:spacing w:before="0" w:after="0"/>
              <w:cnfStyle w:val="000000000000" w:firstRow="0" w:lastRow="0" w:firstColumn="0" w:lastColumn="0" w:oddVBand="0" w:evenVBand="0" w:oddHBand="0" w:evenHBand="0" w:firstRowFirstColumn="0" w:firstRowLastColumn="0" w:lastRowFirstColumn="0" w:lastRowLastColumn="0"/>
            </w:pPr>
            <w:r w:rsidRPr="000E27AC">
              <w:t>Australian Communications and Media Authority</w:t>
            </w:r>
          </w:p>
        </w:tc>
      </w:tr>
      <w:tr w:rsidR="007C45D3" w:rsidRPr="000E27AC" w14:paraId="7C4697A6"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1EEF6E71" w14:textId="0CE2E1EF" w:rsidR="007C45D3" w:rsidRPr="000E0E39" w:rsidRDefault="007C45D3" w:rsidP="000E27AC">
            <w:pPr>
              <w:spacing w:before="0" w:after="0"/>
            </w:pPr>
            <w:r w:rsidRPr="000E0E39">
              <w:t>ADI</w:t>
            </w:r>
          </w:p>
        </w:tc>
        <w:tc>
          <w:tcPr>
            <w:tcW w:w="8064" w:type="dxa"/>
            <w:vAlign w:val="center"/>
          </w:tcPr>
          <w:p w14:paraId="626CA018" w14:textId="58A4F589" w:rsidR="007C45D3" w:rsidRPr="000E27AC" w:rsidRDefault="007C45D3" w:rsidP="000E27AC">
            <w:pPr>
              <w:spacing w:before="0" w:after="0"/>
              <w:cnfStyle w:val="000000000000" w:firstRow="0" w:lastRow="0" w:firstColumn="0" w:lastColumn="0" w:oddVBand="0" w:evenVBand="0" w:oddHBand="0" w:evenHBand="0" w:firstRowFirstColumn="0" w:firstRowLastColumn="0" w:lastRowFirstColumn="0" w:lastRowLastColumn="0"/>
            </w:pPr>
            <w:r>
              <w:t>Authorised deposit-taking institution</w:t>
            </w:r>
          </w:p>
        </w:tc>
      </w:tr>
      <w:tr w:rsidR="00AE3C03" w:rsidRPr="000E27AC" w14:paraId="4EB563FF"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2A4A5C21" w14:textId="5F6C299E" w:rsidR="00AE3C03" w:rsidRPr="000E0E39" w:rsidRDefault="00AE3C03" w:rsidP="00BE17D1">
            <w:pPr>
              <w:spacing w:before="0" w:after="0"/>
            </w:pPr>
            <w:r w:rsidRPr="000E0E39">
              <w:t>AFCA</w:t>
            </w:r>
          </w:p>
        </w:tc>
        <w:tc>
          <w:tcPr>
            <w:tcW w:w="8064" w:type="dxa"/>
            <w:vAlign w:val="center"/>
          </w:tcPr>
          <w:p w14:paraId="01BD1AAF" w14:textId="0922489E" w:rsidR="00AE3C03" w:rsidRPr="000E27AC" w:rsidRDefault="00AE3C03" w:rsidP="00BE17D1">
            <w:pPr>
              <w:spacing w:before="0" w:after="0"/>
              <w:cnfStyle w:val="000000000000" w:firstRow="0" w:lastRow="0" w:firstColumn="0" w:lastColumn="0" w:oddVBand="0" w:evenVBand="0" w:oddHBand="0" w:evenHBand="0" w:firstRowFirstColumn="0" w:firstRowLastColumn="0" w:lastRowFirstColumn="0" w:lastRowLastColumn="0"/>
            </w:pPr>
            <w:r w:rsidRPr="000E27AC">
              <w:t>Australian Financial Complaints Authority</w:t>
            </w:r>
          </w:p>
        </w:tc>
      </w:tr>
      <w:tr w:rsidR="00773FB6" w:rsidRPr="000E27AC" w14:paraId="77994C78"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5561CE77" w14:textId="204EDF99" w:rsidR="00773FB6" w:rsidRPr="000E0E39" w:rsidRDefault="00773FB6" w:rsidP="00BE17D1">
            <w:pPr>
              <w:spacing w:before="0" w:after="0"/>
            </w:pPr>
            <w:r w:rsidRPr="000E0E39">
              <w:t>AFCX</w:t>
            </w:r>
          </w:p>
        </w:tc>
        <w:tc>
          <w:tcPr>
            <w:tcW w:w="8064" w:type="dxa"/>
            <w:vAlign w:val="center"/>
          </w:tcPr>
          <w:p w14:paraId="243A9CAD" w14:textId="59434381" w:rsidR="00773FB6" w:rsidRPr="000E27AC" w:rsidRDefault="00773FB6" w:rsidP="00BE17D1">
            <w:pPr>
              <w:spacing w:before="0" w:after="0"/>
              <w:cnfStyle w:val="000000000000" w:firstRow="0" w:lastRow="0" w:firstColumn="0" w:lastColumn="0" w:oddVBand="0" w:evenVBand="0" w:oddHBand="0" w:evenHBand="0" w:firstRowFirstColumn="0" w:firstRowLastColumn="0" w:lastRowFirstColumn="0" w:lastRowLastColumn="0"/>
            </w:pPr>
            <w:r w:rsidRPr="000E27AC">
              <w:t>Australian Financial Crimes Exchange</w:t>
            </w:r>
          </w:p>
        </w:tc>
      </w:tr>
      <w:tr w:rsidR="00C2347F" w:rsidRPr="000E27AC" w14:paraId="53AAD530"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21667EF9" w14:textId="373781CE" w:rsidR="00C2347F" w:rsidRPr="000E0E39" w:rsidRDefault="00C2347F" w:rsidP="00BE17D1">
            <w:pPr>
              <w:spacing w:before="0" w:after="0"/>
            </w:pPr>
            <w:r w:rsidRPr="000E0E39">
              <w:t>AIC</w:t>
            </w:r>
          </w:p>
        </w:tc>
        <w:tc>
          <w:tcPr>
            <w:tcW w:w="8064" w:type="dxa"/>
            <w:vAlign w:val="center"/>
          </w:tcPr>
          <w:p w14:paraId="7421E714" w14:textId="13C100CE" w:rsidR="00C2347F" w:rsidRPr="000E27AC" w:rsidRDefault="00C2347F" w:rsidP="00BE17D1">
            <w:pPr>
              <w:spacing w:before="0" w:after="0"/>
              <w:cnfStyle w:val="000000000000" w:firstRow="0" w:lastRow="0" w:firstColumn="0" w:lastColumn="0" w:oddVBand="0" w:evenVBand="0" w:oddHBand="0" w:evenHBand="0" w:firstRowFirstColumn="0" w:firstRowLastColumn="0" w:lastRowFirstColumn="0" w:lastRowLastColumn="0"/>
            </w:pPr>
            <w:r w:rsidRPr="000E27AC">
              <w:t>Australian Institute of Criminology</w:t>
            </w:r>
          </w:p>
        </w:tc>
      </w:tr>
      <w:tr w:rsidR="0044506D" w:rsidRPr="000E27AC" w14:paraId="0BA11C02"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53975808" w14:textId="713F344B" w:rsidR="0044506D" w:rsidRPr="000E0E39" w:rsidRDefault="0044506D" w:rsidP="00BE17D1">
            <w:pPr>
              <w:spacing w:before="0" w:after="0"/>
            </w:pPr>
            <w:r w:rsidRPr="000E0E39">
              <w:t>APRA</w:t>
            </w:r>
          </w:p>
        </w:tc>
        <w:tc>
          <w:tcPr>
            <w:tcW w:w="8064" w:type="dxa"/>
            <w:vAlign w:val="center"/>
          </w:tcPr>
          <w:p w14:paraId="701909FD" w14:textId="58138136" w:rsidR="0044506D" w:rsidRPr="000E27AC" w:rsidRDefault="0044506D" w:rsidP="00BE17D1">
            <w:pPr>
              <w:spacing w:before="0" w:after="0"/>
              <w:cnfStyle w:val="000000000000" w:firstRow="0" w:lastRow="0" w:firstColumn="0" w:lastColumn="0" w:oddVBand="0" w:evenVBand="0" w:oddHBand="0" w:evenHBand="0" w:firstRowFirstColumn="0" w:firstRowLastColumn="0" w:lastRowFirstColumn="0" w:lastRowLastColumn="0"/>
            </w:pPr>
            <w:r w:rsidRPr="000E27AC">
              <w:t xml:space="preserve">Australian Prudential Regulation Authority </w:t>
            </w:r>
          </w:p>
        </w:tc>
      </w:tr>
      <w:tr w:rsidR="00423557" w:rsidRPr="000E27AC" w14:paraId="3F4E0869" w14:textId="77777777" w:rsidTr="000E0E39">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0D462331" w14:textId="762BA2D8" w:rsidR="00423557" w:rsidRPr="000E0E39" w:rsidRDefault="00423557" w:rsidP="00423557">
            <w:pPr>
              <w:spacing w:before="0" w:after="0"/>
            </w:pPr>
            <w:r w:rsidRPr="000E0E39">
              <w:t>AOSC</w:t>
            </w:r>
          </w:p>
        </w:tc>
        <w:tc>
          <w:tcPr>
            <w:tcW w:w="8064" w:type="dxa"/>
            <w:vAlign w:val="center"/>
          </w:tcPr>
          <w:p w14:paraId="56C0D8E7" w14:textId="031325CB" w:rsidR="00423557" w:rsidRPr="000E27AC" w:rsidRDefault="00423557" w:rsidP="00423557">
            <w:pPr>
              <w:spacing w:before="0" w:after="0"/>
              <w:cnfStyle w:val="000000000000" w:firstRow="0" w:lastRow="0" w:firstColumn="0" w:lastColumn="0" w:oddVBand="0" w:evenVBand="0" w:oddHBand="0" w:evenHBand="0" w:firstRowFirstColumn="0" w:firstRowLastColumn="0" w:lastRowFirstColumn="0" w:lastRowLastColumn="0"/>
            </w:pPr>
            <w:r w:rsidRPr="000E27AC">
              <w:t>Australian Online Scams Code</w:t>
            </w:r>
          </w:p>
        </w:tc>
      </w:tr>
      <w:tr w:rsidR="0044506D" w:rsidRPr="000E27AC" w14:paraId="10B0BF4C"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31960F3B" w14:textId="7DB3F528" w:rsidR="0044506D" w:rsidRPr="000E0E39" w:rsidRDefault="0044506D" w:rsidP="00BE17D1">
            <w:pPr>
              <w:spacing w:before="0" w:after="0"/>
            </w:pPr>
            <w:r w:rsidRPr="000E0E39">
              <w:t>ASIC</w:t>
            </w:r>
          </w:p>
        </w:tc>
        <w:tc>
          <w:tcPr>
            <w:tcW w:w="8064" w:type="dxa"/>
            <w:vAlign w:val="center"/>
          </w:tcPr>
          <w:p w14:paraId="64D313F0" w14:textId="5DA001BE" w:rsidR="0044506D" w:rsidRPr="000E27AC" w:rsidRDefault="0044506D" w:rsidP="00BE17D1">
            <w:pPr>
              <w:spacing w:before="0" w:after="0"/>
              <w:cnfStyle w:val="000000000000" w:firstRow="0" w:lastRow="0" w:firstColumn="0" w:lastColumn="0" w:oddVBand="0" w:evenVBand="0" w:oddHBand="0" w:evenHBand="0" w:firstRowFirstColumn="0" w:firstRowLastColumn="0" w:lastRowFirstColumn="0" w:lastRowLastColumn="0"/>
            </w:pPr>
            <w:r w:rsidRPr="000E27AC">
              <w:t>Australian Securities and Investment</w:t>
            </w:r>
            <w:r w:rsidR="00D45974" w:rsidRPr="000E27AC">
              <w:t>s</w:t>
            </w:r>
            <w:r w:rsidRPr="000E27AC">
              <w:t xml:space="preserve"> Commission</w:t>
            </w:r>
          </w:p>
        </w:tc>
      </w:tr>
      <w:tr w:rsidR="00773FB6" w:rsidRPr="000E27AC" w14:paraId="1360D9B3"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1B3BC765" w14:textId="01D0A3DA" w:rsidR="00773FB6" w:rsidRPr="00BE17D1" w:rsidRDefault="00773FB6" w:rsidP="00BE17D1">
            <w:pPr>
              <w:spacing w:before="0" w:after="0"/>
            </w:pPr>
            <w:r w:rsidRPr="000E0E39">
              <w:t>CDR</w:t>
            </w:r>
          </w:p>
        </w:tc>
        <w:tc>
          <w:tcPr>
            <w:tcW w:w="8064" w:type="dxa"/>
            <w:vAlign w:val="center"/>
          </w:tcPr>
          <w:p w14:paraId="5F5D24FD" w14:textId="01544511" w:rsidR="00773FB6" w:rsidRPr="000E27AC" w:rsidRDefault="00773FB6" w:rsidP="00BE17D1">
            <w:pPr>
              <w:spacing w:before="0" w:after="0"/>
              <w:cnfStyle w:val="000000000000" w:firstRow="0" w:lastRow="0" w:firstColumn="0" w:lastColumn="0" w:oddVBand="0" w:evenVBand="0" w:oddHBand="0" w:evenHBand="0" w:firstRowFirstColumn="0" w:firstRowLastColumn="0" w:lastRowFirstColumn="0" w:lastRowLastColumn="0"/>
            </w:pPr>
            <w:r w:rsidRPr="000E27AC">
              <w:t>Consumer Data Right</w:t>
            </w:r>
          </w:p>
        </w:tc>
      </w:tr>
      <w:tr w:rsidR="00DC393F" w:rsidRPr="000E27AC" w14:paraId="0E5FCDCC"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7FF8FDCE" w14:textId="19946017" w:rsidR="00DC393F" w:rsidRPr="00BE17D1" w:rsidRDefault="00DC393F" w:rsidP="00BE17D1">
            <w:pPr>
              <w:spacing w:before="0" w:after="0"/>
            </w:pPr>
            <w:r w:rsidRPr="000E0E39">
              <w:t>COBA</w:t>
            </w:r>
          </w:p>
        </w:tc>
        <w:tc>
          <w:tcPr>
            <w:tcW w:w="8064" w:type="dxa"/>
            <w:vAlign w:val="center"/>
          </w:tcPr>
          <w:p w14:paraId="0E2DCEB6" w14:textId="63564E8B" w:rsidR="00DC393F" w:rsidRPr="000E27AC" w:rsidRDefault="00DC393F" w:rsidP="00BE17D1">
            <w:pPr>
              <w:spacing w:before="0" w:after="0"/>
              <w:cnfStyle w:val="000000000000" w:firstRow="0" w:lastRow="0" w:firstColumn="0" w:lastColumn="0" w:oddVBand="0" w:evenVBand="0" w:oddHBand="0" w:evenHBand="0" w:firstRowFirstColumn="0" w:firstRowLastColumn="0" w:lastRowFirstColumn="0" w:lastRowLastColumn="0"/>
            </w:pPr>
            <w:r w:rsidRPr="000E27AC">
              <w:t>Community Owned Banking Association</w:t>
            </w:r>
          </w:p>
        </w:tc>
      </w:tr>
      <w:tr w:rsidR="000E27AC" w:rsidRPr="000E27AC" w14:paraId="45F5AF5C"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7C653D87" w14:textId="59F8695C" w:rsidR="00382253" w:rsidRPr="000E0E39" w:rsidRDefault="00AE3C03" w:rsidP="00BE17D1">
            <w:pPr>
              <w:spacing w:before="0" w:after="0"/>
            </w:pPr>
            <w:r w:rsidRPr="000E0E39">
              <w:t>CSP</w:t>
            </w:r>
          </w:p>
        </w:tc>
        <w:tc>
          <w:tcPr>
            <w:tcW w:w="8064" w:type="dxa"/>
            <w:vAlign w:val="center"/>
          </w:tcPr>
          <w:p w14:paraId="52F66C90" w14:textId="74BD212E" w:rsidR="00382253" w:rsidRPr="000E27AC" w:rsidRDefault="00AE3C03" w:rsidP="00BE17D1">
            <w:pPr>
              <w:spacing w:before="0" w:after="0"/>
              <w:cnfStyle w:val="000000000000" w:firstRow="0" w:lastRow="0" w:firstColumn="0" w:lastColumn="0" w:oddVBand="0" w:evenVBand="0" w:oddHBand="0" w:evenHBand="0" w:firstRowFirstColumn="0" w:firstRowLastColumn="0" w:lastRowFirstColumn="0" w:lastRowLastColumn="0"/>
            </w:pPr>
            <w:r w:rsidRPr="000E27AC">
              <w:t>Carriage Service Provider</w:t>
            </w:r>
          </w:p>
        </w:tc>
      </w:tr>
      <w:tr w:rsidR="000E27AC" w:rsidRPr="000E27AC" w14:paraId="503C5653"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37DA6EF2" w14:textId="3E14918C" w:rsidR="00382253" w:rsidRPr="000E0E39" w:rsidRDefault="00AE3C03" w:rsidP="00BE17D1">
            <w:pPr>
              <w:spacing w:before="0" w:after="0"/>
            </w:pPr>
            <w:r w:rsidRPr="000E0E39">
              <w:t>DIGI</w:t>
            </w:r>
          </w:p>
        </w:tc>
        <w:tc>
          <w:tcPr>
            <w:tcW w:w="8064" w:type="dxa"/>
            <w:vAlign w:val="center"/>
          </w:tcPr>
          <w:p w14:paraId="51DF031E" w14:textId="0F062033" w:rsidR="00382253" w:rsidRPr="000E27AC" w:rsidRDefault="004A2486" w:rsidP="00BE17D1">
            <w:pPr>
              <w:spacing w:before="0" w:after="0"/>
              <w:cnfStyle w:val="000000000000" w:firstRow="0" w:lastRow="0" w:firstColumn="0" w:lastColumn="0" w:oddVBand="0" w:evenVBand="0" w:oddHBand="0" w:evenHBand="0" w:firstRowFirstColumn="0" w:firstRowLastColumn="0" w:lastRowFirstColumn="0" w:lastRowLastColumn="0"/>
            </w:pPr>
            <w:r w:rsidRPr="000E27AC">
              <w:t>Digital Industry Group Inc.</w:t>
            </w:r>
          </w:p>
        </w:tc>
      </w:tr>
      <w:tr w:rsidR="00A13B1E" w:rsidRPr="000E27AC" w14:paraId="13BD1074"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39664D62" w14:textId="3B4D7AA7" w:rsidR="00A13B1E" w:rsidRPr="00BE17D1" w:rsidRDefault="000E27AC" w:rsidP="00BE17D1">
            <w:pPr>
              <w:spacing w:before="0" w:after="0"/>
            </w:pPr>
            <w:r w:rsidRPr="000E0E39">
              <w:t>DITRDCA</w:t>
            </w:r>
          </w:p>
        </w:tc>
        <w:tc>
          <w:tcPr>
            <w:tcW w:w="8064" w:type="dxa"/>
            <w:vAlign w:val="center"/>
          </w:tcPr>
          <w:p w14:paraId="24B375DB" w14:textId="470E03F4" w:rsidR="00A13B1E" w:rsidRPr="000E27AC" w:rsidRDefault="000E27AC" w:rsidP="00BE17D1">
            <w:pPr>
              <w:spacing w:before="0" w:after="0"/>
              <w:cnfStyle w:val="000000000000" w:firstRow="0" w:lastRow="0" w:firstColumn="0" w:lastColumn="0" w:oddVBand="0" w:evenVBand="0" w:oddHBand="0" w:evenHBand="0" w:firstRowFirstColumn="0" w:firstRowLastColumn="0" w:lastRowFirstColumn="0" w:lastRowLastColumn="0"/>
            </w:pPr>
            <w:r w:rsidRPr="000E27AC">
              <w:t>Department of Infrastructure, Transport, Regional Development, Communications and the Arts</w:t>
            </w:r>
          </w:p>
        </w:tc>
      </w:tr>
      <w:tr w:rsidR="000E27AC" w:rsidRPr="000E27AC" w14:paraId="3E7F8907"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307FB8AF" w14:textId="5F0541C2" w:rsidR="00382253" w:rsidRPr="000E0E39" w:rsidRDefault="00567F4B" w:rsidP="00BE17D1">
            <w:pPr>
              <w:spacing w:before="0" w:after="0"/>
            </w:pPr>
            <w:r w:rsidRPr="000E0E39">
              <w:t>EDR</w:t>
            </w:r>
          </w:p>
        </w:tc>
        <w:tc>
          <w:tcPr>
            <w:tcW w:w="8064" w:type="dxa"/>
            <w:vAlign w:val="center"/>
          </w:tcPr>
          <w:p w14:paraId="2EDCD96F" w14:textId="62080A3D" w:rsidR="00382253" w:rsidRPr="000E27AC" w:rsidRDefault="00567F4B" w:rsidP="00BE17D1">
            <w:pPr>
              <w:spacing w:before="0" w:after="0"/>
              <w:cnfStyle w:val="000000000000" w:firstRow="0" w:lastRow="0" w:firstColumn="0" w:lastColumn="0" w:oddVBand="0" w:evenVBand="0" w:oddHBand="0" w:evenHBand="0" w:firstRowFirstColumn="0" w:firstRowLastColumn="0" w:lastRowFirstColumn="0" w:lastRowLastColumn="0"/>
            </w:pPr>
            <w:r w:rsidRPr="000E27AC">
              <w:t xml:space="preserve">External </w:t>
            </w:r>
            <w:r w:rsidR="007D195F">
              <w:t>d</w:t>
            </w:r>
            <w:r w:rsidRPr="000E27AC">
              <w:t xml:space="preserve">ispute </w:t>
            </w:r>
            <w:r w:rsidR="007D195F">
              <w:t>r</w:t>
            </w:r>
            <w:r w:rsidRPr="000E27AC">
              <w:t>esolution</w:t>
            </w:r>
          </w:p>
        </w:tc>
      </w:tr>
      <w:tr w:rsidR="00C6602E" w:rsidRPr="000E27AC" w14:paraId="3D4EB81E"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4C1F8706" w14:textId="19B4B12D" w:rsidR="00C6602E" w:rsidRPr="00BE17D1" w:rsidRDefault="00C6602E" w:rsidP="00BE17D1">
            <w:pPr>
              <w:spacing w:before="0" w:after="0"/>
            </w:pPr>
            <w:r w:rsidRPr="000E0E39">
              <w:t>FTE</w:t>
            </w:r>
          </w:p>
        </w:tc>
        <w:tc>
          <w:tcPr>
            <w:tcW w:w="8064" w:type="dxa"/>
            <w:vAlign w:val="center"/>
          </w:tcPr>
          <w:p w14:paraId="708BC698" w14:textId="2D5142CB" w:rsidR="00C6602E" w:rsidRPr="000E27AC" w:rsidRDefault="00C6602E" w:rsidP="00BE17D1">
            <w:pPr>
              <w:spacing w:before="0" w:after="0"/>
              <w:cnfStyle w:val="000000000000" w:firstRow="0" w:lastRow="0" w:firstColumn="0" w:lastColumn="0" w:oddVBand="0" w:evenVBand="0" w:oddHBand="0" w:evenHBand="0" w:firstRowFirstColumn="0" w:firstRowLastColumn="0" w:lastRowFirstColumn="0" w:lastRowLastColumn="0"/>
            </w:pPr>
            <w:r w:rsidRPr="000E27AC">
              <w:t>Full-time equivalent</w:t>
            </w:r>
          </w:p>
        </w:tc>
      </w:tr>
      <w:tr w:rsidR="00050638" w:rsidRPr="000E27AC" w14:paraId="75ECA809" w14:textId="77777777" w:rsidTr="00BE17D1">
        <w:trPr>
          <w:trHeight w:val="37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4D889458" w14:textId="6DD49590" w:rsidR="00050638" w:rsidRPr="00BE17D1" w:rsidRDefault="00050638" w:rsidP="00BE17D1">
            <w:pPr>
              <w:spacing w:before="0" w:after="0"/>
            </w:pPr>
            <w:r w:rsidRPr="000E0E39">
              <w:t>IA</w:t>
            </w:r>
          </w:p>
        </w:tc>
        <w:tc>
          <w:tcPr>
            <w:tcW w:w="8064" w:type="dxa"/>
            <w:vAlign w:val="center"/>
          </w:tcPr>
          <w:p w14:paraId="0BAFE4E4" w14:textId="1BD1BF5D" w:rsidR="00050638" w:rsidRPr="000E27AC" w:rsidRDefault="00050638" w:rsidP="00BE17D1">
            <w:pPr>
              <w:spacing w:before="0" w:after="0"/>
              <w:cnfStyle w:val="000000000000" w:firstRow="0" w:lastRow="0" w:firstColumn="0" w:lastColumn="0" w:oddVBand="0" w:evenVBand="0" w:oddHBand="0" w:evenHBand="0" w:firstRowFirstColumn="0" w:firstRowLastColumn="0" w:lastRowFirstColumn="0" w:lastRowLastColumn="0"/>
            </w:pPr>
            <w:r w:rsidRPr="000E27AC">
              <w:t>Impact Analysis</w:t>
            </w:r>
          </w:p>
        </w:tc>
      </w:tr>
      <w:tr w:rsidR="000E27AC" w:rsidRPr="000E27AC" w14:paraId="5B27FD47" w14:textId="77777777" w:rsidTr="00BE17D1">
        <w:trPr>
          <w:trHeight w:val="37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0F295F58" w14:textId="25D33059" w:rsidR="00382253" w:rsidRPr="000E0E39" w:rsidRDefault="00567F4B" w:rsidP="00BE17D1">
            <w:pPr>
              <w:spacing w:before="0" w:after="0"/>
            </w:pPr>
            <w:r w:rsidRPr="000E0E39">
              <w:t>IDR</w:t>
            </w:r>
          </w:p>
        </w:tc>
        <w:tc>
          <w:tcPr>
            <w:tcW w:w="8064" w:type="dxa"/>
            <w:vAlign w:val="center"/>
          </w:tcPr>
          <w:p w14:paraId="413B7402" w14:textId="6B2462A2" w:rsidR="00382253" w:rsidRPr="000E27AC" w:rsidRDefault="00567F4B" w:rsidP="00BE17D1">
            <w:pPr>
              <w:spacing w:before="0" w:after="0"/>
              <w:cnfStyle w:val="000000000000" w:firstRow="0" w:lastRow="0" w:firstColumn="0" w:lastColumn="0" w:oddVBand="0" w:evenVBand="0" w:oddHBand="0" w:evenHBand="0" w:firstRowFirstColumn="0" w:firstRowLastColumn="0" w:lastRowFirstColumn="0" w:lastRowLastColumn="0"/>
            </w:pPr>
            <w:r w:rsidRPr="000E27AC">
              <w:t xml:space="preserve">Internal </w:t>
            </w:r>
            <w:r w:rsidR="007D195F">
              <w:t>d</w:t>
            </w:r>
            <w:r w:rsidRPr="000E27AC">
              <w:t xml:space="preserve">ispute </w:t>
            </w:r>
            <w:r w:rsidR="007D195F">
              <w:t>r</w:t>
            </w:r>
            <w:r w:rsidRPr="000E27AC">
              <w:t>esolution</w:t>
            </w:r>
          </w:p>
        </w:tc>
      </w:tr>
      <w:tr w:rsidR="0060776F" w:rsidRPr="000E27AC" w14:paraId="0AE45DDB"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7EF74078" w14:textId="43A8696C" w:rsidR="0060776F" w:rsidRPr="00BE17D1" w:rsidRDefault="0060776F" w:rsidP="00BE17D1">
            <w:pPr>
              <w:spacing w:before="0" w:after="0"/>
            </w:pPr>
            <w:r w:rsidRPr="000E0E39">
              <w:t>NASC</w:t>
            </w:r>
          </w:p>
        </w:tc>
        <w:tc>
          <w:tcPr>
            <w:tcW w:w="8064" w:type="dxa"/>
            <w:vAlign w:val="center"/>
          </w:tcPr>
          <w:p w14:paraId="6E714802" w14:textId="2ED2C123" w:rsidR="0060776F" w:rsidRPr="000E27AC" w:rsidRDefault="0060776F" w:rsidP="00BE17D1">
            <w:pPr>
              <w:spacing w:before="0" w:after="0"/>
              <w:cnfStyle w:val="000000000000" w:firstRow="0" w:lastRow="0" w:firstColumn="0" w:lastColumn="0" w:oddVBand="0" w:evenVBand="0" w:oddHBand="0" w:evenHBand="0" w:firstRowFirstColumn="0" w:firstRowLastColumn="0" w:lastRowFirstColumn="0" w:lastRowLastColumn="0"/>
            </w:pPr>
            <w:r w:rsidRPr="000E27AC">
              <w:t>National Anti-Scam Centre</w:t>
            </w:r>
          </w:p>
        </w:tc>
      </w:tr>
      <w:tr w:rsidR="00050638" w:rsidRPr="000E27AC" w14:paraId="3D93B35C"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4440D839" w14:textId="5DB7B1AA" w:rsidR="00050638" w:rsidRPr="00BE17D1" w:rsidRDefault="00050638" w:rsidP="00BE17D1">
            <w:pPr>
              <w:spacing w:before="0" w:after="0"/>
            </w:pPr>
            <w:r w:rsidRPr="000E0E39">
              <w:t>OIA</w:t>
            </w:r>
          </w:p>
        </w:tc>
        <w:tc>
          <w:tcPr>
            <w:tcW w:w="8064" w:type="dxa"/>
            <w:vAlign w:val="center"/>
          </w:tcPr>
          <w:p w14:paraId="06B3DF8C" w14:textId="2A17E0FD" w:rsidR="00050638" w:rsidRPr="000E27AC" w:rsidRDefault="00947E22" w:rsidP="00BE17D1">
            <w:pPr>
              <w:spacing w:before="0" w:after="0"/>
              <w:cnfStyle w:val="000000000000" w:firstRow="0" w:lastRow="0" w:firstColumn="0" w:lastColumn="0" w:oddVBand="0" w:evenVBand="0" w:oddHBand="0" w:evenHBand="0" w:firstRowFirstColumn="0" w:firstRowLastColumn="0" w:lastRowFirstColumn="0" w:lastRowLastColumn="0"/>
            </w:pPr>
            <w:r w:rsidRPr="000E27AC">
              <w:t>Office of Impact Analysis</w:t>
            </w:r>
          </w:p>
        </w:tc>
      </w:tr>
      <w:tr w:rsidR="00DA4C44" w:rsidRPr="000E27AC" w14:paraId="7DFAAAC6"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7BA8924A" w14:textId="3FA902A1" w:rsidR="00DA4C44" w:rsidRPr="00BE17D1" w:rsidRDefault="00DA4C44" w:rsidP="000E27AC">
            <w:pPr>
              <w:spacing w:before="0" w:after="0"/>
            </w:pPr>
            <w:r w:rsidRPr="000E0E39">
              <w:t>RBE</w:t>
            </w:r>
          </w:p>
        </w:tc>
        <w:tc>
          <w:tcPr>
            <w:tcW w:w="8064" w:type="dxa"/>
            <w:vAlign w:val="center"/>
          </w:tcPr>
          <w:p w14:paraId="0D0117CC" w14:textId="5EB45A41" w:rsidR="00DA4C44" w:rsidRPr="00DA4C44" w:rsidRDefault="00DA4C44" w:rsidP="000E27AC">
            <w:pPr>
              <w:spacing w:before="0" w:after="0"/>
              <w:cnfStyle w:val="000000000000" w:firstRow="0" w:lastRow="0" w:firstColumn="0" w:lastColumn="0" w:oddVBand="0" w:evenVBand="0" w:oddHBand="0" w:evenHBand="0" w:firstRowFirstColumn="0" w:firstRowLastColumn="0" w:lastRowFirstColumn="0" w:lastRowLastColumn="0"/>
            </w:pPr>
            <w:r w:rsidRPr="00BE17D1">
              <w:t xml:space="preserve">Regulatory </w:t>
            </w:r>
            <w:r w:rsidRPr="00BE17D1">
              <w:rPr>
                <w:rStyle w:val="Strong"/>
                <w:b w:val="0"/>
                <w:bCs w:val="0"/>
              </w:rPr>
              <w:t>burden</w:t>
            </w:r>
            <w:r w:rsidRPr="00BE17D1">
              <w:t xml:space="preserve"> estimate</w:t>
            </w:r>
          </w:p>
        </w:tc>
      </w:tr>
      <w:tr w:rsidR="006A386C" w:rsidRPr="000E27AC" w14:paraId="7D921191"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260A1A83" w14:textId="436A417C" w:rsidR="006A386C" w:rsidRPr="000E0E39" w:rsidRDefault="006A386C" w:rsidP="000E27AC">
            <w:pPr>
              <w:spacing w:before="0" w:after="0"/>
            </w:pPr>
            <w:r w:rsidRPr="000E0E39">
              <w:t>SMs</w:t>
            </w:r>
          </w:p>
        </w:tc>
        <w:tc>
          <w:tcPr>
            <w:tcW w:w="8064" w:type="dxa"/>
            <w:vAlign w:val="center"/>
          </w:tcPr>
          <w:p w14:paraId="6CA7D48D" w14:textId="02D477C6" w:rsidR="006A386C" w:rsidRDefault="006A386C" w:rsidP="000E27AC">
            <w:pPr>
              <w:spacing w:before="0" w:after="0"/>
              <w:cnfStyle w:val="000000000000" w:firstRow="0" w:lastRow="0" w:firstColumn="0" w:lastColumn="0" w:oddVBand="0" w:evenVBand="0" w:oddHBand="0" w:evenHBand="0" w:firstRowFirstColumn="0" w:firstRowLastColumn="0" w:lastRowFirstColumn="0" w:lastRowLastColumn="0"/>
            </w:pPr>
            <w:r>
              <w:t>Short messages</w:t>
            </w:r>
          </w:p>
        </w:tc>
      </w:tr>
      <w:tr w:rsidR="00041F7F" w:rsidRPr="000E27AC" w14:paraId="7D53E174"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01E75F85" w14:textId="47951E6B" w:rsidR="00041F7F" w:rsidRPr="000E0E39" w:rsidRDefault="00041F7F" w:rsidP="000E27AC">
            <w:pPr>
              <w:spacing w:before="0" w:after="0"/>
            </w:pPr>
            <w:r w:rsidRPr="000E0E39">
              <w:t>SMS</w:t>
            </w:r>
          </w:p>
        </w:tc>
        <w:tc>
          <w:tcPr>
            <w:tcW w:w="8064" w:type="dxa"/>
            <w:vAlign w:val="center"/>
          </w:tcPr>
          <w:p w14:paraId="24481B81" w14:textId="59A22903" w:rsidR="00041F7F" w:rsidRPr="000E27AC" w:rsidRDefault="00041F7F" w:rsidP="000E27AC">
            <w:pPr>
              <w:spacing w:before="0" w:after="0"/>
              <w:cnfStyle w:val="000000000000" w:firstRow="0" w:lastRow="0" w:firstColumn="0" w:lastColumn="0" w:oddVBand="0" w:evenVBand="0" w:oddHBand="0" w:evenHBand="0" w:firstRowFirstColumn="0" w:firstRowLastColumn="0" w:lastRowFirstColumn="0" w:lastRowLastColumn="0"/>
            </w:pPr>
            <w:r>
              <w:t>S</w:t>
            </w:r>
            <w:r w:rsidRPr="00041F7F">
              <w:t>hort message servic</w:t>
            </w:r>
            <w:r>
              <w:t>e</w:t>
            </w:r>
          </w:p>
        </w:tc>
      </w:tr>
      <w:tr w:rsidR="00423557" w:rsidRPr="000E27AC" w14:paraId="4DD6B774" w14:textId="77777777" w:rsidTr="000E0E39">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38BF3AB0" w14:textId="0DF33C92" w:rsidR="00423557" w:rsidRPr="000E0E39" w:rsidRDefault="00423557" w:rsidP="00423557">
            <w:pPr>
              <w:spacing w:before="0" w:after="0"/>
            </w:pPr>
            <w:r w:rsidRPr="000E0E39">
              <w:t>SPF</w:t>
            </w:r>
          </w:p>
        </w:tc>
        <w:tc>
          <w:tcPr>
            <w:tcW w:w="8064" w:type="dxa"/>
            <w:vAlign w:val="center"/>
          </w:tcPr>
          <w:p w14:paraId="1B3B5273" w14:textId="47676037" w:rsidR="00423557" w:rsidRPr="000E27AC" w:rsidRDefault="00423557" w:rsidP="00423557">
            <w:pPr>
              <w:spacing w:before="0" w:after="0"/>
              <w:cnfStyle w:val="000000000000" w:firstRow="0" w:lastRow="0" w:firstColumn="0" w:lastColumn="0" w:oddVBand="0" w:evenVBand="0" w:oddHBand="0" w:evenHBand="0" w:firstRowFirstColumn="0" w:firstRowLastColumn="0" w:lastRowFirstColumn="0" w:lastRowLastColumn="0"/>
            </w:pPr>
            <w:r w:rsidRPr="000E27AC">
              <w:t>Scams Prevention Framework</w:t>
            </w:r>
          </w:p>
        </w:tc>
      </w:tr>
      <w:tr w:rsidR="007A3809" w:rsidRPr="000E27AC" w14:paraId="538F559C" w14:textId="77777777" w:rsidTr="00BE17D1">
        <w:trPr>
          <w:trHeight w:val="385"/>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445FCB1C" w14:textId="7E74BFD9" w:rsidR="007A3809" w:rsidRPr="00BE17D1" w:rsidRDefault="007A3809" w:rsidP="00BE17D1">
            <w:pPr>
              <w:spacing w:before="0" w:after="0"/>
            </w:pPr>
            <w:r w:rsidRPr="000E0E39">
              <w:t>TIO</w:t>
            </w:r>
          </w:p>
        </w:tc>
        <w:tc>
          <w:tcPr>
            <w:tcW w:w="8064" w:type="dxa"/>
            <w:vAlign w:val="center"/>
          </w:tcPr>
          <w:p w14:paraId="29FFC0AC" w14:textId="0A40F353" w:rsidR="007A3809" w:rsidRPr="000E27AC" w:rsidRDefault="007A3809" w:rsidP="00BE17D1">
            <w:pPr>
              <w:spacing w:before="0" w:after="0"/>
              <w:cnfStyle w:val="000000000000" w:firstRow="0" w:lastRow="0" w:firstColumn="0" w:lastColumn="0" w:oddVBand="0" w:evenVBand="0" w:oddHBand="0" w:evenHBand="0" w:firstRowFirstColumn="0" w:firstRowLastColumn="0" w:lastRowFirstColumn="0" w:lastRowLastColumn="0"/>
            </w:pPr>
            <w:r w:rsidRPr="000E27AC">
              <w:t>Telecommunications Industry Ombudsman</w:t>
            </w:r>
          </w:p>
        </w:tc>
      </w:tr>
    </w:tbl>
    <w:p w14:paraId="19BAE003" w14:textId="77777777" w:rsidR="00BB3657" w:rsidRDefault="00BB3657" w:rsidP="00F70B09"/>
    <w:p w14:paraId="2C905EBF" w14:textId="3BF90ACB" w:rsidR="00F70B09" w:rsidRDefault="00F70B09" w:rsidP="00BE17D1">
      <w:r>
        <w:br w:type="page"/>
      </w:r>
    </w:p>
    <w:p w14:paraId="0DE7BC72" w14:textId="7BC57134" w:rsidR="0021381D" w:rsidRDefault="00AC318E" w:rsidP="00AC318E">
      <w:pPr>
        <w:pStyle w:val="Heading1"/>
      </w:pPr>
      <w:bookmarkStart w:id="75" w:name="_Toc179556417"/>
      <w:r>
        <w:lastRenderedPageBreak/>
        <w:t xml:space="preserve">Status </w:t>
      </w:r>
      <w:r w:rsidR="00F7497A">
        <w:t>during policy development</w:t>
      </w:r>
      <w:bookmarkEnd w:id="75"/>
    </w:p>
    <w:tbl>
      <w:tblPr>
        <w:tblStyle w:val="GridTable4-Accent5"/>
        <w:tblW w:w="9209" w:type="dxa"/>
        <w:tblLook w:val="0420" w:firstRow="1" w:lastRow="0" w:firstColumn="0" w:lastColumn="0" w:noHBand="0" w:noVBand="1"/>
      </w:tblPr>
      <w:tblGrid>
        <w:gridCol w:w="2972"/>
        <w:gridCol w:w="1701"/>
        <w:gridCol w:w="4536"/>
      </w:tblGrid>
      <w:tr w:rsidR="00900D14" w14:paraId="0D62AFDB" w14:textId="77777777" w:rsidTr="00BE17D1">
        <w:trPr>
          <w:cnfStyle w:val="100000000000" w:firstRow="1" w:lastRow="0" w:firstColumn="0" w:lastColumn="0" w:oddVBand="0" w:evenVBand="0" w:oddHBand="0" w:evenHBand="0" w:firstRowFirstColumn="0" w:firstRowLastColumn="0" w:lastRowFirstColumn="0" w:lastRowLastColumn="0"/>
        </w:trPr>
        <w:tc>
          <w:tcPr>
            <w:tcW w:w="2972" w:type="dxa"/>
            <w:hideMark/>
          </w:tcPr>
          <w:p w14:paraId="4C6A6F6F" w14:textId="6690F916" w:rsidR="0021381D" w:rsidRPr="00BE17D1" w:rsidRDefault="00F7497A" w:rsidP="00BE17D1">
            <w:pPr>
              <w:spacing w:before="0"/>
              <w:rPr>
                <w:rFonts w:cs="Calibri Light"/>
                <w:szCs w:val="22"/>
              </w:rPr>
            </w:pPr>
            <w:r w:rsidRPr="00BE17D1">
              <w:rPr>
                <w:rFonts w:cs="Calibri Light"/>
                <w:color w:val="auto"/>
                <w:szCs w:val="22"/>
              </w:rPr>
              <w:t>P</w:t>
            </w:r>
            <w:r w:rsidR="0021381D" w:rsidRPr="00BE17D1">
              <w:rPr>
                <w:rFonts w:cs="Calibri Light"/>
                <w:color w:val="auto"/>
                <w:szCs w:val="22"/>
              </w:rPr>
              <w:t>oint in policy development</w:t>
            </w:r>
          </w:p>
        </w:tc>
        <w:tc>
          <w:tcPr>
            <w:tcW w:w="1701" w:type="dxa"/>
            <w:hideMark/>
          </w:tcPr>
          <w:p w14:paraId="2A41D3F6" w14:textId="77777777" w:rsidR="0021381D" w:rsidRPr="00BE17D1" w:rsidRDefault="0021381D" w:rsidP="00BE17D1">
            <w:pPr>
              <w:spacing w:before="0"/>
              <w:rPr>
                <w:rFonts w:cs="Calibri Light"/>
                <w:sz w:val="20"/>
              </w:rPr>
            </w:pPr>
            <w:r w:rsidRPr="00BE17D1">
              <w:rPr>
                <w:rFonts w:cs="Calibri Light"/>
                <w:color w:val="auto"/>
                <w:sz w:val="20"/>
              </w:rPr>
              <w:t>Timeframe</w:t>
            </w:r>
          </w:p>
        </w:tc>
        <w:tc>
          <w:tcPr>
            <w:tcW w:w="4536" w:type="dxa"/>
            <w:hideMark/>
          </w:tcPr>
          <w:p w14:paraId="3A6D47A7" w14:textId="77777777" w:rsidR="0021381D" w:rsidRPr="00BE17D1" w:rsidRDefault="0021381D" w:rsidP="00BE17D1">
            <w:pPr>
              <w:spacing w:before="0"/>
              <w:rPr>
                <w:rFonts w:cs="Calibri Light"/>
                <w:szCs w:val="22"/>
              </w:rPr>
            </w:pPr>
            <w:r w:rsidRPr="00BE17D1">
              <w:rPr>
                <w:rFonts w:cs="Calibri Light"/>
                <w:color w:val="auto"/>
                <w:szCs w:val="22"/>
              </w:rPr>
              <w:t>Status of the IA</w:t>
            </w:r>
          </w:p>
        </w:tc>
      </w:tr>
      <w:tr w:rsidR="00900D14" w14:paraId="22946D3C" w14:textId="77777777" w:rsidTr="00BE17D1">
        <w:trPr>
          <w:cnfStyle w:val="000000100000" w:firstRow="0" w:lastRow="0" w:firstColumn="0" w:lastColumn="0" w:oddVBand="0" w:evenVBand="0" w:oddHBand="1" w:evenHBand="0" w:firstRowFirstColumn="0" w:firstRowLastColumn="0" w:lastRowFirstColumn="0" w:lastRowLastColumn="0"/>
        </w:trPr>
        <w:tc>
          <w:tcPr>
            <w:tcW w:w="2972" w:type="dxa"/>
            <w:hideMark/>
          </w:tcPr>
          <w:p w14:paraId="1E012466" w14:textId="2DC884C7" w:rsidR="0021381D" w:rsidRDefault="0021381D" w:rsidP="00BE17D1">
            <w:pPr>
              <w:spacing w:before="0"/>
              <w:rPr>
                <w:rFonts w:cs="Calibri Light"/>
                <w:color w:val="262626"/>
                <w:szCs w:val="22"/>
              </w:rPr>
            </w:pPr>
            <w:r>
              <w:rPr>
                <w:rFonts w:cs="Calibri Light"/>
                <w:color w:val="262626"/>
                <w:szCs w:val="22"/>
              </w:rPr>
              <w:t xml:space="preserve">Government </w:t>
            </w:r>
            <w:r w:rsidR="00E914CB">
              <w:rPr>
                <w:rFonts w:cs="Calibri Light"/>
                <w:color w:val="262626"/>
                <w:szCs w:val="22"/>
              </w:rPr>
              <w:t xml:space="preserve">elected with </w:t>
            </w:r>
            <w:r w:rsidR="007D7E37">
              <w:rPr>
                <w:rFonts w:cs="Calibri Light"/>
                <w:color w:val="262626"/>
                <w:szCs w:val="22"/>
              </w:rPr>
              <w:t>commitment</w:t>
            </w:r>
            <w:r>
              <w:rPr>
                <w:rFonts w:cs="Calibri Light"/>
                <w:color w:val="262626"/>
                <w:szCs w:val="22"/>
              </w:rPr>
              <w:t xml:space="preserve"> to </w:t>
            </w:r>
            <w:r w:rsidR="007D7E37">
              <w:rPr>
                <w:rFonts w:cs="Calibri Light"/>
                <w:color w:val="262626"/>
                <w:szCs w:val="22"/>
              </w:rPr>
              <w:t>implement</w:t>
            </w:r>
            <w:r w:rsidR="001F15F0">
              <w:rPr>
                <w:rFonts w:cs="Calibri Light"/>
                <w:color w:val="262626"/>
                <w:szCs w:val="22"/>
              </w:rPr>
              <w:t xml:space="preserve"> mandatory industry codes for scam prevention</w:t>
            </w:r>
          </w:p>
        </w:tc>
        <w:tc>
          <w:tcPr>
            <w:tcW w:w="1701" w:type="dxa"/>
            <w:hideMark/>
          </w:tcPr>
          <w:p w14:paraId="2CDE2D9B" w14:textId="5D3E9390" w:rsidR="0021381D" w:rsidRDefault="00900D14" w:rsidP="00BE17D1">
            <w:pPr>
              <w:spacing w:before="0"/>
              <w:rPr>
                <w:rFonts w:cs="Calibri Light"/>
                <w:color w:val="262626"/>
                <w:szCs w:val="22"/>
              </w:rPr>
            </w:pPr>
            <w:r>
              <w:rPr>
                <w:rFonts w:cs="Calibri Light"/>
                <w:color w:val="262626"/>
                <w:szCs w:val="22"/>
              </w:rPr>
              <w:t>May</w:t>
            </w:r>
            <w:r w:rsidR="0021381D">
              <w:rPr>
                <w:rFonts w:cs="Calibri Light"/>
                <w:color w:val="262626"/>
                <w:szCs w:val="22"/>
              </w:rPr>
              <w:t xml:space="preserve"> 2022</w:t>
            </w:r>
          </w:p>
        </w:tc>
        <w:tc>
          <w:tcPr>
            <w:tcW w:w="4536" w:type="dxa"/>
            <w:hideMark/>
          </w:tcPr>
          <w:p w14:paraId="628850E6" w14:textId="22DEB6EA" w:rsidR="0021381D" w:rsidRDefault="0021381D" w:rsidP="00BE17D1">
            <w:pPr>
              <w:spacing w:before="0"/>
              <w:rPr>
                <w:rFonts w:cs="Calibri Light"/>
                <w:color w:val="262626"/>
                <w:szCs w:val="22"/>
              </w:rPr>
            </w:pPr>
            <w:r>
              <w:rPr>
                <w:rFonts w:cs="Calibri Light"/>
                <w:color w:val="262626"/>
                <w:szCs w:val="22"/>
              </w:rPr>
              <w:t>Undeveloped</w:t>
            </w:r>
            <w:r w:rsidR="00423557">
              <w:rPr>
                <w:rFonts w:cs="Calibri Light"/>
                <w:color w:val="262626"/>
                <w:szCs w:val="22"/>
              </w:rPr>
              <w:t>.</w:t>
            </w:r>
          </w:p>
        </w:tc>
      </w:tr>
      <w:tr w:rsidR="00900D14" w14:paraId="7D0C6174" w14:textId="77777777" w:rsidTr="00BE17D1">
        <w:tc>
          <w:tcPr>
            <w:tcW w:w="2972" w:type="dxa"/>
            <w:hideMark/>
          </w:tcPr>
          <w:p w14:paraId="332F5CEE" w14:textId="7AEFA5D3" w:rsidR="0021381D" w:rsidRDefault="006828B2" w:rsidP="00BE17D1">
            <w:pPr>
              <w:spacing w:before="0"/>
              <w:rPr>
                <w:rFonts w:cs="Calibri Light"/>
                <w:color w:val="262626"/>
                <w:szCs w:val="22"/>
              </w:rPr>
            </w:pPr>
            <w:r>
              <w:rPr>
                <w:rFonts w:cs="Calibri Light"/>
                <w:color w:val="262626"/>
                <w:szCs w:val="22"/>
              </w:rPr>
              <w:t>Public c</w:t>
            </w:r>
            <w:r w:rsidR="007701B3">
              <w:rPr>
                <w:rFonts w:cs="Calibri Light"/>
                <w:color w:val="262626"/>
                <w:szCs w:val="22"/>
              </w:rPr>
              <w:t xml:space="preserve">onsultation on </w:t>
            </w:r>
            <w:r w:rsidR="002E19FB">
              <w:rPr>
                <w:rFonts w:cs="Calibri Light"/>
                <w:color w:val="262626"/>
                <w:szCs w:val="22"/>
              </w:rPr>
              <w:t xml:space="preserve">a </w:t>
            </w:r>
            <w:r w:rsidR="00260D1C">
              <w:rPr>
                <w:rFonts w:cs="Calibri Light"/>
                <w:color w:val="262626"/>
                <w:szCs w:val="22"/>
              </w:rPr>
              <w:t>mandatory industry code</w:t>
            </w:r>
            <w:r w:rsidR="002E19FB">
              <w:rPr>
                <w:rFonts w:cs="Calibri Light"/>
                <w:color w:val="262626"/>
                <w:szCs w:val="22"/>
              </w:rPr>
              <w:t xml:space="preserve"> framework</w:t>
            </w:r>
          </w:p>
        </w:tc>
        <w:tc>
          <w:tcPr>
            <w:tcW w:w="1701" w:type="dxa"/>
            <w:hideMark/>
          </w:tcPr>
          <w:p w14:paraId="3B0CF0E6" w14:textId="71B50DB5" w:rsidR="0021381D" w:rsidRDefault="00811F30" w:rsidP="00BE17D1">
            <w:pPr>
              <w:spacing w:before="0"/>
              <w:rPr>
                <w:rFonts w:cs="Calibri Light"/>
                <w:color w:val="262626"/>
                <w:szCs w:val="22"/>
              </w:rPr>
            </w:pPr>
            <w:r>
              <w:rPr>
                <w:rFonts w:cs="Calibri Light"/>
                <w:color w:val="262626"/>
                <w:szCs w:val="22"/>
              </w:rPr>
              <w:t>November</w:t>
            </w:r>
            <w:r w:rsidR="006828B2">
              <w:rPr>
                <w:rFonts w:cs="Calibri Light"/>
                <w:color w:val="262626"/>
                <w:szCs w:val="22"/>
              </w:rPr>
              <w:t xml:space="preserve"> 2023</w:t>
            </w:r>
            <w:r w:rsidR="00900D14">
              <w:rPr>
                <w:rFonts w:cs="Calibri Light"/>
                <w:color w:val="262626"/>
                <w:szCs w:val="22"/>
              </w:rPr>
              <w:t xml:space="preserve"> </w:t>
            </w:r>
            <w:r w:rsidR="006828B2">
              <w:rPr>
                <w:rFonts w:cs="Calibri Light"/>
                <w:color w:val="262626"/>
                <w:szCs w:val="22"/>
              </w:rPr>
              <w:t>-</w:t>
            </w:r>
            <w:r w:rsidR="00730068">
              <w:rPr>
                <w:rFonts w:cs="Calibri Light"/>
                <w:color w:val="262626"/>
                <w:szCs w:val="22"/>
              </w:rPr>
              <w:t xml:space="preserve"> </w:t>
            </w:r>
            <w:r>
              <w:rPr>
                <w:rFonts w:cs="Calibri Light"/>
                <w:color w:val="262626"/>
                <w:szCs w:val="22"/>
              </w:rPr>
              <w:t>Jan</w:t>
            </w:r>
            <w:r w:rsidR="006828B2">
              <w:rPr>
                <w:rFonts w:cs="Calibri Light"/>
                <w:color w:val="262626"/>
                <w:szCs w:val="22"/>
              </w:rPr>
              <w:t>uary</w:t>
            </w:r>
            <w:r w:rsidR="0021381D">
              <w:rPr>
                <w:rFonts w:cs="Calibri Light"/>
                <w:color w:val="262626"/>
                <w:szCs w:val="22"/>
              </w:rPr>
              <w:t xml:space="preserve"> 202</w:t>
            </w:r>
            <w:r w:rsidR="006828B2">
              <w:rPr>
                <w:rFonts w:cs="Calibri Light"/>
                <w:color w:val="262626"/>
                <w:szCs w:val="22"/>
              </w:rPr>
              <w:t>4</w:t>
            </w:r>
          </w:p>
        </w:tc>
        <w:tc>
          <w:tcPr>
            <w:tcW w:w="4536" w:type="dxa"/>
            <w:hideMark/>
          </w:tcPr>
          <w:p w14:paraId="7A828A9B" w14:textId="5772AA59" w:rsidR="0021381D" w:rsidRDefault="00FB127E" w:rsidP="00BE17D1">
            <w:pPr>
              <w:spacing w:before="0"/>
              <w:rPr>
                <w:rFonts w:cs="Calibri Light"/>
                <w:color w:val="262626"/>
                <w:szCs w:val="22"/>
              </w:rPr>
            </w:pPr>
            <w:r>
              <w:rPr>
                <w:rFonts w:cs="Calibri Light"/>
                <w:color w:val="262626"/>
                <w:szCs w:val="22"/>
              </w:rPr>
              <w:t xml:space="preserve">Began collating information for analysis in IA. </w:t>
            </w:r>
          </w:p>
        </w:tc>
      </w:tr>
      <w:tr w:rsidR="005B05E6" w14:paraId="43ABF2E3" w14:textId="77777777" w:rsidTr="00BE17D1">
        <w:trPr>
          <w:cnfStyle w:val="000000100000" w:firstRow="0" w:lastRow="0" w:firstColumn="0" w:lastColumn="0" w:oddVBand="0" w:evenVBand="0" w:oddHBand="1" w:evenHBand="0" w:firstRowFirstColumn="0" w:firstRowLastColumn="0" w:lastRowFirstColumn="0" w:lastRowLastColumn="0"/>
        </w:trPr>
        <w:tc>
          <w:tcPr>
            <w:tcW w:w="2972" w:type="dxa"/>
            <w:hideMark/>
          </w:tcPr>
          <w:p w14:paraId="0E1235AF" w14:textId="0B5B9377" w:rsidR="0021381D" w:rsidRDefault="005B05E6" w:rsidP="00BE17D1">
            <w:pPr>
              <w:spacing w:before="0"/>
              <w:rPr>
                <w:rFonts w:cs="Calibri Light"/>
                <w:color w:val="262626"/>
                <w:szCs w:val="22"/>
              </w:rPr>
            </w:pPr>
            <w:r>
              <w:rPr>
                <w:rFonts w:cs="Calibri Light"/>
                <w:color w:val="262626"/>
                <w:szCs w:val="22"/>
              </w:rPr>
              <w:t xml:space="preserve">Government </w:t>
            </w:r>
            <w:r w:rsidR="00796A1E">
              <w:rPr>
                <w:rFonts w:cs="Calibri Light"/>
                <w:color w:val="262626"/>
                <w:szCs w:val="22"/>
              </w:rPr>
              <w:t>allocates</w:t>
            </w:r>
            <w:r>
              <w:rPr>
                <w:rFonts w:cs="Calibri Light"/>
                <w:color w:val="262626"/>
                <w:szCs w:val="22"/>
              </w:rPr>
              <w:t xml:space="preserve"> funding</w:t>
            </w:r>
            <w:r w:rsidR="00860A4B">
              <w:rPr>
                <w:rFonts w:cs="Calibri Light"/>
                <w:color w:val="262626"/>
                <w:szCs w:val="22"/>
              </w:rPr>
              <w:t xml:space="preserve"> in the 2024-25 Budget</w:t>
            </w:r>
            <w:r>
              <w:rPr>
                <w:rFonts w:cs="Calibri Light"/>
                <w:color w:val="262626"/>
                <w:szCs w:val="22"/>
              </w:rPr>
              <w:t xml:space="preserve"> </w:t>
            </w:r>
            <w:r w:rsidR="00860A4B">
              <w:rPr>
                <w:rFonts w:cs="Calibri Light"/>
                <w:color w:val="262626"/>
                <w:szCs w:val="22"/>
              </w:rPr>
              <w:t>to</w:t>
            </w:r>
            <w:r>
              <w:rPr>
                <w:rFonts w:cs="Calibri Light"/>
                <w:color w:val="262626"/>
                <w:szCs w:val="22"/>
              </w:rPr>
              <w:t xml:space="preserve"> establish a scams code framework</w:t>
            </w:r>
          </w:p>
        </w:tc>
        <w:tc>
          <w:tcPr>
            <w:tcW w:w="1701" w:type="dxa"/>
            <w:hideMark/>
          </w:tcPr>
          <w:p w14:paraId="6BA225A8" w14:textId="75E62902" w:rsidR="0021381D" w:rsidRDefault="005B05E6" w:rsidP="00BE17D1">
            <w:pPr>
              <w:spacing w:before="0"/>
              <w:rPr>
                <w:rFonts w:cs="Calibri Light"/>
                <w:color w:val="262626"/>
                <w:szCs w:val="22"/>
              </w:rPr>
            </w:pPr>
            <w:r>
              <w:rPr>
                <w:rFonts w:cs="Calibri Light"/>
                <w:color w:val="262626"/>
                <w:szCs w:val="22"/>
              </w:rPr>
              <w:t>May</w:t>
            </w:r>
            <w:r w:rsidR="0021381D">
              <w:rPr>
                <w:rFonts w:cs="Calibri Light"/>
                <w:color w:val="262626"/>
                <w:szCs w:val="22"/>
              </w:rPr>
              <w:t xml:space="preserve"> 202</w:t>
            </w:r>
            <w:r>
              <w:rPr>
                <w:rFonts w:cs="Calibri Light"/>
                <w:color w:val="262626"/>
                <w:szCs w:val="22"/>
              </w:rPr>
              <w:t>4</w:t>
            </w:r>
          </w:p>
        </w:tc>
        <w:tc>
          <w:tcPr>
            <w:tcW w:w="4536" w:type="dxa"/>
            <w:hideMark/>
          </w:tcPr>
          <w:p w14:paraId="720EFA79" w14:textId="3BAB88DC" w:rsidR="0021381D" w:rsidRDefault="0021381D" w:rsidP="00BE17D1">
            <w:pPr>
              <w:spacing w:before="0"/>
              <w:rPr>
                <w:rFonts w:cs="Calibri Light"/>
                <w:color w:val="262626"/>
                <w:szCs w:val="22"/>
              </w:rPr>
            </w:pPr>
            <w:r>
              <w:rPr>
                <w:rFonts w:cs="Calibri Light"/>
                <w:color w:val="262626"/>
                <w:szCs w:val="22"/>
              </w:rPr>
              <w:t>Decision informed by Draft IA</w:t>
            </w:r>
            <w:r w:rsidR="00F80C2E">
              <w:rPr>
                <w:rFonts w:cs="Calibri Light"/>
                <w:color w:val="262626"/>
                <w:szCs w:val="22"/>
              </w:rPr>
              <w:t xml:space="preserve">. </w:t>
            </w:r>
            <w:r w:rsidR="00606526">
              <w:rPr>
                <w:rFonts w:cs="Calibri Light"/>
                <w:color w:val="262626"/>
                <w:szCs w:val="22"/>
              </w:rPr>
              <w:t xml:space="preserve">OIA reviewed </w:t>
            </w:r>
            <w:r w:rsidR="00F80C2E">
              <w:rPr>
                <w:rFonts w:cs="Calibri Light"/>
                <w:color w:val="262626"/>
                <w:szCs w:val="22"/>
              </w:rPr>
              <w:t>the Draft IA</w:t>
            </w:r>
            <w:r w:rsidR="00606526">
              <w:rPr>
                <w:rFonts w:cs="Calibri Light"/>
                <w:color w:val="262626"/>
                <w:szCs w:val="22"/>
              </w:rPr>
              <w:t>, providing comments which were addressed</w:t>
            </w:r>
            <w:r w:rsidR="00FC7765">
              <w:rPr>
                <w:rFonts w:cs="Calibri Light"/>
                <w:color w:val="262626"/>
                <w:szCs w:val="22"/>
              </w:rPr>
              <w:t xml:space="preserve"> prior to the decision.</w:t>
            </w:r>
            <w:r>
              <w:rPr>
                <w:rFonts w:cs="Calibri Light"/>
                <w:color w:val="262626"/>
                <w:szCs w:val="22"/>
              </w:rPr>
              <w:t xml:space="preserve"> </w:t>
            </w:r>
            <w:r w:rsidR="00D30901">
              <w:rPr>
                <w:rFonts w:cs="Calibri Light"/>
                <w:color w:val="262626"/>
                <w:szCs w:val="22"/>
              </w:rPr>
              <w:t>An OIA assessment of the</w:t>
            </w:r>
            <w:r w:rsidR="002860FF">
              <w:rPr>
                <w:rFonts w:cs="Calibri Light"/>
                <w:color w:val="262626"/>
                <w:szCs w:val="22"/>
              </w:rPr>
              <w:t xml:space="preserve"> Draft IA </w:t>
            </w:r>
            <w:r w:rsidR="00C63A3D">
              <w:rPr>
                <w:rFonts w:cs="Calibri Light"/>
                <w:color w:val="262626"/>
                <w:szCs w:val="22"/>
              </w:rPr>
              <w:t>was</w:t>
            </w:r>
            <w:r w:rsidR="0034330B">
              <w:rPr>
                <w:rFonts w:cs="Calibri Light"/>
                <w:color w:val="262626"/>
                <w:szCs w:val="22"/>
              </w:rPr>
              <w:t xml:space="preserve"> </w:t>
            </w:r>
            <w:r>
              <w:rPr>
                <w:rFonts w:cs="Calibri Light"/>
                <w:color w:val="262626"/>
                <w:szCs w:val="22"/>
              </w:rPr>
              <w:t xml:space="preserve">not </w:t>
            </w:r>
            <w:r w:rsidR="00C63A3D">
              <w:rPr>
                <w:rFonts w:cs="Calibri Light"/>
                <w:color w:val="262626"/>
                <w:szCs w:val="22"/>
              </w:rPr>
              <w:t>required</w:t>
            </w:r>
            <w:r>
              <w:rPr>
                <w:rFonts w:cs="Calibri Light"/>
                <w:color w:val="262626"/>
                <w:szCs w:val="22"/>
              </w:rPr>
              <w:t>.</w:t>
            </w:r>
          </w:p>
        </w:tc>
      </w:tr>
      <w:tr w:rsidR="00900D14" w14:paraId="167D764E" w14:textId="77777777" w:rsidTr="00BE17D1">
        <w:tc>
          <w:tcPr>
            <w:tcW w:w="2972" w:type="dxa"/>
            <w:hideMark/>
          </w:tcPr>
          <w:p w14:paraId="3691BCEA" w14:textId="5801BF3A" w:rsidR="0021381D" w:rsidRDefault="00E37FEC" w:rsidP="00BE17D1">
            <w:pPr>
              <w:spacing w:before="0"/>
              <w:rPr>
                <w:rFonts w:cs="Calibri Light"/>
                <w:color w:val="262626"/>
                <w:szCs w:val="22"/>
              </w:rPr>
            </w:pPr>
            <w:r>
              <w:rPr>
                <w:rFonts w:cs="Calibri Light"/>
                <w:color w:val="262626"/>
                <w:szCs w:val="22"/>
              </w:rPr>
              <w:t xml:space="preserve">Ongoing </w:t>
            </w:r>
            <w:r w:rsidR="005772E0">
              <w:rPr>
                <w:rFonts w:cs="Calibri Light"/>
                <w:color w:val="262626"/>
                <w:szCs w:val="22"/>
              </w:rPr>
              <w:t xml:space="preserve">targeted </w:t>
            </w:r>
            <w:r>
              <w:rPr>
                <w:rFonts w:cs="Calibri Light"/>
                <w:color w:val="262626"/>
                <w:szCs w:val="22"/>
              </w:rPr>
              <w:t>c</w:t>
            </w:r>
            <w:r w:rsidR="0021381D">
              <w:rPr>
                <w:rFonts w:cs="Calibri Light"/>
                <w:color w:val="262626"/>
                <w:szCs w:val="22"/>
              </w:rPr>
              <w:t>onsultation with stakeholders</w:t>
            </w:r>
          </w:p>
        </w:tc>
        <w:tc>
          <w:tcPr>
            <w:tcW w:w="1701" w:type="dxa"/>
            <w:hideMark/>
          </w:tcPr>
          <w:p w14:paraId="10093DAB" w14:textId="146D1D3C" w:rsidR="0021381D" w:rsidRDefault="00E37FEC" w:rsidP="00BE17D1">
            <w:pPr>
              <w:spacing w:before="0"/>
              <w:rPr>
                <w:rFonts w:cs="Calibri Light"/>
                <w:color w:val="262626"/>
                <w:szCs w:val="22"/>
              </w:rPr>
            </w:pPr>
            <w:r>
              <w:rPr>
                <w:rFonts w:cs="Calibri Light"/>
                <w:color w:val="262626"/>
                <w:szCs w:val="22"/>
              </w:rPr>
              <w:t>May</w:t>
            </w:r>
            <w:r w:rsidR="00900D14">
              <w:rPr>
                <w:rFonts w:cs="Calibri Light"/>
                <w:color w:val="262626"/>
                <w:szCs w:val="22"/>
              </w:rPr>
              <w:t xml:space="preserve"> </w:t>
            </w:r>
            <w:r w:rsidR="00730068">
              <w:rPr>
                <w:rFonts w:cs="Calibri Light"/>
                <w:color w:val="262626"/>
                <w:szCs w:val="22"/>
              </w:rPr>
              <w:t xml:space="preserve">2024 </w:t>
            </w:r>
            <w:r>
              <w:rPr>
                <w:rFonts w:cs="Calibri Light"/>
                <w:color w:val="262626"/>
                <w:szCs w:val="22"/>
              </w:rPr>
              <w:t>-</w:t>
            </w:r>
            <w:r w:rsidR="00900D14">
              <w:rPr>
                <w:rFonts w:cs="Calibri Light"/>
                <w:color w:val="262626"/>
                <w:szCs w:val="22"/>
              </w:rPr>
              <w:t xml:space="preserve"> </w:t>
            </w:r>
            <w:r>
              <w:rPr>
                <w:rFonts w:cs="Calibri Light"/>
                <w:color w:val="262626"/>
                <w:szCs w:val="22"/>
              </w:rPr>
              <w:t>September</w:t>
            </w:r>
            <w:r w:rsidR="0021381D">
              <w:rPr>
                <w:rFonts w:cs="Calibri Light"/>
                <w:color w:val="262626"/>
                <w:szCs w:val="22"/>
              </w:rPr>
              <w:t xml:space="preserve"> 202</w:t>
            </w:r>
            <w:r>
              <w:rPr>
                <w:rFonts w:cs="Calibri Light"/>
                <w:color w:val="262626"/>
                <w:szCs w:val="22"/>
              </w:rPr>
              <w:t>4</w:t>
            </w:r>
          </w:p>
        </w:tc>
        <w:tc>
          <w:tcPr>
            <w:tcW w:w="4536" w:type="dxa"/>
            <w:hideMark/>
          </w:tcPr>
          <w:p w14:paraId="4D8F88BC" w14:textId="371BD24C" w:rsidR="0021381D" w:rsidRDefault="00FB127E" w:rsidP="00BE17D1">
            <w:pPr>
              <w:spacing w:before="0"/>
              <w:rPr>
                <w:rFonts w:cs="Calibri Light"/>
                <w:color w:val="262626"/>
                <w:szCs w:val="22"/>
              </w:rPr>
            </w:pPr>
            <w:r>
              <w:rPr>
                <w:rFonts w:cs="Calibri Light"/>
                <w:color w:val="262626"/>
                <w:szCs w:val="22"/>
              </w:rPr>
              <w:t>Further</w:t>
            </w:r>
            <w:r w:rsidR="0021381D">
              <w:rPr>
                <w:rFonts w:cs="Calibri Light"/>
                <w:color w:val="262626"/>
                <w:szCs w:val="22"/>
              </w:rPr>
              <w:t xml:space="preserve"> collat</w:t>
            </w:r>
            <w:r>
              <w:rPr>
                <w:rFonts w:cs="Calibri Light"/>
                <w:color w:val="262626"/>
                <w:szCs w:val="22"/>
              </w:rPr>
              <w:t xml:space="preserve">ion of </w:t>
            </w:r>
            <w:r w:rsidR="00203E64">
              <w:rPr>
                <w:rFonts w:cs="Calibri Light"/>
                <w:color w:val="262626"/>
                <w:szCs w:val="22"/>
              </w:rPr>
              <w:t>information</w:t>
            </w:r>
            <w:r w:rsidR="0021381D">
              <w:rPr>
                <w:rFonts w:cs="Calibri Light"/>
                <w:color w:val="262626"/>
                <w:szCs w:val="22"/>
              </w:rPr>
              <w:t xml:space="preserve"> for </w:t>
            </w:r>
            <w:r w:rsidR="009E5A47">
              <w:rPr>
                <w:rFonts w:cs="Calibri Light"/>
                <w:color w:val="262626"/>
                <w:szCs w:val="22"/>
              </w:rPr>
              <w:t xml:space="preserve">policy design and </w:t>
            </w:r>
            <w:r w:rsidR="0021381D">
              <w:rPr>
                <w:rFonts w:cs="Calibri Light"/>
                <w:color w:val="262626"/>
                <w:szCs w:val="22"/>
              </w:rPr>
              <w:t>analysis in IA. Draft IA not used as basis for this consultation.</w:t>
            </w:r>
          </w:p>
        </w:tc>
      </w:tr>
      <w:tr w:rsidR="005B05E6" w14:paraId="6467017E" w14:textId="77777777" w:rsidTr="00BE17D1">
        <w:trPr>
          <w:cnfStyle w:val="000000100000" w:firstRow="0" w:lastRow="0" w:firstColumn="0" w:lastColumn="0" w:oddVBand="0" w:evenVBand="0" w:oddHBand="1" w:evenHBand="0" w:firstRowFirstColumn="0" w:firstRowLastColumn="0" w:lastRowFirstColumn="0" w:lastRowLastColumn="0"/>
        </w:trPr>
        <w:tc>
          <w:tcPr>
            <w:tcW w:w="2972" w:type="dxa"/>
            <w:hideMark/>
          </w:tcPr>
          <w:p w14:paraId="6630584A" w14:textId="44C8A278" w:rsidR="0021381D" w:rsidRDefault="0021381D" w:rsidP="00BE17D1">
            <w:pPr>
              <w:spacing w:before="0"/>
              <w:rPr>
                <w:rFonts w:cs="Calibri Light"/>
                <w:color w:val="262626"/>
                <w:szCs w:val="22"/>
              </w:rPr>
            </w:pPr>
            <w:r>
              <w:rPr>
                <w:rFonts w:cs="Calibri Light"/>
                <w:color w:val="262626"/>
                <w:szCs w:val="22"/>
              </w:rPr>
              <w:t>Internal interim decision</w:t>
            </w:r>
            <w:r w:rsidR="000A7CC4">
              <w:rPr>
                <w:rFonts w:cs="Calibri Light"/>
                <w:color w:val="262626"/>
                <w:szCs w:val="22"/>
              </w:rPr>
              <w:t xml:space="preserve"> on draft legislative design</w:t>
            </w:r>
          </w:p>
        </w:tc>
        <w:tc>
          <w:tcPr>
            <w:tcW w:w="1701" w:type="dxa"/>
            <w:hideMark/>
          </w:tcPr>
          <w:p w14:paraId="67B7F36F" w14:textId="6FA2660D" w:rsidR="0021381D" w:rsidRDefault="00B92F98" w:rsidP="00BE17D1">
            <w:pPr>
              <w:spacing w:before="0"/>
              <w:rPr>
                <w:rFonts w:cs="Calibri Light"/>
                <w:color w:val="262626"/>
                <w:szCs w:val="22"/>
              </w:rPr>
            </w:pPr>
            <w:r>
              <w:rPr>
                <w:rFonts w:cs="Calibri Light"/>
                <w:color w:val="262626"/>
                <w:szCs w:val="22"/>
              </w:rPr>
              <w:t>September</w:t>
            </w:r>
            <w:r w:rsidR="0021381D">
              <w:rPr>
                <w:rFonts w:cs="Calibri Light"/>
                <w:color w:val="262626"/>
                <w:szCs w:val="22"/>
              </w:rPr>
              <w:t xml:space="preserve"> </w:t>
            </w:r>
            <w:r w:rsidR="00A753EF">
              <w:rPr>
                <w:rFonts w:cs="Calibri Light"/>
                <w:color w:val="262626"/>
                <w:szCs w:val="22"/>
              </w:rPr>
              <w:t>2024</w:t>
            </w:r>
          </w:p>
        </w:tc>
        <w:tc>
          <w:tcPr>
            <w:tcW w:w="4536" w:type="dxa"/>
            <w:hideMark/>
          </w:tcPr>
          <w:p w14:paraId="1702E063" w14:textId="5B294816" w:rsidR="0021381D" w:rsidRDefault="00B92F98" w:rsidP="00BE17D1">
            <w:pPr>
              <w:spacing w:before="0"/>
              <w:rPr>
                <w:rFonts w:cs="Calibri Light"/>
                <w:color w:val="262626"/>
                <w:szCs w:val="22"/>
              </w:rPr>
            </w:pPr>
            <w:r>
              <w:rPr>
                <w:rFonts w:cs="Calibri Light"/>
                <w:color w:val="262626"/>
                <w:szCs w:val="22"/>
              </w:rPr>
              <w:t>D</w:t>
            </w:r>
            <w:r w:rsidR="0021381D">
              <w:rPr>
                <w:rFonts w:cs="Calibri Light"/>
                <w:color w:val="262626"/>
                <w:szCs w:val="22"/>
              </w:rPr>
              <w:t>raft of IA sent to OIA for comments.</w:t>
            </w:r>
          </w:p>
        </w:tc>
      </w:tr>
      <w:tr w:rsidR="003B1E2E" w14:paraId="70EBB991" w14:textId="77777777" w:rsidTr="00BE17D1">
        <w:tc>
          <w:tcPr>
            <w:tcW w:w="2972" w:type="dxa"/>
          </w:tcPr>
          <w:p w14:paraId="38B6F402" w14:textId="2A02CA25" w:rsidR="00A753EF" w:rsidRDefault="00F7497A" w:rsidP="00BE17D1">
            <w:pPr>
              <w:spacing w:before="0"/>
              <w:rPr>
                <w:rFonts w:cs="Calibri Light"/>
                <w:color w:val="262626"/>
                <w:szCs w:val="22"/>
              </w:rPr>
            </w:pPr>
            <w:r>
              <w:rPr>
                <w:rFonts w:cs="Calibri Light"/>
                <w:color w:val="262626"/>
                <w:szCs w:val="22"/>
              </w:rPr>
              <w:t>Consultation on exposure draft legislation</w:t>
            </w:r>
            <w:r w:rsidR="00DF31A2">
              <w:rPr>
                <w:rFonts w:cs="Calibri Light"/>
                <w:color w:val="262626"/>
                <w:szCs w:val="22"/>
              </w:rPr>
              <w:t xml:space="preserve"> for the SPF</w:t>
            </w:r>
          </w:p>
        </w:tc>
        <w:tc>
          <w:tcPr>
            <w:tcW w:w="1701" w:type="dxa"/>
          </w:tcPr>
          <w:p w14:paraId="5DBBB61C" w14:textId="11B5D2CC" w:rsidR="00A753EF" w:rsidRDefault="00A753EF" w:rsidP="00BE17D1">
            <w:pPr>
              <w:spacing w:before="0"/>
              <w:rPr>
                <w:rFonts w:cs="Calibri Light"/>
                <w:color w:val="262626"/>
                <w:szCs w:val="22"/>
              </w:rPr>
            </w:pPr>
            <w:r>
              <w:rPr>
                <w:rFonts w:cs="Calibri Light"/>
                <w:color w:val="262626"/>
                <w:szCs w:val="22"/>
              </w:rPr>
              <w:t>September</w:t>
            </w:r>
            <w:r w:rsidR="00900D14">
              <w:rPr>
                <w:rFonts w:cs="Calibri Light"/>
                <w:color w:val="262626"/>
                <w:szCs w:val="22"/>
              </w:rPr>
              <w:t xml:space="preserve"> </w:t>
            </w:r>
            <w:r w:rsidR="00730068">
              <w:rPr>
                <w:rFonts w:cs="Calibri Light"/>
                <w:color w:val="262626"/>
                <w:szCs w:val="22"/>
              </w:rPr>
              <w:t xml:space="preserve">2024 </w:t>
            </w:r>
            <w:r>
              <w:rPr>
                <w:rFonts w:cs="Calibri Light"/>
                <w:color w:val="262626"/>
                <w:szCs w:val="22"/>
              </w:rPr>
              <w:t>-</w:t>
            </w:r>
            <w:r w:rsidR="00900D14">
              <w:rPr>
                <w:rFonts w:cs="Calibri Light"/>
                <w:color w:val="262626"/>
                <w:szCs w:val="22"/>
              </w:rPr>
              <w:t xml:space="preserve"> </w:t>
            </w:r>
            <w:r>
              <w:rPr>
                <w:rFonts w:cs="Calibri Light"/>
                <w:color w:val="262626"/>
                <w:szCs w:val="22"/>
              </w:rPr>
              <w:t>October 2024</w:t>
            </w:r>
          </w:p>
        </w:tc>
        <w:tc>
          <w:tcPr>
            <w:tcW w:w="4536" w:type="dxa"/>
          </w:tcPr>
          <w:p w14:paraId="054631A8" w14:textId="519D14A8" w:rsidR="00A753EF" w:rsidRDefault="00BC5B6C" w:rsidP="00BE17D1">
            <w:pPr>
              <w:spacing w:before="0"/>
              <w:rPr>
                <w:rFonts w:cs="Calibri Light"/>
                <w:color w:val="262626"/>
                <w:szCs w:val="22"/>
              </w:rPr>
            </w:pPr>
            <w:r>
              <w:rPr>
                <w:rFonts w:cs="Calibri Light"/>
                <w:color w:val="262626"/>
                <w:szCs w:val="22"/>
              </w:rPr>
              <w:t xml:space="preserve">Questions </w:t>
            </w:r>
            <w:r w:rsidR="007E2BC5">
              <w:rPr>
                <w:rFonts w:cs="Calibri Light"/>
                <w:color w:val="262626"/>
                <w:szCs w:val="22"/>
              </w:rPr>
              <w:t xml:space="preserve">related to policy design and regulatory impacts outlined in consultation documentation. </w:t>
            </w:r>
            <w:r w:rsidR="00FB127E">
              <w:rPr>
                <w:rFonts w:cs="Calibri Light"/>
                <w:color w:val="262626"/>
                <w:szCs w:val="22"/>
              </w:rPr>
              <w:t xml:space="preserve">Further collation of information for analysis in IA. </w:t>
            </w:r>
            <w:r>
              <w:rPr>
                <w:rFonts w:cs="Calibri Light"/>
                <w:color w:val="262626"/>
                <w:szCs w:val="22"/>
              </w:rPr>
              <w:t xml:space="preserve">Draft IA not used as basis for this consultation. </w:t>
            </w:r>
          </w:p>
        </w:tc>
      </w:tr>
      <w:tr w:rsidR="00730068" w14:paraId="116639B6" w14:textId="77777777" w:rsidTr="00BE17D1">
        <w:trPr>
          <w:cnfStyle w:val="000000100000" w:firstRow="0" w:lastRow="0" w:firstColumn="0" w:lastColumn="0" w:oddVBand="0" w:evenVBand="0" w:oddHBand="1" w:evenHBand="0" w:firstRowFirstColumn="0" w:firstRowLastColumn="0" w:lastRowFirstColumn="0" w:lastRowLastColumn="0"/>
        </w:trPr>
        <w:tc>
          <w:tcPr>
            <w:tcW w:w="2972" w:type="dxa"/>
          </w:tcPr>
          <w:p w14:paraId="3D09B9B5" w14:textId="389796E5" w:rsidR="008B68A9" w:rsidRDefault="008B68A9" w:rsidP="00BE17D1">
            <w:pPr>
              <w:spacing w:before="0"/>
              <w:rPr>
                <w:rFonts w:cs="Calibri Light"/>
                <w:color w:val="262626"/>
                <w:szCs w:val="22"/>
              </w:rPr>
            </w:pPr>
            <w:r>
              <w:rPr>
                <w:rFonts w:cs="Calibri Light"/>
                <w:color w:val="262626"/>
                <w:szCs w:val="22"/>
              </w:rPr>
              <w:t>OIA 1</w:t>
            </w:r>
            <w:r>
              <w:rPr>
                <w:rFonts w:cs="Calibri Light"/>
                <w:color w:val="262626"/>
                <w:szCs w:val="22"/>
                <w:vertAlign w:val="superscript"/>
              </w:rPr>
              <w:t>st</w:t>
            </w:r>
            <w:r>
              <w:rPr>
                <w:rFonts w:cs="Calibri Light"/>
                <w:color w:val="262626"/>
                <w:szCs w:val="22"/>
              </w:rPr>
              <w:t xml:space="preserve"> Pass Final assessment</w:t>
            </w:r>
          </w:p>
        </w:tc>
        <w:tc>
          <w:tcPr>
            <w:tcW w:w="1701" w:type="dxa"/>
          </w:tcPr>
          <w:p w14:paraId="39261904" w14:textId="02C09498" w:rsidR="008B68A9" w:rsidRDefault="008B68A9" w:rsidP="00BE17D1">
            <w:pPr>
              <w:spacing w:before="0"/>
              <w:rPr>
                <w:rFonts w:cs="Calibri Light"/>
                <w:color w:val="262626"/>
                <w:szCs w:val="22"/>
              </w:rPr>
            </w:pPr>
            <w:r>
              <w:rPr>
                <w:rFonts w:cs="Calibri Light"/>
                <w:color w:val="262626"/>
                <w:szCs w:val="22"/>
              </w:rPr>
              <w:t>October 2024</w:t>
            </w:r>
          </w:p>
        </w:tc>
        <w:tc>
          <w:tcPr>
            <w:tcW w:w="0" w:type="dxa"/>
          </w:tcPr>
          <w:p w14:paraId="059A7424" w14:textId="0B0F29A4" w:rsidR="008B68A9" w:rsidRDefault="002D2A2A" w:rsidP="00BE17D1">
            <w:pPr>
              <w:spacing w:before="0"/>
              <w:rPr>
                <w:rFonts w:cs="Calibri Light"/>
                <w:color w:val="262626"/>
                <w:szCs w:val="22"/>
              </w:rPr>
            </w:pPr>
            <w:r>
              <w:rPr>
                <w:rFonts w:cs="Calibri Light"/>
                <w:color w:val="262626"/>
                <w:szCs w:val="22"/>
              </w:rPr>
              <w:t>1</w:t>
            </w:r>
            <w:r>
              <w:rPr>
                <w:rFonts w:cs="Calibri Light"/>
                <w:color w:val="262626"/>
                <w:szCs w:val="22"/>
                <w:vertAlign w:val="superscript"/>
              </w:rPr>
              <w:t>st</w:t>
            </w:r>
            <w:r>
              <w:rPr>
                <w:rFonts w:cs="Calibri Light"/>
                <w:color w:val="262626"/>
                <w:szCs w:val="22"/>
              </w:rPr>
              <w:t xml:space="preserve"> </w:t>
            </w:r>
            <w:r w:rsidR="008B68A9">
              <w:rPr>
                <w:rFonts w:cs="Calibri Light"/>
                <w:color w:val="262626"/>
                <w:szCs w:val="22"/>
              </w:rPr>
              <w:t>pass assessment IA completed</w:t>
            </w:r>
            <w:r w:rsidR="00095C1B">
              <w:rPr>
                <w:rFonts w:cs="Calibri Light"/>
                <w:color w:val="262626"/>
                <w:szCs w:val="22"/>
              </w:rPr>
              <w:t xml:space="preserve"> and presented to</w:t>
            </w:r>
            <w:r w:rsidR="008B68A9">
              <w:rPr>
                <w:rFonts w:cs="Calibri Light"/>
                <w:color w:val="262626"/>
                <w:szCs w:val="22"/>
              </w:rPr>
              <w:t xml:space="preserve"> OIA.</w:t>
            </w:r>
          </w:p>
        </w:tc>
      </w:tr>
      <w:tr w:rsidR="005B05E6" w14:paraId="4B801198" w14:textId="77777777" w:rsidTr="00BE17D1">
        <w:tc>
          <w:tcPr>
            <w:tcW w:w="2972" w:type="dxa"/>
            <w:hideMark/>
          </w:tcPr>
          <w:p w14:paraId="0818F397" w14:textId="77777777" w:rsidR="008B68A9" w:rsidRDefault="008B68A9" w:rsidP="00BE17D1">
            <w:pPr>
              <w:spacing w:before="0"/>
              <w:rPr>
                <w:rFonts w:cs="Calibri Light"/>
                <w:color w:val="262626"/>
                <w:szCs w:val="22"/>
              </w:rPr>
            </w:pPr>
            <w:r>
              <w:rPr>
                <w:rFonts w:cs="Calibri Light"/>
                <w:color w:val="262626"/>
                <w:szCs w:val="22"/>
              </w:rPr>
              <w:t>OIA 2</w:t>
            </w:r>
            <w:r>
              <w:rPr>
                <w:rFonts w:cs="Calibri Light"/>
                <w:color w:val="262626"/>
                <w:szCs w:val="22"/>
                <w:vertAlign w:val="superscript"/>
              </w:rPr>
              <w:t>nd</w:t>
            </w:r>
            <w:r>
              <w:rPr>
                <w:rFonts w:cs="Calibri Light"/>
                <w:color w:val="262626"/>
                <w:szCs w:val="22"/>
              </w:rPr>
              <w:t xml:space="preserve"> Pass Final assessment</w:t>
            </w:r>
          </w:p>
        </w:tc>
        <w:tc>
          <w:tcPr>
            <w:tcW w:w="1701" w:type="dxa"/>
            <w:hideMark/>
          </w:tcPr>
          <w:p w14:paraId="404595DD" w14:textId="3D26DE11" w:rsidR="008B68A9" w:rsidRDefault="008B68A9" w:rsidP="00BE17D1">
            <w:pPr>
              <w:spacing w:before="0"/>
              <w:rPr>
                <w:rFonts w:cs="Calibri Light"/>
                <w:color w:val="262626"/>
                <w:szCs w:val="22"/>
              </w:rPr>
            </w:pPr>
            <w:r>
              <w:rPr>
                <w:rFonts w:cs="Calibri Light"/>
                <w:color w:val="262626"/>
                <w:szCs w:val="22"/>
              </w:rPr>
              <w:t>October 2024</w:t>
            </w:r>
          </w:p>
        </w:tc>
        <w:tc>
          <w:tcPr>
            <w:tcW w:w="4536" w:type="dxa"/>
            <w:hideMark/>
          </w:tcPr>
          <w:p w14:paraId="489306FE" w14:textId="1365398C" w:rsidR="008B68A9" w:rsidRDefault="002230E9" w:rsidP="00BE17D1">
            <w:pPr>
              <w:spacing w:before="0"/>
              <w:rPr>
                <w:rFonts w:cs="Calibri Light"/>
                <w:color w:val="262626"/>
                <w:szCs w:val="22"/>
              </w:rPr>
            </w:pPr>
            <w:r>
              <w:rPr>
                <w:rFonts w:cs="Calibri Light"/>
                <w:color w:val="262626"/>
                <w:szCs w:val="22"/>
              </w:rPr>
              <w:t>OIA 1</w:t>
            </w:r>
            <w:r w:rsidRPr="00BE17D1">
              <w:rPr>
                <w:rFonts w:cs="Calibri Light"/>
                <w:color w:val="262626"/>
                <w:szCs w:val="22"/>
                <w:vertAlign w:val="superscript"/>
              </w:rPr>
              <w:t>st</w:t>
            </w:r>
            <w:r>
              <w:rPr>
                <w:rFonts w:cs="Calibri Light"/>
                <w:color w:val="262626"/>
                <w:szCs w:val="22"/>
              </w:rPr>
              <w:t xml:space="preserve"> pass assessment comments addressed. </w:t>
            </w:r>
            <w:r w:rsidR="002D2A2A">
              <w:rPr>
                <w:rFonts w:cs="Calibri Light"/>
                <w:color w:val="262626"/>
                <w:szCs w:val="22"/>
              </w:rPr>
              <w:t>2</w:t>
            </w:r>
            <w:r w:rsidR="002D2A2A">
              <w:rPr>
                <w:rFonts w:cs="Calibri Light"/>
                <w:color w:val="262626"/>
                <w:szCs w:val="22"/>
                <w:vertAlign w:val="superscript"/>
              </w:rPr>
              <w:t>nd</w:t>
            </w:r>
            <w:r w:rsidR="002D2A2A">
              <w:rPr>
                <w:rFonts w:cs="Calibri Light"/>
                <w:color w:val="262626"/>
                <w:szCs w:val="22"/>
              </w:rPr>
              <w:t xml:space="preserve"> </w:t>
            </w:r>
            <w:r w:rsidR="008B68A9">
              <w:rPr>
                <w:rFonts w:cs="Calibri Light"/>
                <w:color w:val="262626"/>
                <w:szCs w:val="22"/>
              </w:rPr>
              <w:t xml:space="preserve">pass assessment </w:t>
            </w:r>
            <w:r w:rsidR="008B4328">
              <w:rPr>
                <w:rFonts w:cs="Calibri Light"/>
                <w:color w:val="262626"/>
                <w:szCs w:val="22"/>
              </w:rPr>
              <w:t>IA completed</w:t>
            </w:r>
            <w:r w:rsidR="00BA262E">
              <w:rPr>
                <w:rFonts w:cs="Calibri Light"/>
                <w:color w:val="262626"/>
                <w:szCs w:val="22"/>
              </w:rPr>
              <w:t xml:space="preserve"> and</w:t>
            </w:r>
            <w:r w:rsidR="008B4328">
              <w:rPr>
                <w:rFonts w:cs="Calibri Light"/>
                <w:color w:val="262626"/>
                <w:szCs w:val="22"/>
              </w:rPr>
              <w:t xml:space="preserve"> </w:t>
            </w:r>
            <w:r w:rsidR="008B68A9">
              <w:rPr>
                <w:rFonts w:cs="Calibri Light"/>
                <w:color w:val="262626"/>
                <w:szCs w:val="22"/>
              </w:rPr>
              <w:t xml:space="preserve">presented to OIA. </w:t>
            </w:r>
          </w:p>
        </w:tc>
      </w:tr>
      <w:tr w:rsidR="00900D14" w14:paraId="57127845" w14:textId="77777777" w:rsidTr="00BE17D1">
        <w:trPr>
          <w:cnfStyle w:val="000000100000" w:firstRow="0" w:lastRow="0" w:firstColumn="0" w:lastColumn="0" w:oddVBand="0" w:evenVBand="0" w:oddHBand="1" w:evenHBand="0" w:firstRowFirstColumn="0" w:firstRowLastColumn="0" w:lastRowFirstColumn="0" w:lastRowLastColumn="0"/>
        </w:trPr>
        <w:tc>
          <w:tcPr>
            <w:tcW w:w="2972" w:type="dxa"/>
            <w:hideMark/>
          </w:tcPr>
          <w:p w14:paraId="0B2FCD76" w14:textId="77777777" w:rsidR="008B68A9" w:rsidRDefault="008B68A9" w:rsidP="00BE17D1">
            <w:pPr>
              <w:spacing w:before="0"/>
              <w:rPr>
                <w:rFonts w:cs="Calibri Light"/>
                <w:color w:val="262626"/>
                <w:szCs w:val="22"/>
              </w:rPr>
            </w:pPr>
            <w:r>
              <w:rPr>
                <w:rFonts w:cs="Calibri Light"/>
                <w:color w:val="262626"/>
                <w:szCs w:val="22"/>
              </w:rPr>
              <w:t>Final policy decision to proceed with proposal</w:t>
            </w:r>
          </w:p>
        </w:tc>
        <w:tc>
          <w:tcPr>
            <w:tcW w:w="1701" w:type="dxa"/>
            <w:hideMark/>
          </w:tcPr>
          <w:p w14:paraId="43E9E828" w14:textId="42EBA29A" w:rsidR="008B68A9" w:rsidRDefault="008B68A9" w:rsidP="00BE17D1">
            <w:pPr>
              <w:spacing w:before="0"/>
              <w:rPr>
                <w:rFonts w:cs="Calibri Light"/>
                <w:color w:val="262626"/>
                <w:szCs w:val="22"/>
              </w:rPr>
            </w:pPr>
            <w:r>
              <w:rPr>
                <w:rFonts w:cs="Calibri Light"/>
                <w:color w:val="262626"/>
                <w:szCs w:val="22"/>
              </w:rPr>
              <w:t>October 2024</w:t>
            </w:r>
          </w:p>
        </w:tc>
        <w:tc>
          <w:tcPr>
            <w:tcW w:w="4536" w:type="dxa"/>
            <w:hideMark/>
          </w:tcPr>
          <w:p w14:paraId="7F7C1A86" w14:textId="5FC6F21E" w:rsidR="008B68A9" w:rsidRDefault="008B68A9" w:rsidP="00BE17D1">
            <w:pPr>
              <w:spacing w:before="0"/>
              <w:rPr>
                <w:rFonts w:cs="Calibri Light"/>
                <w:color w:val="262626"/>
                <w:szCs w:val="22"/>
              </w:rPr>
            </w:pPr>
            <w:r>
              <w:rPr>
                <w:rFonts w:cs="Calibri Light"/>
                <w:color w:val="262626"/>
                <w:szCs w:val="22"/>
              </w:rPr>
              <w:t xml:space="preserve">To be informed by IA that </w:t>
            </w:r>
            <w:r w:rsidR="00055F32">
              <w:rPr>
                <w:rFonts w:cs="Calibri Light"/>
                <w:color w:val="262626"/>
                <w:szCs w:val="22"/>
              </w:rPr>
              <w:t>has</w:t>
            </w:r>
            <w:r>
              <w:rPr>
                <w:rFonts w:cs="Calibri Light"/>
                <w:color w:val="262626"/>
                <w:szCs w:val="22"/>
              </w:rPr>
              <w:t xml:space="preserve"> been through final assessment by OIA</w:t>
            </w:r>
            <w:r w:rsidR="00900D14">
              <w:rPr>
                <w:rFonts w:cs="Calibri Light"/>
                <w:color w:val="262626"/>
                <w:szCs w:val="22"/>
              </w:rPr>
              <w:t>.</w:t>
            </w:r>
          </w:p>
        </w:tc>
      </w:tr>
    </w:tbl>
    <w:p w14:paraId="6E02D42B" w14:textId="7A9CD6FD" w:rsidR="00AC318E" w:rsidRDefault="0021381D" w:rsidP="00BE17D1">
      <w:r>
        <w:t xml:space="preserve"> </w:t>
      </w:r>
      <w:r w:rsidR="00AC318E">
        <w:br w:type="page"/>
      </w:r>
    </w:p>
    <w:p w14:paraId="522EB2FE" w14:textId="3ECA3292" w:rsidR="00621EF7" w:rsidRDefault="00F11BF4" w:rsidP="00F11BF4">
      <w:pPr>
        <w:pStyle w:val="Heading1"/>
      </w:pPr>
      <w:bookmarkStart w:id="76" w:name="_Toc179556418"/>
      <w:r>
        <w:lastRenderedPageBreak/>
        <w:t>Appendi</w:t>
      </w:r>
      <w:r w:rsidR="00621EF7">
        <w:t>ces</w:t>
      </w:r>
      <w:bookmarkEnd w:id="76"/>
      <w:r w:rsidR="00EC23B7">
        <w:t xml:space="preserve"> </w:t>
      </w:r>
    </w:p>
    <w:p w14:paraId="21A02B73" w14:textId="768BC12F" w:rsidR="00F11BF4" w:rsidRDefault="00F553EF" w:rsidP="002012AC">
      <w:pPr>
        <w:pStyle w:val="Heading3"/>
      </w:pPr>
      <w:bookmarkStart w:id="77" w:name="_Ref175647453"/>
      <w:bookmarkStart w:id="78" w:name="_Toc179556419"/>
      <w:r>
        <w:t xml:space="preserve">Appendix </w:t>
      </w:r>
      <w:fldSimple w:instr=" SEQ Appendix \* ARABIC ">
        <w:r w:rsidR="00605CB3">
          <w:rPr>
            <w:noProof/>
          </w:rPr>
          <w:t>1</w:t>
        </w:r>
      </w:fldSimple>
      <w:bookmarkEnd w:id="77"/>
      <w:r w:rsidR="002012AC">
        <w:t xml:space="preserve"> </w:t>
      </w:r>
      <w:r w:rsidR="00821891">
        <w:t>–</w:t>
      </w:r>
      <w:r w:rsidR="00621EF7">
        <w:t xml:space="preserve"> </w:t>
      </w:r>
      <w:r w:rsidR="00821891">
        <w:t xml:space="preserve">Recent </w:t>
      </w:r>
      <w:r w:rsidR="00C8429B">
        <w:t xml:space="preserve">anti-scam </w:t>
      </w:r>
      <w:r w:rsidR="006E2E71">
        <w:t>actions</w:t>
      </w:r>
      <w:r w:rsidR="00616CE9">
        <w:t xml:space="preserve"> and dispute resolution arrangements</w:t>
      </w:r>
      <w:bookmarkEnd w:id="78"/>
    </w:p>
    <w:p w14:paraId="0F7B2C00" w14:textId="77777777" w:rsidR="00124848" w:rsidRPr="0064472B" w:rsidRDefault="00124848" w:rsidP="00BE17D1">
      <w:pPr>
        <w:pStyle w:val="Heading4"/>
      </w:pPr>
      <w:r w:rsidRPr="0064472B">
        <w:t>Banks</w:t>
      </w:r>
    </w:p>
    <w:p w14:paraId="0353C1B0" w14:textId="66DEA5CA" w:rsidR="00124848" w:rsidRDefault="00124848" w:rsidP="00124848">
      <w:r>
        <w:rPr>
          <w:rFonts w:eastAsiaTheme="minorEastAsia"/>
        </w:rPr>
        <w:t>Examples of initiatives announced by major banks include improved approaches to confirmation of payee such as account matching and consumer alerts</w:t>
      </w:r>
      <w:r w:rsidR="003E2CA5">
        <w:rPr>
          <w:rFonts w:eastAsiaTheme="minorEastAsia"/>
        </w:rPr>
        <w:t>;</w:t>
      </w:r>
      <w:r>
        <w:rPr>
          <w:rFonts w:eastAsiaTheme="minorEastAsia"/>
        </w:rPr>
        <w:t xml:space="preserve"> new technologies and analytics to detect and disrupt unusual behaviours</w:t>
      </w:r>
      <w:r w:rsidR="003E2CA5">
        <w:rPr>
          <w:rFonts w:eastAsiaTheme="minorEastAsia"/>
        </w:rPr>
        <w:t>;</w:t>
      </w:r>
      <w:r>
        <w:rPr>
          <w:rFonts w:eastAsiaTheme="minorEastAsia"/>
        </w:rPr>
        <w:t xml:space="preserve"> and the introduction of new holds, limits and declines on payments to cryptocurrencies. </w:t>
      </w:r>
      <w:r>
        <w:t xml:space="preserve">Banks are also monitoring scam activity and providing consumers with pathways to report and seek support from scams. </w:t>
      </w:r>
    </w:p>
    <w:p w14:paraId="09497255" w14:textId="2642343E" w:rsidR="005C4EC3" w:rsidRDefault="000B202A" w:rsidP="00BE17D1">
      <w:r>
        <w:t xml:space="preserve">ASIC </w:t>
      </w:r>
      <w:r w:rsidR="0096152A">
        <w:t>has</w:t>
      </w:r>
      <w:r>
        <w:t xml:space="preserve"> periodic</w:t>
      </w:r>
      <w:r w:rsidR="0096152A">
        <w:t>ally</w:t>
      </w:r>
      <w:r>
        <w:t xml:space="preserve"> review</w:t>
      </w:r>
      <w:r w:rsidR="0096152A">
        <w:t>ed</w:t>
      </w:r>
      <w:r>
        <w:t xml:space="preserve"> </w:t>
      </w:r>
      <w:r w:rsidR="0096152A">
        <w:t>the</w:t>
      </w:r>
      <w:r>
        <w:t xml:space="preserve"> anti-scam policies and procedures of banks, producing two reports: the first in April 2023 </w:t>
      </w:r>
      <w:r w:rsidR="00B27B43">
        <w:t>reviewing</w:t>
      </w:r>
      <w:r>
        <w:t xml:space="preserve"> the four major banks, and the second in </w:t>
      </w:r>
      <w:r w:rsidR="00B27B43">
        <w:t>August 2024 reviewing fifteen non-major banks.</w:t>
      </w:r>
      <w:r w:rsidR="00B27B43" w:rsidRPr="00B27B43">
        <w:rPr>
          <w:rStyle w:val="FootnoteReference"/>
          <w:vertAlign w:val="superscript"/>
        </w:rPr>
        <w:t xml:space="preserve"> </w:t>
      </w:r>
      <w:r w:rsidR="00B27B43" w:rsidRPr="007F0E37">
        <w:rPr>
          <w:rStyle w:val="FootnoteReference"/>
          <w:vertAlign w:val="superscript"/>
        </w:rPr>
        <w:footnoteReference w:id="70"/>
      </w:r>
      <w:r w:rsidR="00124848">
        <w:rPr>
          <w:vertAlign w:val="superscript"/>
        </w:rPr>
        <w:t xml:space="preserve"> </w:t>
      </w:r>
      <w:r w:rsidR="00124848">
        <w:t>In its analysis, ASIC identified that the approach to scams strategy and governance were variable between the banks</w:t>
      </w:r>
      <w:r w:rsidR="00B27D39">
        <w:t>.</w:t>
      </w:r>
      <w:r w:rsidR="003E4201">
        <w:t xml:space="preserve">  </w:t>
      </w:r>
      <w:r w:rsidR="00B27D39">
        <w:t>T</w:t>
      </w:r>
      <w:r w:rsidR="00124848">
        <w:t xml:space="preserve">here </w:t>
      </w:r>
      <w:r w:rsidR="004D09F9">
        <w:t>we</w:t>
      </w:r>
      <w:r w:rsidR="00124848">
        <w:t xml:space="preserve">re inconsistencies in detecting and stopping scam payments and determining liability and that victims </w:t>
      </w:r>
      <w:r w:rsidR="009C6D94">
        <w:t>were</w:t>
      </w:r>
      <w:r w:rsidR="00124848">
        <w:t xml:space="preserve"> not always well supported. </w:t>
      </w:r>
    </w:p>
    <w:p w14:paraId="3F3A2D91" w14:textId="3155244A" w:rsidR="00124848" w:rsidRDefault="00D9182F" w:rsidP="00124848">
      <w:r>
        <w:t xml:space="preserve">ASIC’s findings indicate areas for improvement for both major and </w:t>
      </w:r>
      <w:r w:rsidR="00D71F24">
        <w:t xml:space="preserve">non-major </w:t>
      </w:r>
      <w:r>
        <w:t xml:space="preserve">banks, but highlight the asymmetry of scam-related supports for consumers, including dispute resolution, outside the major banks. </w:t>
      </w:r>
    </w:p>
    <w:p w14:paraId="6435990F" w14:textId="7C54258C" w:rsidR="00AC29C3" w:rsidRDefault="00124848" w:rsidP="00124848">
      <w:pPr>
        <w:rPr>
          <w:rFonts w:eastAsiaTheme="minorEastAsia"/>
        </w:rPr>
      </w:pPr>
      <w:r>
        <w:rPr>
          <w:rFonts w:eastAsiaTheme="minorEastAsia"/>
          <w:iCs/>
        </w:rPr>
        <w:t xml:space="preserve">As an industry, there has also been collective action to </w:t>
      </w:r>
      <w:r w:rsidRPr="0064472B">
        <w:rPr>
          <w:rFonts w:eastAsiaTheme="minorEastAsia"/>
          <w:iCs/>
        </w:rPr>
        <w:t>addressing scams. On 24 November 2023, the ABA and the COBA launched the Scam-Safe Accord</w:t>
      </w:r>
      <w:r w:rsidRPr="00630078">
        <w:rPr>
          <w:rFonts w:eastAsiaTheme="minorEastAsia"/>
          <w:vertAlign w:val="superscript"/>
        </w:rPr>
        <w:footnoteReference w:id="71"/>
      </w:r>
      <w:r w:rsidRPr="0064472B">
        <w:rPr>
          <w:rFonts w:eastAsiaTheme="minorEastAsia"/>
          <w:iCs/>
        </w:rPr>
        <w:t xml:space="preserve">. The </w:t>
      </w:r>
      <w:r w:rsidR="00332B77" w:rsidRPr="0064472B">
        <w:rPr>
          <w:rFonts w:eastAsiaTheme="minorEastAsia"/>
          <w:iCs/>
        </w:rPr>
        <w:t xml:space="preserve">Scam-Safe Accord </w:t>
      </w:r>
      <w:r w:rsidRPr="0064472B">
        <w:rPr>
          <w:rFonts w:eastAsiaTheme="minorEastAsia"/>
          <w:iCs/>
        </w:rPr>
        <w:t>has six priority initiatives based on the principles of ‘disrupt’, ‘detect’ and ‘respond’ (</w:t>
      </w:r>
      <w:r w:rsidRPr="00720D17">
        <w:rPr>
          <w:rFonts w:eastAsiaTheme="minorEastAsia"/>
          <w:iCs/>
        </w:rPr>
        <w:t>outlined in</w:t>
      </w:r>
      <w:r w:rsidR="00432F35">
        <w:rPr>
          <w:rFonts w:eastAsiaTheme="minorEastAsia"/>
        </w:rPr>
        <w:t xml:space="preserve"> </w:t>
      </w:r>
      <w:r w:rsidR="00432F35">
        <w:rPr>
          <w:rFonts w:eastAsiaTheme="minorEastAsia"/>
        </w:rPr>
        <w:fldChar w:fldCharType="begin"/>
      </w:r>
      <w:r w:rsidR="00432F35">
        <w:rPr>
          <w:rFonts w:eastAsiaTheme="minorEastAsia"/>
        </w:rPr>
        <w:instrText xml:space="preserve"> REF _Ref175659411 \h </w:instrText>
      </w:r>
      <w:r w:rsidR="00432F35">
        <w:rPr>
          <w:rFonts w:eastAsiaTheme="minorEastAsia"/>
        </w:rPr>
      </w:r>
      <w:r w:rsidR="00432F35">
        <w:rPr>
          <w:rFonts w:eastAsiaTheme="minorEastAsia"/>
        </w:rPr>
        <w:fldChar w:fldCharType="separate"/>
      </w:r>
      <w:r w:rsidR="001813FC">
        <w:t xml:space="preserve">Table </w:t>
      </w:r>
      <w:r w:rsidR="001813FC">
        <w:rPr>
          <w:noProof/>
        </w:rPr>
        <w:t>15</w:t>
      </w:r>
      <w:r w:rsidR="00432F35">
        <w:rPr>
          <w:rFonts w:eastAsiaTheme="minorEastAsia"/>
        </w:rPr>
        <w:fldChar w:fldCharType="end"/>
      </w:r>
      <w:r w:rsidRPr="0064472B">
        <w:rPr>
          <w:rFonts w:eastAsiaTheme="minorEastAsia"/>
          <w:iCs/>
        </w:rPr>
        <w:t xml:space="preserve">) and aims to align the banking industry’s approach to addressing scams. The </w:t>
      </w:r>
      <w:r w:rsidR="00332B77" w:rsidRPr="0064472B">
        <w:rPr>
          <w:rFonts w:eastAsiaTheme="minorEastAsia"/>
          <w:iCs/>
        </w:rPr>
        <w:t>Scam-Safe Accord</w:t>
      </w:r>
      <w:r w:rsidR="00332B77">
        <w:rPr>
          <w:rFonts w:eastAsiaTheme="minorEastAsia"/>
          <w:iCs/>
        </w:rPr>
        <w:t xml:space="preserve"> </w:t>
      </w:r>
      <w:r w:rsidRPr="0064472B">
        <w:rPr>
          <w:rFonts w:eastAsiaTheme="minorEastAsia"/>
          <w:iCs/>
        </w:rPr>
        <w:t>applies to all members of the ABA and COBA including large commercial Australian banks, building societies and credit unions.</w:t>
      </w:r>
    </w:p>
    <w:p w14:paraId="7AB07A4B" w14:textId="5EDB40F3" w:rsidR="004D7A58" w:rsidRPr="0064472B" w:rsidRDefault="00432F35" w:rsidP="00432F35">
      <w:pPr>
        <w:pStyle w:val="Heading8"/>
      </w:pPr>
      <w:bookmarkStart w:id="79" w:name="_Ref175659411"/>
      <w:r>
        <w:t xml:space="preserve">Table </w:t>
      </w:r>
      <w:fldSimple w:instr=" SEQ Table \* ARABIC ">
        <w:r w:rsidR="00377AC8">
          <w:rPr>
            <w:noProof/>
          </w:rPr>
          <w:t>15</w:t>
        </w:r>
      </w:fldSimple>
      <w:bookmarkEnd w:id="79"/>
      <w:r w:rsidR="004D7A58" w:rsidRPr="0064472B">
        <w:t xml:space="preserve"> – Priorities for the Scam</w:t>
      </w:r>
      <w:r w:rsidR="004A19F4">
        <w:t>-</w:t>
      </w:r>
      <w:r w:rsidR="004D7A58" w:rsidRPr="0064472B">
        <w:t>Safe Accord</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60"/>
      </w:tblGrid>
      <w:tr w:rsidR="004D7A58" w14:paraId="2D9C82FB" w14:textId="77777777" w:rsidTr="00311776">
        <w:tc>
          <w:tcPr>
            <w:tcW w:w="9060" w:type="dxa"/>
            <w:shd w:val="clear" w:color="auto" w:fill="D9D9D9" w:themeFill="background1" w:themeFillShade="D9"/>
          </w:tcPr>
          <w:p w14:paraId="5F507B71" w14:textId="77777777" w:rsidR="004D7A58" w:rsidRPr="00BB7211" w:rsidRDefault="004D7A58">
            <w:pPr>
              <w:rPr>
                <w:b/>
                <w:bCs/>
              </w:rPr>
            </w:pPr>
            <w:r w:rsidRPr="00BB7211">
              <w:rPr>
                <w:b/>
                <w:bCs/>
              </w:rPr>
              <w:t>Disrupt</w:t>
            </w:r>
          </w:p>
        </w:tc>
      </w:tr>
      <w:tr w:rsidR="004D7A58" w14:paraId="52033AB5" w14:textId="77777777" w:rsidTr="00311776">
        <w:tc>
          <w:tcPr>
            <w:tcW w:w="9060" w:type="dxa"/>
          </w:tcPr>
          <w:p w14:paraId="6859A45C" w14:textId="6D24BD01" w:rsidR="004D7A58" w:rsidRPr="00BB7211" w:rsidRDefault="004D7A58">
            <w:pPr>
              <w:rPr>
                <w:iCs/>
              </w:rPr>
            </w:pPr>
            <w:r w:rsidRPr="00BB7211">
              <w:rPr>
                <w:b/>
                <w:bCs/>
                <w:iCs/>
              </w:rPr>
              <w:t>Banks will deliver an industry-wide confirmation of payee solution to customers</w:t>
            </w:r>
            <w:proofErr w:type="gramStart"/>
            <w:r w:rsidRPr="00BB7211">
              <w:rPr>
                <w:iCs/>
              </w:rPr>
              <w:t>  </w:t>
            </w:r>
            <w:proofErr w:type="gramEnd"/>
            <w:r w:rsidRPr="00BB7211">
              <w:rPr>
                <w:iCs/>
              </w:rPr>
              <w:br/>
              <w:t xml:space="preserve">– </w:t>
            </w:r>
            <w:r>
              <w:rPr>
                <w:iCs/>
              </w:rPr>
              <w:t>A</w:t>
            </w:r>
            <w:r w:rsidRPr="00BB7211">
              <w:rPr>
                <w:iCs/>
              </w:rPr>
              <w:t>ll banks will roll out this name</w:t>
            </w:r>
            <w:r w:rsidR="00093BBE">
              <w:rPr>
                <w:iCs/>
              </w:rPr>
              <w:t>-</w:t>
            </w:r>
            <w:r w:rsidRPr="00BB7211">
              <w:rPr>
                <w:iCs/>
              </w:rPr>
              <w:t xml:space="preserve">checking technology so </w:t>
            </w:r>
            <w:r w:rsidR="00864AC3">
              <w:rPr>
                <w:iCs/>
              </w:rPr>
              <w:t xml:space="preserve">their </w:t>
            </w:r>
            <w:r w:rsidRPr="00BB7211">
              <w:rPr>
                <w:iCs/>
              </w:rPr>
              <w:t>customers know who they are dealing with, mitigating the possibility of people being manipulated into paying a scammer when the name does not match. </w:t>
            </w:r>
            <w:r w:rsidRPr="00BB7211">
              <w:rPr>
                <w:iCs/>
              </w:rPr>
              <w:br/>
              <w:t xml:space="preserve">– </w:t>
            </w:r>
            <w:r>
              <w:rPr>
                <w:iCs/>
              </w:rPr>
              <w:t>D</w:t>
            </w:r>
            <w:r w:rsidRPr="00BB7211">
              <w:rPr>
                <w:iCs/>
              </w:rPr>
              <w:t xml:space="preserve">esign of the new system </w:t>
            </w:r>
            <w:r w:rsidR="00355AD1">
              <w:rPr>
                <w:iCs/>
              </w:rPr>
              <w:t xml:space="preserve">to check names is to </w:t>
            </w:r>
            <w:r w:rsidR="00FF22D3">
              <w:rPr>
                <w:iCs/>
              </w:rPr>
              <w:t>have commenced, with</w:t>
            </w:r>
            <w:r w:rsidR="00355AD1">
              <w:rPr>
                <w:iCs/>
              </w:rPr>
              <w:t xml:space="preserve"> </w:t>
            </w:r>
            <w:r w:rsidRPr="00BB7211">
              <w:rPr>
                <w:iCs/>
              </w:rPr>
              <w:t xml:space="preserve">rollout </w:t>
            </w:r>
            <w:r w:rsidR="00FF22D3">
              <w:rPr>
                <w:iCs/>
              </w:rPr>
              <w:t xml:space="preserve">to occur </w:t>
            </w:r>
            <w:r w:rsidRPr="00BB7211">
              <w:rPr>
                <w:iCs/>
              </w:rPr>
              <w:t>over 2024 and 2025. </w:t>
            </w:r>
          </w:p>
        </w:tc>
      </w:tr>
      <w:tr w:rsidR="004D7A58" w14:paraId="74CB6E72" w14:textId="77777777" w:rsidTr="00311776">
        <w:tc>
          <w:tcPr>
            <w:tcW w:w="9060" w:type="dxa"/>
          </w:tcPr>
          <w:p w14:paraId="60F01110" w14:textId="4B24CD5F" w:rsidR="004D7A58" w:rsidRPr="00BB7211" w:rsidRDefault="004D7A58">
            <w:pPr>
              <w:rPr>
                <w:iCs/>
              </w:rPr>
            </w:pPr>
            <w:r w:rsidRPr="00BB7211">
              <w:rPr>
                <w:b/>
                <w:bCs/>
                <w:iCs/>
              </w:rPr>
              <w:t>Banks will take action to prevent misuse of bank accounts via identity fraud</w:t>
            </w:r>
            <w:r w:rsidRPr="00BB7211">
              <w:rPr>
                <w:iCs/>
              </w:rPr>
              <w:t> </w:t>
            </w:r>
            <w:r w:rsidRPr="00BB7211">
              <w:rPr>
                <w:iCs/>
              </w:rPr>
              <w:br/>
              <w:t xml:space="preserve">– </w:t>
            </w:r>
            <w:r>
              <w:rPr>
                <w:iCs/>
              </w:rPr>
              <w:t>A</w:t>
            </w:r>
            <w:r w:rsidRPr="00BB7211">
              <w:rPr>
                <w:iCs/>
              </w:rPr>
              <w:t>ll banks will adopt further technology and controls to help prevent identity fraud, including major banks using at least one biometric check for new individual customers opening accounts online by the end of 2024. </w:t>
            </w:r>
            <w:r w:rsidRPr="00BB7211">
              <w:rPr>
                <w:iCs/>
              </w:rPr>
              <w:br/>
              <w:t xml:space="preserve">– </w:t>
            </w:r>
            <w:r>
              <w:rPr>
                <w:iCs/>
              </w:rPr>
              <w:t>T</w:t>
            </w:r>
            <w:r w:rsidRPr="00BB7211">
              <w:rPr>
                <w:iCs/>
              </w:rPr>
              <w:t xml:space="preserve">hese checks will </w:t>
            </w:r>
            <w:r w:rsidR="0039656C">
              <w:rPr>
                <w:iCs/>
              </w:rPr>
              <w:t>use behaviour</w:t>
            </w:r>
            <w:r w:rsidRPr="00BB7211">
              <w:rPr>
                <w:iCs/>
              </w:rPr>
              <w:t xml:space="preserve"> detect</w:t>
            </w:r>
            <w:r w:rsidR="0039656C">
              <w:rPr>
                <w:iCs/>
              </w:rPr>
              <w:t>ion</w:t>
            </w:r>
            <w:r w:rsidRPr="00BB7211">
              <w:rPr>
                <w:iCs/>
              </w:rPr>
              <w:t xml:space="preserve"> or involve a check of a customer’s face or fingerprint, enabling banks to use these characteristics to verify their customer’s identity.  </w:t>
            </w:r>
          </w:p>
        </w:tc>
      </w:tr>
      <w:tr w:rsidR="004D7A58" w14:paraId="62F71485" w14:textId="77777777" w:rsidTr="00311776">
        <w:tc>
          <w:tcPr>
            <w:tcW w:w="9060" w:type="dxa"/>
          </w:tcPr>
          <w:p w14:paraId="3B59113D" w14:textId="4846D239" w:rsidR="004D7A58" w:rsidRPr="00BB7211" w:rsidRDefault="004D7A58">
            <w:pPr>
              <w:rPr>
                <w:iCs/>
              </w:rPr>
            </w:pPr>
            <w:r w:rsidRPr="00BB7211">
              <w:rPr>
                <w:b/>
                <w:bCs/>
                <w:iCs/>
              </w:rPr>
              <w:t>Banks will introduce warnings and payment delays to protect customers</w:t>
            </w:r>
            <w:r w:rsidRPr="00BB7211">
              <w:rPr>
                <w:iCs/>
              </w:rPr>
              <w:t> </w:t>
            </w:r>
            <w:r w:rsidRPr="00BB7211">
              <w:rPr>
                <w:iCs/>
              </w:rPr>
              <w:br/>
              <w:t xml:space="preserve">– </w:t>
            </w:r>
            <w:r>
              <w:rPr>
                <w:iCs/>
              </w:rPr>
              <w:t>I</w:t>
            </w:r>
            <w:r w:rsidRPr="00BB7211">
              <w:rPr>
                <w:iCs/>
              </w:rPr>
              <w:t xml:space="preserve">f a customer is transferring money to someone they haven’t paid before or raising payment limits, </w:t>
            </w:r>
            <w:r w:rsidR="00C23C1E">
              <w:rPr>
                <w:iCs/>
              </w:rPr>
              <w:t xml:space="preserve">banks will </w:t>
            </w:r>
            <w:r w:rsidR="000A587D">
              <w:rPr>
                <w:iCs/>
              </w:rPr>
              <w:t>ask</w:t>
            </w:r>
            <w:r w:rsidRPr="00BB7211">
              <w:rPr>
                <w:iCs/>
              </w:rPr>
              <w:t xml:space="preserve"> more questions, </w:t>
            </w:r>
            <w:r w:rsidR="000A587D">
              <w:rPr>
                <w:iCs/>
              </w:rPr>
              <w:t xml:space="preserve">and provide </w:t>
            </w:r>
            <w:r w:rsidRPr="00BB7211">
              <w:rPr>
                <w:iCs/>
              </w:rPr>
              <w:t xml:space="preserve">warnings and delays to </w:t>
            </w:r>
            <w:r w:rsidR="000E4DA6">
              <w:rPr>
                <w:iCs/>
              </w:rPr>
              <w:t>reduce</w:t>
            </w:r>
            <w:r w:rsidR="000A587D">
              <w:rPr>
                <w:iCs/>
              </w:rPr>
              <w:t xml:space="preserve"> the risk of customers </w:t>
            </w:r>
            <w:r w:rsidRPr="00BB7211">
              <w:rPr>
                <w:iCs/>
              </w:rPr>
              <w:t xml:space="preserve">falling victim </w:t>
            </w:r>
            <w:r w:rsidR="00D13F1C">
              <w:rPr>
                <w:iCs/>
              </w:rPr>
              <w:t>to</w:t>
            </w:r>
            <w:r w:rsidR="00D13F1C" w:rsidRPr="00BB7211">
              <w:rPr>
                <w:iCs/>
              </w:rPr>
              <w:t xml:space="preserve"> </w:t>
            </w:r>
            <w:r w:rsidRPr="00BB7211">
              <w:rPr>
                <w:iCs/>
              </w:rPr>
              <w:t xml:space="preserve">a scam. It will act as a mitigant when scammers put customers under </w:t>
            </w:r>
            <w:r w:rsidRPr="00BB7211">
              <w:rPr>
                <w:iCs/>
              </w:rPr>
              <w:lastRenderedPageBreak/>
              <w:t>pressure to act quickly to transfer funds. </w:t>
            </w:r>
            <w:r w:rsidRPr="00BB7211">
              <w:rPr>
                <w:iCs/>
              </w:rPr>
              <w:br/>
              <w:t xml:space="preserve">– </w:t>
            </w:r>
            <w:r>
              <w:rPr>
                <w:iCs/>
              </w:rPr>
              <w:t>B</w:t>
            </w:r>
            <w:r w:rsidRPr="00BB7211">
              <w:rPr>
                <w:iCs/>
              </w:rPr>
              <w:t>anks will work to introduce enhanced warnings and delays by the end of 2024.  </w:t>
            </w:r>
          </w:p>
        </w:tc>
      </w:tr>
      <w:tr w:rsidR="004D7A58" w14:paraId="5F2038AC" w14:textId="77777777" w:rsidTr="00311776">
        <w:tc>
          <w:tcPr>
            <w:tcW w:w="9060" w:type="dxa"/>
            <w:shd w:val="clear" w:color="auto" w:fill="D9D9D9" w:themeFill="background1" w:themeFillShade="D9"/>
          </w:tcPr>
          <w:p w14:paraId="3BDB1778" w14:textId="77777777" w:rsidR="004D7A58" w:rsidRPr="00BB7211" w:rsidRDefault="004D7A58">
            <w:pPr>
              <w:rPr>
                <w:b/>
                <w:bCs/>
              </w:rPr>
            </w:pPr>
            <w:r w:rsidRPr="00BB7211">
              <w:rPr>
                <w:b/>
                <w:bCs/>
              </w:rPr>
              <w:t>Detect</w:t>
            </w:r>
          </w:p>
        </w:tc>
      </w:tr>
      <w:tr w:rsidR="004D7A58" w14:paraId="79EF06FF" w14:textId="77777777" w:rsidTr="00311776">
        <w:tc>
          <w:tcPr>
            <w:tcW w:w="9060" w:type="dxa"/>
          </w:tcPr>
          <w:p w14:paraId="722B15C4" w14:textId="41AE4E67" w:rsidR="004D7A58" w:rsidRPr="00BB7211" w:rsidRDefault="004D7A58">
            <w:pPr>
              <w:rPr>
                <w:iCs/>
              </w:rPr>
            </w:pPr>
            <w:r w:rsidRPr="00BB7211">
              <w:rPr>
                <w:b/>
                <w:bCs/>
                <w:iCs/>
              </w:rPr>
              <w:t>Banks will invest in a major expansion of intelligence sharing across the sector </w:t>
            </w:r>
            <w:r w:rsidRPr="00BB7211">
              <w:rPr>
                <w:b/>
                <w:bCs/>
                <w:iCs/>
              </w:rPr>
              <w:br/>
            </w:r>
            <w:r w:rsidRPr="00BB7211">
              <w:rPr>
                <w:iCs/>
              </w:rPr>
              <w:t xml:space="preserve">– </w:t>
            </w:r>
            <w:r>
              <w:rPr>
                <w:iCs/>
              </w:rPr>
              <w:t>A</w:t>
            </w:r>
            <w:r w:rsidRPr="00BB7211">
              <w:rPr>
                <w:iCs/>
              </w:rPr>
              <w:t>ll ABA and COBA members will join the AFCX to be ready to use scams intel</w:t>
            </w:r>
            <w:r w:rsidR="00D13F1C">
              <w:rPr>
                <w:iCs/>
              </w:rPr>
              <w:t>ligence</w:t>
            </w:r>
            <w:r w:rsidRPr="00BB7211">
              <w:rPr>
                <w:iCs/>
              </w:rPr>
              <w:t xml:space="preserve"> to fight scams from mid-2024, and </w:t>
            </w:r>
            <w:r w:rsidR="00D13F1C">
              <w:rPr>
                <w:iCs/>
              </w:rPr>
              <w:t xml:space="preserve">to </w:t>
            </w:r>
            <w:r w:rsidRPr="00BB7211">
              <w:rPr>
                <w:iCs/>
              </w:rPr>
              <w:t>the Fraud Reporting Exchange over 2024-25 to help customers recover money faster. </w:t>
            </w:r>
            <w:r w:rsidRPr="00BB7211">
              <w:rPr>
                <w:iCs/>
              </w:rPr>
              <w:br/>
              <w:t xml:space="preserve">– </w:t>
            </w:r>
            <w:r>
              <w:rPr>
                <w:iCs/>
              </w:rPr>
              <w:t>T</w:t>
            </w:r>
            <w:r w:rsidRPr="00BB7211">
              <w:rPr>
                <w:iCs/>
              </w:rPr>
              <w:t xml:space="preserve">his </w:t>
            </w:r>
            <w:r w:rsidR="000E4DA6">
              <w:rPr>
                <w:iCs/>
              </w:rPr>
              <w:t>will allow</w:t>
            </w:r>
            <w:r w:rsidRPr="00BB7211">
              <w:rPr>
                <w:iCs/>
              </w:rPr>
              <w:t xml:space="preserve"> scams intelligence </w:t>
            </w:r>
            <w:r w:rsidR="000E4DA6">
              <w:rPr>
                <w:iCs/>
              </w:rPr>
              <w:t>to</w:t>
            </w:r>
            <w:r w:rsidRPr="00BB7211">
              <w:rPr>
                <w:iCs/>
              </w:rPr>
              <w:t xml:space="preserve"> be shared at speed between banks, helping banks prevent more scams and recover funds for customers faster</w:t>
            </w:r>
            <w:r w:rsidR="00047EE5">
              <w:rPr>
                <w:iCs/>
              </w:rPr>
              <w:t xml:space="preserve"> where possible</w:t>
            </w:r>
            <w:r w:rsidRPr="00BB7211">
              <w:rPr>
                <w:iCs/>
              </w:rPr>
              <w:t>. </w:t>
            </w:r>
          </w:p>
        </w:tc>
      </w:tr>
      <w:tr w:rsidR="004D7A58" w14:paraId="4397ECDB" w14:textId="77777777" w:rsidTr="00311776">
        <w:tc>
          <w:tcPr>
            <w:tcW w:w="9060" w:type="dxa"/>
            <w:shd w:val="clear" w:color="auto" w:fill="D9D9D9" w:themeFill="background1" w:themeFillShade="D9"/>
          </w:tcPr>
          <w:p w14:paraId="61EC5C25" w14:textId="77777777" w:rsidR="004D7A58" w:rsidRPr="00BB7211" w:rsidRDefault="004D7A58">
            <w:pPr>
              <w:rPr>
                <w:b/>
                <w:bCs/>
              </w:rPr>
            </w:pPr>
            <w:r w:rsidRPr="00BB7211">
              <w:rPr>
                <w:b/>
                <w:bCs/>
              </w:rPr>
              <w:t xml:space="preserve">Respond </w:t>
            </w:r>
          </w:p>
        </w:tc>
      </w:tr>
      <w:tr w:rsidR="004D7A58" w14:paraId="0F7A3E2C" w14:textId="77777777" w:rsidTr="00311776">
        <w:tc>
          <w:tcPr>
            <w:tcW w:w="9060" w:type="dxa"/>
          </w:tcPr>
          <w:p w14:paraId="3666593D" w14:textId="7EAEF61D" w:rsidR="004D7A58" w:rsidRPr="00BB7211" w:rsidRDefault="004D7A58">
            <w:pPr>
              <w:rPr>
                <w:iCs/>
              </w:rPr>
            </w:pPr>
            <w:r w:rsidRPr="00BB7211">
              <w:rPr>
                <w:b/>
                <w:bCs/>
                <w:iCs/>
              </w:rPr>
              <w:t>Banks will limit payments to high-risk channels to protect customers</w:t>
            </w:r>
            <w:proofErr w:type="gramStart"/>
            <w:r w:rsidRPr="00BB7211">
              <w:rPr>
                <w:b/>
                <w:bCs/>
                <w:iCs/>
              </w:rPr>
              <w:t> </w:t>
            </w:r>
            <w:r w:rsidRPr="00BB7211">
              <w:rPr>
                <w:iCs/>
              </w:rPr>
              <w:t> </w:t>
            </w:r>
            <w:proofErr w:type="gramEnd"/>
            <w:r w:rsidRPr="00BB7211">
              <w:rPr>
                <w:iCs/>
              </w:rPr>
              <w:br/>
              <w:t xml:space="preserve">– </w:t>
            </w:r>
            <w:r>
              <w:rPr>
                <w:iCs/>
              </w:rPr>
              <w:t>B</w:t>
            </w:r>
            <w:r w:rsidRPr="00BB7211">
              <w:rPr>
                <w:iCs/>
              </w:rPr>
              <w:t>anks will make these risk-based decisions when they identify high</w:t>
            </w:r>
            <w:r w:rsidR="00047EE5">
              <w:rPr>
                <w:iCs/>
              </w:rPr>
              <w:t>-</w:t>
            </w:r>
            <w:r w:rsidRPr="00BB7211">
              <w:rPr>
                <w:iCs/>
              </w:rPr>
              <w:t>risk getaway vehicles being used by scammers to move money out of Australia. </w:t>
            </w:r>
            <w:r w:rsidRPr="00BB7211">
              <w:rPr>
                <w:iCs/>
              </w:rPr>
              <w:br/>
              <w:t xml:space="preserve">– </w:t>
            </w:r>
            <w:r w:rsidR="00047EE5">
              <w:rPr>
                <w:iCs/>
              </w:rPr>
              <w:t>M</w:t>
            </w:r>
            <w:r w:rsidRPr="00BB7211">
              <w:rPr>
                <w:iCs/>
              </w:rPr>
              <w:t xml:space="preserve">ore banks </w:t>
            </w:r>
            <w:r w:rsidR="00047EE5">
              <w:rPr>
                <w:iCs/>
              </w:rPr>
              <w:t>will</w:t>
            </w:r>
            <w:r w:rsidRPr="00BB7211">
              <w:rPr>
                <w:iCs/>
              </w:rPr>
              <w:t xml:space="preserve"> limit payments to high-risk channels such as some crypto currency platforms to protect customers from possible theft. </w:t>
            </w:r>
          </w:p>
        </w:tc>
      </w:tr>
      <w:tr w:rsidR="004D7A58" w14:paraId="78AFBA44" w14:textId="77777777" w:rsidTr="00311776">
        <w:tc>
          <w:tcPr>
            <w:tcW w:w="9060" w:type="dxa"/>
          </w:tcPr>
          <w:p w14:paraId="5FAFDC9F" w14:textId="231AB6A6" w:rsidR="004D7A58" w:rsidRPr="00BB7211" w:rsidRDefault="004D7A58">
            <w:pPr>
              <w:rPr>
                <w:b/>
                <w:bCs/>
                <w:iCs/>
              </w:rPr>
            </w:pPr>
            <w:r w:rsidRPr="00BB7211">
              <w:rPr>
                <w:b/>
                <w:bCs/>
                <w:iCs/>
              </w:rPr>
              <w:t>Banks will implement an Anti-Scams Strategy</w:t>
            </w:r>
            <w:r w:rsidRPr="00BB7211">
              <w:rPr>
                <w:iCs/>
              </w:rPr>
              <w:t> </w:t>
            </w:r>
            <w:r w:rsidRPr="00BB7211">
              <w:rPr>
                <w:iCs/>
              </w:rPr>
              <w:br/>
              <w:t xml:space="preserve">– </w:t>
            </w:r>
            <w:r>
              <w:rPr>
                <w:iCs/>
              </w:rPr>
              <w:t>A</w:t>
            </w:r>
            <w:r w:rsidRPr="00BB7211">
              <w:rPr>
                <w:iCs/>
              </w:rPr>
              <w:t>ll banks will implement an anti-scams strategy to enhance oversight of the bank’s scams detection and response. </w:t>
            </w:r>
          </w:p>
        </w:tc>
      </w:tr>
    </w:tbl>
    <w:p w14:paraId="754E2FE3" w14:textId="1F95936E" w:rsidR="00D17CB2" w:rsidRDefault="0085057D" w:rsidP="00DE1587">
      <w:pPr>
        <w:rPr>
          <w:rFonts w:eastAsiaTheme="minorEastAsia"/>
        </w:rPr>
      </w:pPr>
      <w:r w:rsidRPr="0085057D">
        <w:rPr>
          <w:rFonts w:eastAsiaTheme="minorEastAsia"/>
        </w:rPr>
        <w:t>Under</w:t>
      </w:r>
      <w:r w:rsidR="00793DCE">
        <w:rPr>
          <w:rFonts w:eastAsiaTheme="minorEastAsia"/>
        </w:rPr>
        <w:t xml:space="preserve"> section 912A of</w:t>
      </w:r>
      <w:r w:rsidRPr="0085057D">
        <w:rPr>
          <w:rFonts w:eastAsiaTheme="minorEastAsia"/>
        </w:rPr>
        <w:t xml:space="preserve"> the Corporations Act 2001, banks are required to have in place IDR procedures that meet certain requirements </w:t>
      </w:r>
      <w:r w:rsidR="006B3129">
        <w:rPr>
          <w:rFonts w:eastAsiaTheme="minorEastAsia"/>
        </w:rPr>
        <w:t>and procedures approved by ASIC (see</w:t>
      </w:r>
      <w:r w:rsidRPr="0085057D">
        <w:rPr>
          <w:rFonts w:eastAsiaTheme="minorEastAsia"/>
        </w:rPr>
        <w:t xml:space="preserve"> ASIC’s Regulatory Guidance 271</w:t>
      </w:r>
      <w:r w:rsidR="00C16670" w:rsidRPr="00874346">
        <w:rPr>
          <w:rStyle w:val="FootnoteReference"/>
          <w:rFonts w:eastAsiaTheme="minorEastAsia"/>
          <w:vertAlign w:val="superscript"/>
        </w:rPr>
        <w:footnoteReference w:id="72"/>
      </w:r>
      <w:r w:rsidR="006B3129">
        <w:rPr>
          <w:rFonts w:eastAsiaTheme="minorEastAsia"/>
        </w:rPr>
        <w:t>)</w:t>
      </w:r>
      <w:r w:rsidRPr="0085057D">
        <w:rPr>
          <w:rFonts w:eastAsiaTheme="minorEastAsia"/>
        </w:rPr>
        <w:t xml:space="preserve">, and </w:t>
      </w:r>
      <w:r w:rsidR="004618DD">
        <w:rPr>
          <w:rFonts w:eastAsiaTheme="minorEastAsia"/>
        </w:rPr>
        <w:t xml:space="preserve">additionally </w:t>
      </w:r>
      <w:r w:rsidRPr="0085057D">
        <w:rPr>
          <w:rFonts w:eastAsiaTheme="minorEastAsia"/>
        </w:rPr>
        <w:t xml:space="preserve">to be a member of AFCA. Having an IDR mechanism in place allows consumers to make a complaint to a bank (including where the consumer has been subject to a scam). Where a complaint involving a scam is not resolved at the IDR </w:t>
      </w:r>
      <w:r w:rsidR="00571104">
        <w:rPr>
          <w:rFonts w:eastAsiaTheme="minorEastAsia"/>
        </w:rPr>
        <w:t>stage</w:t>
      </w:r>
      <w:r w:rsidR="00571104" w:rsidRPr="0085057D">
        <w:rPr>
          <w:rFonts w:eastAsiaTheme="minorEastAsia"/>
        </w:rPr>
        <w:t xml:space="preserve"> </w:t>
      </w:r>
      <w:r w:rsidRPr="0085057D">
        <w:rPr>
          <w:rFonts w:eastAsiaTheme="minorEastAsia"/>
        </w:rPr>
        <w:t>or the IDR outcome is unsatisfactory, consumers can escalate their complaints to AFCA.</w:t>
      </w:r>
    </w:p>
    <w:p w14:paraId="64F24360" w14:textId="5CFFCABA" w:rsidR="00311776" w:rsidRPr="0064472B" w:rsidRDefault="00311776" w:rsidP="00BE17D1">
      <w:pPr>
        <w:pStyle w:val="Heading4"/>
      </w:pPr>
      <w:r w:rsidRPr="0064472B">
        <w:t>Telecommunication providers</w:t>
      </w:r>
    </w:p>
    <w:p w14:paraId="3D0F991C" w14:textId="589039FD" w:rsidR="00311776" w:rsidRDefault="00311776" w:rsidP="00311776">
      <w:pPr>
        <w:rPr>
          <w:rFonts w:cs="Calibri Light"/>
        </w:rPr>
      </w:pPr>
      <w:r w:rsidRPr="30B1ABD1">
        <w:rPr>
          <w:rFonts w:cs="Calibri Light"/>
        </w:rPr>
        <w:t>The telecommunications industry</w:t>
      </w:r>
      <w:r w:rsidR="001E30EF">
        <w:rPr>
          <w:rFonts w:cs="Calibri Light"/>
        </w:rPr>
        <w:t xml:space="preserve"> has</w:t>
      </w:r>
      <w:r w:rsidRPr="30B1ABD1">
        <w:rPr>
          <w:rFonts w:cs="Calibri Light"/>
        </w:rPr>
        <w:t xml:space="preserve"> taken a number of steps in developing codes to reduce the frequency and impact of scam SMS and telephone calls. </w:t>
      </w:r>
      <w:r w:rsidR="00E62295">
        <w:t xml:space="preserve">The networked nature of telecommunications means that scam calls and SMS usually travel across multiple networks owned by multiple telecommunications providers - both compliant and non-compliant - to reach their target. Scammers are able to exploit vulnerabilities in the ecosystem via providers who are not compliant with the rules. </w:t>
      </w:r>
    </w:p>
    <w:p w14:paraId="1A719BD8" w14:textId="72D5A3D4" w:rsidR="00311776" w:rsidRPr="006237D2" w:rsidRDefault="00311776" w:rsidP="00311776">
      <w:pPr>
        <w:rPr>
          <w:rFonts w:cs="Calibri Light"/>
        </w:rPr>
      </w:pPr>
      <w:r w:rsidRPr="30B1ABD1">
        <w:rPr>
          <w:rFonts w:cs="Calibri Light"/>
        </w:rPr>
        <w:t xml:space="preserve">The first </w:t>
      </w:r>
      <w:r w:rsidRPr="00A9501D">
        <w:rPr>
          <w:i/>
        </w:rPr>
        <w:t xml:space="preserve">Reducing Scam Calls </w:t>
      </w:r>
      <w:r w:rsidR="00A9501D" w:rsidRPr="00A9501D">
        <w:rPr>
          <w:i/>
          <w:iCs/>
        </w:rPr>
        <w:t xml:space="preserve">and Scam SMs </w:t>
      </w:r>
      <w:r w:rsidR="00A9501D" w:rsidRPr="00A9501D">
        <w:t>industry</w:t>
      </w:r>
      <w:r w:rsidR="00A9501D">
        <w:rPr>
          <w:i/>
          <w:iCs/>
        </w:rPr>
        <w:t xml:space="preserve"> </w:t>
      </w:r>
      <w:r w:rsidRPr="00A9501D">
        <w:t>code</w:t>
      </w:r>
      <w:r w:rsidRPr="30B1ABD1">
        <w:rPr>
          <w:rFonts w:cs="Calibri Light"/>
        </w:rPr>
        <w:t xml:space="preserve"> was developed by Communications Alliance, the peak body for the Australian telecommunications industry and registered by the ACMA in December 2020. In 2022</w:t>
      </w:r>
      <w:r w:rsidR="00047EE5">
        <w:rPr>
          <w:rFonts w:cs="Calibri Light"/>
        </w:rPr>
        <w:t>, the</w:t>
      </w:r>
      <w:r w:rsidRPr="30B1ABD1">
        <w:rPr>
          <w:rFonts w:cs="Calibri Light"/>
        </w:rPr>
        <w:t xml:space="preserve"> </w:t>
      </w:r>
      <w:r w:rsidR="007C27D8" w:rsidRPr="30B1ABD1">
        <w:rPr>
          <w:rFonts w:cs="Calibri Light"/>
        </w:rPr>
        <w:t xml:space="preserve">Communications Alliance </w:t>
      </w:r>
      <w:r w:rsidRPr="30B1ABD1">
        <w:rPr>
          <w:rFonts w:cs="Calibri Light"/>
        </w:rPr>
        <w:t xml:space="preserve">led </w:t>
      </w:r>
      <w:proofErr w:type="gramStart"/>
      <w:r w:rsidR="0027763E">
        <w:rPr>
          <w:rFonts w:cs="Calibri Light"/>
        </w:rPr>
        <w:t xml:space="preserve">revision </w:t>
      </w:r>
      <w:r w:rsidRPr="30B1ABD1">
        <w:rPr>
          <w:rFonts w:cs="Calibri Light"/>
        </w:rPr>
        <w:t xml:space="preserve"> of</w:t>
      </w:r>
      <w:proofErr w:type="gramEnd"/>
      <w:r w:rsidRPr="30B1ABD1">
        <w:rPr>
          <w:rFonts w:cs="Calibri Light"/>
        </w:rPr>
        <w:t xml:space="preserve"> the </w:t>
      </w:r>
      <w:r w:rsidRPr="00A9501D">
        <w:rPr>
          <w:i/>
        </w:rPr>
        <w:t xml:space="preserve">Reducing Scam Calls and Scam SMs </w:t>
      </w:r>
      <w:r w:rsidR="00A9501D" w:rsidRPr="00A9501D">
        <w:t>industry</w:t>
      </w:r>
      <w:r w:rsidR="00A9501D">
        <w:rPr>
          <w:i/>
          <w:iCs/>
        </w:rPr>
        <w:t xml:space="preserve"> </w:t>
      </w:r>
      <w:r w:rsidR="00A9501D" w:rsidRPr="00A9501D">
        <w:t>code</w:t>
      </w:r>
      <w:r w:rsidRPr="30B1ABD1">
        <w:rPr>
          <w:rFonts w:cs="Calibri Light"/>
        </w:rPr>
        <w:t>, which was registered by the ACMA in July 2022.</w:t>
      </w:r>
      <w:r w:rsidR="00C00DC2" w:rsidRPr="00BE17D1">
        <w:rPr>
          <w:rStyle w:val="FootnoteReference"/>
          <w:rFonts w:cs="Calibri Light"/>
          <w:vertAlign w:val="superscript"/>
        </w:rPr>
        <w:footnoteReference w:id="73"/>
      </w:r>
      <w:r w:rsidRPr="30B1ABD1">
        <w:rPr>
          <w:rFonts w:cs="Calibri Light"/>
        </w:rPr>
        <w:t xml:space="preserve"> The revised Code features improved </w:t>
      </w:r>
      <w:proofErr w:type="spellStart"/>
      <w:r w:rsidRPr="30B1ABD1">
        <w:rPr>
          <w:rFonts w:cs="Calibri Light"/>
        </w:rPr>
        <w:t>tracing</w:t>
      </w:r>
      <w:proofErr w:type="spellEnd"/>
      <w:r w:rsidRPr="30B1ABD1">
        <w:rPr>
          <w:rFonts w:cs="Calibri Light"/>
        </w:rPr>
        <w:t xml:space="preserve"> and reporting measures, along with a new section dealing with the identification, tracing and blocking of numbers associated with Scam SMs. </w:t>
      </w:r>
    </w:p>
    <w:p w14:paraId="13746AB0" w14:textId="08F6007F" w:rsidR="00311776" w:rsidRPr="006237D2" w:rsidRDefault="00311776" w:rsidP="00311776">
      <w:pPr>
        <w:rPr>
          <w:rFonts w:cs="Calibri Light"/>
        </w:rPr>
      </w:pPr>
      <w:r>
        <w:rPr>
          <w:rFonts w:cs="Calibri Light"/>
        </w:rPr>
        <w:t xml:space="preserve">The 2022 </w:t>
      </w:r>
      <w:r w:rsidRPr="00A9501D">
        <w:rPr>
          <w:i/>
        </w:rPr>
        <w:t xml:space="preserve">Reducing Scam Calls and Scam SMs </w:t>
      </w:r>
      <w:r w:rsidR="00A9501D" w:rsidRPr="00A9501D">
        <w:t>industry</w:t>
      </w:r>
      <w:r w:rsidR="00A9501D">
        <w:rPr>
          <w:i/>
          <w:iCs/>
        </w:rPr>
        <w:t xml:space="preserve"> </w:t>
      </w:r>
      <w:r w:rsidR="00A9501D" w:rsidRPr="00A9501D">
        <w:t>code</w:t>
      </w:r>
      <w:r>
        <w:rPr>
          <w:rFonts w:cs="Calibri Light"/>
        </w:rPr>
        <w:t xml:space="preserve"> requires </w:t>
      </w:r>
      <w:r w:rsidRPr="006237D2">
        <w:rPr>
          <w:rFonts w:cs="Calibri Light"/>
        </w:rPr>
        <w:t>telecommunications providers to:</w:t>
      </w:r>
    </w:p>
    <w:p w14:paraId="742DA4C5" w14:textId="77777777" w:rsidR="00311776" w:rsidRPr="006237D2" w:rsidRDefault="00311776" w:rsidP="00E004C0">
      <w:pPr>
        <w:pStyle w:val="ListParagraph"/>
        <w:numPr>
          <w:ilvl w:val="0"/>
          <w:numId w:val="18"/>
        </w:numPr>
        <w:rPr>
          <w:rFonts w:cs="Calibri Light"/>
        </w:rPr>
      </w:pPr>
      <w:r>
        <w:rPr>
          <w:rFonts w:cs="Calibri Light"/>
        </w:rPr>
        <w:t>p</w:t>
      </w:r>
      <w:r w:rsidRPr="006237D2">
        <w:rPr>
          <w:rFonts w:cs="Calibri Light"/>
        </w:rPr>
        <w:t xml:space="preserve">rovide up-to-date guidance for consumers on how to </w:t>
      </w:r>
      <w:r w:rsidRPr="00D928C6">
        <w:rPr>
          <w:rFonts w:cs="Calibri Light"/>
          <w:szCs w:val="22"/>
          <w:bdr w:val="none" w:sz="0" w:space="0" w:color="auto" w:frame="1"/>
        </w:rPr>
        <w:t>manage and report scam calls and texts;</w:t>
      </w:r>
    </w:p>
    <w:p w14:paraId="16171AAC" w14:textId="77777777" w:rsidR="00311776" w:rsidRPr="006237D2" w:rsidRDefault="00311776" w:rsidP="00E004C0">
      <w:pPr>
        <w:pStyle w:val="ListParagraph"/>
        <w:numPr>
          <w:ilvl w:val="0"/>
          <w:numId w:val="18"/>
        </w:numPr>
        <w:rPr>
          <w:rFonts w:cs="Calibri Light"/>
        </w:rPr>
      </w:pPr>
      <w:r>
        <w:rPr>
          <w:rFonts w:cs="Calibri Light"/>
        </w:rPr>
        <w:t>m</w:t>
      </w:r>
      <w:r w:rsidRPr="006237D2">
        <w:rPr>
          <w:rFonts w:cs="Calibri Light"/>
        </w:rPr>
        <w:t>onitor, identify, trace and block phone calls and SMS from recognised scammers; and</w:t>
      </w:r>
    </w:p>
    <w:p w14:paraId="0F66EAC4" w14:textId="6337D8F0" w:rsidR="00311776" w:rsidRPr="006237D2" w:rsidRDefault="00311776" w:rsidP="00E004C0">
      <w:pPr>
        <w:pStyle w:val="ListParagraph"/>
        <w:numPr>
          <w:ilvl w:val="0"/>
          <w:numId w:val="18"/>
        </w:numPr>
        <w:rPr>
          <w:rFonts w:cs="Calibri Light"/>
        </w:rPr>
      </w:pPr>
      <w:proofErr w:type="gramStart"/>
      <w:r>
        <w:rPr>
          <w:rFonts w:cs="Calibri Light"/>
        </w:rPr>
        <w:lastRenderedPageBreak/>
        <w:t>r</w:t>
      </w:r>
      <w:r w:rsidRPr="006237D2">
        <w:rPr>
          <w:rFonts w:cs="Calibri Light"/>
        </w:rPr>
        <w:t>eport</w:t>
      </w:r>
      <w:proofErr w:type="gramEnd"/>
      <w:r w:rsidRPr="006237D2">
        <w:rPr>
          <w:rFonts w:cs="Calibri Light"/>
        </w:rPr>
        <w:t xml:space="preserve"> identified scam calls and SMS to the ACMA and any involved telecommunications providers.</w:t>
      </w:r>
    </w:p>
    <w:p w14:paraId="7A49101B" w14:textId="007E7196" w:rsidR="00311776" w:rsidRPr="006237D2" w:rsidRDefault="00311776" w:rsidP="00311776">
      <w:pPr>
        <w:rPr>
          <w:rFonts w:cs="Calibri Light"/>
          <w:color w:val="1A1A1A"/>
          <w:szCs w:val="22"/>
        </w:rPr>
      </w:pPr>
      <w:r w:rsidRPr="00D928C6">
        <w:rPr>
          <w:rFonts w:cs="Calibri Light"/>
          <w:szCs w:val="22"/>
        </w:rPr>
        <w:t xml:space="preserve">Telecommunications providers </w:t>
      </w:r>
      <w:r w:rsidRPr="006237D2">
        <w:rPr>
          <w:rFonts w:cs="Calibri Light"/>
          <w:szCs w:val="22"/>
        </w:rPr>
        <w:t xml:space="preserve">who are found to be in breach of the code can be issued with a direction to comply </w:t>
      </w:r>
      <w:r w:rsidR="0027763E">
        <w:rPr>
          <w:rFonts w:cs="Calibri Light"/>
          <w:szCs w:val="22"/>
        </w:rPr>
        <w:t xml:space="preserve">by ACMA </w:t>
      </w:r>
      <w:r w:rsidRPr="006237D2">
        <w:rPr>
          <w:rFonts w:cs="Calibri Light"/>
          <w:szCs w:val="22"/>
        </w:rPr>
        <w:t xml:space="preserve">in the first instance. </w:t>
      </w:r>
      <w:r w:rsidRPr="006237D2">
        <w:rPr>
          <w:rFonts w:cs="Calibri Light"/>
          <w:color w:val="1A1A1A"/>
          <w:szCs w:val="22"/>
        </w:rPr>
        <w:t>This is the strongest enforcement outcome currently available to the ACMA for initial breaches of the code. Telcos may face penalties of up to $250,000 for breaching ACMA directions to comply with the code.</w:t>
      </w:r>
    </w:p>
    <w:p w14:paraId="5FFBD0C5" w14:textId="77777777" w:rsidR="00311776" w:rsidRPr="006237D2" w:rsidRDefault="00311776" w:rsidP="00311776">
      <w:pPr>
        <w:spacing w:before="0"/>
        <w:rPr>
          <w:rFonts w:cs="Calibri Light"/>
          <w:szCs w:val="22"/>
          <w:bdr w:val="none" w:sz="0" w:space="0" w:color="auto" w:frame="1"/>
        </w:rPr>
      </w:pPr>
      <w:r w:rsidRPr="006237D2">
        <w:rPr>
          <w:rFonts w:cs="Calibri Light"/>
          <w:szCs w:val="22"/>
          <w:bdr w:val="none" w:sz="0" w:space="0" w:color="auto" w:frame="1"/>
        </w:rPr>
        <w:t>In addition to the code, telecommunications providers are subject to other rules introduced by the ACMA to combat scams, including:</w:t>
      </w:r>
    </w:p>
    <w:p w14:paraId="5A85043C" w14:textId="1EB38D37" w:rsidR="00311776" w:rsidRPr="006237D2" w:rsidRDefault="00311776" w:rsidP="00E004C0">
      <w:pPr>
        <w:pStyle w:val="ListParagraph"/>
        <w:numPr>
          <w:ilvl w:val="0"/>
          <w:numId w:val="19"/>
        </w:numPr>
        <w:spacing w:before="0"/>
        <w:rPr>
          <w:rFonts w:cs="Calibri Light"/>
          <w:szCs w:val="22"/>
          <w:bdr w:val="none" w:sz="0" w:space="0" w:color="auto" w:frame="1"/>
        </w:rPr>
      </w:pPr>
      <w:r w:rsidRPr="006237D2">
        <w:rPr>
          <w:rFonts w:cs="Calibri Light"/>
          <w:szCs w:val="22"/>
          <w:bdr w:val="none" w:sz="0" w:space="0" w:color="auto" w:frame="1"/>
        </w:rPr>
        <w:t xml:space="preserve">stronger identity verification processes before mobile numbers can be transferred between providers – aimed </w:t>
      </w:r>
      <w:r>
        <w:rPr>
          <w:rFonts w:cs="Calibri Light"/>
          <w:szCs w:val="22"/>
          <w:bdr w:val="none" w:sz="0" w:space="0" w:color="auto" w:frame="1"/>
        </w:rPr>
        <w:t xml:space="preserve">at stopping </w:t>
      </w:r>
      <w:r w:rsidRPr="006237D2">
        <w:rPr>
          <w:rFonts w:cs="Calibri Light"/>
          <w:szCs w:val="22"/>
          <w:bdr w:val="none" w:sz="0" w:space="0" w:color="auto" w:frame="1"/>
        </w:rPr>
        <w:t xml:space="preserve">scammers </w:t>
      </w:r>
      <w:r>
        <w:rPr>
          <w:rFonts w:cs="Calibri Light"/>
          <w:szCs w:val="22"/>
          <w:bdr w:val="none" w:sz="0" w:space="0" w:color="auto" w:frame="1"/>
        </w:rPr>
        <w:t xml:space="preserve">from </w:t>
      </w:r>
      <w:r w:rsidRPr="006237D2">
        <w:rPr>
          <w:rFonts w:cs="Calibri Light"/>
          <w:szCs w:val="22"/>
          <w:bdr w:val="none" w:sz="0" w:space="0" w:color="auto" w:frame="1"/>
        </w:rPr>
        <w:t xml:space="preserve">hijacking mobile phone numbers </w:t>
      </w:r>
      <w:r w:rsidR="009E71D9">
        <w:rPr>
          <w:rFonts w:cs="Calibri Light"/>
          <w:szCs w:val="22"/>
          <w:bdr w:val="none" w:sz="0" w:space="0" w:color="auto" w:frame="1"/>
        </w:rPr>
        <w:t>for the purpose of gaining access</w:t>
      </w:r>
      <w:r w:rsidRPr="006237D2">
        <w:rPr>
          <w:rFonts w:cs="Calibri Light"/>
          <w:szCs w:val="22"/>
          <w:bdr w:val="none" w:sz="0" w:space="0" w:color="auto" w:frame="1"/>
        </w:rPr>
        <w:t xml:space="preserve"> to </w:t>
      </w:r>
      <w:r>
        <w:rPr>
          <w:rFonts w:cs="Calibri Light"/>
          <w:szCs w:val="22"/>
          <w:bdr w:val="none" w:sz="0" w:space="0" w:color="auto" w:frame="1"/>
        </w:rPr>
        <w:t>other</w:t>
      </w:r>
      <w:r w:rsidRPr="006237D2">
        <w:rPr>
          <w:rFonts w:cs="Calibri Light"/>
          <w:szCs w:val="22"/>
          <w:bdr w:val="none" w:sz="0" w:space="0" w:color="auto" w:frame="1"/>
        </w:rPr>
        <w:t xml:space="preserve"> people’s personal accounts</w:t>
      </w:r>
      <w:r w:rsidR="0071089E">
        <w:rPr>
          <w:rFonts w:cs="Calibri Light"/>
          <w:szCs w:val="22"/>
          <w:bdr w:val="none" w:sz="0" w:space="0" w:color="auto" w:frame="1"/>
        </w:rPr>
        <w:t xml:space="preserve"> including bank accounts</w:t>
      </w:r>
      <w:r w:rsidRPr="006237D2">
        <w:rPr>
          <w:rFonts w:cs="Calibri Light"/>
          <w:szCs w:val="22"/>
          <w:bdr w:val="none" w:sz="0" w:space="0" w:color="auto" w:frame="1"/>
        </w:rPr>
        <w:t xml:space="preserve"> and</w:t>
      </w:r>
      <w:r w:rsidR="0071089E">
        <w:rPr>
          <w:rFonts w:cs="Calibri Light"/>
          <w:szCs w:val="22"/>
          <w:bdr w:val="none" w:sz="0" w:space="0" w:color="auto" w:frame="1"/>
        </w:rPr>
        <w:t xml:space="preserve"> social media accounts</w:t>
      </w:r>
      <w:r w:rsidRPr="006237D2">
        <w:rPr>
          <w:rFonts w:cs="Calibri Light"/>
          <w:szCs w:val="22"/>
          <w:bdr w:val="none" w:sz="0" w:space="0" w:color="auto" w:frame="1"/>
        </w:rPr>
        <w:t>, and</w:t>
      </w:r>
    </w:p>
    <w:p w14:paraId="3C005680" w14:textId="77777777" w:rsidR="00311776" w:rsidRPr="006237D2" w:rsidRDefault="00311776" w:rsidP="00E004C0">
      <w:pPr>
        <w:pStyle w:val="ListParagraph"/>
        <w:numPr>
          <w:ilvl w:val="0"/>
          <w:numId w:val="19"/>
        </w:numPr>
        <w:spacing w:before="0"/>
        <w:rPr>
          <w:rFonts w:cs="Calibri Light"/>
          <w:szCs w:val="22"/>
          <w:bdr w:val="none" w:sz="0" w:space="0" w:color="auto" w:frame="1"/>
        </w:rPr>
      </w:pPr>
      <w:proofErr w:type="gramStart"/>
      <w:r w:rsidRPr="006237D2">
        <w:rPr>
          <w:rFonts w:cs="Calibri Light"/>
          <w:szCs w:val="22"/>
          <w:bdr w:val="none" w:sz="0" w:space="0" w:color="auto" w:frame="1"/>
        </w:rPr>
        <w:t>authorisation</w:t>
      </w:r>
      <w:proofErr w:type="gramEnd"/>
      <w:r w:rsidRPr="006237D2">
        <w:rPr>
          <w:rFonts w:cs="Calibri Light"/>
          <w:szCs w:val="22"/>
          <w:bdr w:val="none" w:sz="0" w:space="0" w:color="auto" w:frame="1"/>
        </w:rPr>
        <w:t xml:space="preserve"> processes for sensitive transactions via the </w:t>
      </w:r>
      <w:r w:rsidRPr="006237D2">
        <w:rPr>
          <w:rFonts w:cs="Calibri Light"/>
          <w:i/>
          <w:szCs w:val="22"/>
          <w:bdr w:val="none" w:sz="0" w:space="0" w:color="auto" w:frame="1"/>
        </w:rPr>
        <w:t xml:space="preserve">Telecommunications Service Provider (Customer Identity Authentication) Determination 2022 </w:t>
      </w:r>
      <w:r w:rsidRPr="006237D2">
        <w:rPr>
          <w:rFonts w:cs="Calibri Light"/>
          <w:szCs w:val="22"/>
          <w:bdr w:val="none" w:sz="0" w:space="0" w:color="auto" w:frame="1"/>
        </w:rPr>
        <w:t xml:space="preserve">to provide a high level of assurance </w:t>
      </w:r>
      <w:r>
        <w:rPr>
          <w:rFonts w:cs="Calibri Light"/>
          <w:szCs w:val="22"/>
          <w:bdr w:val="none" w:sz="0" w:space="0" w:color="auto" w:frame="1"/>
        </w:rPr>
        <w:t xml:space="preserve">to prevent </w:t>
      </w:r>
      <w:r w:rsidRPr="006237D2">
        <w:rPr>
          <w:rFonts w:cs="Calibri Light"/>
          <w:szCs w:val="22"/>
          <w:bdr w:val="none" w:sz="0" w:space="0" w:color="auto" w:frame="1"/>
        </w:rPr>
        <w:t>malicious actors gaining access to a device and the personal information held on it.</w:t>
      </w:r>
    </w:p>
    <w:p w14:paraId="3D664100" w14:textId="5946F26A" w:rsidR="00311776" w:rsidRDefault="00842741" w:rsidP="00311776">
      <w:r>
        <w:t xml:space="preserve">The ACMA regularly conducts audits and investigations to test industry compliance with the code. Since 2023, the ACMA has </w:t>
      </w:r>
      <w:r w:rsidR="00157701">
        <w:t>acted</w:t>
      </w:r>
      <w:r>
        <w:t xml:space="preserve"> against seven telcos that send bulk SMS for failing to comply </w:t>
      </w:r>
      <w:r w:rsidR="00311776">
        <w:t>with multiple anti-scam and public safety rules. In 2023, the ACMA reported that despite the significant inroads made by the new code rules, some telcos were not conducting sufficient checks to ensure customers using text-based sender IDs have a legitimate right to do so. The ACMA noted there are strong indications scammers have used these vulnerabilities to send SMS scam campaigns</w:t>
      </w:r>
      <w:r w:rsidR="00311776" w:rsidRPr="001553C0">
        <w:rPr>
          <w:rStyle w:val="FootnoteReference"/>
          <w:vertAlign w:val="superscript"/>
        </w:rPr>
        <w:footnoteReference w:id="74"/>
      </w:r>
      <w:r w:rsidR="00311776">
        <w:t xml:space="preserve">. </w:t>
      </w:r>
    </w:p>
    <w:p w14:paraId="7FC52560" w14:textId="289C9FAC" w:rsidR="00CE6964" w:rsidRDefault="005C3CB1" w:rsidP="005C3CB1">
      <w:pPr>
        <w:rPr>
          <w:rFonts w:cs="Calibri Light"/>
        </w:rPr>
      </w:pPr>
      <w:r w:rsidRPr="006237D2">
        <w:rPr>
          <w:rFonts w:cs="Calibri Light"/>
        </w:rPr>
        <w:t xml:space="preserve">Individual telecommunications providers are also continuing to implement new technologies and processes to protect consumers. </w:t>
      </w:r>
      <w:r>
        <w:rPr>
          <w:rFonts w:cs="Calibri Light"/>
        </w:rPr>
        <w:t>Several</w:t>
      </w:r>
      <w:r w:rsidRPr="006237D2">
        <w:rPr>
          <w:rFonts w:cs="Calibri Light"/>
        </w:rPr>
        <w:t xml:space="preserve"> larger telecommunications providers have developed their own internal processes, such as ‘trusted source’ arrangements to protect phone numbers associated with well-known Australian companies. </w:t>
      </w:r>
    </w:p>
    <w:p w14:paraId="092895D5" w14:textId="56C406E6" w:rsidR="00E313B2" w:rsidRDefault="00311776" w:rsidP="00BE17D1">
      <w:r>
        <w:t xml:space="preserve">The telecommunications sector has a mature external dispute resolution scheme, administered by the TIO. </w:t>
      </w:r>
      <w:r w:rsidR="00045869" w:rsidRPr="00E93934">
        <w:t xml:space="preserve">The TIO has jurisdiction to handle complaints about phone and internet services and can handle a complaint about a scam if part of the complaint related to the actions (or inactions) of a telecommunications provider who is a member of TIO. The TIO can also consider a telecommunication service provider’s compliance with the </w:t>
      </w:r>
      <w:r w:rsidR="00045869" w:rsidRPr="00E93934">
        <w:rPr>
          <w:i/>
        </w:rPr>
        <w:t xml:space="preserve">Reducing Scam Calls and Scam SMs </w:t>
      </w:r>
      <w:r w:rsidR="00045869" w:rsidRPr="00E93934">
        <w:t xml:space="preserve">Code. However, there are certain matters </w:t>
      </w:r>
      <w:r w:rsidR="00045869">
        <w:t>the</w:t>
      </w:r>
      <w:r w:rsidR="00045869" w:rsidRPr="00E93934">
        <w:t xml:space="preserve"> TIO cannot consider (e.g. contents of a scam calls or text, situations where a scammer pretends to be acting for the telecommunication service providers).</w:t>
      </w:r>
      <w:r w:rsidR="00045869" w:rsidRPr="00E93934">
        <w:rPr>
          <w:rStyle w:val="FootnoteReference"/>
          <w:vertAlign w:val="superscript"/>
        </w:rPr>
        <w:footnoteReference w:id="75"/>
      </w:r>
      <w:r w:rsidR="00045869" w:rsidRPr="00E93934">
        <w:rPr>
          <w:iCs/>
        </w:rPr>
        <w:t xml:space="preserve"> Certain t</w:t>
      </w:r>
      <w:r w:rsidR="00045869" w:rsidRPr="00E93934">
        <w:t xml:space="preserve">ransit carriers </w:t>
      </w:r>
      <w:r w:rsidR="00045869">
        <w:t xml:space="preserve">and CSPs </w:t>
      </w:r>
      <w:r w:rsidR="00045869" w:rsidRPr="00E93934">
        <w:t>may be exempt from the requirement to join TIO as they do not have individual or small business customers.</w:t>
      </w:r>
    </w:p>
    <w:p w14:paraId="0A006005" w14:textId="39498670" w:rsidR="00311776" w:rsidRDefault="003C5F34" w:rsidP="00311776">
      <w:pPr>
        <w:spacing w:before="0" w:after="0"/>
        <w:rPr>
          <w:rFonts w:eastAsiaTheme="minorHAnsi"/>
        </w:rPr>
      </w:pPr>
      <w:r>
        <w:t>T</w:t>
      </w:r>
      <w:r w:rsidR="00311776">
        <w:t xml:space="preserve">he TIO can </w:t>
      </w:r>
      <w:r w:rsidR="00A43422">
        <w:t xml:space="preserve">also </w:t>
      </w:r>
      <w:r w:rsidR="00311776">
        <w:t xml:space="preserve">only take action against a consumer’s contracted telecommunications provider. A common scenario is where a consumer receives a scam SMS or phone call that originated from a non-compliant provider and was transmitted to their device via a network operated by a compliant provider. In this scenario, the consumer has no right of action against their own telecommunications provider or the non-compliant originating provider. </w:t>
      </w:r>
    </w:p>
    <w:p w14:paraId="50A3BE70" w14:textId="0E3CD839" w:rsidR="00FB4911" w:rsidRPr="00E93934" w:rsidRDefault="00F24ECB" w:rsidP="00311776">
      <w:r w:rsidRPr="00E93934">
        <w:t xml:space="preserve">In relation to IDR, a carriage service provider that is offering to supply a telecommunications goods or service is required to establish and implement a complaint handling process that meets certain minimum requirements set out in the </w:t>
      </w:r>
      <w:r w:rsidRPr="00E93934">
        <w:rPr>
          <w:i/>
          <w:iCs/>
        </w:rPr>
        <w:t>Telecommunications (Consumer Complaints Handling) industry Standard 2018.</w:t>
      </w:r>
      <w:r w:rsidRPr="00E93934">
        <w:t xml:space="preserve"> This provides an avenue for consumers to make complaints to telecommunication service providers about their</w:t>
      </w:r>
      <w:r w:rsidR="00B10E28">
        <w:t xml:space="preserve"> </w:t>
      </w:r>
      <w:r w:rsidRPr="00E93934">
        <w:t>products and services (including a scam on their service).</w:t>
      </w:r>
    </w:p>
    <w:p w14:paraId="782A2627" w14:textId="09CB59D9" w:rsidR="00E363F5" w:rsidRDefault="00E363F5" w:rsidP="00BE17D1">
      <w:pPr>
        <w:pStyle w:val="Heading4"/>
      </w:pPr>
      <w:r w:rsidRPr="0064472B">
        <w:lastRenderedPageBreak/>
        <w:t xml:space="preserve">Digital platforms </w:t>
      </w:r>
    </w:p>
    <w:p w14:paraId="071C1F52" w14:textId="5E99C0A9" w:rsidR="00E363F5" w:rsidRDefault="00E363F5" w:rsidP="00E363F5">
      <w:r w:rsidRPr="00666ABB">
        <w:t xml:space="preserve">In 2022, the ACCC identified the failure of digital platforms to take sufficient steps to prevent online harms as a key consumer </w:t>
      </w:r>
      <w:r>
        <w:t xml:space="preserve">harm throughout </w:t>
      </w:r>
      <w:r w:rsidR="00444B4F">
        <w:t>its digital platform inquiries</w:t>
      </w:r>
      <w:r w:rsidRPr="00666ABB">
        <w:t xml:space="preserve">. The ACCC recommended </w:t>
      </w:r>
      <w:r w:rsidR="00910BC7">
        <w:t>that</w:t>
      </w:r>
      <w:r w:rsidRPr="00666ABB">
        <w:t xml:space="preserve"> digital platforms be required to implement measures to prevent and remove scams, including a notice and action mechanism</w:t>
      </w:r>
      <w:r>
        <w:t xml:space="preserve"> (for businesses to take timely action on reports)</w:t>
      </w:r>
      <w:r w:rsidRPr="00666ABB">
        <w:t>.</w:t>
      </w:r>
      <w:r>
        <w:t xml:space="preserve"> At a minimum, the ACCC recommended these measures be applied to search, social media, online private messaging, app store, online retail marketplace and digital advertising services.</w:t>
      </w:r>
      <w:r w:rsidRPr="00C12119">
        <w:rPr>
          <w:rStyle w:val="FootnoteReference"/>
          <w:vertAlign w:val="superscript"/>
        </w:rPr>
        <w:footnoteReference w:id="76"/>
      </w:r>
      <w:r w:rsidRPr="00666ABB">
        <w:t> </w:t>
      </w:r>
    </w:p>
    <w:p w14:paraId="6ECED28D" w14:textId="29C35D1E" w:rsidR="009B65D7" w:rsidRPr="003C526C" w:rsidRDefault="00E363F5" w:rsidP="00BE17D1">
      <w:r>
        <w:t>On 8 December 2023, the Government provided in-principle support for the recommendations made by the ACCC in its fifth interim report of the Digital Platform Services Inquiry that aim to address competition and consumer harms on digital platforms.</w:t>
      </w:r>
      <w:r w:rsidRPr="0064472B">
        <w:rPr>
          <w:rStyle w:val="FootnoteReference"/>
          <w:vertAlign w:val="superscript"/>
        </w:rPr>
        <w:footnoteReference w:id="77"/>
      </w:r>
      <w:r>
        <w:t xml:space="preserve"> As part of the response, the Assistant Treasurer and Minister of Communications wrote to digital platforms to develop a voluntary </w:t>
      </w:r>
      <w:r w:rsidR="00AC6F79">
        <w:t>IDR</w:t>
      </w:r>
      <w:r>
        <w:t xml:space="preserve"> code by July 2024. </w:t>
      </w:r>
      <w:r w:rsidR="009B65D7" w:rsidRPr="003C526C">
        <w:t xml:space="preserve">Digital platforms are not </w:t>
      </w:r>
      <w:r w:rsidR="009B65D7">
        <w:t xml:space="preserve">currently </w:t>
      </w:r>
      <w:r w:rsidR="009B65D7" w:rsidRPr="003C526C">
        <w:t xml:space="preserve">subject to industry-specific mandatory IDR or EDR requirements in relation to their services in Australia. </w:t>
      </w:r>
    </w:p>
    <w:p w14:paraId="2995314D" w14:textId="38CE2298" w:rsidR="00FA60F8" w:rsidRDefault="00AE4D05" w:rsidP="00E363F5">
      <w:r>
        <w:t>DIGI</w:t>
      </w:r>
      <w:r w:rsidR="000753A5">
        <w:t xml:space="preserve"> is</w:t>
      </w:r>
      <w:r>
        <w:t xml:space="preserve"> an industry association </w:t>
      </w:r>
      <w:r w:rsidR="000753A5">
        <w:t xml:space="preserve">representing </w:t>
      </w:r>
      <w:r w:rsidR="009B0197">
        <w:t xml:space="preserve">twelve </w:t>
      </w:r>
      <w:r w:rsidR="000753A5">
        <w:t xml:space="preserve">large digital platforms </w:t>
      </w:r>
      <w:r>
        <w:t xml:space="preserve">with </w:t>
      </w:r>
      <w:r w:rsidR="00AF31A5">
        <w:t>a presence in Australia</w:t>
      </w:r>
      <w:r w:rsidR="00CE0EBC">
        <w:t xml:space="preserve">. </w:t>
      </w:r>
      <w:r w:rsidR="005C151F">
        <w:t xml:space="preserve">The </w:t>
      </w:r>
      <w:r w:rsidR="006B38D4">
        <w:t xml:space="preserve">digital sector </w:t>
      </w:r>
      <w:r w:rsidR="00B609BC">
        <w:t>also includes</w:t>
      </w:r>
      <w:r w:rsidR="006B38D4">
        <w:t xml:space="preserve"> </w:t>
      </w:r>
      <w:r w:rsidR="00E7699C">
        <w:t xml:space="preserve">companies in the technology sector, </w:t>
      </w:r>
      <w:r w:rsidR="00B609BC">
        <w:t xml:space="preserve">represented </w:t>
      </w:r>
      <w:r w:rsidR="00E7699C">
        <w:t>by the Tech Council of Australia</w:t>
      </w:r>
      <w:r w:rsidR="009B0197">
        <w:t xml:space="preserve">. </w:t>
      </w:r>
      <w:r w:rsidR="0024552B">
        <w:t xml:space="preserve">DIGI has </w:t>
      </w:r>
      <w:r w:rsidR="008D6C7C">
        <w:t>previously led self-regulat</w:t>
      </w:r>
      <w:r w:rsidR="000162E6">
        <w:t xml:space="preserve">ed industry codes to address online harms, </w:t>
      </w:r>
      <w:r w:rsidR="006C28DA">
        <w:t xml:space="preserve">including development of the </w:t>
      </w:r>
      <w:r w:rsidR="00FA60F8">
        <w:t>Australian Code of Practice on Disinformation and Misinformation in response to the Government’s response to the ACCC’s 2019 Digital Platforms Inquiry</w:t>
      </w:r>
      <w:r w:rsidR="00FA60F8" w:rsidRPr="0064472B">
        <w:rPr>
          <w:rStyle w:val="FootnoteReference"/>
          <w:vertAlign w:val="superscript"/>
        </w:rPr>
        <w:footnoteReference w:id="78"/>
      </w:r>
      <w:r w:rsidR="00FA60F8">
        <w:t xml:space="preserve">. </w:t>
      </w:r>
    </w:p>
    <w:p w14:paraId="6994B69E" w14:textId="69464FB2" w:rsidR="002D790B" w:rsidRDefault="0051778B" w:rsidP="00E363F5">
      <w:r>
        <w:t>In February 2024</w:t>
      </w:r>
      <w:r w:rsidR="006C28DA">
        <w:t>,</w:t>
      </w:r>
      <w:r>
        <w:t xml:space="preserve"> </w:t>
      </w:r>
      <w:r w:rsidR="006C28DA">
        <w:t>DIGI</w:t>
      </w:r>
      <w:r>
        <w:t xml:space="preserve"> expressed interest </w:t>
      </w:r>
      <w:r w:rsidR="00B609BC">
        <w:t>in</w:t>
      </w:r>
      <w:r>
        <w:t xml:space="preserve"> develop</w:t>
      </w:r>
      <w:r w:rsidR="00B609BC">
        <w:t>ing</w:t>
      </w:r>
      <w:r>
        <w:t xml:space="preserve"> a voluntary scams code of practice for the digital industry</w:t>
      </w:r>
      <w:r w:rsidR="006C28DA">
        <w:t xml:space="preserve"> and launched the </w:t>
      </w:r>
      <w:r w:rsidR="0096491C">
        <w:t>AOSC</w:t>
      </w:r>
      <w:r w:rsidR="00C8152D" w:rsidRPr="00C8152D">
        <w:t xml:space="preserve"> on 26 July 2024.</w:t>
      </w:r>
      <w:r w:rsidR="000E1740">
        <w:t xml:space="preserve"> The AOSC, signed by </w:t>
      </w:r>
      <w:r w:rsidR="00727425">
        <w:t xml:space="preserve">9 </w:t>
      </w:r>
      <w:r w:rsidR="00C338C6">
        <w:t>DIGI members to date,</w:t>
      </w:r>
      <w:r w:rsidR="00C338C6" w:rsidRPr="005A16CB">
        <w:rPr>
          <w:rStyle w:val="FootnoteReference"/>
          <w:vertAlign w:val="superscript"/>
        </w:rPr>
        <w:footnoteReference w:id="79"/>
      </w:r>
      <w:r w:rsidR="00E61AEB">
        <w:t xml:space="preserve"> proposes </w:t>
      </w:r>
      <w:r w:rsidR="0006698C">
        <w:t>several</w:t>
      </w:r>
      <w:r w:rsidR="00E61AEB">
        <w:t xml:space="preserve"> voluntary measures for signatories </w:t>
      </w:r>
      <w:r w:rsidR="0006698C">
        <w:t>to implement when providing</w:t>
      </w:r>
      <w:r w:rsidR="00E61AEB">
        <w:t xml:space="preserve"> online services</w:t>
      </w:r>
      <w:r w:rsidR="00CD50CD">
        <w:t xml:space="preserve">. The code applies to the provision of </w:t>
      </w:r>
      <w:r w:rsidR="00206B62">
        <w:t xml:space="preserve">services </w:t>
      </w:r>
      <w:r w:rsidR="00E61AEB">
        <w:t xml:space="preserve">including </w:t>
      </w:r>
      <w:r w:rsidR="0006698C">
        <w:t xml:space="preserve">social media, peer-to-peer marketplaces, email, messaging, video sharing and paid advertising on digital platforms. </w:t>
      </w:r>
    </w:p>
    <w:p w14:paraId="39FC672E" w14:textId="63BAA9C5" w:rsidR="007E4A58" w:rsidRDefault="00206B62" w:rsidP="00E363F5">
      <w:r>
        <w:t xml:space="preserve">The AOSC sets out guiding principles to inform commitments to undertake specific measures, depending on the applicable services operated by the signatory. These guiding principles include consideration of the diversity of services, proportionality, the protection of user privacy and freedom of expression, and the need for collaboration and co-operation among all relevant stakeholders. </w:t>
      </w:r>
      <w:r w:rsidR="00507D8B" w:rsidRPr="00EA4A04">
        <w:fldChar w:fldCharType="begin"/>
      </w:r>
      <w:r w:rsidR="00507D8B" w:rsidRPr="00EA4A04">
        <w:instrText xml:space="preserve"> REF _Ref177507454 \h  \* MERGEFORMAT </w:instrText>
      </w:r>
      <w:r w:rsidR="00507D8B" w:rsidRPr="00EA4A04">
        <w:fldChar w:fldCharType="end"/>
      </w:r>
      <w:r>
        <w:t xml:space="preserve"> </w:t>
      </w:r>
      <w:proofErr w:type="gramStart"/>
      <w:r>
        <w:t>details</w:t>
      </w:r>
      <w:proofErr w:type="gramEnd"/>
      <w:r>
        <w:t xml:space="preserve"> the specific commitments set out under the AOSC for signatories</w:t>
      </w:r>
      <w:r w:rsidR="001813FC">
        <w:t xml:space="preserve"> (outlined in </w:t>
      </w:r>
      <w:r w:rsidR="001813FC">
        <w:fldChar w:fldCharType="begin"/>
      </w:r>
      <w:r w:rsidR="001813FC">
        <w:instrText xml:space="preserve"> REF _Ref177507454 \h </w:instrText>
      </w:r>
      <w:r w:rsidR="001813FC">
        <w:fldChar w:fldCharType="separate"/>
      </w:r>
      <w:r w:rsidR="001813FC">
        <w:t xml:space="preserve">Table </w:t>
      </w:r>
      <w:r w:rsidR="001813FC">
        <w:rPr>
          <w:noProof/>
        </w:rPr>
        <w:t>16</w:t>
      </w:r>
      <w:r w:rsidR="001813FC">
        <w:fldChar w:fldCharType="end"/>
      </w:r>
      <w:r w:rsidR="001813FC">
        <w:t>)</w:t>
      </w:r>
    </w:p>
    <w:p w14:paraId="4CBB6846" w14:textId="570C7A3E" w:rsidR="00852FE5" w:rsidRPr="0064472B" w:rsidRDefault="00852FE5" w:rsidP="00852FE5">
      <w:pPr>
        <w:pStyle w:val="Heading8"/>
      </w:pPr>
      <w:bookmarkStart w:id="80" w:name="_Ref177507454"/>
      <w:r>
        <w:t xml:space="preserve">Table </w:t>
      </w:r>
      <w:fldSimple w:instr=" SEQ Table \* ARABIC ">
        <w:r w:rsidR="00A1570C">
          <w:rPr>
            <w:noProof/>
          </w:rPr>
          <w:t>16</w:t>
        </w:r>
      </w:fldSimple>
      <w:bookmarkEnd w:id="80"/>
      <w:r w:rsidRPr="0064472B">
        <w:t xml:space="preserve"> – </w:t>
      </w:r>
      <w:r w:rsidR="00334D38">
        <w:t>High-level s</w:t>
      </w:r>
      <w:r w:rsidR="00B67F17">
        <w:t xml:space="preserve">ummary of key priorities under the </w:t>
      </w:r>
      <w:r w:rsidR="00643B1B">
        <w:t xml:space="preserve">Australian Online Scams Code </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66"/>
        <w:gridCol w:w="1694"/>
      </w:tblGrid>
      <w:tr w:rsidR="007F7EFE" w14:paraId="068B821A" w14:textId="77777777" w:rsidTr="00BE17D1">
        <w:tc>
          <w:tcPr>
            <w:tcW w:w="7366" w:type="dxa"/>
            <w:shd w:val="clear" w:color="auto" w:fill="D9D9D9" w:themeFill="background1" w:themeFillShade="D9"/>
          </w:tcPr>
          <w:p w14:paraId="3C5C4240" w14:textId="5837EDD7" w:rsidR="007F7EFE" w:rsidRDefault="007F7EFE">
            <w:pPr>
              <w:rPr>
                <w:b/>
                <w:bCs/>
              </w:rPr>
            </w:pPr>
            <w:r>
              <w:rPr>
                <w:b/>
                <w:bCs/>
              </w:rPr>
              <w:t>Priority</w:t>
            </w:r>
          </w:p>
        </w:tc>
        <w:tc>
          <w:tcPr>
            <w:tcW w:w="1694" w:type="dxa"/>
            <w:shd w:val="clear" w:color="auto" w:fill="D9D9D9" w:themeFill="background1" w:themeFillShade="D9"/>
          </w:tcPr>
          <w:p w14:paraId="159EC22A" w14:textId="615C0300" w:rsidR="007F7EFE" w:rsidRDefault="007F7EFE">
            <w:pPr>
              <w:rPr>
                <w:b/>
                <w:bCs/>
              </w:rPr>
            </w:pPr>
            <w:r>
              <w:rPr>
                <w:b/>
                <w:bCs/>
              </w:rPr>
              <w:t>Services</w:t>
            </w:r>
          </w:p>
        </w:tc>
      </w:tr>
      <w:tr w:rsidR="00B50F1C" w14:paraId="1E0EF8BB" w14:textId="27D147B3">
        <w:tc>
          <w:tcPr>
            <w:tcW w:w="9060" w:type="dxa"/>
            <w:gridSpan w:val="2"/>
            <w:shd w:val="clear" w:color="auto" w:fill="D9D9D9" w:themeFill="background1" w:themeFillShade="D9"/>
          </w:tcPr>
          <w:p w14:paraId="22B85E8B" w14:textId="2CEA18B6" w:rsidR="00B50F1C" w:rsidRDefault="00B50F1C">
            <w:pPr>
              <w:rPr>
                <w:b/>
                <w:bCs/>
              </w:rPr>
            </w:pPr>
            <w:r>
              <w:rPr>
                <w:b/>
                <w:bCs/>
              </w:rPr>
              <w:t>Blocking</w:t>
            </w:r>
          </w:p>
        </w:tc>
      </w:tr>
      <w:tr w:rsidR="00B50F1C" w14:paraId="3458CDC1" w14:textId="7AA51E66" w:rsidTr="00BE17D1">
        <w:tc>
          <w:tcPr>
            <w:tcW w:w="7366" w:type="dxa"/>
          </w:tcPr>
          <w:p w14:paraId="3F68D8FA" w14:textId="10551E46" w:rsidR="006742A8" w:rsidRPr="00E839A9" w:rsidRDefault="006742A8" w:rsidP="00E25736">
            <w:r w:rsidRPr="00E839A9">
              <w:rPr>
                <w:b/>
                <w:bCs/>
              </w:rPr>
              <w:t>Deploy measures to detect and block suspected scams</w:t>
            </w:r>
            <w:r w:rsidR="007E4A58" w:rsidRPr="00E839A9">
              <w:t xml:space="preserve">, including to ensure scams are addressed as non-compliant activity in community standards, guidelines or terms of service, have or adopt effective internal processes to detect, flag or remove content suspected to be a scam, </w:t>
            </w:r>
            <w:r w:rsidR="009E375B" w:rsidRPr="00E839A9">
              <w:t xml:space="preserve">block or terminate users for creating new accounts when the original accounts were removed for scams, offer appropriate login authentication methods and encourage the adoption of strong security measures such as two-step verification. </w:t>
            </w:r>
            <w:r w:rsidRPr="00E839A9">
              <w:t xml:space="preserve"> </w:t>
            </w:r>
          </w:p>
        </w:tc>
        <w:tc>
          <w:tcPr>
            <w:tcW w:w="1694" w:type="dxa"/>
          </w:tcPr>
          <w:p w14:paraId="2B8C225F" w14:textId="19EAB650" w:rsidR="00B50F1C" w:rsidRPr="00A706E3" w:rsidRDefault="00A706E3">
            <w:pPr>
              <w:rPr>
                <w:iCs/>
              </w:rPr>
            </w:pPr>
            <w:r>
              <w:rPr>
                <w:iCs/>
              </w:rPr>
              <w:t xml:space="preserve">Social media services, peer-to-peer marketplaces and video sharing services </w:t>
            </w:r>
          </w:p>
        </w:tc>
      </w:tr>
      <w:tr w:rsidR="00B50F1C" w14:paraId="487CA1FB" w14:textId="77777777" w:rsidTr="00BE17D1">
        <w:tc>
          <w:tcPr>
            <w:tcW w:w="7366" w:type="dxa"/>
          </w:tcPr>
          <w:p w14:paraId="0B40B9C0" w14:textId="5A1F9F4D" w:rsidR="00B50F1C" w:rsidRPr="00BB7211" w:rsidRDefault="007E4A58">
            <w:pPr>
              <w:rPr>
                <w:iCs/>
              </w:rPr>
            </w:pPr>
            <w:r>
              <w:rPr>
                <w:iCs/>
              </w:rPr>
              <w:lastRenderedPageBreak/>
              <w:t xml:space="preserve">Provide guidance to users on how to stay safe when buying and selling items from other users, and commit or move towards introducing reasonable and targeted measures for the verification of users using peer to peer marketplaces. </w:t>
            </w:r>
          </w:p>
        </w:tc>
        <w:tc>
          <w:tcPr>
            <w:tcW w:w="1694" w:type="dxa"/>
          </w:tcPr>
          <w:p w14:paraId="4D22BB6A" w14:textId="7EAC963F" w:rsidR="00B50F1C" w:rsidRPr="006B7739" w:rsidRDefault="006B7739">
            <w:pPr>
              <w:rPr>
                <w:iCs/>
              </w:rPr>
            </w:pPr>
            <w:r>
              <w:rPr>
                <w:iCs/>
              </w:rPr>
              <w:t>Peer-to-peer marketplaces</w:t>
            </w:r>
          </w:p>
        </w:tc>
      </w:tr>
      <w:tr w:rsidR="00B50F1C" w14:paraId="3F374DE7" w14:textId="773C3EE7" w:rsidTr="00E25736">
        <w:tc>
          <w:tcPr>
            <w:tcW w:w="9060" w:type="dxa"/>
            <w:gridSpan w:val="2"/>
            <w:shd w:val="clear" w:color="auto" w:fill="D9D9D9" w:themeFill="background1" w:themeFillShade="D9"/>
          </w:tcPr>
          <w:p w14:paraId="5D460E64" w14:textId="64DD13EA" w:rsidR="00B50F1C" w:rsidRPr="00B50F1C" w:rsidRDefault="00B50F1C">
            <w:pPr>
              <w:rPr>
                <w:b/>
                <w:bCs/>
                <w:iCs/>
              </w:rPr>
            </w:pPr>
            <w:r>
              <w:rPr>
                <w:b/>
                <w:bCs/>
                <w:iCs/>
              </w:rPr>
              <w:t xml:space="preserve">Reporting </w:t>
            </w:r>
          </w:p>
        </w:tc>
      </w:tr>
      <w:tr w:rsidR="00B50F1C" w14:paraId="6574C124" w14:textId="6024B74B" w:rsidTr="00BE17D1">
        <w:tc>
          <w:tcPr>
            <w:tcW w:w="7366" w:type="dxa"/>
          </w:tcPr>
          <w:p w14:paraId="68E2F242" w14:textId="00E3631B" w:rsidR="00B50F1C" w:rsidRPr="002E4349" w:rsidRDefault="006742A8">
            <w:pPr>
              <w:rPr>
                <w:iCs/>
              </w:rPr>
            </w:pPr>
            <w:r>
              <w:rPr>
                <w:b/>
                <w:bCs/>
                <w:iCs/>
              </w:rPr>
              <w:t>Have a simple and quick rout</w:t>
            </w:r>
            <w:r w:rsidR="008202C9">
              <w:rPr>
                <w:b/>
                <w:bCs/>
                <w:iCs/>
              </w:rPr>
              <w:t>e</w:t>
            </w:r>
            <w:r>
              <w:rPr>
                <w:b/>
                <w:bCs/>
                <w:iCs/>
              </w:rPr>
              <w:t xml:space="preserve"> to report possible scams</w:t>
            </w:r>
            <w:r w:rsidR="002E4349">
              <w:rPr>
                <w:iCs/>
              </w:rPr>
              <w:t xml:space="preserve">, including having or adopting simple in-product mechanisms for users to report suspected scam content, </w:t>
            </w:r>
            <w:r w:rsidR="00D624B3">
              <w:rPr>
                <w:iCs/>
              </w:rPr>
              <w:t xml:space="preserve">action those reports as swiftly as possible if suspicious, </w:t>
            </w:r>
            <w:r w:rsidR="000B1BCA">
              <w:rPr>
                <w:iCs/>
              </w:rPr>
              <w:t xml:space="preserve">have or adopt a simple and direct process for law enforcement and agencies to report suspected scam activity, and indicate to users that they may report scams to law enforcement and their bank. </w:t>
            </w:r>
          </w:p>
        </w:tc>
        <w:tc>
          <w:tcPr>
            <w:tcW w:w="1694" w:type="dxa"/>
          </w:tcPr>
          <w:p w14:paraId="7B989C46" w14:textId="0C532104" w:rsidR="00B50F1C" w:rsidRPr="00FC574F" w:rsidRDefault="00FC574F">
            <w:pPr>
              <w:rPr>
                <w:iCs/>
              </w:rPr>
            </w:pPr>
            <w:r>
              <w:rPr>
                <w:iCs/>
              </w:rPr>
              <w:t xml:space="preserve">Social media services, peer-to-peer </w:t>
            </w:r>
            <w:r w:rsidR="00F64894">
              <w:rPr>
                <w:iCs/>
              </w:rPr>
              <w:t>marketplaces</w:t>
            </w:r>
            <w:r>
              <w:rPr>
                <w:iCs/>
              </w:rPr>
              <w:t xml:space="preserve"> </w:t>
            </w:r>
            <w:r w:rsidR="00187783">
              <w:rPr>
                <w:iCs/>
              </w:rPr>
              <w:t>and video sharing services</w:t>
            </w:r>
          </w:p>
        </w:tc>
      </w:tr>
      <w:tr w:rsidR="002E4349" w14:paraId="1F054017" w14:textId="77777777" w:rsidTr="00BE17D1">
        <w:tc>
          <w:tcPr>
            <w:tcW w:w="7366" w:type="dxa"/>
          </w:tcPr>
          <w:p w14:paraId="26FCB59F" w14:textId="678DF597" w:rsidR="002E4349" w:rsidRPr="00C10A71" w:rsidRDefault="00C10A71">
            <w:pPr>
              <w:rPr>
                <w:iCs/>
              </w:rPr>
            </w:pPr>
            <w:r>
              <w:rPr>
                <w:iCs/>
              </w:rPr>
              <w:t xml:space="preserve">Provide or develop appropriate protections, which may include displaying warnings or allowing users to control or block messages. </w:t>
            </w:r>
          </w:p>
        </w:tc>
        <w:tc>
          <w:tcPr>
            <w:tcW w:w="1694" w:type="dxa"/>
          </w:tcPr>
          <w:p w14:paraId="47D05979" w14:textId="4578285C" w:rsidR="002E4349" w:rsidRPr="002E4349" w:rsidRDefault="002E4349">
            <w:pPr>
              <w:rPr>
                <w:iCs/>
              </w:rPr>
            </w:pPr>
            <w:r w:rsidRPr="002E4349">
              <w:rPr>
                <w:iCs/>
              </w:rPr>
              <w:t xml:space="preserve">Social media services </w:t>
            </w:r>
          </w:p>
        </w:tc>
      </w:tr>
      <w:tr w:rsidR="00B50F1C" w14:paraId="6C94AF37" w14:textId="22FBA159" w:rsidTr="00E25736">
        <w:tc>
          <w:tcPr>
            <w:tcW w:w="9060" w:type="dxa"/>
            <w:gridSpan w:val="2"/>
            <w:shd w:val="clear" w:color="auto" w:fill="D9D9D9" w:themeFill="background1" w:themeFillShade="D9"/>
          </w:tcPr>
          <w:p w14:paraId="2A69AAA0" w14:textId="25565A35" w:rsidR="00B50F1C" w:rsidRPr="00B50F1C" w:rsidRDefault="00B50F1C">
            <w:pPr>
              <w:rPr>
                <w:b/>
                <w:bCs/>
                <w:iCs/>
              </w:rPr>
            </w:pPr>
            <w:r>
              <w:rPr>
                <w:b/>
                <w:bCs/>
                <w:iCs/>
              </w:rPr>
              <w:t xml:space="preserve">Takedowns </w:t>
            </w:r>
          </w:p>
        </w:tc>
      </w:tr>
      <w:tr w:rsidR="00B50F1C" w14:paraId="1B497BD2" w14:textId="14A95692" w:rsidTr="00BE17D1">
        <w:tc>
          <w:tcPr>
            <w:tcW w:w="7366" w:type="dxa"/>
          </w:tcPr>
          <w:p w14:paraId="2DAB2F7C" w14:textId="18688AD1" w:rsidR="00B50F1C" w:rsidRPr="00ED1CD8" w:rsidRDefault="00ED1CD8">
            <w:pPr>
              <w:rPr>
                <w:iCs/>
              </w:rPr>
            </w:pPr>
            <w:r>
              <w:rPr>
                <w:b/>
                <w:bCs/>
                <w:iCs/>
              </w:rPr>
              <w:t>Take quick action against verified scam content and scammers</w:t>
            </w:r>
            <w:r>
              <w:rPr>
                <w:iCs/>
              </w:rPr>
              <w:t>, including to</w:t>
            </w:r>
            <w:r w:rsidR="0042123C">
              <w:rPr>
                <w:iCs/>
              </w:rPr>
              <w:t xml:space="preserve"> expeditiously remove scam content once found by the signatory that violates applicable terms or service or policies, </w:t>
            </w:r>
            <w:r w:rsidR="002D6369">
              <w:rPr>
                <w:iCs/>
              </w:rPr>
              <w:t xml:space="preserve">take appropriate enforcement action against users that post, send or share scam content, once found to be in violation, and have a clear process for users to request reinstatement of access following account takeover or scam. </w:t>
            </w:r>
          </w:p>
        </w:tc>
        <w:tc>
          <w:tcPr>
            <w:tcW w:w="1694" w:type="dxa"/>
          </w:tcPr>
          <w:p w14:paraId="3F6AC913" w14:textId="5352D139" w:rsidR="00B50F1C" w:rsidRPr="00ED1CD8" w:rsidRDefault="00ED1CD8">
            <w:pPr>
              <w:rPr>
                <w:iCs/>
              </w:rPr>
            </w:pPr>
            <w:r>
              <w:rPr>
                <w:iCs/>
              </w:rPr>
              <w:t>Social media services, peer-to-peer marketplaces and video sharing services</w:t>
            </w:r>
          </w:p>
        </w:tc>
      </w:tr>
      <w:tr w:rsidR="00B50F1C" w14:paraId="76CC04BD" w14:textId="1AF6FEB5" w:rsidTr="00E25736">
        <w:tc>
          <w:tcPr>
            <w:tcW w:w="9060" w:type="dxa"/>
            <w:gridSpan w:val="2"/>
            <w:shd w:val="clear" w:color="auto" w:fill="D9D9D9" w:themeFill="background1" w:themeFillShade="D9"/>
          </w:tcPr>
          <w:p w14:paraId="109627D8" w14:textId="4623ADAA" w:rsidR="00B50F1C" w:rsidRPr="00BB7211" w:rsidRDefault="00B50F1C">
            <w:pPr>
              <w:rPr>
                <w:b/>
                <w:bCs/>
                <w:iCs/>
              </w:rPr>
            </w:pPr>
            <w:r>
              <w:rPr>
                <w:b/>
                <w:bCs/>
                <w:iCs/>
              </w:rPr>
              <w:t xml:space="preserve">Advertising </w:t>
            </w:r>
          </w:p>
        </w:tc>
      </w:tr>
      <w:tr w:rsidR="00B50F1C" w14:paraId="600958B7" w14:textId="7F93E94A" w:rsidTr="00BE17D1">
        <w:tc>
          <w:tcPr>
            <w:tcW w:w="7366" w:type="dxa"/>
          </w:tcPr>
          <w:p w14:paraId="7A8BCB76" w14:textId="3F9E33E1" w:rsidR="00B50F1C" w:rsidRPr="00151E83" w:rsidRDefault="00BE3B49" w:rsidP="00BE3B49">
            <w:pPr>
              <w:tabs>
                <w:tab w:val="left" w:pos="1526"/>
              </w:tabs>
              <w:rPr>
                <w:iCs/>
              </w:rPr>
            </w:pPr>
            <w:r>
              <w:rPr>
                <w:b/>
                <w:bCs/>
                <w:iCs/>
              </w:rPr>
              <w:t>De</w:t>
            </w:r>
            <w:r w:rsidR="00151E83">
              <w:rPr>
                <w:b/>
                <w:bCs/>
                <w:iCs/>
              </w:rPr>
              <w:t xml:space="preserve">ploy measures to protect people from scam advertising, </w:t>
            </w:r>
            <w:r w:rsidR="00151E83">
              <w:rPr>
                <w:iCs/>
              </w:rPr>
              <w:t xml:space="preserve">including </w:t>
            </w:r>
            <w:r w:rsidR="00ED1CD8">
              <w:rPr>
                <w:iCs/>
              </w:rPr>
              <w:t xml:space="preserve">to offer or develop verification or authentication measures for new advertisers, commit or move towards introducing measures to confirm advertisers hold necessary financial services, have or introduce measures to screen advertisements, deploy processes to combat URL cloaking, and commit to or move towards a simple scam reporting mechanism. </w:t>
            </w:r>
          </w:p>
        </w:tc>
        <w:tc>
          <w:tcPr>
            <w:tcW w:w="1694" w:type="dxa"/>
          </w:tcPr>
          <w:p w14:paraId="6869B1D1" w14:textId="4EA9134B" w:rsidR="00B50F1C" w:rsidRPr="004220DA" w:rsidRDefault="004220DA">
            <w:pPr>
              <w:rPr>
                <w:iCs/>
              </w:rPr>
            </w:pPr>
            <w:r>
              <w:rPr>
                <w:iCs/>
              </w:rPr>
              <w:t>Paid advertising services</w:t>
            </w:r>
          </w:p>
        </w:tc>
      </w:tr>
      <w:tr w:rsidR="00B50F1C" w14:paraId="17ADA617" w14:textId="77777777" w:rsidTr="00E25736">
        <w:tc>
          <w:tcPr>
            <w:tcW w:w="9060" w:type="dxa"/>
            <w:gridSpan w:val="2"/>
            <w:shd w:val="clear" w:color="auto" w:fill="D9D9D9" w:themeFill="background1" w:themeFillShade="D9"/>
          </w:tcPr>
          <w:p w14:paraId="1422D763" w14:textId="69E10780" w:rsidR="00B50F1C" w:rsidRPr="00BB7211" w:rsidRDefault="00B50F1C">
            <w:pPr>
              <w:rPr>
                <w:b/>
                <w:bCs/>
                <w:iCs/>
              </w:rPr>
            </w:pPr>
            <w:r>
              <w:rPr>
                <w:b/>
                <w:bCs/>
                <w:iCs/>
              </w:rPr>
              <w:t xml:space="preserve">Email and messaging </w:t>
            </w:r>
          </w:p>
        </w:tc>
      </w:tr>
      <w:tr w:rsidR="00B50F1C" w14:paraId="2B20CDA2" w14:textId="77777777" w:rsidTr="00BE17D1">
        <w:tc>
          <w:tcPr>
            <w:tcW w:w="7366" w:type="dxa"/>
          </w:tcPr>
          <w:p w14:paraId="26D5DC24" w14:textId="6C265803" w:rsidR="00B50F1C" w:rsidRPr="000852FE" w:rsidRDefault="000852FE">
            <w:pPr>
              <w:rPr>
                <w:iCs/>
              </w:rPr>
            </w:pPr>
            <w:r>
              <w:rPr>
                <w:b/>
                <w:bCs/>
                <w:iCs/>
              </w:rPr>
              <w:t>Deploy specific measures to protect people from scams in email and messaging</w:t>
            </w:r>
            <w:r>
              <w:rPr>
                <w:iCs/>
              </w:rPr>
              <w:t>, requiring</w:t>
            </w:r>
            <w:r w:rsidR="00FE0353">
              <w:rPr>
                <w:iCs/>
              </w:rPr>
              <w:t xml:space="preserve"> service providers to make guidance available to users on scams, </w:t>
            </w:r>
            <w:r w:rsidR="007925F2">
              <w:rPr>
                <w:iCs/>
              </w:rPr>
              <w:t>clarifying</w:t>
            </w:r>
            <w:r w:rsidR="00805884">
              <w:rPr>
                <w:iCs/>
              </w:rPr>
              <w:t xml:space="preserve"> standards, guidelines and</w:t>
            </w:r>
            <w:r w:rsidR="007925F2">
              <w:rPr>
                <w:iCs/>
              </w:rPr>
              <w:t xml:space="preserve"> terms of service to ensure </w:t>
            </w:r>
            <w:r w:rsidR="00805884">
              <w:rPr>
                <w:iCs/>
              </w:rPr>
              <w:t>initiating scams is a breach of them, and have systems or processes in place to monitor for and identify scams, take appropriate action and identify trending or changing behaviour associated with scams.</w:t>
            </w:r>
          </w:p>
        </w:tc>
        <w:tc>
          <w:tcPr>
            <w:tcW w:w="1694" w:type="dxa"/>
          </w:tcPr>
          <w:p w14:paraId="756B296A" w14:textId="2839AE65" w:rsidR="00B50F1C" w:rsidRPr="004220DA" w:rsidRDefault="004220DA">
            <w:pPr>
              <w:rPr>
                <w:iCs/>
              </w:rPr>
            </w:pPr>
            <w:r>
              <w:rPr>
                <w:iCs/>
              </w:rPr>
              <w:t xml:space="preserve">Email and messaging services </w:t>
            </w:r>
          </w:p>
        </w:tc>
      </w:tr>
      <w:tr w:rsidR="00B50F1C" w14:paraId="20FA109B" w14:textId="77777777" w:rsidTr="00E25736">
        <w:tc>
          <w:tcPr>
            <w:tcW w:w="9060" w:type="dxa"/>
            <w:gridSpan w:val="2"/>
            <w:shd w:val="clear" w:color="auto" w:fill="D9D9D9" w:themeFill="background1" w:themeFillShade="D9"/>
          </w:tcPr>
          <w:p w14:paraId="4FDB0921" w14:textId="1B5DEEEA" w:rsidR="00B50F1C" w:rsidRPr="00BB7211" w:rsidRDefault="00B50F1C">
            <w:pPr>
              <w:rPr>
                <w:b/>
                <w:bCs/>
                <w:iCs/>
              </w:rPr>
            </w:pPr>
            <w:r>
              <w:rPr>
                <w:b/>
                <w:bCs/>
                <w:iCs/>
              </w:rPr>
              <w:t xml:space="preserve">Law enforcement </w:t>
            </w:r>
          </w:p>
        </w:tc>
      </w:tr>
      <w:tr w:rsidR="00B50F1C" w14:paraId="741E708C" w14:textId="77777777" w:rsidTr="00BE17D1">
        <w:tc>
          <w:tcPr>
            <w:tcW w:w="7366" w:type="dxa"/>
          </w:tcPr>
          <w:p w14:paraId="1D0C3F23" w14:textId="343E197A" w:rsidR="00B50F1C" w:rsidRPr="00144E39" w:rsidRDefault="00144E39">
            <w:pPr>
              <w:rPr>
                <w:iCs/>
              </w:rPr>
            </w:pPr>
            <w:r>
              <w:rPr>
                <w:b/>
                <w:bCs/>
                <w:iCs/>
              </w:rPr>
              <w:t>Engage with law enforcement efforts to address scams</w:t>
            </w:r>
            <w:r>
              <w:rPr>
                <w:iCs/>
              </w:rPr>
              <w:t xml:space="preserve">, including responding to valid Australian law enforcement requests </w:t>
            </w:r>
            <w:r w:rsidR="00890ED5">
              <w:rPr>
                <w:iCs/>
              </w:rPr>
              <w:t>for user information or to provide information on persistent and prolific serious and organised crime</w:t>
            </w:r>
            <w:r w:rsidR="00362CC9">
              <w:rPr>
                <w:iCs/>
              </w:rPr>
              <w:t xml:space="preserve"> as soon as practicable, and considering other ways to support crime prevention such as the provision of training, law enforcement reporting channels or public-private partnership initiatives. </w:t>
            </w:r>
          </w:p>
        </w:tc>
        <w:tc>
          <w:tcPr>
            <w:tcW w:w="1694" w:type="dxa"/>
          </w:tcPr>
          <w:p w14:paraId="79DED1AA" w14:textId="750F12C4" w:rsidR="00B50F1C" w:rsidRPr="00144E39" w:rsidRDefault="00144E39">
            <w:pPr>
              <w:rPr>
                <w:iCs/>
              </w:rPr>
            </w:pPr>
            <w:r w:rsidRPr="00144E39">
              <w:rPr>
                <w:iCs/>
              </w:rPr>
              <w:t>All entities</w:t>
            </w:r>
          </w:p>
        </w:tc>
      </w:tr>
      <w:tr w:rsidR="00B50F1C" w14:paraId="5F608A57" w14:textId="77777777" w:rsidTr="00E25736">
        <w:tc>
          <w:tcPr>
            <w:tcW w:w="9060" w:type="dxa"/>
            <w:gridSpan w:val="2"/>
            <w:shd w:val="clear" w:color="auto" w:fill="D9D9D9" w:themeFill="background1" w:themeFillShade="D9"/>
          </w:tcPr>
          <w:p w14:paraId="5451C0DC" w14:textId="1D029DF2" w:rsidR="00B50F1C" w:rsidRPr="00BB7211" w:rsidRDefault="00B50F1C">
            <w:pPr>
              <w:rPr>
                <w:b/>
                <w:bCs/>
                <w:iCs/>
              </w:rPr>
            </w:pPr>
            <w:r>
              <w:rPr>
                <w:b/>
                <w:bCs/>
                <w:iCs/>
              </w:rPr>
              <w:lastRenderedPageBreak/>
              <w:t xml:space="preserve">Intelligence sharing </w:t>
            </w:r>
          </w:p>
        </w:tc>
      </w:tr>
      <w:tr w:rsidR="00B50F1C" w14:paraId="2D34BC0F" w14:textId="77777777" w:rsidTr="00BE17D1">
        <w:tc>
          <w:tcPr>
            <w:tcW w:w="7366" w:type="dxa"/>
          </w:tcPr>
          <w:p w14:paraId="20585830" w14:textId="76D3D421" w:rsidR="00B50F1C" w:rsidRPr="00334D38" w:rsidRDefault="00334D38">
            <w:pPr>
              <w:rPr>
                <w:iCs/>
              </w:rPr>
            </w:pPr>
            <w:r>
              <w:rPr>
                <w:b/>
                <w:bCs/>
                <w:iCs/>
              </w:rPr>
              <w:t xml:space="preserve">Contribute to public-private and cross sectoral initiatives to address scams, </w:t>
            </w:r>
            <w:r>
              <w:rPr>
                <w:iCs/>
              </w:rPr>
              <w:t xml:space="preserve">including working with the NASC, regulators and industry partners to </w:t>
            </w:r>
            <w:r w:rsidR="00FA4693">
              <w:rPr>
                <w:iCs/>
              </w:rPr>
              <w:t xml:space="preserve">contribute to the work of the NASC, </w:t>
            </w:r>
            <w:r w:rsidR="00171082">
              <w:rPr>
                <w:iCs/>
              </w:rPr>
              <w:t>explore data</w:t>
            </w:r>
            <w:r w:rsidR="003859B6">
              <w:rPr>
                <w:iCs/>
              </w:rPr>
              <w:t xml:space="preserve"> and share best practice</w:t>
            </w:r>
            <w:r w:rsidR="00A11BFB">
              <w:rPr>
                <w:iCs/>
              </w:rPr>
              <w:t xml:space="preserve">, as well as responding to </w:t>
            </w:r>
            <w:r w:rsidR="00E34439">
              <w:rPr>
                <w:iCs/>
              </w:rPr>
              <w:t>valid regulator information requests.</w:t>
            </w:r>
          </w:p>
        </w:tc>
        <w:tc>
          <w:tcPr>
            <w:tcW w:w="1694" w:type="dxa"/>
          </w:tcPr>
          <w:p w14:paraId="783BE7B3" w14:textId="73621771" w:rsidR="00B50F1C" w:rsidRPr="00E34439" w:rsidRDefault="00E34439">
            <w:pPr>
              <w:rPr>
                <w:iCs/>
              </w:rPr>
            </w:pPr>
            <w:r>
              <w:rPr>
                <w:iCs/>
              </w:rPr>
              <w:t xml:space="preserve">All entities </w:t>
            </w:r>
          </w:p>
        </w:tc>
      </w:tr>
      <w:tr w:rsidR="00B50F1C" w14:paraId="13A98014" w14:textId="77777777" w:rsidTr="00E25736">
        <w:tc>
          <w:tcPr>
            <w:tcW w:w="9060" w:type="dxa"/>
            <w:gridSpan w:val="2"/>
            <w:shd w:val="clear" w:color="auto" w:fill="D9D9D9" w:themeFill="background1" w:themeFillShade="D9"/>
          </w:tcPr>
          <w:p w14:paraId="742D9491" w14:textId="16C5C6B7" w:rsidR="00B50F1C" w:rsidRPr="00BB7211" w:rsidRDefault="00B50F1C">
            <w:pPr>
              <w:rPr>
                <w:b/>
                <w:bCs/>
                <w:iCs/>
              </w:rPr>
            </w:pPr>
            <w:r>
              <w:rPr>
                <w:b/>
                <w:bCs/>
                <w:iCs/>
              </w:rPr>
              <w:t xml:space="preserve">Communications </w:t>
            </w:r>
          </w:p>
        </w:tc>
      </w:tr>
      <w:tr w:rsidR="00B50F1C" w14:paraId="7566AD2D" w14:textId="77777777" w:rsidTr="00BE17D1">
        <w:tc>
          <w:tcPr>
            <w:tcW w:w="7366" w:type="dxa"/>
          </w:tcPr>
          <w:p w14:paraId="661AEB21" w14:textId="7E25AE20" w:rsidR="00B50F1C" w:rsidRPr="00BB7211" w:rsidRDefault="00334D38">
            <w:pPr>
              <w:rPr>
                <w:b/>
                <w:bCs/>
                <w:iCs/>
              </w:rPr>
            </w:pPr>
            <w:r>
              <w:rPr>
                <w:b/>
                <w:bCs/>
                <w:iCs/>
              </w:rPr>
              <w:t xml:space="preserve">Provide information about scam risks and support counter-scam </w:t>
            </w:r>
            <w:proofErr w:type="gramStart"/>
            <w:r>
              <w:rPr>
                <w:b/>
                <w:bCs/>
                <w:iCs/>
              </w:rPr>
              <w:t>efforts.</w:t>
            </w:r>
            <w:r w:rsidR="00E34439">
              <w:rPr>
                <w:b/>
                <w:bCs/>
                <w:iCs/>
              </w:rPr>
              <w:t>,</w:t>
            </w:r>
            <w:proofErr w:type="gramEnd"/>
            <w:r w:rsidR="00E34439">
              <w:rPr>
                <w:b/>
                <w:bCs/>
                <w:iCs/>
              </w:rPr>
              <w:t xml:space="preserve"> </w:t>
            </w:r>
            <w:r w:rsidR="00E34439">
              <w:rPr>
                <w:iCs/>
              </w:rPr>
              <w:t xml:space="preserve">including committing to the NASC and ACCC </w:t>
            </w:r>
            <w:r w:rsidR="009664F0">
              <w:rPr>
                <w:iCs/>
              </w:rPr>
              <w:t xml:space="preserve">to share information and learnings, support </w:t>
            </w:r>
            <w:r w:rsidR="001349E4">
              <w:rPr>
                <w:iCs/>
              </w:rPr>
              <w:t>regulator and consumer organisation communications campaigns, and continue engaging users with messaging on risk</w:t>
            </w:r>
            <w:r w:rsidR="00DC542A">
              <w:rPr>
                <w:iCs/>
              </w:rPr>
              <w:t>s, such as through</w:t>
            </w:r>
            <w:r w:rsidR="001349E4">
              <w:rPr>
                <w:iCs/>
              </w:rPr>
              <w:t xml:space="preserve"> in-product messages,</w:t>
            </w:r>
            <w:r w:rsidR="00D10747">
              <w:rPr>
                <w:iCs/>
              </w:rPr>
              <w:t xml:space="preserve"> help pages or links to third-party resources.</w:t>
            </w:r>
          </w:p>
        </w:tc>
        <w:tc>
          <w:tcPr>
            <w:tcW w:w="1694" w:type="dxa"/>
          </w:tcPr>
          <w:p w14:paraId="31BB317F" w14:textId="6DF44B0B" w:rsidR="00B50F1C" w:rsidRPr="00D10747" w:rsidRDefault="00D10747">
            <w:pPr>
              <w:rPr>
                <w:iCs/>
              </w:rPr>
            </w:pPr>
            <w:r>
              <w:rPr>
                <w:iCs/>
              </w:rPr>
              <w:t xml:space="preserve">All entities </w:t>
            </w:r>
          </w:p>
        </w:tc>
      </w:tr>
      <w:tr w:rsidR="00B50F1C" w14:paraId="59EAEBF5" w14:textId="77777777" w:rsidTr="00E25736">
        <w:tc>
          <w:tcPr>
            <w:tcW w:w="9060" w:type="dxa"/>
            <w:gridSpan w:val="2"/>
            <w:shd w:val="clear" w:color="auto" w:fill="D9D9D9" w:themeFill="background1" w:themeFillShade="D9"/>
          </w:tcPr>
          <w:p w14:paraId="07E43C53" w14:textId="7C9F9A81" w:rsidR="00B50F1C" w:rsidRPr="00E34439" w:rsidRDefault="00B50F1C">
            <w:pPr>
              <w:rPr>
                <w:iCs/>
              </w:rPr>
            </w:pPr>
            <w:r>
              <w:rPr>
                <w:b/>
                <w:bCs/>
                <w:iCs/>
              </w:rPr>
              <w:t>Strategy and future proofing</w:t>
            </w:r>
          </w:p>
        </w:tc>
      </w:tr>
      <w:tr w:rsidR="00B50F1C" w14:paraId="75A86B61" w14:textId="77777777" w:rsidTr="00BE17D1">
        <w:tc>
          <w:tcPr>
            <w:tcW w:w="7366" w:type="dxa"/>
          </w:tcPr>
          <w:p w14:paraId="08B13AA5" w14:textId="5FE9431C" w:rsidR="007A16FA" w:rsidRPr="007A16FA" w:rsidRDefault="007A16FA">
            <w:pPr>
              <w:rPr>
                <w:iCs/>
              </w:rPr>
            </w:pPr>
            <w:r>
              <w:rPr>
                <w:b/>
                <w:bCs/>
                <w:iCs/>
              </w:rPr>
              <w:t>Contribute to strategy development and future proofing exercises to stay ahead of the threat</w:t>
            </w:r>
            <w:r w:rsidR="00356C4B">
              <w:rPr>
                <w:iCs/>
              </w:rPr>
              <w:t xml:space="preserve">, including developing an internal anti-scam strategy, analyse established and emerging scam types on relevant services, </w:t>
            </w:r>
            <w:proofErr w:type="gramStart"/>
            <w:r w:rsidR="00356C4B">
              <w:rPr>
                <w:iCs/>
              </w:rPr>
              <w:t>undertake</w:t>
            </w:r>
            <w:proofErr w:type="gramEnd"/>
            <w:r w:rsidR="00356C4B">
              <w:rPr>
                <w:iCs/>
              </w:rPr>
              <w:t xml:space="preserve"> internal co-ordination to assess risks o</w:t>
            </w:r>
            <w:r w:rsidR="00D36CAA">
              <w:rPr>
                <w:iCs/>
              </w:rPr>
              <w:t xml:space="preserve">f future technologies on those services, share findings with the NASC and appropriate entities. </w:t>
            </w:r>
          </w:p>
        </w:tc>
        <w:tc>
          <w:tcPr>
            <w:tcW w:w="1694" w:type="dxa"/>
          </w:tcPr>
          <w:p w14:paraId="12237767" w14:textId="2F5091C0" w:rsidR="00B50F1C" w:rsidRPr="00D36CAA" w:rsidRDefault="00D36CAA">
            <w:pPr>
              <w:rPr>
                <w:iCs/>
              </w:rPr>
            </w:pPr>
            <w:r>
              <w:rPr>
                <w:iCs/>
              </w:rPr>
              <w:t xml:space="preserve">All entities. </w:t>
            </w:r>
          </w:p>
        </w:tc>
      </w:tr>
    </w:tbl>
    <w:p w14:paraId="3F2FB740" w14:textId="77777777" w:rsidR="001E002E" w:rsidRDefault="001E002E" w:rsidP="001E002E">
      <w:pPr>
        <w:pStyle w:val="Bullet"/>
        <w:numPr>
          <w:ilvl w:val="0"/>
          <w:numId w:val="0"/>
        </w:numPr>
      </w:pPr>
    </w:p>
    <w:p w14:paraId="257469C5" w14:textId="7E0A5F16" w:rsidR="00EC23B7" w:rsidRDefault="00EC23B7">
      <w:pPr>
        <w:spacing w:before="0" w:after="200" w:line="276" w:lineRule="auto"/>
      </w:pPr>
      <w:r>
        <w:br w:type="page"/>
      </w:r>
    </w:p>
    <w:p w14:paraId="6EEEDBDB" w14:textId="77777777" w:rsidR="00EC23B7" w:rsidRDefault="00EC23B7" w:rsidP="00D6664A"/>
    <w:p w14:paraId="7D8F5F3E" w14:textId="455437FB" w:rsidR="006E3222" w:rsidRDefault="00605CB3" w:rsidP="00605CB3">
      <w:pPr>
        <w:pStyle w:val="Heading3"/>
      </w:pPr>
      <w:bookmarkStart w:id="81" w:name="_Ref175647477"/>
      <w:bookmarkStart w:id="82" w:name="_Ref177135282"/>
      <w:bookmarkStart w:id="83" w:name="_Ref177510699"/>
      <w:bookmarkStart w:id="84" w:name="_Toc179556420"/>
      <w:r>
        <w:t xml:space="preserve">Appendix </w:t>
      </w:r>
      <w:fldSimple w:instr=" SEQ Appendix \* ARABIC ">
        <w:r>
          <w:rPr>
            <w:noProof/>
          </w:rPr>
          <w:t>2</w:t>
        </w:r>
      </w:fldSimple>
      <w:bookmarkEnd w:id="81"/>
      <w:r w:rsidR="00C8429B">
        <w:t xml:space="preserve"> </w:t>
      </w:r>
      <w:r w:rsidR="00CF3343">
        <w:t>–</w:t>
      </w:r>
      <w:r w:rsidR="00C8429B">
        <w:t xml:space="preserve"> </w:t>
      </w:r>
      <w:r w:rsidR="00CF3343">
        <w:t>Regulatory cost calculations</w:t>
      </w:r>
      <w:bookmarkEnd w:id="82"/>
      <w:bookmarkEnd w:id="83"/>
      <w:bookmarkEnd w:id="84"/>
    </w:p>
    <w:p w14:paraId="319E4E28" w14:textId="69931172" w:rsidR="00CC2CF0" w:rsidRDefault="00E329B3" w:rsidP="00260D04">
      <w:r>
        <w:t xml:space="preserve">Under </w:t>
      </w:r>
      <w:r w:rsidR="00D12E1F">
        <w:t>o</w:t>
      </w:r>
      <w:r>
        <w:t>ption</w:t>
      </w:r>
      <w:r w:rsidR="00D12E1F">
        <w:t>s</w:t>
      </w:r>
      <w:r>
        <w:t xml:space="preserve"> 2 </w:t>
      </w:r>
      <w:r w:rsidR="00023B09">
        <w:t>regulated entities would</w:t>
      </w:r>
      <w:r w:rsidR="00260D04">
        <w:t xml:space="preserve"> need to implement new </w:t>
      </w:r>
      <w:r w:rsidR="004224EB">
        <w:t xml:space="preserve">systems </w:t>
      </w:r>
      <w:r w:rsidR="00260D04">
        <w:t xml:space="preserve">or improve existing systems to adhere to </w:t>
      </w:r>
      <w:r w:rsidR="00D12E1F">
        <w:t>mandatory industry codes</w:t>
      </w:r>
      <w:r w:rsidR="00260D04">
        <w:t xml:space="preserve">. These changes </w:t>
      </w:r>
      <w:r w:rsidR="00D12E1F">
        <w:t>would</w:t>
      </w:r>
      <w:r w:rsidR="00260D04">
        <w:t xml:space="preserve"> impose implementation and ongoing costs on businesses in adhering to obligations</w:t>
      </w:r>
      <w:r w:rsidR="00BE4EE4">
        <w:t xml:space="preserve"> and respond to changed </w:t>
      </w:r>
      <w:r w:rsidR="001514B8">
        <w:t>levels of liability related to scams</w:t>
      </w:r>
      <w:r w:rsidR="00260D04">
        <w:t xml:space="preserve">. </w:t>
      </w:r>
    </w:p>
    <w:p w14:paraId="212932B8" w14:textId="0FB4A16C" w:rsidR="00CC2CF0" w:rsidRDefault="00CC2CF0" w:rsidP="00CC2CF0">
      <w:r>
        <w:t xml:space="preserve">For the purposes of this </w:t>
      </w:r>
      <w:r w:rsidR="001D322C">
        <w:t>IA</w:t>
      </w:r>
      <w:r>
        <w:t xml:space="preserve">, </w:t>
      </w:r>
      <w:r w:rsidR="00623059">
        <w:t xml:space="preserve">the </w:t>
      </w:r>
      <w:r>
        <w:t>types of activities undertaken by entities incurring regulatory costs</w:t>
      </w:r>
      <w:r w:rsidR="00141EF1">
        <w:t xml:space="preserve"> due to implementation of option 2 </w:t>
      </w:r>
      <w:r>
        <w:t>are grouped into three categories:</w:t>
      </w:r>
    </w:p>
    <w:p w14:paraId="448B7CAF" w14:textId="1FA1730B" w:rsidR="00CC2CF0" w:rsidRDefault="00CC2CF0" w:rsidP="00CC2CF0">
      <w:pPr>
        <w:pStyle w:val="ListParagraph"/>
        <w:numPr>
          <w:ilvl w:val="0"/>
          <w:numId w:val="29"/>
        </w:numPr>
      </w:pPr>
      <w:r w:rsidRPr="002C3C7C">
        <w:rPr>
          <w:b/>
          <w:bCs/>
        </w:rPr>
        <w:t xml:space="preserve">Anti-scam </w:t>
      </w:r>
      <w:r w:rsidR="00041B86">
        <w:rPr>
          <w:b/>
          <w:bCs/>
        </w:rPr>
        <w:t>activities</w:t>
      </w:r>
      <w:r w:rsidR="00041B86">
        <w:t xml:space="preserve"> </w:t>
      </w:r>
      <w:r>
        <w:t xml:space="preserve">- </w:t>
      </w:r>
      <w:r w:rsidR="00041B86">
        <w:t>Activities</w:t>
      </w:r>
      <w:r>
        <w:t xml:space="preserve"> need</w:t>
      </w:r>
      <w:r w:rsidR="0096462F">
        <w:t>ed would</w:t>
      </w:r>
      <w:r>
        <w:t xml:space="preserve"> include scam prevention, detection, disruption and response, based on its assessment of its risk in the scams ecosystem. This includes complaints handling and IDR obligations, and would also include governance operations to comply with new regulations.</w:t>
      </w:r>
    </w:p>
    <w:p w14:paraId="363B1620" w14:textId="77777777" w:rsidR="00CC2CF0" w:rsidRDefault="00CC2CF0" w:rsidP="00CC2CF0">
      <w:pPr>
        <w:pStyle w:val="ListParagraph"/>
        <w:numPr>
          <w:ilvl w:val="0"/>
          <w:numId w:val="29"/>
        </w:numPr>
      </w:pPr>
      <w:r w:rsidRPr="002C3C7C">
        <w:rPr>
          <w:b/>
          <w:bCs/>
        </w:rPr>
        <w:t>Information sharing and reporting</w:t>
      </w:r>
      <w:r>
        <w:t xml:space="preserve"> – Sharing, receiving and acting on information, to ensure that entities within the scams ecosystem have information to enable detection and prevention of scams.</w:t>
      </w:r>
    </w:p>
    <w:p w14:paraId="13CC8738" w14:textId="77777777" w:rsidR="00CC2CF0" w:rsidRDefault="00CC2CF0" w:rsidP="00CC2CF0">
      <w:pPr>
        <w:pStyle w:val="ListParagraph"/>
        <w:numPr>
          <w:ilvl w:val="0"/>
          <w:numId w:val="29"/>
        </w:numPr>
      </w:pPr>
      <w:r>
        <w:rPr>
          <w:b/>
          <w:bCs/>
        </w:rPr>
        <w:t>External d</w:t>
      </w:r>
      <w:r w:rsidRPr="002C3C7C">
        <w:rPr>
          <w:b/>
          <w:bCs/>
        </w:rPr>
        <w:t>ispute resolution</w:t>
      </w:r>
      <w:r>
        <w:t xml:space="preserve"> – Engagement in schemes to provide pathways for redress to consumers.</w:t>
      </w:r>
    </w:p>
    <w:p w14:paraId="47474869" w14:textId="32CB98E6" w:rsidR="00260D04" w:rsidRDefault="00260D04" w:rsidP="00260D04">
      <w:r>
        <w:t>Increased regulatory costs</w:t>
      </w:r>
      <w:r w:rsidR="00623059">
        <w:t xml:space="preserve"> from these activities</w:t>
      </w:r>
      <w:r>
        <w:t xml:space="preserve"> </w:t>
      </w:r>
      <w:r w:rsidR="00C164F0">
        <w:t xml:space="preserve">are </w:t>
      </w:r>
      <w:r w:rsidR="000B0A1A">
        <w:t xml:space="preserve">assumed to be either </w:t>
      </w:r>
      <w:r w:rsidR="00337998">
        <w:t>incurred for administrative improvements or technology</w:t>
      </w:r>
      <w:r>
        <w:t xml:space="preserve">, as </w:t>
      </w:r>
      <w:r w:rsidR="00407761">
        <w:t>outlined</w:t>
      </w:r>
      <w:r>
        <w:t xml:space="preserve"> in </w:t>
      </w:r>
      <w:r w:rsidR="00407761">
        <w:fldChar w:fldCharType="begin"/>
      </w:r>
      <w:r w:rsidR="00407761">
        <w:instrText xml:space="preserve"> REF _Ref177585340 \h </w:instrText>
      </w:r>
      <w:r w:rsidR="00407761">
        <w:fldChar w:fldCharType="separate"/>
      </w:r>
      <w:r w:rsidR="00377AC8">
        <w:t xml:space="preserve">Table </w:t>
      </w:r>
      <w:r w:rsidR="00377AC8">
        <w:rPr>
          <w:noProof/>
        </w:rPr>
        <w:t>17</w:t>
      </w:r>
      <w:r w:rsidR="00407761">
        <w:fldChar w:fldCharType="end"/>
      </w:r>
      <w:r w:rsidR="00407761">
        <w:t>.</w:t>
      </w:r>
      <w:r>
        <w:t xml:space="preserve"> </w:t>
      </w:r>
    </w:p>
    <w:p w14:paraId="14B1B9CA" w14:textId="68EA8C22" w:rsidR="00260D04" w:rsidRDefault="00260D04" w:rsidP="00260D04">
      <w:pPr>
        <w:pStyle w:val="Heading8"/>
      </w:pPr>
      <w:bookmarkStart w:id="85" w:name="_Ref177585340"/>
      <w:r>
        <w:t xml:space="preserve">Table </w:t>
      </w:r>
      <w:fldSimple w:instr=" SEQ Table \* ARABIC ">
        <w:r w:rsidR="00377AC8">
          <w:rPr>
            <w:noProof/>
          </w:rPr>
          <w:t>17</w:t>
        </w:r>
      </w:fldSimple>
      <w:bookmarkEnd w:id="85"/>
      <w:r>
        <w:t xml:space="preserve"> – </w:t>
      </w:r>
      <w:r w:rsidR="005D34B2">
        <w:t>Regulatory c</w:t>
      </w:r>
      <w:r>
        <w:t xml:space="preserve">ost implications for </w:t>
      </w:r>
      <w:r w:rsidR="005D34B2">
        <w:t>relevant entities</w:t>
      </w:r>
      <w:r>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7"/>
        <w:gridCol w:w="6793"/>
      </w:tblGrid>
      <w:tr w:rsidR="00260D04" w14:paraId="5A4299DB" w14:textId="77777777">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01314577" w14:textId="34E62ACD" w:rsidR="00260D04" w:rsidRPr="000A20A5" w:rsidRDefault="00260D04">
            <w:r w:rsidRPr="002A5933">
              <w:t xml:space="preserve">Potential business costs in compliance with </w:t>
            </w:r>
            <w:r w:rsidR="00623059">
              <w:t>options 2</w:t>
            </w:r>
          </w:p>
        </w:tc>
      </w:tr>
      <w:tr w:rsidR="00260D04" w14:paraId="4D568247" w14:textId="77777777">
        <w:tc>
          <w:tcPr>
            <w:tcW w:w="2267" w:type="dxa"/>
          </w:tcPr>
          <w:p w14:paraId="4815462B" w14:textId="77777777" w:rsidR="00260D04" w:rsidRPr="00D80BD3" w:rsidRDefault="00260D04">
            <w:pPr>
              <w:rPr>
                <w:b/>
                <w:sz w:val="20"/>
              </w:rPr>
            </w:pPr>
            <w:r w:rsidRPr="0082510F">
              <w:rPr>
                <w:b/>
                <w:sz w:val="20"/>
              </w:rPr>
              <w:t xml:space="preserve">Administrative </w:t>
            </w:r>
            <w:r>
              <w:rPr>
                <w:b/>
                <w:sz w:val="20"/>
              </w:rPr>
              <w:t>improvements</w:t>
            </w:r>
          </w:p>
        </w:tc>
        <w:tc>
          <w:tcPr>
            <w:tcW w:w="6793" w:type="dxa"/>
          </w:tcPr>
          <w:p w14:paraId="7331BC3B" w14:textId="4B87955C" w:rsidR="00260D04" w:rsidRDefault="00234D4D">
            <w:pPr>
              <w:rPr>
                <w:sz w:val="20"/>
              </w:rPr>
            </w:pPr>
            <w:r>
              <w:rPr>
                <w:sz w:val="20"/>
              </w:rPr>
              <w:t>Entities</w:t>
            </w:r>
            <w:r w:rsidR="00260D04">
              <w:rPr>
                <w:sz w:val="20"/>
              </w:rPr>
              <w:t xml:space="preserve"> </w:t>
            </w:r>
            <w:r>
              <w:rPr>
                <w:sz w:val="20"/>
              </w:rPr>
              <w:t>would</w:t>
            </w:r>
            <w:r w:rsidR="00260D04">
              <w:rPr>
                <w:sz w:val="20"/>
              </w:rPr>
              <w:t xml:space="preserve"> need to make changes in </w:t>
            </w:r>
            <w:r w:rsidR="00E97154">
              <w:rPr>
                <w:sz w:val="20"/>
              </w:rPr>
              <w:t xml:space="preserve">administrative </w:t>
            </w:r>
            <w:r w:rsidR="00260D04">
              <w:rPr>
                <w:sz w:val="20"/>
              </w:rPr>
              <w:t xml:space="preserve">procedures to give effect to </w:t>
            </w:r>
            <w:r w:rsidR="00765FF0">
              <w:rPr>
                <w:sz w:val="20"/>
              </w:rPr>
              <w:t>new mandatory</w:t>
            </w:r>
            <w:r w:rsidR="00260D04">
              <w:rPr>
                <w:sz w:val="20"/>
              </w:rPr>
              <w:t xml:space="preserve"> obligations</w:t>
            </w:r>
            <w:r w:rsidR="00250C79">
              <w:rPr>
                <w:sz w:val="20"/>
              </w:rPr>
              <w:t xml:space="preserve"> and improve anti-scam activity</w:t>
            </w:r>
            <w:r w:rsidR="006D681C">
              <w:rPr>
                <w:sz w:val="20"/>
              </w:rPr>
              <w:t xml:space="preserve"> in response to changed incentives</w:t>
            </w:r>
            <w:r w:rsidR="00AE3318">
              <w:rPr>
                <w:sz w:val="20"/>
              </w:rPr>
              <w:t>.</w:t>
            </w:r>
            <w:r w:rsidR="00690292">
              <w:rPr>
                <w:sz w:val="20"/>
              </w:rPr>
              <w:t xml:space="preserve"> This may</w:t>
            </w:r>
            <w:r w:rsidR="00B26BBD">
              <w:rPr>
                <w:sz w:val="20"/>
              </w:rPr>
              <w:t xml:space="preserve"> </w:t>
            </w:r>
            <w:r w:rsidR="00260D04">
              <w:rPr>
                <w:sz w:val="20"/>
              </w:rPr>
              <w:t>includ</w:t>
            </w:r>
            <w:r w:rsidR="00690292">
              <w:rPr>
                <w:sz w:val="20"/>
              </w:rPr>
              <w:t>e</w:t>
            </w:r>
            <w:r w:rsidR="00260D04">
              <w:rPr>
                <w:sz w:val="20"/>
              </w:rPr>
              <w:t xml:space="preserve"> detecting patterns of potential scam activity, responding to reports or complaints from consumers and establishing p</w:t>
            </w:r>
            <w:r w:rsidR="00260D04" w:rsidRPr="73701400">
              <w:rPr>
                <w:sz w:val="20"/>
              </w:rPr>
              <w:t>rocedures for sharing information and engaging with regulators and other businesses to respond to scams</w:t>
            </w:r>
            <w:r w:rsidR="00260D04">
              <w:rPr>
                <w:sz w:val="20"/>
              </w:rPr>
              <w:t>.</w:t>
            </w:r>
          </w:p>
          <w:p w14:paraId="560F10C1" w14:textId="64BA4147" w:rsidR="00260D04" w:rsidRDefault="00260D04">
            <w:pPr>
              <w:rPr>
                <w:sz w:val="20"/>
              </w:rPr>
            </w:pPr>
            <w:r w:rsidRPr="00313683">
              <w:rPr>
                <w:sz w:val="20"/>
              </w:rPr>
              <w:t>Training may need to be provided to operational and executive staff</w:t>
            </w:r>
            <w:r>
              <w:rPr>
                <w:sz w:val="20"/>
              </w:rPr>
              <w:t xml:space="preserve"> in terms of their compliance and reporting responsibilities</w:t>
            </w:r>
            <w:r w:rsidRPr="00313683">
              <w:rPr>
                <w:sz w:val="20"/>
              </w:rPr>
              <w:t>.</w:t>
            </w:r>
            <w:r>
              <w:rPr>
                <w:sz w:val="20"/>
              </w:rPr>
              <w:t xml:space="preserve"> New policies, procedures and risk analysis may need to be completed to give effect to new anti-scam </w:t>
            </w:r>
            <w:r w:rsidR="00E905E2">
              <w:rPr>
                <w:sz w:val="20"/>
              </w:rPr>
              <w:t>activities</w:t>
            </w:r>
            <w:r>
              <w:rPr>
                <w:sz w:val="20"/>
              </w:rPr>
              <w:t>.</w:t>
            </w:r>
          </w:p>
          <w:p w14:paraId="1B02968E" w14:textId="77777777" w:rsidR="00260D04" w:rsidRPr="00D80BD3" w:rsidRDefault="00260D04">
            <w:pPr>
              <w:rPr>
                <w:sz w:val="20"/>
              </w:rPr>
            </w:pPr>
            <w:r w:rsidRPr="00D80BD3">
              <w:rPr>
                <w:sz w:val="20"/>
              </w:rPr>
              <w:t xml:space="preserve">Businesses may be required to resource greater </w:t>
            </w:r>
            <w:r w:rsidRPr="00FB23AC">
              <w:rPr>
                <w:sz w:val="20"/>
              </w:rPr>
              <w:t xml:space="preserve">operational </w:t>
            </w:r>
            <w:r w:rsidRPr="00D80BD3">
              <w:rPr>
                <w:sz w:val="20"/>
              </w:rPr>
              <w:t xml:space="preserve">staffing or engage third party service providers to </w:t>
            </w:r>
            <w:r w:rsidRPr="00D80BD3">
              <w:rPr>
                <w:bCs/>
                <w:color w:val="000000" w:themeColor="text1"/>
                <w:sz w:val="20"/>
              </w:rPr>
              <w:t>perform anti-scam activities</w:t>
            </w:r>
            <w:r>
              <w:rPr>
                <w:sz w:val="20"/>
              </w:rPr>
              <w:t>, including for internal and customer-facing roles.</w:t>
            </w:r>
          </w:p>
        </w:tc>
      </w:tr>
      <w:tr w:rsidR="00260D04" w14:paraId="054CA1DB" w14:textId="77777777">
        <w:tc>
          <w:tcPr>
            <w:tcW w:w="2267" w:type="dxa"/>
          </w:tcPr>
          <w:p w14:paraId="0AD0BC95" w14:textId="77777777" w:rsidR="00260D04" w:rsidRPr="00D80BD3" w:rsidRDefault="00260D04">
            <w:pPr>
              <w:rPr>
                <w:b/>
                <w:bCs/>
                <w:sz w:val="20"/>
              </w:rPr>
            </w:pPr>
            <w:r w:rsidRPr="00D80BD3">
              <w:rPr>
                <w:b/>
                <w:sz w:val="20"/>
              </w:rPr>
              <w:t xml:space="preserve">Technology </w:t>
            </w:r>
          </w:p>
        </w:tc>
        <w:tc>
          <w:tcPr>
            <w:tcW w:w="6793" w:type="dxa"/>
          </w:tcPr>
          <w:p w14:paraId="04DF4AFE" w14:textId="77777777" w:rsidR="00260D04" w:rsidRPr="00D80BD3" w:rsidRDefault="00260D04">
            <w:pPr>
              <w:rPr>
                <w:sz w:val="20"/>
              </w:rPr>
            </w:pPr>
            <w:r w:rsidRPr="00D80BD3">
              <w:rPr>
                <w:sz w:val="20"/>
              </w:rPr>
              <w:t xml:space="preserve">New or improved technology builds may be required to implement measures </w:t>
            </w:r>
            <w:r>
              <w:rPr>
                <w:sz w:val="20"/>
              </w:rPr>
              <w:t>to facilitate detection, analysis and disruption activities, or</w:t>
            </w:r>
            <w:r w:rsidDel="005C34DC">
              <w:rPr>
                <w:sz w:val="20"/>
              </w:rPr>
              <w:t xml:space="preserve"> </w:t>
            </w:r>
            <w:r>
              <w:rPr>
                <w:sz w:val="20"/>
              </w:rPr>
              <w:t xml:space="preserve">set up infrastructure for data and information sharing. </w:t>
            </w:r>
            <w:r w:rsidRPr="00D80BD3">
              <w:rPr>
                <w:sz w:val="20"/>
              </w:rPr>
              <w:t xml:space="preserve"> </w:t>
            </w:r>
          </w:p>
        </w:tc>
      </w:tr>
    </w:tbl>
    <w:p w14:paraId="38B474A5" w14:textId="5867274B" w:rsidR="00120FB8" w:rsidRDefault="00831FB7" w:rsidP="00D6664A">
      <w:r>
        <w:t xml:space="preserve">Compliance costs would vary depending on several factors, including the maturity of voluntary protections being taken in a sector or individual business. The size and complexity of a business, its services, customer base, nature of the scam-related risks, and current and potential staffing and anti-scam infrastructure </w:t>
      </w:r>
      <w:r w:rsidR="008B654D">
        <w:t>would also</w:t>
      </w:r>
      <w:r>
        <w:t xml:space="preserve"> each shape expected costs. Across each activity, t</w:t>
      </w:r>
      <w:r w:rsidR="00F02183">
        <w:t>he assessment of regulatory costs</w:t>
      </w:r>
      <w:r w:rsidR="001E36B9">
        <w:t xml:space="preserve"> for this </w:t>
      </w:r>
      <w:r w:rsidR="001D322C">
        <w:t>IA</w:t>
      </w:r>
      <w:r w:rsidR="00F02183">
        <w:t xml:space="preserve"> has been based on</w:t>
      </w:r>
      <w:r w:rsidR="00E55E3C">
        <w:t xml:space="preserve"> benchmarks</w:t>
      </w:r>
      <w:r w:rsidR="00E2706F">
        <w:t xml:space="preserve"> applied to the number of entities classified int</w:t>
      </w:r>
      <w:r w:rsidR="000129EA">
        <w:t>o</w:t>
      </w:r>
      <w:r w:rsidR="00F02183">
        <w:t xml:space="preserve"> </w:t>
      </w:r>
      <w:r w:rsidR="00F148DC">
        <w:t>categor</w:t>
      </w:r>
      <w:r w:rsidR="000129EA">
        <w:t>ies</w:t>
      </w:r>
      <w:r w:rsidR="00F148DC">
        <w:t xml:space="preserve"> </w:t>
      </w:r>
      <w:r w:rsidR="0030722F">
        <w:t xml:space="preserve">across </w:t>
      </w:r>
      <w:r w:rsidR="007119D9">
        <w:t>these factors</w:t>
      </w:r>
      <w:r w:rsidR="00F148DC">
        <w:t xml:space="preserve">. </w:t>
      </w:r>
    </w:p>
    <w:p w14:paraId="559A74FA" w14:textId="77777777" w:rsidR="00120FB8" w:rsidRDefault="00120FB8" w:rsidP="00D6664A"/>
    <w:p w14:paraId="7C7AF77B" w14:textId="48D81A89" w:rsidR="00A27FEC" w:rsidRDefault="00A27FEC" w:rsidP="00A27FEC">
      <w:pPr>
        <w:pStyle w:val="Heading4"/>
      </w:pPr>
      <w:r>
        <w:lastRenderedPageBreak/>
        <w:t>Costs assumptions</w:t>
      </w:r>
    </w:p>
    <w:p w14:paraId="114956AE" w14:textId="085B54AC" w:rsidR="00A26456" w:rsidRDefault="00BA20E6" w:rsidP="00BA20E6">
      <w:pPr>
        <w:pStyle w:val="Heading7"/>
      </w:pPr>
      <w:r>
        <w:t xml:space="preserve">Anti-scam </w:t>
      </w:r>
      <w:r w:rsidR="00E905E2">
        <w:t>activity</w:t>
      </w:r>
    </w:p>
    <w:p w14:paraId="00CDF98D" w14:textId="0CE8F728" w:rsidR="00FC1506" w:rsidRDefault="009E7FF4" w:rsidP="00FC1506">
      <w:r>
        <w:t xml:space="preserve">Uplifts in anti-scam strategy </w:t>
      </w:r>
      <w:r w:rsidR="00FB176B">
        <w:t xml:space="preserve">have been </w:t>
      </w:r>
      <w:r w:rsidR="00EA6284">
        <w:t xml:space="preserve">estimated </w:t>
      </w:r>
      <w:r w:rsidR="00211033">
        <w:t xml:space="preserve">based on benchmark assumptions for entities at different stages of </w:t>
      </w:r>
      <w:r w:rsidR="002F2B6B">
        <w:t xml:space="preserve">capacity, </w:t>
      </w:r>
      <w:r w:rsidR="00D11F0A">
        <w:t xml:space="preserve">assumed to be linked to their </w:t>
      </w:r>
      <w:r w:rsidR="001E1412">
        <w:t xml:space="preserve">current participation in anti-scam initiatives such as </w:t>
      </w:r>
      <w:r w:rsidR="00165908">
        <w:t xml:space="preserve">industry codes, </w:t>
      </w:r>
      <w:r w:rsidR="00B52829">
        <w:t>information sharing systems and EDR schemes.</w:t>
      </w:r>
      <w:r w:rsidR="00DE1F63">
        <w:t xml:space="preserve"> Entities</w:t>
      </w:r>
      <w:r w:rsidR="00FC1506">
        <w:t xml:space="preserve"> whose existing or planned policies and procedures are better aligned with </w:t>
      </w:r>
      <w:r w:rsidR="008C486B">
        <w:t>optimal practice</w:t>
      </w:r>
      <w:r w:rsidR="00FC1506">
        <w:t xml:space="preserve"> are expected to incur lower </w:t>
      </w:r>
      <w:r w:rsidR="00CF4322">
        <w:t xml:space="preserve">additional </w:t>
      </w:r>
      <w:r w:rsidR="00FC1506">
        <w:t>costs compared to those that are not.</w:t>
      </w:r>
    </w:p>
    <w:p w14:paraId="07C466F8" w14:textId="16613D71" w:rsidR="001B1ABB" w:rsidRDefault="001B1ABB" w:rsidP="00FC1506">
      <w:r>
        <w:t>In constructing these assumptions</w:t>
      </w:r>
      <w:r w:rsidR="00D550F8">
        <w:t>,</w:t>
      </w:r>
      <w:r>
        <w:t xml:space="preserve"> we have considered </w:t>
      </w:r>
      <w:r w:rsidR="00CF4E05">
        <w:t xml:space="preserve">that </w:t>
      </w:r>
      <w:r>
        <w:t xml:space="preserve">regulated entities have already invested resources into similar or consistent </w:t>
      </w:r>
      <w:r w:rsidR="007C4F92">
        <w:t>consumer protection</w:t>
      </w:r>
      <w:r w:rsidR="001D3125">
        <w:t xml:space="preserve"> </w:t>
      </w:r>
      <w:r>
        <w:t>activities</w:t>
      </w:r>
      <w:r w:rsidR="008C44E8">
        <w:t>.</w:t>
      </w:r>
      <w:r>
        <w:t xml:space="preserve"> </w:t>
      </w:r>
      <w:r w:rsidR="007C4F92">
        <w:t>These entities are</w:t>
      </w:r>
      <w:r>
        <w:t xml:space="preserve"> likely to make further investments under the status quo.</w:t>
      </w:r>
      <w:r w:rsidR="00980828">
        <w:t xml:space="preserve"> Uplifts would involve </w:t>
      </w:r>
      <w:r w:rsidR="00BD15DD">
        <w:t xml:space="preserve">enhancements </w:t>
      </w:r>
      <w:r w:rsidR="00032477">
        <w:t xml:space="preserve">and </w:t>
      </w:r>
      <w:r w:rsidR="00C2229C">
        <w:t xml:space="preserve">managing higher volumes of </w:t>
      </w:r>
      <w:r w:rsidR="008A5472">
        <w:t>activity</w:t>
      </w:r>
      <w:r w:rsidR="006509AA">
        <w:t xml:space="preserve"> </w:t>
      </w:r>
      <w:r w:rsidR="000C4F04">
        <w:t>for e</w:t>
      </w:r>
      <w:r w:rsidR="006509AA">
        <w:t>xisting</w:t>
      </w:r>
      <w:r w:rsidR="000C4F04">
        <w:t xml:space="preserve"> system and processes.</w:t>
      </w:r>
    </w:p>
    <w:p w14:paraId="4460EFF2" w14:textId="37A5362A" w:rsidR="007F329F" w:rsidRDefault="007F329F" w:rsidP="00BA20E6">
      <w:r>
        <w:fldChar w:fldCharType="begin"/>
      </w:r>
      <w:r>
        <w:instrText xml:space="preserve"> REF _Ref177138740 \h </w:instrText>
      </w:r>
      <w:r>
        <w:fldChar w:fldCharType="separate"/>
      </w:r>
      <w:r w:rsidR="001813FC">
        <w:t xml:space="preserve">Table </w:t>
      </w:r>
      <w:r w:rsidR="001813FC">
        <w:rPr>
          <w:noProof/>
        </w:rPr>
        <w:t>18</w:t>
      </w:r>
      <w:r>
        <w:fldChar w:fldCharType="end"/>
      </w:r>
      <w:r>
        <w:t xml:space="preserve"> outlines the benchmark regulatory cost assumptions</w:t>
      </w:r>
      <w:r w:rsidR="00FD204B">
        <w:t xml:space="preserve"> for a medium sized entity. </w:t>
      </w:r>
      <w:r w:rsidR="00A91A17">
        <w:t>Th</w:t>
      </w:r>
      <w:r w:rsidR="00BD1F10">
        <w:t xml:space="preserve">ese estimates are based on assumptions of the required staff resources required to achieve </w:t>
      </w:r>
      <w:r w:rsidR="00063C31">
        <w:t>a type of uplift</w:t>
      </w:r>
      <w:r w:rsidR="00816B87">
        <w:t xml:space="preserve">, </w:t>
      </w:r>
      <w:r w:rsidR="0070541B">
        <w:t xml:space="preserve">in terms of full-time equivalent (FTE) or weeks work required from </w:t>
      </w:r>
      <w:r w:rsidR="00D313ED">
        <w:t>staff</w:t>
      </w:r>
      <w:r w:rsidR="00063C31">
        <w:t xml:space="preserve">. </w:t>
      </w:r>
    </w:p>
    <w:p w14:paraId="25E8B116" w14:textId="5A448237" w:rsidR="003261B2" w:rsidRDefault="00114A66" w:rsidP="00114A66">
      <w:pPr>
        <w:pStyle w:val="Heading8"/>
        <w:rPr>
          <w:highlight w:val="yellow"/>
        </w:rPr>
      </w:pPr>
      <w:bookmarkStart w:id="86" w:name="_Ref177138740"/>
      <w:bookmarkStart w:id="87" w:name="_Ref177138733"/>
      <w:r>
        <w:t xml:space="preserve">Table </w:t>
      </w:r>
      <w:fldSimple w:instr=" SEQ Table \* ARABIC ">
        <w:r w:rsidR="001813FC">
          <w:rPr>
            <w:noProof/>
          </w:rPr>
          <w:t>18</w:t>
        </w:r>
      </w:fldSimple>
      <w:bookmarkEnd w:id="86"/>
      <w:r>
        <w:t xml:space="preserve"> – Benchmark </w:t>
      </w:r>
      <w:r w:rsidR="003C770A">
        <w:t xml:space="preserve">assumptions for </w:t>
      </w:r>
      <w:r w:rsidR="00FD61C5">
        <w:t xml:space="preserve">required anti-scam </w:t>
      </w:r>
      <w:r w:rsidR="00E905E2">
        <w:t xml:space="preserve">activity </w:t>
      </w:r>
      <w:r w:rsidR="00E410DC">
        <w:t xml:space="preserve">uplift </w:t>
      </w:r>
      <w:r w:rsidR="00FD61C5">
        <w:t>– for a medium sized entity</w:t>
      </w:r>
      <w:bookmarkEnd w:id="87"/>
      <w:r w:rsidR="00E410DC">
        <w:t xml:space="preserve"> </w:t>
      </w:r>
    </w:p>
    <w:tbl>
      <w:tblPr>
        <w:tblStyle w:val="GridTable4-Accent3"/>
        <w:tblW w:w="9032" w:type="dxa"/>
        <w:tblLayout w:type="fixed"/>
        <w:tblLook w:val="0420" w:firstRow="1" w:lastRow="0" w:firstColumn="0" w:lastColumn="0" w:noHBand="0" w:noVBand="1"/>
      </w:tblPr>
      <w:tblGrid>
        <w:gridCol w:w="1696"/>
        <w:gridCol w:w="1418"/>
        <w:gridCol w:w="709"/>
        <w:gridCol w:w="850"/>
        <w:gridCol w:w="709"/>
        <w:gridCol w:w="850"/>
        <w:gridCol w:w="2800"/>
      </w:tblGrid>
      <w:tr w:rsidR="001F4ECD" w:rsidRPr="00FF78E4" w14:paraId="6DC66E2C" w14:textId="530AE8F2" w:rsidTr="00F44448">
        <w:trPr>
          <w:cnfStyle w:val="100000000000" w:firstRow="1" w:lastRow="0" w:firstColumn="0" w:lastColumn="0" w:oddVBand="0" w:evenVBand="0" w:oddHBand="0" w:evenHBand="0" w:firstRowFirstColumn="0" w:firstRowLastColumn="0" w:lastRowFirstColumn="0" w:lastRowLastColumn="0"/>
          <w:trHeight w:val="171"/>
        </w:trPr>
        <w:tc>
          <w:tcPr>
            <w:tcW w:w="1696" w:type="dxa"/>
            <w:vMerge w:val="restart"/>
            <w:noWrap/>
            <w:hideMark/>
          </w:tcPr>
          <w:p w14:paraId="0B57E9B0" w14:textId="77777777" w:rsidR="005B310E" w:rsidRPr="0083396B" w:rsidRDefault="005B310E" w:rsidP="00763C43">
            <w:pPr>
              <w:spacing w:before="0" w:after="0"/>
              <w:rPr>
                <w:rFonts w:ascii="Calibri" w:hAnsi="Calibri" w:cs="Calibri"/>
                <w:sz w:val="18"/>
                <w:szCs w:val="18"/>
              </w:rPr>
            </w:pPr>
            <w:r w:rsidRPr="0083396B">
              <w:rPr>
                <w:rFonts w:ascii="Calibri" w:hAnsi="Calibri" w:cs="Calibri"/>
                <w:sz w:val="18"/>
                <w:szCs w:val="18"/>
              </w:rPr>
              <w:t>Uplift needed</w:t>
            </w:r>
          </w:p>
        </w:tc>
        <w:tc>
          <w:tcPr>
            <w:tcW w:w="1418" w:type="dxa"/>
            <w:noWrap/>
            <w:hideMark/>
          </w:tcPr>
          <w:p w14:paraId="46ACC9CC" w14:textId="77777777" w:rsidR="005B310E" w:rsidRPr="0083396B" w:rsidRDefault="005B310E" w:rsidP="00763C43">
            <w:pPr>
              <w:spacing w:before="0" w:after="0"/>
              <w:rPr>
                <w:rFonts w:ascii="Calibri" w:hAnsi="Calibri" w:cs="Calibri"/>
                <w:sz w:val="18"/>
                <w:szCs w:val="18"/>
              </w:rPr>
            </w:pPr>
            <w:r w:rsidRPr="0083396B">
              <w:rPr>
                <w:rFonts w:ascii="Calibri" w:hAnsi="Calibri" w:cs="Calibri"/>
                <w:sz w:val="18"/>
                <w:szCs w:val="18"/>
              </w:rPr>
              <w:t>Types of entities</w:t>
            </w:r>
          </w:p>
        </w:tc>
        <w:tc>
          <w:tcPr>
            <w:tcW w:w="1559" w:type="dxa"/>
            <w:gridSpan w:val="2"/>
          </w:tcPr>
          <w:p w14:paraId="23E7724B" w14:textId="4FFEB7F4" w:rsidR="005B310E" w:rsidRPr="0083396B" w:rsidRDefault="005B310E" w:rsidP="00230C15">
            <w:pPr>
              <w:spacing w:before="0" w:after="0"/>
              <w:jc w:val="center"/>
              <w:rPr>
                <w:rFonts w:ascii="Calibri" w:hAnsi="Calibri" w:cs="Calibri"/>
                <w:sz w:val="18"/>
                <w:szCs w:val="18"/>
              </w:rPr>
            </w:pPr>
            <w:r w:rsidRPr="0083396B">
              <w:rPr>
                <w:rFonts w:ascii="Calibri" w:hAnsi="Calibri" w:cs="Calibri"/>
                <w:sz w:val="18"/>
                <w:szCs w:val="18"/>
              </w:rPr>
              <w:t xml:space="preserve">Technology </w:t>
            </w:r>
            <w:r w:rsidR="00230C15" w:rsidRPr="0083396B">
              <w:rPr>
                <w:rFonts w:ascii="Calibri" w:hAnsi="Calibri" w:cs="Calibri"/>
                <w:sz w:val="18"/>
                <w:szCs w:val="18"/>
              </w:rPr>
              <w:t>($m)</w:t>
            </w:r>
          </w:p>
        </w:tc>
        <w:tc>
          <w:tcPr>
            <w:tcW w:w="0" w:type="dxa"/>
            <w:gridSpan w:val="2"/>
          </w:tcPr>
          <w:p w14:paraId="02E7068D" w14:textId="79E3E6AD" w:rsidR="005B310E" w:rsidRPr="0083396B" w:rsidRDefault="005B310E" w:rsidP="00230C15">
            <w:pPr>
              <w:spacing w:before="0" w:after="0"/>
              <w:jc w:val="center"/>
              <w:rPr>
                <w:rFonts w:ascii="Calibri" w:hAnsi="Calibri" w:cs="Calibri"/>
                <w:sz w:val="18"/>
                <w:szCs w:val="18"/>
              </w:rPr>
            </w:pPr>
            <w:r w:rsidRPr="0083396B">
              <w:rPr>
                <w:rFonts w:ascii="Calibri" w:hAnsi="Calibri" w:cs="Calibri"/>
                <w:sz w:val="18"/>
                <w:szCs w:val="18"/>
              </w:rPr>
              <w:t xml:space="preserve">Administration </w:t>
            </w:r>
            <w:r w:rsidR="00230C15" w:rsidRPr="0083396B">
              <w:rPr>
                <w:rFonts w:ascii="Calibri" w:hAnsi="Calibri" w:cs="Calibri"/>
                <w:sz w:val="18"/>
                <w:szCs w:val="18"/>
              </w:rPr>
              <w:t>($m)</w:t>
            </w:r>
          </w:p>
        </w:tc>
        <w:tc>
          <w:tcPr>
            <w:tcW w:w="2800" w:type="dxa"/>
          </w:tcPr>
          <w:p w14:paraId="649766A6" w14:textId="53DA9084" w:rsidR="005B310E" w:rsidRPr="0083396B" w:rsidRDefault="005B310E" w:rsidP="00763C43">
            <w:pPr>
              <w:spacing w:before="0" w:after="0"/>
              <w:rPr>
                <w:rFonts w:ascii="Calibri" w:hAnsi="Calibri" w:cs="Calibri"/>
                <w:sz w:val="18"/>
                <w:szCs w:val="18"/>
              </w:rPr>
            </w:pPr>
            <w:r w:rsidRPr="0083396B">
              <w:rPr>
                <w:rFonts w:ascii="Calibri" w:hAnsi="Calibri" w:cs="Calibri"/>
                <w:sz w:val="18"/>
                <w:szCs w:val="18"/>
              </w:rPr>
              <w:t>Estimation assumptions</w:t>
            </w:r>
          </w:p>
        </w:tc>
      </w:tr>
      <w:tr w:rsidR="00AE4DAA" w:rsidRPr="00FF78E4" w14:paraId="23CD045E" w14:textId="77777777" w:rsidTr="00BE17D1">
        <w:trPr>
          <w:cnfStyle w:val="000000100000" w:firstRow="0" w:lastRow="0" w:firstColumn="0" w:lastColumn="0" w:oddVBand="0" w:evenVBand="0" w:oddHBand="1" w:evenHBand="0" w:firstRowFirstColumn="0" w:firstRowLastColumn="0" w:lastRowFirstColumn="0" w:lastRowLastColumn="0"/>
          <w:trHeight w:val="171"/>
        </w:trPr>
        <w:tc>
          <w:tcPr>
            <w:tcW w:w="1696" w:type="dxa"/>
            <w:vMerge/>
            <w:noWrap/>
          </w:tcPr>
          <w:p w14:paraId="0729A68A" w14:textId="77777777" w:rsidR="005B310E" w:rsidRPr="0083396B" w:rsidRDefault="005B310E" w:rsidP="00FE0DBC">
            <w:pPr>
              <w:spacing w:before="0" w:after="0"/>
              <w:rPr>
                <w:rFonts w:ascii="Calibri" w:hAnsi="Calibri" w:cs="Calibri"/>
                <w:b/>
                <w:bCs/>
                <w:color w:val="000000"/>
                <w:sz w:val="18"/>
                <w:szCs w:val="18"/>
              </w:rPr>
            </w:pPr>
          </w:p>
        </w:tc>
        <w:tc>
          <w:tcPr>
            <w:tcW w:w="1418" w:type="dxa"/>
            <w:noWrap/>
          </w:tcPr>
          <w:p w14:paraId="63E6C32A" w14:textId="77777777" w:rsidR="005B310E" w:rsidRPr="0083396B" w:rsidRDefault="005B310E" w:rsidP="00FE0DBC">
            <w:pPr>
              <w:spacing w:before="0" w:after="0"/>
              <w:rPr>
                <w:rFonts w:ascii="Calibri" w:hAnsi="Calibri" w:cs="Calibri"/>
                <w:b/>
                <w:bCs/>
                <w:color w:val="000000"/>
                <w:sz w:val="18"/>
                <w:szCs w:val="18"/>
              </w:rPr>
            </w:pPr>
          </w:p>
        </w:tc>
        <w:tc>
          <w:tcPr>
            <w:tcW w:w="709" w:type="dxa"/>
          </w:tcPr>
          <w:p w14:paraId="0DFA4EA3" w14:textId="64EA7DCE" w:rsidR="005B310E" w:rsidRPr="0083396B" w:rsidRDefault="005B310E" w:rsidP="00FE0DBC">
            <w:pPr>
              <w:spacing w:before="0" w:after="0"/>
              <w:rPr>
                <w:rFonts w:ascii="Calibri" w:hAnsi="Calibri" w:cs="Calibri"/>
                <w:b/>
                <w:bCs/>
                <w:color w:val="000000"/>
                <w:sz w:val="18"/>
                <w:szCs w:val="18"/>
              </w:rPr>
            </w:pPr>
            <w:r w:rsidRPr="0083396B">
              <w:rPr>
                <w:rFonts w:ascii="Calibri" w:hAnsi="Calibri" w:cs="Calibri"/>
                <w:b/>
                <w:bCs/>
                <w:color w:val="000000"/>
                <w:sz w:val="18"/>
                <w:szCs w:val="18"/>
              </w:rPr>
              <w:t>Initial</w:t>
            </w:r>
          </w:p>
        </w:tc>
        <w:tc>
          <w:tcPr>
            <w:tcW w:w="850" w:type="dxa"/>
          </w:tcPr>
          <w:p w14:paraId="11756F85" w14:textId="12E93CE1" w:rsidR="005B310E" w:rsidRPr="0083396B" w:rsidRDefault="005B310E" w:rsidP="00FE0DBC">
            <w:pPr>
              <w:spacing w:before="0" w:after="0"/>
              <w:rPr>
                <w:rFonts w:ascii="Calibri" w:hAnsi="Calibri" w:cs="Calibri"/>
                <w:b/>
                <w:bCs/>
                <w:color w:val="000000"/>
                <w:sz w:val="18"/>
                <w:szCs w:val="18"/>
              </w:rPr>
            </w:pPr>
            <w:r w:rsidRPr="0083396B">
              <w:rPr>
                <w:rFonts w:ascii="Calibri" w:hAnsi="Calibri" w:cs="Calibri"/>
                <w:b/>
                <w:bCs/>
                <w:color w:val="000000"/>
                <w:sz w:val="18"/>
                <w:szCs w:val="18"/>
              </w:rPr>
              <w:t>Ongoing</w:t>
            </w:r>
          </w:p>
        </w:tc>
        <w:tc>
          <w:tcPr>
            <w:tcW w:w="709" w:type="dxa"/>
          </w:tcPr>
          <w:p w14:paraId="26DA0397" w14:textId="65B9516B" w:rsidR="005B310E" w:rsidRPr="0083396B" w:rsidRDefault="005B310E" w:rsidP="00FE0DBC">
            <w:pPr>
              <w:spacing w:before="0" w:after="0"/>
              <w:rPr>
                <w:rFonts w:ascii="Calibri" w:hAnsi="Calibri" w:cs="Calibri"/>
                <w:b/>
                <w:bCs/>
                <w:color w:val="000000"/>
                <w:sz w:val="18"/>
                <w:szCs w:val="18"/>
              </w:rPr>
            </w:pPr>
            <w:r w:rsidRPr="0083396B">
              <w:rPr>
                <w:rFonts w:ascii="Calibri" w:hAnsi="Calibri" w:cs="Calibri"/>
                <w:b/>
                <w:bCs/>
                <w:color w:val="000000"/>
                <w:sz w:val="18"/>
                <w:szCs w:val="18"/>
              </w:rPr>
              <w:t>Initial</w:t>
            </w:r>
          </w:p>
        </w:tc>
        <w:tc>
          <w:tcPr>
            <w:tcW w:w="850" w:type="dxa"/>
          </w:tcPr>
          <w:p w14:paraId="14C88FD3" w14:textId="2AB1807B" w:rsidR="005B310E" w:rsidRPr="0083396B" w:rsidRDefault="005B310E" w:rsidP="00FE0DBC">
            <w:pPr>
              <w:spacing w:before="0" w:after="0"/>
              <w:rPr>
                <w:rFonts w:ascii="Calibri" w:hAnsi="Calibri" w:cs="Calibri"/>
                <w:b/>
                <w:bCs/>
                <w:color w:val="000000"/>
                <w:sz w:val="18"/>
                <w:szCs w:val="18"/>
              </w:rPr>
            </w:pPr>
            <w:r w:rsidRPr="0083396B">
              <w:rPr>
                <w:rFonts w:ascii="Calibri" w:hAnsi="Calibri" w:cs="Calibri"/>
                <w:b/>
                <w:bCs/>
                <w:color w:val="000000"/>
                <w:sz w:val="18"/>
                <w:szCs w:val="18"/>
              </w:rPr>
              <w:t>Ongoing</w:t>
            </w:r>
          </w:p>
        </w:tc>
        <w:tc>
          <w:tcPr>
            <w:tcW w:w="2800" w:type="dxa"/>
          </w:tcPr>
          <w:p w14:paraId="6D424E91" w14:textId="77777777" w:rsidR="005B310E" w:rsidRPr="0083396B" w:rsidRDefault="005B310E" w:rsidP="00FE0DBC">
            <w:pPr>
              <w:spacing w:before="0" w:after="0"/>
              <w:rPr>
                <w:rFonts w:ascii="Calibri" w:hAnsi="Calibri" w:cs="Calibri"/>
                <w:b/>
                <w:bCs/>
                <w:color w:val="000000"/>
                <w:sz w:val="18"/>
                <w:szCs w:val="18"/>
              </w:rPr>
            </w:pPr>
          </w:p>
        </w:tc>
      </w:tr>
      <w:tr w:rsidR="00723073" w:rsidRPr="00FF78E4" w14:paraId="058F90CB" w14:textId="2647C2CE" w:rsidTr="00BE17D1">
        <w:trPr>
          <w:trHeight w:val="438"/>
        </w:trPr>
        <w:tc>
          <w:tcPr>
            <w:tcW w:w="1696" w:type="dxa"/>
            <w:hideMark/>
          </w:tcPr>
          <w:p w14:paraId="707D90BB" w14:textId="77777777"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Minor anti-scam activity improvements</w:t>
            </w:r>
          </w:p>
        </w:tc>
        <w:tc>
          <w:tcPr>
            <w:tcW w:w="1418" w:type="dxa"/>
            <w:hideMark/>
          </w:tcPr>
          <w:p w14:paraId="1C2654CA" w14:textId="08B49163" w:rsidR="007E0AF9" w:rsidRPr="0083396B" w:rsidRDefault="009B52DC" w:rsidP="007E0AF9">
            <w:pPr>
              <w:spacing w:before="0" w:after="0"/>
              <w:rPr>
                <w:rFonts w:ascii="Calibri" w:hAnsi="Calibri" w:cs="Calibri"/>
                <w:color w:val="000000"/>
                <w:sz w:val="18"/>
                <w:szCs w:val="18"/>
              </w:rPr>
            </w:pPr>
            <w:r w:rsidRPr="0083396B">
              <w:rPr>
                <w:rFonts w:ascii="Calibri" w:hAnsi="Calibri" w:cs="Calibri"/>
                <w:color w:val="000000"/>
                <w:sz w:val="18"/>
                <w:szCs w:val="18"/>
              </w:rPr>
              <w:t>ABA/COBA member banks</w:t>
            </w:r>
          </w:p>
        </w:tc>
        <w:tc>
          <w:tcPr>
            <w:tcW w:w="0" w:type="dxa"/>
          </w:tcPr>
          <w:p w14:paraId="0F397E5F" w14:textId="7B827C58" w:rsidR="007E0AF9" w:rsidRPr="0083396B" w:rsidRDefault="000724DF" w:rsidP="007E0AF9">
            <w:pPr>
              <w:spacing w:before="0" w:after="0"/>
              <w:rPr>
                <w:rFonts w:ascii="Calibri" w:hAnsi="Calibri" w:cs="Calibri"/>
                <w:color w:val="000000"/>
                <w:sz w:val="18"/>
                <w:szCs w:val="18"/>
              </w:rPr>
            </w:pPr>
            <w:r w:rsidRPr="005A16CB">
              <w:rPr>
                <w:rFonts w:ascii="Calibri" w:hAnsi="Calibri" w:cs="Calibri"/>
                <w:color w:val="000000"/>
                <w:sz w:val="18"/>
                <w:szCs w:val="18"/>
              </w:rPr>
              <w:t>0.22</w:t>
            </w:r>
          </w:p>
        </w:tc>
        <w:tc>
          <w:tcPr>
            <w:tcW w:w="0" w:type="dxa"/>
          </w:tcPr>
          <w:p w14:paraId="31FB9452" w14:textId="57E937C0" w:rsidR="007E0AF9" w:rsidRPr="0083396B" w:rsidRDefault="000724DF" w:rsidP="007E0AF9">
            <w:pPr>
              <w:spacing w:before="0" w:after="0"/>
              <w:rPr>
                <w:rFonts w:ascii="Calibri" w:hAnsi="Calibri" w:cs="Calibri"/>
                <w:color w:val="000000"/>
                <w:sz w:val="18"/>
                <w:szCs w:val="18"/>
              </w:rPr>
            </w:pPr>
            <w:r w:rsidRPr="005A16CB">
              <w:rPr>
                <w:rFonts w:ascii="Calibri" w:hAnsi="Calibri" w:cs="Calibri"/>
                <w:color w:val="000000"/>
                <w:sz w:val="18"/>
                <w:szCs w:val="18"/>
              </w:rPr>
              <w:t>0.00</w:t>
            </w:r>
          </w:p>
        </w:tc>
        <w:tc>
          <w:tcPr>
            <w:tcW w:w="0" w:type="dxa"/>
          </w:tcPr>
          <w:p w14:paraId="6063AFD6" w14:textId="018739A4"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0.02</w:t>
            </w:r>
          </w:p>
        </w:tc>
        <w:tc>
          <w:tcPr>
            <w:tcW w:w="0" w:type="dxa"/>
          </w:tcPr>
          <w:p w14:paraId="4086C3CF" w14:textId="6058E7BA"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0.00</w:t>
            </w:r>
          </w:p>
        </w:tc>
        <w:tc>
          <w:tcPr>
            <w:tcW w:w="2800" w:type="dxa"/>
            <w:vAlign w:val="bottom"/>
          </w:tcPr>
          <w:p w14:paraId="2A0920B2" w14:textId="10AE7797"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Technology: 1</w:t>
            </w:r>
            <w:r w:rsidR="00EE790E">
              <w:rPr>
                <w:rFonts w:ascii="Calibri" w:hAnsi="Calibri" w:cs="Calibri"/>
                <w:color w:val="000000"/>
                <w:sz w:val="18"/>
                <w:szCs w:val="18"/>
              </w:rPr>
              <w:t>.0</w:t>
            </w:r>
            <w:r w:rsidRPr="0083396B">
              <w:rPr>
                <w:rFonts w:ascii="Calibri" w:hAnsi="Calibri" w:cs="Calibri"/>
                <w:color w:val="000000"/>
                <w:sz w:val="18"/>
                <w:szCs w:val="18"/>
              </w:rPr>
              <w:t xml:space="preserve"> FTE </w:t>
            </w:r>
            <w:r w:rsidR="001C7D80">
              <w:rPr>
                <w:rFonts w:ascii="Calibri" w:hAnsi="Calibri" w:cs="Calibri"/>
                <w:color w:val="000000"/>
                <w:sz w:val="18"/>
                <w:szCs w:val="18"/>
              </w:rPr>
              <w:t>technology</w:t>
            </w:r>
            <w:r w:rsidR="001C7D80" w:rsidRPr="0083396B">
              <w:rPr>
                <w:rFonts w:ascii="Calibri" w:hAnsi="Calibri" w:cs="Calibri"/>
                <w:color w:val="000000"/>
                <w:sz w:val="18"/>
                <w:szCs w:val="18"/>
              </w:rPr>
              <w:t xml:space="preserve"> </w:t>
            </w:r>
            <w:r w:rsidRPr="0083396B">
              <w:rPr>
                <w:rFonts w:ascii="Calibri" w:hAnsi="Calibri" w:cs="Calibri"/>
                <w:color w:val="000000"/>
                <w:sz w:val="18"/>
                <w:szCs w:val="18"/>
              </w:rPr>
              <w:t>staff in initial year, none ongoing</w:t>
            </w:r>
            <w:r w:rsidRPr="0083396B">
              <w:rPr>
                <w:rFonts w:ascii="Calibri" w:hAnsi="Calibri" w:cs="Calibri"/>
                <w:color w:val="000000"/>
                <w:sz w:val="18"/>
                <w:szCs w:val="18"/>
              </w:rPr>
              <w:br/>
              <w:t>Administration: 0.1 FTE admin staff in initial year, none ongoing</w:t>
            </w:r>
          </w:p>
        </w:tc>
      </w:tr>
      <w:tr w:rsidR="00AE4DAA" w:rsidRPr="00FF78E4" w14:paraId="3225E1E9" w14:textId="20FE3051" w:rsidTr="00BE17D1">
        <w:trPr>
          <w:cnfStyle w:val="000000100000" w:firstRow="0" w:lastRow="0" w:firstColumn="0" w:lastColumn="0" w:oddVBand="0" w:evenVBand="0" w:oddHBand="1" w:evenHBand="0" w:firstRowFirstColumn="0" w:firstRowLastColumn="0" w:lastRowFirstColumn="0" w:lastRowLastColumn="0"/>
          <w:trHeight w:val="438"/>
        </w:trPr>
        <w:tc>
          <w:tcPr>
            <w:tcW w:w="1696" w:type="dxa"/>
            <w:hideMark/>
          </w:tcPr>
          <w:p w14:paraId="6FB27331" w14:textId="128EBB73"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Moderate anti-scam activity improvements</w:t>
            </w:r>
          </w:p>
        </w:tc>
        <w:tc>
          <w:tcPr>
            <w:tcW w:w="1418" w:type="dxa"/>
            <w:hideMark/>
          </w:tcPr>
          <w:p w14:paraId="2BFA0887" w14:textId="0CBC3649" w:rsidR="007E0AF9" w:rsidRPr="0083396B" w:rsidRDefault="005A1261" w:rsidP="007E0AF9">
            <w:pPr>
              <w:spacing w:before="0" w:after="0"/>
              <w:rPr>
                <w:rFonts w:ascii="Calibri" w:hAnsi="Calibri" w:cs="Calibri"/>
                <w:color w:val="000000"/>
                <w:sz w:val="18"/>
                <w:szCs w:val="18"/>
              </w:rPr>
            </w:pPr>
            <w:r w:rsidRPr="0083396B">
              <w:rPr>
                <w:rFonts w:ascii="Calibri" w:hAnsi="Calibri" w:cs="Calibri"/>
                <w:color w:val="000000"/>
                <w:sz w:val="18"/>
                <w:szCs w:val="18"/>
              </w:rPr>
              <w:t>AOSC signatory digital platforms</w:t>
            </w:r>
          </w:p>
        </w:tc>
        <w:tc>
          <w:tcPr>
            <w:tcW w:w="709" w:type="dxa"/>
          </w:tcPr>
          <w:p w14:paraId="27C83E77" w14:textId="290C9D4A" w:rsidR="007E0AF9" w:rsidRPr="0083396B" w:rsidRDefault="000724DF" w:rsidP="007E0AF9">
            <w:pPr>
              <w:spacing w:before="0" w:after="0"/>
              <w:rPr>
                <w:rFonts w:ascii="Calibri" w:hAnsi="Calibri" w:cs="Calibri"/>
                <w:color w:val="000000"/>
                <w:sz w:val="18"/>
                <w:szCs w:val="18"/>
              </w:rPr>
            </w:pPr>
            <w:r w:rsidRPr="005A16CB">
              <w:rPr>
                <w:rFonts w:ascii="Calibri" w:hAnsi="Calibri" w:cs="Calibri"/>
                <w:color w:val="000000"/>
                <w:sz w:val="18"/>
                <w:szCs w:val="18"/>
              </w:rPr>
              <w:t>0.45</w:t>
            </w:r>
          </w:p>
        </w:tc>
        <w:tc>
          <w:tcPr>
            <w:tcW w:w="850" w:type="dxa"/>
          </w:tcPr>
          <w:p w14:paraId="24DCAC9B" w14:textId="63FADFDF" w:rsidR="007E0AF9" w:rsidRPr="0083396B" w:rsidRDefault="000724DF" w:rsidP="007E0AF9">
            <w:pPr>
              <w:spacing w:before="0" w:after="0"/>
              <w:rPr>
                <w:rFonts w:ascii="Calibri" w:hAnsi="Calibri" w:cs="Calibri"/>
                <w:color w:val="000000"/>
                <w:sz w:val="18"/>
                <w:szCs w:val="18"/>
              </w:rPr>
            </w:pPr>
            <w:r w:rsidRPr="005A16CB">
              <w:rPr>
                <w:rFonts w:ascii="Calibri" w:hAnsi="Calibri" w:cs="Calibri"/>
                <w:color w:val="000000"/>
                <w:sz w:val="18"/>
                <w:szCs w:val="18"/>
              </w:rPr>
              <w:t>0.04</w:t>
            </w:r>
          </w:p>
        </w:tc>
        <w:tc>
          <w:tcPr>
            <w:tcW w:w="709" w:type="dxa"/>
          </w:tcPr>
          <w:p w14:paraId="57EB1D23" w14:textId="09D7C7A6"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0.21</w:t>
            </w:r>
          </w:p>
        </w:tc>
        <w:tc>
          <w:tcPr>
            <w:tcW w:w="850" w:type="dxa"/>
          </w:tcPr>
          <w:p w14:paraId="396C4246" w14:textId="57C6C9FA"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0.10</w:t>
            </w:r>
          </w:p>
        </w:tc>
        <w:tc>
          <w:tcPr>
            <w:tcW w:w="2800" w:type="dxa"/>
            <w:vAlign w:val="bottom"/>
          </w:tcPr>
          <w:p w14:paraId="52906060" w14:textId="7BEE4D41"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 xml:space="preserve">Technology: </w:t>
            </w:r>
            <w:r w:rsidR="00EE790E">
              <w:rPr>
                <w:rFonts w:ascii="Calibri" w:hAnsi="Calibri" w:cs="Calibri"/>
                <w:color w:val="000000"/>
                <w:sz w:val="18"/>
                <w:szCs w:val="18"/>
              </w:rPr>
              <w:t>2.0</w:t>
            </w:r>
            <w:r w:rsidRPr="0083396B">
              <w:rPr>
                <w:rFonts w:ascii="Calibri" w:hAnsi="Calibri" w:cs="Calibri"/>
                <w:color w:val="000000"/>
                <w:sz w:val="18"/>
                <w:szCs w:val="18"/>
              </w:rPr>
              <w:t xml:space="preserve"> FTE </w:t>
            </w:r>
            <w:r w:rsidR="001C7D80">
              <w:rPr>
                <w:rFonts w:ascii="Calibri" w:hAnsi="Calibri" w:cs="Calibri"/>
                <w:color w:val="000000"/>
                <w:sz w:val="18"/>
                <w:szCs w:val="18"/>
              </w:rPr>
              <w:t>technol</w:t>
            </w:r>
            <w:r w:rsidR="00FB06A2">
              <w:rPr>
                <w:rFonts w:ascii="Calibri" w:hAnsi="Calibri" w:cs="Calibri"/>
                <w:color w:val="000000"/>
                <w:sz w:val="18"/>
                <w:szCs w:val="18"/>
              </w:rPr>
              <w:t>ogy</w:t>
            </w:r>
            <w:r w:rsidR="001C7D80" w:rsidRPr="0083396B">
              <w:rPr>
                <w:rFonts w:ascii="Calibri" w:hAnsi="Calibri" w:cs="Calibri"/>
                <w:color w:val="000000"/>
                <w:sz w:val="18"/>
                <w:szCs w:val="18"/>
              </w:rPr>
              <w:t xml:space="preserve"> </w:t>
            </w:r>
            <w:r w:rsidRPr="0083396B">
              <w:rPr>
                <w:rFonts w:ascii="Calibri" w:hAnsi="Calibri" w:cs="Calibri"/>
                <w:color w:val="000000"/>
                <w:sz w:val="18"/>
                <w:szCs w:val="18"/>
              </w:rPr>
              <w:t xml:space="preserve">staff in initial year, 0.2 </w:t>
            </w:r>
            <w:r w:rsidR="00FB06A2">
              <w:rPr>
                <w:rFonts w:ascii="Calibri" w:hAnsi="Calibri" w:cs="Calibri"/>
                <w:color w:val="000000"/>
                <w:sz w:val="18"/>
                <w:szCs w:val="18"/>
              </w:rPr>
              <w:t>FTE</w:t>
            </w:r>
            <w:r w:rsidRPr="0083396B">
              <w:rPr>
                <w:rFonts w:ascii="Calibri" w:hAnsi="Calibri" w:cs="Calibri"/>
                <w:color w:val="000000"/>
                <w:sz w:val="18"/>
                <w:szCs w:val="18"/>
              </w:rPr>
              <w:t xml:space="preserve"> ongoing</w:t>
            </w:r>
            <w:r w:rsidRPr="0083396B">
              <w:rPr>
                <w:rFonts w:ascii="Calibri" w:hAnsi="Calibri" w:cs="Calibri"/>
                <w:color w:val="000000"/>
                <w:sz w:val="18"/>
                <w:szCs w:val="18"/>
              </w:rPr>
              <w:br/>
              <w:t>Administration: 1</w:t>
            </w:r>
            <w:r w:rsidR="00EE790E">
              <w:rPr>
                <w:rFonts w:ascii="Calibri" w:hAnsi="Calibri" w:cs="Calibri"/>
                <w:color w:val="000000"/>
                <w:sz w:val="18"/>
                <w:szCs w:val="18"/>
              </w:rPr>
              <w:t>.0</w:t>
            </w:r>
            <w:r w:rsidRPr="0083396B">
              <w:rPr>
                <w:rFonts w:ascii="Calibri" w:hAnsi="Calibri" w:cs="Calibri"/>
                <w:color w:val="000000"/>
                <w:sz w:val="18"/>
                <w:szCs w:val="18"/>
              </w:rPr>
              <w:t xml:space="preserve"> FTE admin staff, then 0.5 FTE ongoing staff.</w:t>
            </w:r>
          </w:p>
        </w:tc>
      </w:tr>
      <w:tr w:rsidR="00723073" w:rsidRPr="00FF78E4" w14:paraId="6170F317" w14:textId="50229B0D" w:rsidTr="00BE17D1">
        <w:trPr>
          <w:trHeight w:val="438"/>
        </w:trPr>
        <w:tc>
          <w:tcPr>
            <w:tcW w:w="1696" w:type="dxa"/>
            <w:hideMark/>
          </w:tcPr>
          <w:p w14:paraId="72586A54" w14:textId="031F99B6" w:rsidR="007E0AF9" w:rsidRPr="0083396B" w:rsidRDefault="009A7AF2" w:rsidP="007E0AF9">
            <w:pPr>
              <w:spacing w:before="0" w:after="0"/>
              <w:rPr>
                <w:rFonts w:ascii="Calibri" w:hAnsi="Calibri" w:cs="Calibri"/>
                <w:color w:val="000000"/>
                <w:sz w:val="18"/>
                <w:szCs w:val="18"/>
              </w:rPr>
            </w:pPr>
            <w:r>
              <w:rPr>
                <w:rFonts w:ascii="Calibri" w:hAnsi="Calibri" w:cs="Calibri"/>
                <w:color w:val="000000"/>
                <w:sz w:val="18"/>
                <w:szCs w:val="18"/>
              </w:rPr>
              <w:t>Material</w:t>
            </w:r>
            <w:r w:rsidRPr="0083396B">
              <w:rPr>
                <w:rFonts w:ascii="Calibri" w:hAnsi="Calibri" w:cs="Calibri"/>
                <w:color w:val="000000"/>
                <w:sz w:val="18"/>
                <w:szCs w:val="18"/>
              </w:rPr>
              <w:t xml:space="preserve"> </w:t>
            </w:r>
            <w:r w:rsidR="007E0AF9" w:rsidRPr="0083396B">
              <w:rPr>
                <w:rFonts w:ascii="Calibri" w:hAnsi="Calibri" w:cs="Calibri"/>
                <w:color w:val="000000"/>
                <w:sz w:val="18"/>
                <w:szCs w:val="18"/>
              </w:rPr>
              <w:t>anti-scam activit</w:t>
            </w:r>
            <w:r>
              <w:rPr>
                <w:rFonts w:ascii="Calibri" w:hAnsi="Calibri" w:cs="Calibri"/>
                <w:color w:val="000000"/>
                <w:sz w:val="18"/>
                <w:szCs w:val="18"/>
              </w:rPr>
              <w:t>y improvements</w:t>
            </w:r>
          </w:p>
        </w:tc>
        <w:tc>
          <w:tcPr>
            <w:tcW w:w="1418" w:type="dxa"/>
            <w:hideMark/>
          </w:tcPr>
          <w:p w14:paraId="44F40BAE" w14:textId="71627FD9"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Non-affiliated banks, non-</w:t>
            </w:r>
            <w:r w:rsidR="005A1261" w:rsidRPr="0083396B">
              <w:rPr>
                <w:rFonts w:ascii="Calibri" w:hAnsi="Calibri" w:cs="Calibri"/>
                <w:color w:val="000000"/>
                <w:sz w:val="18"/>
                <w:szCs w:val="18"/>
              </w:rPr>
              <w:t>AOSC</w:t>
            </w:r>
            <w:r w:rsidRPr="0083396B">
              <w:rPr>
                <w:rFonts w:ascii="Calibri" w:hAnsi="Calibri" w:cs="Calibri"/>
                <w:color w:val="000000"/>
                <w:sz w:val="18"/>
                <w:szCs w:val="18"/>
              </w:rPr>
              <w:t xml:space="preserve"> </w:t>
            </w:r>
            <w:r w:rsidR="005A1261" w:rsidRPr="0083396B">
              <w:rPr>
                <w:rFonts w:ascii="Calibri" w:hAnsi="Calibri" w:cs="Calibri"/>
                <w:color w:val="000000"/>
                <w:sz w:val="18"/>
                <w:szCs w:val="18"/>
              </w:rPr>
              <w:t>digital platforms</w:t>
            </w:r>
          </w:p>
        </w:tc>
        <w:tc>
          <w:tcPr>
            <w:tcW w:w="0" w:type="dxa"/>
          </w:tcPr>
          <w:p w14:paraId="10955277" w14:textId="6ACF8E42" w:rsidR="007E0AF9" w:rsidRPr="0083396B" w:rsidRDefault="000724DF" w:rsidP="007E0AF9">
            <w:pPr>
              <w:spacing w:before="0" w:after="0"/>
              <w:rPr>
                <w:rFonts w:ascii="Calibri" w:hAnsi="Calibri" w:cs="Calibri"/>
                <w:color w:val="000000"/>
                <w:sz w:val="18"/>
                <w:szCs w:val="18"/>
              </w:rPr>
            </w:pPr>
            <w:r w:rsidRPr="005A16CB">
              <w:rPr>
                <w:rFonts w:ascii="Calibri" w:hAnsi="Calibri" w:cs="Calibri"/>
                <w:color w:val="000000"/>
                <w:sz w:val="18"/>
                <w:szCs w:val="18"/>
              </w:rPr>
              <w:t>0.67</w:t>
            </w:r>
          </w:p>
        </w:tc>
        <w:tc>
          <w:tcPr>
            <w:tcW w:w="0" w:type="dxa"/>
          </w:tcPr>
          <w:p w14:paraId="5E94FEBD" w14:textId="37915F81" w:rsidR="007E0AF9" w:rsidRPr="0083396B" w:rsidRDefault="000724DF" w:rsidP="007E0AF9">
            <w:pPr>
              <w:spacing w:before="0" w:after="0"/>
              <w:rPr>
                <w:rFonts w:ascii="Calibri" w:hAnsi="Calibri" w:cs="Calibri"/>
                <w:color w:val="000000"/>
                <w:sz w:val="18"/>
                <w:szCs w:val="18"/>
              </w:rPr>
            </w:pPr>
            <w:r w:rsidRPr="005A16CB">
              <w:rPr>
                <w:rFonts w:ascii="Calibri" w:hAnsi="Calibri" w:cs="Calibri"/>
                <w:color w:val="000000"/>
                <w:sz w:val="18"/>
                <w:szCs w:val="18"/>
              </w:rPr>
              <w:t>0.22</w:t>
            </w:r>
          </w:p>
        </w:tc>
        <w:tc>
          <w:tcPr>
            <w:tcW w:w="0" w:type="dxa"/>
          </w:tcPr>
          <w:p w14:paraId="6DDA7B5F" w14:textId="55580765"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0.42</w:t>
            </w:r>
          </w:p>
        </w:tc>
        <w:tc>
          <w:tcPr>
            <w:tcW w:w="0" w:type="dxa"/>
          </w:tcPr>
          <w:p w14:paraId="4E8BD725" w14:textId="2CFC7C1F"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0.21</w:t>
            </w:r>
          </w:p>
        </w:tc>
        <w:tc>
          <w:tcPr>
            <w:tcW w:w="2800" w:type="dxa"/>
            <w:vAlign w:val="bottom"/>
          </w:tcPr>
          <w:p w14:paraId="5AA32BBF" w14:textId="003ABF38"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 xml:space="preserve">Technology: </w:t>
            </w:r>
            <w:r w:rsidR="00EE790E">
              <w:rPr>
                <w:rFonts w:ascii="Calibri" w:hAnsi="Calibri" w:cs="Calibri"/>
                <w:color w:val="000000"/>
                <w:sz w:val="18"/>
                <w:szCs w:val="18"/>
              </w:rPr>
              <w:t>3.0</w:t>
            </w:r>
            <w:r w:rsidRPr="0083396B">
              <w:rPr>
                <w:rFonts w:ascii="Calibri" w:hAnsi="Calibri" w:cs="Calibri"/>
                <w:color w:val="000000"/>
                <w:sz w:val="18"/>
                <w:szCs w:val="18"/>
              </w:rPr>
              <w:t xml:space="preserve"> FTE </w:t>
            </w:r>
            <w:r w:rsidR="00FB06A2">
              <w:rPr>
                <w:rFonts w:ascii="Calibri" w:hAnsi="Calibri" w:cs="Calibri"/>
                <w:color w:val="000000"/>
                <w:sz w:val="18"/>
                <w:szCs w:val="18"/>
              </w:rPr>
              <w:t>technology</w:t>
            </w:r>
            <w:r w:rsidR="00FB06A2" w:rsidRPr="0083396B">
              <w:rPr>
                <w:rFonts w:ascii="Calibri" w:hAnsi="Calibri" w:cs="Calibri"/>
                <w:color w:val="000000"/>
                <w:sz w:val="18"/>
                <w:szCs w:val="18"/>
              </w:rPr>
              <w:t xml:space="preserve"> </w:t>
            </w:r>
            <w:r w:rsidRPr="0083396B">
              <w:rPr>
                <w:rFonts w:ascii="Calibri" w:hAnsi="Calibri" w:cs="Calibri"/>
                <w:color w:val="000000"/>
                <w:sz w:val="18"/>
                <w:szCs w:val="18"/>
              </w:rPr>
              <w:t>staff in initial year, 1</w:t>
            </w:r>
            <w:r w:rsidR="00EE790E">
              <w:rPr>
                <w:rFonts w:ascii="Calibri" w:hAnsi="Calibri" w:cs="Calibri"/>
                <w:color w:val="000000"/>
                <w:sz w:val="18"/>
                <w:szCs w:val="18"/>
              </w:rPr>
              <w:t>.0</w:t>
            </w:r>
            <w:r w:rsidRPr="0083396B">
              <w:rPr>
                <w:rFonts w:ascii="Calibri" w:hAnsi="Calibri" w:cs="Calibri"/>
                <w:color w:val="000000"/>
                <w:sz w:val="18"/>
                <w:szCs w:val="18"/>
              </w:rPr>
              <w:t xml:space="preserve"> FTE ongoing</w:t>
            </w:r>
            <w:r w:rsidRPr="0083396B">
              <w:rPr>
                <w:rFonts w:ascii="Calibri" w:hAnsi="Calibri" w:cs="Calibri"/>
                <w:color w:val="000000"/>
                <w:sz w:val="18"/>
                <w:szCs w:val="18"/>
              </w:rPr>
              <w:br/>
              <w:t>Administration: 2</w:t>
            </w:r>
            <w:r w:rsidR="00C046C3">
              <w:rPr>
                <w:rFonts w:ascii="Calibri" w:hAnsi="Calibri" w:cs="Calibri"/>
                <w:color w:val="000000"/>
                <w:sz w:val="18"/>
                <w:szCs w:val="18"/>
              </w:rPr>
              <w:t>.0</w:t>
            </w:r>
            <w:r w:rsidRPr="0083396B">
              <w:rPr>
                <w:rFonts w:ascii="Calibri" w:hAnsi="Calibri" w:cs="Calibri"/>
                <w:color w:val="000000"/>
                <w:sz w:val="18"/>
                <w:szCs w:val="18"/>
              </w:rPr>
              <w:t xml:space="preserve"> FTE staff, 1</w:t>
            </w:r>
            <w:r w:rsidR="00C046C3">
              <w:rPr>
                <w:rFonts w:ascii="Calibri" w:hAnsi="Calibri" w:cs="Calibri"/>
                <w:color w:val="000000"/>
                <w:sz w:val="18"/>
                <w:szCs w:val="18"/>
              </w:rPr>
              <w:t>.0</w:t>
            </w:r>
            <w:r w:rsidRPr="0083396B">
              <w:rPr>
                <w:rFonts w:ascii="Calibri" w:hAnsi="Calibri" w:cs="Calibri"/>
                <w:color w:val="000000"/>
                <w:sz w:val="18"/>
                <w:szCs w:val="18"/>
              </w:rPr>
              <w:t xml:space="preserve"> FTE ongoing staff</w:t>
            </w:r>
          </w:p>
        </w:tc>
      </w:tr>
      <w:tr w:rsidR="00AE4DAA" w:rsidRPr="00FF78E4" w14:paraId="568872EA" w14:textId="48F8F136" w:rsidTr="00BE17D1">
        <w:trPr>
          <w:cnfStyle w:val="000000100000" w:firstRow="0" w:lastRow="0" w:firstColumn="0" w:lastColumn="0" w:oddVBand="0" w:evenVBand="0" w:oddHBand="1" w:evenHBand="0" w:firstRowFirstColumn="0" w:firstRowLastColumn="0" w:lastRowFirstColumn="0" w:lastRowLastColumn="0"/>
          <w:trHeight w:val="438"/>
        </w:trPr>
        <w:tc>
          <w:tcPr>
            <w:tcW w:w="1696" w:type="dxa"/>
            <w:noWrap/>
            <w:hideMark/>
          </w:tcPr>
          <w:p w14:paraId="452AB43D" w14:textId="70A08347"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SPF Governance operations</w:t>
            </w:r>
          </w:p>
        </w:tc>
        <w:tc>
          <w:tcPr>
            <w:tcW w:w="1418" w:type="dxa"/>
            <w:noWrap/>
            <w:hideMark/>
          </w:tcPr>
          <w:p w14:paraId="12515DCE" w14:textId="77777777"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All regulated entities</w:t>
            </w:r>
          </w:p>
        </w:tc>
        <w:tc>
          <w:tcPr>
            <w:tcW w:w="709" w:type="dxa"/>
          </w:tcPr>
          <w:p w14:paraId="7B7AE407" w14:textId="2AF2A7CF"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0.00</w:t>
            </w:r>
          </w:p>
        </w:tc>
        <w:tc>
          <w:tcPr>
            <w:tcW w:w="850" w:type="dxa"/>
          </w:tcPr>
          <w:p w14:paraId="1EA8CFA0" w14:textId="3A1C882A"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0.00</w:t>
            </w:r>
          </w:p>
        </w:tc>
        <w:tc>
          <w:tcPr>
            <w:tcW w:w="709" w:type="dxa"/>
          </w:tcPr>
          <w:p w14:paraId="084E2E93" w14:textId="0979F15C"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0.02</w:t>
            </w:r>
          </w:p>
        </w:tc>
        <w:tc>
          <w:tcPr>
            <w:tcW w:w="850" w:type="dxa"/>
          </w:tcPr>
          <w:p w14:paraId="15DF67FF" w14:textId="718C0C5A"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0.01</w:t>
            </w:r>
          </w:p>
        </w:tc>
        <w:tc>
          <w:tcPr>
            <w:tcW w:w="2800" w:type="dxa"/>
            <w:vAlign w:val="bottom"/>
          </w:tcPr>
          <w:p w14:paraId="114A76F7" w14:textId="20152AF7"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Administration: 0.1 FTE admin staff in initial year, 0.05 FTE ongoing</w:t>
            </w:r>
          </w:p>
        </w:tc>
      </w:tr>
      <w:tr w:rsidR="00723073" w:rsidRPr="00FF78E4" w14:paraId="20043409" w14:textId="4C0CC7AF" w:rsidTr="00BE17D1">
        <w:trPr>
          <w:trHeight w:val="438"/>
        </w:trPr>
        <w:tc>
          <w:tcPr>
            <w:tcW w:w="1696" w:type="dxa"/>
            <w:hideMark/>
          </w:tcPr>
          <w:p w14:paraId="4BAD54FF" w14:textId="2C7C568D"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Initiating IDR processes</w:t>
            </w:r>
          </w:p>
        </w:tc>
        <w:tc>
          <w:tcPr>
            <w:tcW w:w="1418" w:type="dxa"/>
            <w:hideMark/>
          </w:tcPr>
          <w:p w14:paraId="53A29A3F" w14:textId="60C18867"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Digital platforms</w:t>
            </w:r>
          </w:p>
        </w:tc>
        <w:tc>
          <w:tcPr>
            <w:tcW w:w="0" w:type="dxa"/>
          </w:tcPr>
          <w:p w14:paraId="392530BC" w14:textId="3AA5035A"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0.00</w:t>
            </w:r>
          </w:p>
        </w:tc>
        <w:tc>
          <w:tcPr>
            <w:tcW w:w="0" w:type="dxa"/>
          </w:tcPr>
          <w:p w14:paraId="0C2A6CFD" w14:textId="677E6B22"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0.00</w:t>
            </w:r>
          </w:p>
        </w:tc>
        <w:tc>
          <w:tcPr>
            <w:tcW w:w="0" w:type="dxa"/>
          </w:tcPr>
          <w:p w14:paraId="502DD392" w14:textId="31728B55"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0.83</w:t>
            </w:r>
          </w:p>
        </w:tc>
        <w:tc>
          <w:tcPr>
            <w:tcW w:w="0" w:type="dxa"/>
          </w:tcPr>
          <w:p w14:paraId="32F15E3D" w14:textId="1F036F8E"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0.42</w:t>
            </w:r>
          </w:p>
        </w:tc>
        <w:tc>
          <w:tcPr>
            <w:tcW w:w="2800" w:type="dxa"/>
            <w:vAlign w:val="bottom"/>
          </w:tcPr>
          <w:p w14:paraId="21555E44" w14:textId="08AB415B" w:rsidR="007E0AF9" w:rsidRPr="0083396B" w:rsidRDefault="007E0AF9" w:rsidP="007E0AF9">
            <w:pPr>
              <w:spacing w:before="0" w:after="0"/>
              <w:rPr>
                <w:rFonts w:ascii="Calibri" w:hAnsi="Calibri" w:cs="Calibri"/>
                <w:color w:val="000000"/>
                <w:sz w:val="18"/>
                <w:szCs w:val="18"/>
              </w:rPr>
            </w:pPr>
            <w:r w:rsidRPr="0083396B">
              <w:rPr>
                <w:rFonts w:ascii="Calibri" w:hAnsi="Calibri" w:cs="Calibri"/>
                <w:color w:val="000000"/>
                <w:sz w:val="18"/>
                <w:szCs w:val="18"/>
              </w:rPr>
              <w:t>Administration: 4</w:t>
            </w:r>
            <w:r w:rsidR="00C046C3">
              <w:rPr>
                <w:rFonts w:ascii="Calibri" w:hAnsi="Calibri" w:cs="Calibri"/>
                <w:color w:val="000000"/>
                <w:sz w:val="18"/>
                <w:szCs w:val="18"/>
              </w:rPr>
              <w:t>.0</w:t>
            </w:r>
            <w:r w:rsidRPr="0083396B">
              <w:rPr>
                <w:rFonts w:ascii="Calibri" w:hAnsi="Calibri" w:cs="Calibri"/>
                <w:color w:val="000000"/>
                <w:sz w:val="18"/>
                <w:szCs w:val="18"/>
              </w:rPr>
              <w:t xml:space="preserve"> FTE admin staff, 2</w:t>
            </w:r>
            <w:r w:rsidR="00C046C3">
              <w:rPr>
                <w:rFonts w:ascii="Calibri" w:hAnsi="Calibri" w:cs="Calibri"/>
                <w:color w:val="000000"/>
                <w:sz w:val="18"/>
                <w:szCs w:val="18"/>
              </w:rPr>
              <w:t>.0</w:t>
            </w:r>
            <w:r w:rsidRPr="0083396B">
              <w:rPr>
                <w:rFonts w:ascii="Calibri" w:hAnsi="Calibri" w:cs="Calibri"/>
                <w:color w:val="000000"/>
                <w:sz w:val="18"/>
                <w:szCs w:val="18"/>
              </w:rPr>
              <w:t xml:space="preserve"> FTE ongoing</w:t>
            </w:r>
          </w:p>
        </w:tc>
      </w:tr>
    </w:tbl>
    <w:p w14:paraId="3FCC55FB" w14:textId="2265E463" w:rsidR="00A033AF" w:rsidRDefault="00FC48B8" w:rsidP="003261B2">
      <w:r>
        <w:t>Full-time</w:t>
      </w:r>
      <w:r w:rsidR="00430F9E">
        <w:t xml:space="preserve"> equivalent</w:t>
      </w:r>
      <w:r w:rsidR="00694E7A">
        <w:t xml:space="preserve"> </w:t>
      </w:r>
      <w:r>
        <w:t>is</w:t>
      </w:r>
      <w:r w:rsidR="00694E7A">
        <w:t xml:space="preserve"> assumed </w:t>
      </w:r>
      <w:r>
        <w:t>as</w:t>
      </w:r>
      <w:r w:rsidR="00694E7A">
        <w:t xml:space="preserve"> 37.5 hours per week</w:t>
      </w:r>
      <w:r w:rsidR="00A46BED">
        <w:t xml:space="preserve"> and 52 weeks per year</w:t>
      </w:r>
      <w:r w:rsidR="00694E7A">
        <w:t xml:space="preserve">, </w:t>
      </w:r>
      <w:r w:rsidR="00D166FD">
        <w:t>with labour costs at</w:t>
      </w:r>
      <w:r w:rsidR="00694E7A">
        <w:t xml:space="preserve"> the </w:t>
      </w:r>
      <w:r w:rsidR="00E462C8">
        <w:t>rates</w:t>
      </w:r>
      <w:r w:rsidR="00D166FD">
        <w:t xml:space="preserve"> per hour </w:t>
      </w:r>
      <w:r w:rsidR="005D571A">
        <w:t xml:space="preserve">outlined in </w:t>
      </w:r>
      <w:r w:rsidR="00A201F7">
        <w:fldChar w:fldCharType="begin"/>
      </w:r>
      <w:r w:rsidR="00A201F7">
        <w:instrText xml:space="preserve"> REF _Ref177138949 \h </w:instrText>
      </w:r>
      <w:r w:rsidR="00A201F7">
        <w:fldChar w:fldCharType="separate"/>
      </w:r>
      <w:r w:rsidR="001813FC">
        <w:t xml:space="preserve">Table </w:t>
      </w:r>
      <w:r w:rsidR="001813FC">
        <w:rPr>
          <w:noProof/>
        </w:rPr>
        <w:t>19</w:t>
      </w:r>
      <w:r w:rsidR="00A201F7">
        <w:fldChar w:fldCharType="end"/>
      </w:r>
      <w:r w:rsidR="00F45219">
        <w:t>. D</w:t>
      </w:r>
      <w:r w:rsidR="00A201F7">
        <w:t xml:space="preserve">ifferent </w:t>
      </w:r>
      <w:r w:rsidR="00F45219">
        <w:t xml:space="preserve">labour cost </w:t>
      </w:r>
      <w:r w:rsidR="00A201F7">
        <w:t xml:space="preserve">rates </w:t>
      </w:r>
      <w:r w:rsidR="00F45219">
        <w:t xml:space="preserve">are assumed </w:t>
      </w:r>
      <w:r w:rsidR="005766EB">
        <w:t xml:space="preserve">for </w:t>
      </w:r>
      <w:r w:rsidR="00BE62C9">
        <w:t>technology staff and administrative staff</w:t>
      </w:r>
      <w:r w:rsidR="002A714A">
        <w:t>.</w:t>
      </w:r>
      <w:r w:rsidR="00C337DB">
        <w:t xml:space="preserve"> These are calculated as per OIA </w:t>
      </w:r>
      <w:r w:rsidR="00DA4DAF">
        <w:t>guidelines with a</w:t>
      </w:r>
      <w:r w:rsidR="00A04764">
        <w:t xml:space="preserve"> 1.75 </w:t>
      </w:r>
      <w:r w:rsidR="00995842">
        <w:t>multiplier</w:t>
      </w:r>
      <w:r w:rsidR="00995842" w:rsidRPr="006679B5">
        <w:rPr>
          <w:rStyle w:val="FootnoteReference"/>
          <w:vertAlign w:val="superscript"/>
        </w:rPr>
        <w:footnoteReference w:id="80"/>
      </w:r>
      <w:r w:rsidR="00995842">
        <w:t xml:space="preserve"> </w:t>
      </w:r>
      <w:r w:rsidR="00A04764">
        <w:t>applied to</w:t>
      </w:r>
      <w:r w:rsidR="00DA4DAF">
        <w:t xml:space="preserve"> </w:t>
      </w:r>
      <w:r w:rsidR="005F1D8B">
        <w:t>Australian Bureau of Statistics</w:t>
      </w:r>
      <w:r w:rsidR="00A04764">
        <w:t xml:space="preserve"> average earnings</w:t>
      </w:r>
      <w:r w:rsidR="002D6980">
        <w:t xml:space="preserve"> </w:t>
      </w:r>
      <w:r w:rsidR="00CD38C7">
        <w:t>figures.</w:t>
      </w:r>
      <w:r w:rsidR="00CD38C7" w:rsidRPr="00A04764">
        <w:rPr>
          <w:rStyle w:val="FootnoteReference"/>
          <w:vertAlign w:val="superscript"/>
        </w:rPr>
        <w:footnoteReference w:id="81"/>
      </w:r>
      <w:r w:rsidR="002A714A">
        <w:t xml:space="preserve"> </w:t>
      </w:r>
    </w:p>
    <w:p w14:paraId="6AA5DCB7" w14:textId="2DD57A2A" w:rsidR="005D571A" w:rsidRDefault="005D571A" w:rsidP="005D571A">
      <w:pPr>
        <w:pStyle w:val="Heading8"/>
      </w:pPr>
      <w:bookmarkStart w:id="88" w:name="_Ref177138949"/>
      <w:r>
        <w:t xml:space="preserve">Table </w:t>
      </w:r>
      <w:fldSimple w:instr=" SEQ Table \* ARABIC ">
        <w:r w:rsidR="001813FC">
          <w:rPr>
            <w:noProof/>
          </w:rPr>
          <w:t>19</w:t>
        </w:r>
      </w:fldSimple>
      <w:bookmarkEnd w:id="88"/>
      <w:r>
        <w:t xml:space="preserve"> – Hourly l</w:t>
      </w:r>
      <w:r w:rsidRPr="005D571A">
        <w:t>abour cost assumptions</w:t>
      </w:r>
    </w:p>
    <w:tbl>
      <w:tblPr>
        <w:tblStyle w:val="ListTable3-Accent3"/>
        <w:tblW w:w="9066" w:type="dxa"/>
        <w:tblLook w:val="04A0" w:firstRow="1" w:lastRow="0" w:firstColumn="1" w:lastColumn="0" w:noHBand="0" w:noVBand="1"/>
      </w:tblPr>
      <w:tblGrid>
        <w:gridCol w:w="2547"/>
        <w:gridCol w:w="1559"/>
        <w:gridCol w:w="4960"/>
      </w:tblGrid>
      <w:tr w:rsidR="005D571A" w:rsidRPr="002F47F5" w14:paraId="74CADA8F"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47" w:type="dxa"/>
            <w:noWrap/>
            <w:hideMark/>
          </w:tcPr>
          <w:p w14:paraId="37989F9D" w14:textId="04BA9F37" w:rsidR="005D571A" w:rsidRPr="002F47F5" w:rsidRDefault="005D571A" w:rsidP="00BE17D1">
            <w:pPr>
              <w:keepNext/>
              <w:keepLines/>
              <w:spacing w:before="0" w:after="0"/>
              <w:rPr>
                <w:rFonts w:ascii="Calibri" w:hAnsi="Calibri" w:cs="Calibri"/>
                <w:szCs w:val="22"/>
              </w:rPr>
            </w:pPr>
          </w:p>
        </w:tc>
        <w:tc>
          <w:tcPr>
            <w:tcW w:w="1559" w:type="dxa"/>
            <w:noWrap/>
            <w:hideMark/>
          </w:tcPr>
          <w:p w14:paraId="75302D2A" w14:textId="77777777" w:rsidR="005D571A" w:rsidRPr="002F47F5" w:rsidRDefault="005D571A" w:rsidP="00BE17D1">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r w:rsidRPr="002F47F5">
              <w:rPr>
                <w:rFonts w:ascii="Calibri" w:hAnsi="Calibri" w:cs="Calibri"/>
                <w:szCs w:val="22"/>
              </w:rPr>
              <w:t>Rate/hr</w:t>
            </w:r>
          </w:p>
        </w:tc>
        <w:tc>
          <w:tcPr>
            <w:tcW w:w="4960" w:type="dxa"/>
            <w:noWrap/>
            <w:hideMark/>
          </w:tcPr>
          <w:p w14:paraId="5441A103" w14:textId="77777777" w:rsidR="005D571A" w:rsidRPr="002F47F5" w:rsidRDefault="005D571A" w:rsidP="00BE17D1">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r w:rsidRPr="002F47F5">
              <w:rPr>
                <w:rFonts w:ascii="Calibri" w:hAnsi="Calibri" w:cs="Calibri"/>
                <w:szCs w:val="22"/>
              </w:rPr>
              <w:t>ABS category</w:t>
            </w:r>
          </w:p>
        </w:tc>
      </w:tr>
      <w:tr w:rsidR="005D571A" w:rsidRPr="002F47F5" w14:paraId="555CAFEB" w14:textId="77777777" w:rsidTr="005A16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bottom"/>
            <w:hideMark/>
          </w:tcPr>
          <w:p w14:paraId="252FA46D" w14:textId="5F09B67F" w:rsidR="005D571A" w:rsidRPr="002F47F5" w:rsidRDefault="00AB4EE2" w:rsidP="00BE17D1">
            <w:pPr>
              <w:keepNext/>
              <w:keepLines/>
              <w:spacing w:before="0" w:after="0"/>
              <w:rPr>
                <w:rFonts w:ascii="Calibri" w:hAnsi="Calibri" w:cs="Calibri"/>
                <w:color w:val="000000"/>
                <w:szCs w:val="22"/>
              </w:rPr>
            </w:pPr>
            <w:r>
              <w:rPr>
                <w:rFonts w:ascii="Calibri" w:hAnsi="Calibri" w:cs="Calibri"/>
                <w:color w:val="000000"/>
                <w:szCs w:val="22"/>
              </w:rPr>
              <w:t>Administrative staff</w:t>
            </w:r>
          </w:p>
        </w:tc>
        <w:tc>
          <w:tcPr>
            <w:tcW w:w="0" w:type="dxa"/>
            <w:noWrap/>
            <w:vAlign w:val="bottom"/>
            <w:hideMark/>
          </w:tcPr>
          <w:p w14:paraId="2FC3A278" w14:textId="12AB0FCA" w:rsidR="005D571A" w:rsidRPr="002F47F5" w:rsidRDefault="00AB4EE2" w:rsidP="00BE17D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$106.75</w:t>
            </w:r>
          </w:p>
        </w:tc>
        <w:tc>
          <w:tcPr>
            <w:tcW w:w="0" w:type="dxa"/>
            <w:noWrap/>
            <w:vAlign w:val="bottom"/>
            <w:hideMark/>
          </w:tcPr>
          <w:p w14:paraId="7F3CAA42" w14:textId="7EA26117" w:rsidR="005D571A" w:rsidRPr="002F47F5" w:rsidRDefault="00AB4EE2" w:rsidP="00BE17D1">
            <w:pPr>
              <w:keepNext/>
              <w:keepLines/>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224 Information and organisation professionals</w:t>
            </w:r>
          </w:p>
        </w:tc>
      </w:tr>
      <w:tr w:rsidR="005D571A" w:rsidRPr="002F47F5" w14:paraId="258E2A6D" w14:textId="77777777" w:rsidTr="00BE17D1">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FD5B3A5" w14:textId="3673A645" w:rsidR="005D571A" w:rsidRPr="002F47F5" w:rsidRDefault="00AB4EE2" w:rsidP="00BE17D1">
            <w:pPr>
              <w:keepNext/>
              <w:keepLines/>
              <w:spacing w:before="0" w:after="0"/>
              <w:rPr>
                <w:rFonts w:ascii="Calibri" w:hAnsi="Calibri" w:cs="Calibri"/>
                <w:color w:val="000000"/>
                <w:szCs w:val="22"/>
              </w:rPr>
            </w:pPr>
            <w:r>
              <w:rPr>
                <w:rFonts w:ascii="Calibri" w:hAnsi="Calibri" w:cs="Calibri"/>
                <w:color w:val="000000"/>
                <w:szCs w:val="22"/>
              </w:rPr>
              <w:t>Technology staff</w:t>
            </w:r>
          </w:p>
        </w:tc>
        <w:tc>
          <w:tcPr>
            <w:tcW w:w="0" w:type="dxa"/>
            <w:noWrap/>
            <w:hideMark/>
          </w:tcPr>
          <w:p w14:paraId="2459A2A6" w14:textId="0DBE62BC" w:rsidR="005D571A" w:rsidRPr="002F47F5" w:rsidRDefault="00AB4EE2" w:rsidP="00BE17D1">
            <w:pPr>
              <w:keepNext/>
              <w:keepLines/>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$115.33</w:t>
            </w:r>
          </w:p>
        </w:tc>
        <w:tc>
          <w:tcPr>
            <w:tcW w:w="0" w:type="dxa"/>
            <w:noWrap/>
            <w:hideMark/>
          </w:tcPr>
          <w:p w14:paraId="1DC18EC0" w14:textId="5BDE8C94" w:rsidR="005D571A" w:rsidRPr="002F47F5" w:rsidRDefault="00AB4EE2" w:rsidP="00BE17D1">
            <w:pPr>
              <w:keepNext/>
              <w:keepLines/>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261 Business and systems analysts, and programmers</w:t>
            </w:r>
          </w:p>
        </w:tc>
      </w:tr>
    </w:tbl>
    <w:p w14:paraId="61C3C003" w14:textId="64FB0DD8" w:rsidR="009B52DC" w:rsidRDefault="00AE13E8" w:rsidP="003261B2">
      <w:r w:rsidRPr="00AE13E8">
        <w:t xml:space="preserve">Large </w:t>
      </w:r>
      <w:r>
        <w:t xml:space="preserve">entities are assumed to require 5 times the resources of </w:t>
      </w:r>
      <w:r w:rsidR="003C2146">
        <w:t xml:space="preserve">medium entities, and small </w:t>
      </w:r>
      <w:r w:rsidR="00DB7944">
        <w:t>entities are assumed to require half the resources of medium entities.</w:t>
      </w:r>
      <w:r w:rsidR="001639E8">
        <w:t xml:space="preserve"> </w:t>
      </w:r>
    </w:p>
    <w:p w14:paraId="0B93D2E1" w14:textId="0083F7BD" w:rsidR="00A95FD2" w:rsidRPr="004540D5" w:rsidRDefault="00A95FD2" w:rsidP="003261B2">
      <w:r w:rsidRPr="00EA3154">
        <w:lastRenderedPageBreak/>
        <w:t xml:space="preserve">These </w:t>
      </w:r>
      <w:r w:rsidR="004959A3" w:rsidRPr="00EA3154">
        <w:t>uplift cost</w:t>
      </w:r>
      <w:r w:rsidRPr="00EA3154">
        <w:t xml:space="preserve"> assumptions can be interpreted </w:t>
      </w:r>
      <w:r w:rsidR="00BB396A" w:rsidRPr="00EA3154">
        <w:t xml:space="preserve">in comparison to </w:t>
      </w:r>
      <w:r w:rsidR="001B7CA6" w:rsidRPr="00EA3154">
        <w:t>past industry activity, such as domestic banking sector members of ABA and COBA</w:t>
      </w:r>
      <w:r w:rsidR="007134B0" w:rsidRPr="00EA3154">
        <w:t xml:space="preserve"> that have previously invested</w:t>
      </w:r>
      <w:r w:rsidR="004959A3" w:rsidRPr="00EA3154">
        <w:t xml:space="preserve"> in</w:t>
      </w:r>
      <w:r w:rsidR="001B7CA6" w:rsidRPr="00EA3154">
        <w:t xml:space="preserve"> a confirmation of payee system with total sectoral costs estimated at $100 million</w:t>
      </w:r>
      <w:r w:rsidR="004959A3" w:rsidRPr="00EA3154">
        <w:t>, around $</w:t>
      </w:r>
      <w:r w:rsidR="00E242E2" w:rsidRPr="00EA3154">
        <w:t>1.3</w:t>
      </w:r>
      <w:r w:rsidR="004959A3" w:rsidRPr="00EA3154">
        <w:t xml:space="preserve"> million per </w:t>
      </w:r>
      <w:r w:rsidR="00621949" w:rsidRPr="00EA3154">
        <w:t>bank</w:t>
      </w:r>
      <w:r w:rsidR="001B7CA6" w:rsidRPr="00EA3154">
        <w:t>.</w:t>
      </w:r>
      <w:r w:rsidR="00EA3154" w:rsidRPr="00EA3154">
        <w:rPr>
          <w:rFonts w:eastAsiaTheme="minorEastAsia"/>
          <w:vertAlign w:val="superscript"/>
        </w:rPr>
        <w:footnoteReference w:id="82"/>
      </w:r>
      <w:r w:rsidR="00DF4509">
        <w:t xml:space="preserve"> This is comparable to </w:t>
      </w:r>
      <w:r w:rsidR="0052300E">
        <w:t xml:space="preserve">the assumed regulatory costs incurred by a medium sized entity to initiate anti-scam activities </w:t>
      </w:r>
      <w:r w:rsidR="00A244D3">
        <w:t>over 2 years.</w:t>
      </w:r>
    </w:p>
    <w:p w14:paraId="7EF99712" w14:textId="69BF690C" w:rsidR="00BA20E6" w:rsidRDefault="00BA20E6" w:rsidP="00BA20E6">
      <w:pPr>
        <w:pStyle w:val="Heading7"/>
      </w:pPr>
      <w:r>
        <w:t>Information sharing and reporting</w:t>
      </w:r>
    </w:p>
    <w:p w14:paraId="4ED7DB04" w14:textId="06B6E198" w:rsidR="00BA20E6" w:rsidRPr="00BA20E6" w:rsidRDefault="00864C64" w:rsidP="00BA20E6">
      <w:r>
        <w:t>R</w:t>
      </w:r>
      <w:r w:rsidR="00D67FD6">
        <w:t>egulatory costs of i</w:t>
      </w:r>
      <w:r w:rsidR="00EF1763">
        <w:t xml:space="preserve">nformation sharing </w:t>
      </w:r>
      <w:r w:rsidR="007E1B6C">
        <w:t>arrangements</w:t>
      </w:r>
      <w:r w:rsidRPr="00864C64">
        <w:t xml:space="preserve"> </w:t>
      </w:r>
      <w:r>
        <w:t>under option 2</w:t>
      </w:r>
      <w:r w:rsidR="007E1B6C">
        <w:t xml:space="preserve"> </w:t>
      </w:r>
      <w:r w:rsidR="00AD5967">
        <w:t xml:space="preserve">are challenging to estimate due to </w:t>
      </w:r>
      <w:r w:rsidR="00FA2B14">
        <w:t xml:space="preserve">uncertainty of the </w:t>
      </w:r>
      <w:r w:rsidR="00061661">
        <w:t>required systems</w:t>
      </w:r>
      <w:r w:rsidR="00224E66">
        <w:t xml:space="preserve"> for entities to communicat</w:t>
      </w:r>
      <w:r w:rsidR="0031289E">
        <w:t>e</w:t>
      </w:r>
      <w:r w:rsidR="00224E66">
        <w:t xml:space="preserve"> with the </w:t>
      </w:r>
      <w:r w:rsidR="00556B8B">
        <w:t xml:space="preserve">government </w:t>
      </w:r>
      <w:r w:rsidR="00224E66">
        <w:t>regulator</w:t>
      </w:r>
      <w:r w:rsidR="00867171">
        <w:t xml:space="preserve"> and other factors such as the frequency of communication and the information required</w:t>
      </w:r>
      <w:r w:rsidR="00224E66">
        <w:t>.</w:t>
      </w:r>
    </w:p>
    <w:p w14:paraId="4119F2D8" w14:textId="1B1CE992" w:rsidR="00287F2C" w:rsidRDefault="00FE3E35" w:rsidP="00BA20E6">
      <w:r>
        <w:t xml:space="preserve">However, </w:t>
      </w:r>
      <w:r w:rsidR="00287F2C">
        <w:t xml:space="preserve">expected entity investments for </w:t>
      </w:r>
      <w:r w:rsidR="001D6AEF">
        <w:t>compliance with</w:t>
      </w:r>
      <w:r w:rsidR="003D64B0">
        <w:t xml:space="preserve"> information sharing</w:t>
      </w:r>
      <w:r w:rsidR="001D6AEF">
        <w:t xml:space="preserve"> obligations </w:t>
      </w:r>
      <w:r w:rsidR="003D64B0">
        <w:t xml:space="preserve">under the consumer data right </w:t>
      </w:r>
      <w:r w:rsidR="00076F76">
        <w:t xml:space="preserve">(CDR) </w:t>
      </w:r>
      <w:r w:rsidR="009C7C88">
        <w:t>are</w:t>
      </w:r>
      <w:r w:rsidR="003A2836">
        <w:t xml:space="preserve"> a comparable basis for estimated regulatory costs</w:t>
      </w:r>
      <w:r w:rsidR="00076F76">
        <w:t>.</w:t>
      </w:r>
      <w:r w:rsidR="000712C3">
        <w:t xml:space="preserve"> </w:t>
      </w:r>
      <w:r w:rsidR="00076F76">
        <w:t>A</w:t>
      </w:r>
      <w:r w:rsidR="000712C3">
        <w:t>lthough</w:t>
      </w:r>
      <w:r w:rsidR="00076F76">
        <w:t>,</w:t>
      </w:r>
      <w:r w:rsidR="000712C3">
        <w:t xml:space="preserve"> the SPF</w:t>
      </w:r>
      <w:r w:rsidR="00076F76">
        <w:t xml:space="preserve"> information sharing arrangements would be less complex and lower in volume and frequency than</w:t>
      </w:r>
      <w:r w:rsidR="004712CD">
        <w:t xml:space="preserve"> required under</w:t>
      </w:r>
      <w:r w:rsidR="00076F76">
        <w:t xml:space="preserve"> CDR</w:t>
      </w:r>
      <w:r w:rsidR="003A2836">
        <w:t xml:space="preserve">. </w:t>
      </w:r>
    </w:p>
    <w:p w14:paraId="4327DCD6" w14:textId="3BD515AF" w:rsidR="00A63A66" w:rsidRDefault="00753032" w:rsidP="00BA20E6">
      <w:r>
        <w:t xml:space="preserve">Regulatory </w:t>
      </w:r>
      <w:r w:rsidR="00456AF9">
        <w:t>costs of CDR</w:t>
      </w:r>
      <w:r w:rsidR="00175FD8">
        <w:t xml:space="preserve"> by</w:t>
      </w:r>
      <w:r w:rsidR="00456AF9">
        <w:t xml:space="preserve"> </w:t>
      </w:r>
      <w:r w:rsidR="00F7338B">
        <w:t xml:space="preserve">type of entities regulated </w:t>
      </w:r>
      <w:r>
        <w:t xml:space="preserve">were conducted in 2021 for </w:t>
      </w:r>
      <w:r w:rsidR="006F2573">
        <w:t xml:space="preserve">coverage of the telecommunications </w:t>
      </w:r>
      <w:r w:rsidR="002E51E4">
        <w:t>sector</w:t>
      </w:r>
      <w:r w:rsidR="00533E7E" w:rsidRPr="00554FD9">
        <w:rPr>
          <w:rStyle w:val="FootnoteReference"/>
          <w:vertAlign w:val="superscript"/>
        </w:rPr>
        <w:footnoteReference w:id="83"/>
      </w:r>
      <w:r w:rsidR="002E51E4">
        <w:t xml:space="preserve"> </w:t>
      </w:r>
      <w:r w:rsidR="00707F93">
        <w:t>and in 2022 for the non-bank lending sector</w:t>
      </w:r>
      <w:r w:rsidR="00BF2896">
        <w:t>.</w:t>
      </w:r>
      <w:r w:rsidR="00BF2896" w:rsidRPr="00554FD9">
        <w:rPr>
          <w:rStyle w:val="FootnoteReference"/>
          <w:vertAlign w:val="superscript"/>
        </w:rPr>
        <w:footnoteReference w:id="84"/>
      </w:r>
      <w:r w:rsidR="00C01D56">
        <w:t xml:space="preserve"> </w:t>
      </w:r>
      <w:r w:rsidR="00987242">
        <w:fldChar w:fldCharType="begin"/>
      </w:r>
      <w:r w:rsidR="00987242">
        <w:instrText xml:space="preserve"> REF _Ref176991902 \h </w:instrText>
      </w:r>
      <w:r w:rsidR="00987242">
        <w:fldChar w:fldCharType="separate"/>
      </w:r>
      <w:r w:rsidR="001813FC">
        <w:t xml:space="preserve">Table </w:t>
      </w:r>
      <w:r w:rsidR="001813FC">
        <w:rPr>
          <w:noProof/>
        </w:rPr>
        <w:t>20</w:t>
      </w:r>
      <w:r w:rsidR="00987242">
        <w:fldChar w:fldCharType="end"/>
      </w:r>
      <w:r w:rsidR="00987242">
        <w:t xml:space="preserve"> outlines the </w:t>
      </w:r>
      <w:r w:rsidR="009D7075">
        <w:t xml:space="preserve">estimated </w:t>
      </w:r>
      <w:r w:rsidR="003F5666">
        <w:t xml:space="preserve">annual </w:t>
      </w:r>
      <w:r w:rsidR="009D7075">
        <w:t xml:space="preserve">regulatory costs </w:t>
      </w:r>
      <w:r w:rsidR="006848CE">
        <w:t>in the first year and ongoing</w:t>
      </w:r>
      <w:r w:rsidR="00590F91">
        <w:t>,</w:t>
      </w:r>
      <w:r w:rsidR="006848CE">
        <w:t xml:space="preserve"> </w:t>
      </w:r>
      <w:r w:rsidR="00E219DD">
        <w:t xml:space="preserve">by type of entity from these </w:t>
      </w:r>
      <w:r w:rsidR="00FA211D">
        <w:t xml:space="preserve">previous reports, </w:t>
      </w:r>
      <w:r w:rsidR="0017271C">
        <w:t xml:space="preserve">which have been </w:t>
      </w:r>
      <w:r w:rsidR="00AF0D65">
        <w:t xml:space="preserve">inflated to </w:t>
      </w:r>
      <w:r w:rsidR="00B707E8">
        <w:t>current dollar values</w:t>
      </w:r>
      <w:r w:rsidR="00E52BE0">
        <w:t xml:space="preserve"> to use as benchmarks for regulatory costs under option 2</w:t>
      </w:r>
      <w:r w:rsidR="00B707E8">
        <w:t>.</w:t>
      </w:r>
      <w:r w:rsidR="00B707E8" w:rsidRPr="003A185A">
        <w:rPr>
          <w:rStyle w:val="FootnoteReference"/>
          <w:vertAlign w:val="superscript"/>
        </w:rPr>
        <w:footnoteReference w:id="85"/>
      </w:r>
    </w:p>
    <w:p w14:paraId="3F7791D8" w14:textId="421CE70E" w:rsidR="005747A9" w:rsidRDefault="00BE7A33" w:rsidP="00FD7B50">
      <w:pPr>
        <w:pStyle w:val="Heading8"/>
      </w:pPr>
      <w:bookmarkStart w:id="89" w:name="_Ref176991902"/>
      <w:r>
        <w:t xml:space="preserve">Table </w:t>
      </w:r>
      <w:fldSimple w:instr=" SEQ Table \* ARABIC ">
        <w:r w:rsidR="001813FC">
          <w:rPr>
            <w:noProof/>
          </w:rPr>
          <w:t>20</w:t>
        </w:r>
      </w:fldSimple>
      <w:bookmarkEnd w:id="89"/>
      <w:r>
        <w:t xml:space="preserve"> – Estimated </w:t>
      </w:r>
      <w:r w:rsidR="00C008A0">
        <w:t>a</w:t>
      </w:r>
      <w:r w:rsidR="00D65F39">
        <w:t xml:space="preserve">nnual </w:t>
      </w:r>
      <w:r w:rsidR="00C008A0">
        <w:t>CDR c</w:t>
      </w:r>
      <w:r w:rsidR="00BB74CA">
        <w:t xml:space="preserve">ompliance </w:t>
      </w:r>
      <w:r w:rsidR="00C008A0">
        <w:t>c</w:t>
      </w:r>
      <w:r w:rsidR="00BB74CA">
        <w:t xml:space="preserve">osts </w:t>
      </w:r>
      <w:r w:rsidR="00C008A0">
        <w:t xml:space="preserve">by types of entity </w:t>
      </w:r>
      <w:r w:rsidR="00C73120">
        <w:t>(</w:t>
      </w:r>
      <w:r w:rsidR="00B3155D">
        <w:t>in 2024 dollars)</w:t>
      </w:r>
      <w:r w:rsidR="000C6B8A" w:rsidRPr="000C6B8A">
        <w:rPr>
          <w:rStyle w:val="FootnoteReference"/>
          <w:vertAlign w:val="superscript"/>
        </w:rPr>
        <w:footnoteReference w:id="86"/>
      </w:r>
    </w:p>
    <w:tbl>
      <w:tblPr>
        <w:tblStyle w:val="ListTable4-Accent3"/>
        <w:tblW w:w="9245" w:type="dxa"/>
        <w:tblLook w:val="04A0" w:firstRow="1" w:lastRow="0" w:firstColumn="1" w:lastColumn="0" w:noHBand="0" w:noVBand="1"/>
      </w:tblPr>
      <w:tblGrid>
        <w:gridCol w:w="2689"/>
        <w:gridCol w:w="1610"/>
        <w:gridCol w:w="1650"/>
        <w:gridCol w:w="3296"/>
      </w:tblGrid>
      <w:tr w:rsidR="00F76D3B" w:rsidRPr="005747A9" w14:paraId="2FFAD446" w14:textId="77777777" w:rsidTr="00302942">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6FADD08" w14:textId="77777777" w:rsidR="005747A9" w:rsidRPr="005747A9" w:rsidRDefault="005747A9" w:rsidP="005747A9">
            <w:pPr>
              <w:spacing w:before="0" w:after="0"/>
              <w:rPr>
                <w:rFonts w:ascii="Calibri" w:hAnsi="Calibri" w:cs="Calibri"/>
                <w:szCs w:val="22"/>
              </w:rPr>
            </w:pPr>
            <w:r w:rsidRPr="005747A9">
              <w:rPr>
                <w:rFonts w:ascii="Calibri" w:hAnsi="Calibri" w:cs="Calibri"/>
                <w:szCs w:val="22"/>
              </w:rPr>
              <w:t>Type of entity</w:t>
            </w:r>
          </w:p>
        </w:tc>
        <w:tc>
          <w:tcPr>
            <w:tcW w:w="1610" w:type="dxa"/>
            <w:noWrap/>
            <w:hideMark/>
          </w:tcPr>
          <w:p w14:paraId="00FE4D0F" w14:textId="77777777" w:rsidR="005747A9" w:rsidRPr="005747A9" w:rsidRDefault="005747A9" w:rsidP="005747A9">
            <w:pPr>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r w:rsidRPr="005747A9">
              <w:rPr>
                <w:rFonts w:ascii="Calibri" w:hAnsi="Calibri" w:cs="Calibri"/>
                <w:szCs w:val="22"/>
              </w:rPr>
              <w:t>Year 1</w:t>
            </w:r>
          </w:p>
        </w:tc>
        <w:tc>
          <w:tcPr>
            <w:tcW w:w="1650" w:type="dxa"/>
            <w:noWrap/>
            <w:hideMark/>
          </w:tcPr>
          <w:p w14:paraId="36DEE110" w14:textId="77777777" w:rsidR="005747A9" w:rsidRPr="005747A9" w:rsidRDefault="005747A9" w:rsidP="005747A9">
            <w:pPr>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r w:rsidRPr="005747A9">
              <w:rPr>
                <w:rFonts w:ascii="Calibri" w:hAnsi="Calibri" w:cs="Calibri"/>
                <w:szCs w:val="22"/>
              </w:rPr>
              <w:t>Ongoing</w:t>
            </w:r>
          </w:p>
        </w:tc>
        <w:tc>
          <w:tcPr>
            <w:tcW w:w="3296" w:type="dxa"/>
            <w:noWrap/>
            <w:hideMark/>
          </w:tcPr>
          <w:p w14:paraId="1F6CE786" w14:textId="77777777" w:rsidR="005747A9" w:rsidRPr="005747A9" w:rsidRDefault="005747A9" w:rsidP="005747A9">
            <w:pPr>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r w:rsidRPr="005747A9">
              <w:rPr>
                <w:rFonts w:ascii="Calibri" w:hAnsi="Calibri" w:cs="Calibri"/>
                <w:szCs w:val="22"/>
              </w:rPr>
              <w:t>Source</w:t>
            </w:r>
          </w:p>
        </w:tc>
      </w:tr>
      <w:tr w:rsidR="00302942" w:rsidRPr="005747A9" w14:paraId="51CA756C" w14:textId="77777777" w:rsidTr="0030294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4AE5E0B" w14:textId="09E007A7" w:rsidR="005747A9" w:rsidRPr="007C23FC" w:rsidRDefault="005747A9" w:rsidP="005747A9">
            <w:pPr>
              <w:spacing w:before="0" w:after="0"/>
              <w:rPr>
                <w:rFonts w:ascii="Calibri" w:hAnsi="Calibri" w:cs="Calibri"/>
                <w:b w:val="0"/>
                <w:bCs w:val="0"/>
                <w:color w:val="000000"/>
                <w:szCs w:val="22"/>
              </w:rPr>
            </w:pPr>
            <w:r w:rsidRPr="007C23FC">
              <w:rPr>
                <w:rFonts w:ascii="Calibri" w:hAnsi="Calibri" w:cs="Calibri"/>
                <w:b w:val="0"/>
                <w:bCs w:val="0"/>
                <w:color w:val="000000"/>
                <w:szCs w:val="22"/>
              </w:rPr>
              <w:t xml:space="preserve">Small </w:t>
            </w:r>
            <w:r w:rsidR="007C23FC">
              <w:rPr>
                <w:rFonts w:ascii="Calibri" w:hAnsi="Calibri" w:cs="Calibri"/>
                <w:b w:val="0"/>
                <w:bCs w:val="0"/>
                <w:color w:val="000000"/>
                <w:szCs w:val="22"/>
              </w:rPr>
              <w:t>t</w:t>
            </w:r>
            <w:r w:rsidRPr="007C23FC">
              <w:rPr>
                <w:rFonts w:ascii="Calibri" w:hAnsi="Calibri" w:cs="Calibri"/>
                <w:b w:val="0"/>
                <w:bCs w:val="0"/>
                <w:color w:val="000000"/>
                <w:szCs w:val="22"/>
              </w:rPr>
              <w:t>elco</w:t>
            </w:r>
          </w:p>
        </w:tc>
        <w:tc>
          <w:tcPr>
            <w:tcW w:w="1610" w:type="dxa"/>
            <w:noWrap/>
            <w:hideMark/>
          </w:tcPr>
          <w:p w14:paraId="705A92F3" w14:textId="77777777" w:rsidR="005747A9" w:rsidRPr="005747A9" w:rsidRDefault="005747A9" w:rsidP="005747A9">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5747A9">
              <w:rPr>
                <w:rFonts w:ascii="Calibri" w:hAnsi="Calibri" w:cs="Calibri"/>
                <w:color w:val="000000"/>
                <w:szCs w:val="22"/>
              </w:rPr>
              <w:t>$394,000</w:t>
            </w:r>
          </w:p>
        </w:tc>
        <w:tc>
          <w:tcPr>
            <w:tcW w:w="1650" w:type="dxa"/>
            <w:noWrap/>
            <w:hideMark/>
          </w:tcPr>
          <w:p w14:paraId="5DC47501" w14:textId="77777777" w:rsidR="005747A9" w:rsidRPr="005747A9" w:rsidRDefault="005747A9" w:rsidP="005747A9">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5747A9">
              <w:rPr>
                <w:rFonts w:ascii="Calibri" w:hAnsi="Calibri" w:cs="Calibri"/>
                <w:color w:val="000000"/>
                <w:szCs w:val="22"/>
              </w:rPr>
              <w:t>$186,000</w:t>
            </w:r>
          </w:p>
        </w:tc>
        <w:tc>
          <w:tcPr>
            <w:tcW w:w="3296" w:type="dxa"/>
            <w:vMerge w:val="restart"/>
            <w:hideMark/>
          </w:tcPr>
          <w:p w14:paraId="54C98399" w14:textId="77777777" w:rsidR="005747A9" w:rsidRPr="005747A9" w:rsidRDefault="005747A9" w:rsidP="005747A9">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5747A9">
              <w:rPr>
                <w:rFonts w:ascii="Calibri" w:hAnsi="Calibri" w:cs="Calibri"/>
                <w:color w:val="000000"/>
                <w:szCs w:val="22"/>
              </w:rPr>
              <w:t>CDR telecommunications sectoral assessment (Treasury 2021)</w:t>
            </w:r>
          </w:p>
        </w:tc>
      </w:tr>
      <w:tr w:rsidR="005747A9" w:rsidRPr="005747A9" w14:paraId="1F16EB45" w14:textId="77777777" w:rsidTr="00302942">
        <w:trPr>
          <w:trHeight w:val="34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5F079F34" w14:textId="71E91D4C" w:rsidR="005747A9" w:rsidRPr="007C23FC" w:rsidRDefault="005747A9" w:rsidP="005747A9">
            <w:pPr>
              <w:spacing w:before="0" w:after="0"/>
              <w:rPr>
                <w:rFonts w:ascii="Calibri" w:hAnsi="Calibri" w:cs="Calibri"/>
                <w:b w:val="0"/>
                <w:bCs w:val="0"/>
                <w:color w:val="000000"/>
                <w:szCs w:val="22"/>
              </w:rPr>
            </w:pPr>
            <w:r w:rsidRPr="007C23FC">
              <w:rPr>
                <w:rFonts w:ascii="Calibri" w:hAnsi="Calibri" w:cs="Calibri"/>
                <w:b w:val="0"/>
                <w:bCs w:val="0"/>
                <w:color w:val="000000"/>
                <w:szCs w:val="22"/>
              </w:rPr>
              <w:t xml:space="preserve">Large </w:t>
            </w:r>
            <w:r w:rsidR="007C23FC">
              <w:rPr>
                <w:rFonts w:ascii="Calibri" w:hAnsi="Calibri" w:cs="Calibri"/>
                <w:b w:val="0"/>
                <w:bCs w:val="0"/>
                <w:color w:val="000000"/>
                <w:szCs w:val="22"/>
              </w:rPr>
              <w:t>t</w:t>
            </w:r>
            <w:r w:rsidRPr="007C23FC">
              <w:rPr>
                <w:rFonts w:ascii="Calibri" w:hAnsi="Calibri" w:cs="Calibri"/>
                <w:b w:val="0"/>
                <w:bCs w:val="0"/>
                <w:color w:val="000000"/>
                <w:szCs w:val="22"/>
              </w:rPr>
              <w:t>elco</w:t>
            </w:r>
          </w:p>
        </w:tc>
        <w:tc>
          <w:tcPr>
            <w:tcW w:w="1610" w:type="dxa"/>
            <w:noWrap/>
            <w:hideMark/>
          </w:tcPr>
          <w:p w14:paraId="4273681B" w14:textId="77777777" w:rsidR="005747A9" w:rsidRPr="005747A9" w:rsidRDefault="005747A9" w:rsidP="005747A9">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5747A9">
              <w:rPr>
                <w:rFonts w:ascii="Calibri" w:hAnsi="Calibri" w:cs="Calibri"/>
                <w:color w:val="000000"/>
                <w:szCs w:val="22"/>
              </w:rPr>
              <w:t>$4,986,000</w:t>
            </w:r>
          </w:p>
        </w:tc>
        <w:tc>
          <w:tcPr>
            <w:tcW w:w="1650" w:type="dxa"/>
            <w:noWrap/>
            <w:hideMark/>
          </w:tcPr>
          <w:p w14:paraId="606DA1F5" w14:textId="77777777" w:rsidR="005747A9" w:rsidRPr="005747A9" w:rsidRDefault="005747A9" w:rsidP="005747A9">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5747A9">
              <w:rPr>
                <w:rFonts w:ascii="Calibri" w:hAnsi="Calibri" w:cs="Calibri"/>
                <w:color w:val="000000"/>
                <w:szCs w:val="22"/>
              </w:rPr>
              <w:t>$1,484,000</w:t>
            </w:r>
          </w:p>
        </w:tc>
        <w:tc>
          <w:tcPr>
            <w:tcW w:w="3296" w:type="dxa"/>
            <w:vMerge/>
            <w:hideMark/>
          </w:tcPr>
          <w:p w14:paraId="68EB1F26" w14:textId="77777777" w:rsidR="005747A9" w:rsidRPr="005747A9" w:rsidRDefault="005747A9" w:rsidP="005747A9">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302942" w:rsidRPr="005747A9" w14:paraId="46F84605" w14:textId="77777777" w:rsidTr="0030294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D4C7036" w14:textId="77777777" w:rsidR="005747A9" w:rsidRPr="007C23FC" w:rsidRDefault="005747A9" w:rsidP="005747A9">
            <w:pPr>
              <w:spacing w:before="0" w:after="0"/>
              <w:rPr>
                <w:rFonts w:ascii="Calibri" w:hAnsi="Calibri" w:cs="Calibri"/>
                <w:b w:val="0"/>
                <w:bCs w:val="0"/>
                <w:color w:val="000000"/>
                <w:szCs w:val="22"/>
              </w:rPr>
            </w:pPr>
            <w:r w:rsidRPr="007C23FC">
              <w:rPr>
                <w:rFonts w:ascii="Calibri" w:hAnsi="Calibri" w:cs="Calibri"/>
                <w:b w:val="0"/>
                <w:bCs w:val="0"/>
                <w:color w:val="000000"/>
                <w:szCs w:val="22"/>
              </w:rPr>
              <w:t>Medium non-bank lender</w:t>
            </w:r>
          </w:p>
        </w:tc>
        <w:tc>
          <w:tcPr>
            <w:tcW w:w="1610" w:type="dxa"/>
            <w:noWrap/>
            <w:hideMark/>
          </w:tcPr>
          <w:p w14:paraId="08799FA9" w14:textId="77777777" w:rsidR="005747A9" w:rsidRPr="005747A9" w:rsidRDefault="005747A9" w:rsidP="005747A9">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5747A9">
              <w:rPr>
                <w:rFonts w:ascii="Calibri" w:hAnsi="Calibri" w:cs="Calibri"/>
                <w:color w:val="000000"/>
                <w:szCs w:val="22"/>
              </w:rPr>
              <w:t>$826,000</w:t>
            </w:r>
          </w:p>
        </w:tc>
        <w:tc>
          <w:tcPr>
            <w:tcW w:w="1650" w:type="dxa"/>
            <w:noWrap/>
            <w:hideMark/>
          </w:tcPr>
          <w:p w14:paraId="3CEEDA48" w14:textId="77777777" w:rsidR="005747A9" w:rsidRPr="005747A9" w:rsidRDefault="005747A9" w:rsidP="005747A9">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5747A9">
              <w:rPr>
                <w:rFonts w:ascii="Calibri" w:hAnsi="Calibri" w:cs="Calibri"/>
                <w:color w:val="000000"/>
                <w:szCs w:val="22"/>
              </w:rPr>
              <w:t>$330,000</w:t>
            </w:r>
          </w:p>
        </w:tc>
        <w:tc>
          <w:tcPr>
            <w:tcW w:w="3296" w:type="dxa"/>
            <w:vMerge w:val="restart"/>
            <w:hideMark/>
          </w:tcPr>
          <w:p w14:paraId="3238C55D" w14:textId="77777777" w:rsidR="005747A9" w:rsidRPr="005747A9" w:rsidRDefault="005747A9" w:rsidP="005747A9">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5747A9">
              <w:rPr>
                <w:rFonts w:ascii="Calibri" w:hAnsi="Calibri" w:cs="Calibri"/>
                <w:color w:val="000000"/>
                <w:szCs w:val="22"/>
              </w:rPr>
              <w:t>CDR non-bank lending sectoral assessment (Treasury 2022)</w:t>
            </w:r>
          </w:p>
        </w:tc>
      </w:tr>
      <w:tr w:rsidR="005747A9" w:rsidRPr="005747A9" w14:paraId="66BB7BDB" w14:textId="77777777" w:rsidTr="00302942">
        <w:trPr>
          <w:trHeight w:val="34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3DA3015D" w14:textId="77777777" w:rsidR="005747A9" w:rsidRPr="007C23FC" w:rsidRDefault="005747A9" w:rsidP="005747A9">
            <w:pPr>
              <w:spacing w:before="0" w:after="0"/>
              <w:rPr>
                <w:rFonts w:ascii="Calibri" w:hAnsi="Calibri" w:cs="Calibri"/>
                <w:b w:val="0"/>
                <w:bCs w:val="0"/>
                <w:color w:val="000000"/>
                <w:szCs w:val="22"/>
              </w:rPr>
            </w:pPr>
            <w:r w:rsidRPr="007C23FC">
              <w:rPr>
                <w:rFonts w:ascii="Calibri" w:hAnsi="Calibri" w:cs="Calibri"/>
                <w:b w:val="0"/>
                <w:bCs w:val="0"/>
                <w:color w:val="000000"/>
                <w:szCs w:val="22"/>
              </w:rPr>
              <w:t xml:space="preserve">Large non-bank lender </w:t>
            </w:r>
          </w:p>
        </w:tc>
        <w:tc>
          <w:tcPr>
            <w:tcW w:w="1610" w:type="dxa"/>
            <w:noWrap/>
            <w:hideMark/>
          </w:tcPr>
          <w:p w14:paraId="31781491" w14:textId="77777777" w:rsidR="005747A9" w:rsidRPr="005747A9" w:rsidRDefault="005747A9" w:rsidP="005747A9">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5747A9">
              <w:rPr>
                <w:rFonts w:ascii="Calibri" w:hAnsi="Calibri" w:cs="Calibri"/>
                <w:color w:val="000000"/>
                <w:szCs w:val="22"/>
              </w:rPr>
              <w:t>$3,302,000</w:t>
            </w:r>
          </w:p>
        </w:tc>
        <w:tc>
          <w:tcPr>
            <w:tcW w:w="1650" w:type="dxa"/>
            <w:noWrap/>
            <w:hideMark/>
          </w:tcPr>
          <w:p w14:paraId="66B9D8F6" w14:textId="77777777" w:rsidR="005747A9" w:rsidRPr="005747A9" w:rsidRDefault="005747A9" w:rsidP="005747A9">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5747A9">
              <w:rPr>
                <w:rFonts w:ascii="Calibri" w:hAnsi="Calibri" w:cs="Calibri"/>
                <w:color w:val="000000"/>
                <w:szCs w:val="22"/>
              </w:rPr>
              <w:t>$1,101,000</w:t>
            </w:r>
          </w:p>
        </w:tc>
        <w:tc>
          <w:tcPr>
            <w:tcW w:w="3296" w:type="dxa"/>
            <w:vMerge/>
            <w:hideMark/>
          </w:tcPr>
          <w:p w14:paraId="02C550DA" w14:textId="77777777" w:rsidR="005747A9" w:rsidRPr="005747A9" w:rsidRDefault="005747A9" w:rsidP="005747A9">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bl>
    <w:p w14:paraId="44E3A569" w14:textId="25760935" w:rsidR="003E58A1" w:rsidRPr="003E58A1" w:rsidRDefault="00D32795" w:rsidP="003E58A1">
      <w:r>
        <w:t xml:space="preserve">As </w:t>
      </w:r>
      <w:r w:rsidR="00DD1B38">
        <w:t xml:space="preserve">information sharing for option 2 under the SPF </w:t>
      </w:r>
      <w:r w:rsidR="00ED3879">
        <w:t xml:space="preserve">would be less resource intensive than the CDR, it is assumed a regulated entity would </w:t>
      </w:r>
      <w:r w:rsidR="00DE365D">
        <w:t xml:space="preserve">incur </w:t>
      </w:r>
      <w:r w:rsidR="009C33D6">
        <w:t>2</w:t>
      </w:r>
      <w:r w:rsidR="00DE365D">
        <w:t>0 per cent of the</w:t>
      </w:r>
      <w:r w:rsidR="009C33D6">
        <w:t xml:space="preserve"> CDR benchmark costs</w:t>
      </w:r>
      <w:r w:rsidR="002C0742">
        <w:t xml:space="preserve"> if </w:t>
      </w:r>
      <w:r w:rsidR="0021738C">
        <w:t>needing to develop information sharing capabilities</w:t>
      </w:r>
      <w:r w:rsidR="00B64E94">
        <w:t xml:space="preserve"> with the government regulator</w:t>
      </w:r>
      <w:r w:rsidR="005A33BB">
        <w:t xml:space="preserve"> without similar prior </w:t>
      </w:r>
      <w:r w:rsidR="0089518B">
        <w:t xml:space="preserve">or intended </w:t>
      </w:r>
      <w:r w:rsidR="005A33BB">
        <w:t>activities</w:t>
      </w:r>
      <w:r w:rsidR="009C33D6">
        <w:t>.</w:t>
      </w:r>
      <w:r w:rsidR="00DE365D">
        <w:t xml:space="preserve"> </w:t>
      </w:r>
      <w:r w:rsidR="00A15B8B">
        <w:t xml:space="preserve">Given </w:t>
      </w:r>
      <w:r w:rsidR="0022551E">
        <w:t xml:space="preserve">many entities are </w:t>
      </w:r>
      <w:r w:rsidR="00786BC2">
        <w:t xml:space="preserve">already undertaking information sharing </w:t>
      </w:r>
      <w:r w:rsidR="00237D6E">
        <w:t xml:space="preserve">without the SPF, </w:t>
      </w:r>
      <w:r w:rsidR="007F5770">
        <w:t xml:space="preserve">such entities would only be assumed to need to incur around 5 per cent of the </w:t>
      </w:r>
      <w:r>
        <w:t>CDR cost benchmark.</w:t>
      </w:r>
    </w:p>
    <w:p w14:paraId="6080E9D3" w14:textId="40F95496" w:rsidR="005D5EA7" w:rsidRDefault="005D5EA7" w:rsidP="005D5EA7">
      <w:pPr>
        <w:pStyle w:val="Heading7"/>
      </w:pPr>
      <w:r>
        <w:t>External dispute resolution costs</w:t>
      </w:r>
    </w:p>
    <w:p w14:paraId="34852E50" w14:textId="0C85916F" w:rsidR="00581268" w:rsidRDefault="00581268" w:rsidP="00793059">
      <w:r>
        <w:t>Costs to regulated entities for engag</w:t>
      </w:r>
      <w:r w:rsidR="002607A6">
        <w:t xml:space="preserve">ing in EDR programs </w:t>
      </w:r>
      <w:r w:rsidR="00DC1766">
        <w:t>are</w:t>
      </w:r>
      <w:r w:rsidR="002607A6">
        <w:t xml:space="preserve"> </w:t>
      </w:r>
      <w:r w:rsidR="00DC1766">
        <w:t>estimated</w:t>
      </w:r>
      <w:r w:rsidR="002607A6">
        <w:t xml:space="preserve"> based on </w:t>
      </w:r>
      <w:r w:rsidR="005D0352">
        <w:t xml:space="preserve">the fee structures and experiences of entities engaged with </w:t>
      </w:r>
      <w:r w:rsidR="00470045">
        <w:t>AFCA’s</w:t>
      </w:r>
      <w:r w:rsidR="005D0352">
        <w:t xml:space="preserve"> </w:t>
      </w:r>
      <w:r w:rsidR="00470045">
        <w:t>EDR</w:t>
      </w:r>
      <w:r w:rsidR="001C4BE9">
        <w:t xml:space="preserve"> process.</w:t>
      </w:r>
      <w:r w:rsidR="00E02ADF" w:rsidRPr="00194333">
        <w:rPr>
          <w:rStyle w:val="FootnoteReference"/>
          <w:vertAlign w:val="superscript"/>
        </w:rPr>
        <w:footnoteReference w:id="87"/>
      </w:r>
    </w:p>
    <w:p w14:paraId="07201A5F" w14:textId="068C307C" w:rsidR="007665B7" w:rsidRDefault="00793059" w:rsidP="00793059">
      <w:r>
        <w:t xml:space="preserve">AFCA is a not-for-profit body and recovers its cost from members. It relies on three funding streams to support its business operations: </w:t>
      </w:r>
    </w:p>
    <w:p w14:paraId="2EFC9914" w14:textId="4E627696" w:rsidR="007665B7" w:rsidRPr="007665B7" w:rsidRDefault="00793059" w:rsidP="00E004C0">
      <w:pPr>
        <w:pStyle w:val="ListParagraph"/>
        <w:numPr>
          <w:ilvl w:val="0"/>
          <w:numId w:val="33"/>
        </w:numPr>
        <w:rPr>
          <w:rFonts w:ascii="Calibri" w:hAnsi="Calibri"/>
        </w:rPr>
      </w:pPr>
      <w:r>
        <w:t>annual membership fees</w:t>
      </w:r>
      <w:r w:rsidR="007665B7">
        <w:t>,</w:t>
      </w:r>
    </w:p>
    <w:p w14:paraId="5C0DA53E" w14:textId="77777777" w:rsidR="007665B7" w:rsidRPr="007665B7" w:rsidRDefault="00793059" w:rsidP="00E004C0">
      <w:pPr>
        <w:pStyle w:val="ListParagraph"/>
        <w:numPr>
          <w:ilvl w:val="0"/>
          <w:numId w:val="33"/>
        </w:numPr>
        <w:rPr>
          <w:rFonts w:ascii="Calibri" w:hAnsi="Calibri"/>
        </w:rPr>
      </w:pPr>
      <w:r>
        <w:t xml:space="preserve">fees collected from members subject to a complaint (complaint fees), and </w:t>
      </w:r>
    </w:p>
    <w:p w14:paraId="4B36B65C" w14:textId="04200933" w:rsidR="00793059" w:rsidRPr="007665B7" w:rsidRDefault="00793059" w:rsidP="00E004C0">
      <w:pPr>
        <w:pStyle w:val="ListParagraph"/>
        <w:numPr>
          <w:ilvl w:val="0"/>
          <w:numId w:val="33"/>
        </w:numPr>
        <w:rPr>
          <w:rFonts w:ascii="Calibri" w:hAnsi="Calibri"/>
        </w:rPr>
      </w:pPr>
      <w:proofErr w:type="gramStart"/>
      <w:r>
        <w:lastRenderedPageBreak/>
        <w:t>a</w:t>
      </w:r>
      <w:proofErr w:type="gramEnd"/>
      <w:r>
        <w:t xml:space="preserve"> proportionate charge to members who have had six or more complaints brought against them during the period (user charge). </w:t>
      </w:r>
    </w:p>
    <w:p w14:paraId="28E134D2" w14:textId="618BFE34" w:rsidR="005417EA" w:rsidRPr="005417EA" w:rsidRDefault="00793059" w:rsidP="005417EA">
      <w:r>
        <w:t xml:space="preserve">AFCA’s annual </w:t>
      </w:r>
      <w:r w:rsidR="00D8020E">
        <w:t xml:space="preserve">membership </w:t>
      </w:r>
      <w:r>
        <w:t xml:space="preserve">fee for financial firms is expected to be </w:t>
      </w:r>
      <w:r w:rsidR="00F26BA5">
        <w:t xml:space="preserve">around </w:t>
      </w:r>
      <w:r w:rsidR="00057946">
        <w:t>~</w:t>
      </w:r>
      <w:hyperlink r:id="rId42" w:history="1">
        <w:r w:rsidRPr="008F102D">
          <w:rPr>
            <w:rStyle w:val="Hyperlink"/>
            <w:color w:val="auto"/>
          </w:rPr>
          <w:t>$</w:t>
        </w:r>
        <w:r w:rsidR="00051354">
          <w:rPr>
            <w:rStyle w:val="Hyperlink"/>
            <w:color w:val="auto"/>
          </w:rPr>
          <w:t>3</w:t>
        </w:r>
        <w:r w:rsidR="005248B8" w:rsidRPr="008F102D">
          <w:rPr>
            <w:rStyle w:val="Hyperlink"/>
            <w:color w:val="auto"/>
          </w:rPr>
          <w:t>89</w:t>
        </w:r>
        <w:r w:rsidRPr="008F102D">
          <w:rPr>
            <w:rStyle w:val="Hyperlink"/>
            <w:color w:val="auto"/>
          </w:rPr>
          <w:t xml:space="preserve"> in FY</w:t>
        </w:r>
        <w:r w:rsidR="00A968F1" w:rsidRPr="008F102D">
          <w:rPr>
            <w:rStyle w:val="Hyperlink"/>
            <w:color w:val="auto"/>
          </w:rPr>
          <w:t>20</w:t>
        </w:r>
        <w:r w:rsidRPr="008F102D">
          <w:rPr>
            <w:rStyle w:val="Hyperlink"/>
            <w:color w:val="auto"/>
          </w:rPr>
          <w:t>2</w:t>
        </w:r>
      </w:hyperlink>
      <w:r w:rsidR="00CD47FD" w:rsidRPr="008F102D">
        <w:t>4</w:t>
      </w:r>
      <w:r w:rsidR="00A968F1">
        <w:t>-2</w:t>
      </w:r>
      <w:r w:rsidR="00CD47FD">
        <w:t>5</w:t>
      </w:r>
      <w:r>
        <w:t>.</w:t>
      </w:r>
      <w:r w:rsidR="005417EA" w:rsidRPr="00874346">
        <w:t xml:space="preserve"> Complaint fees and </w:t>
      </w:r>
      <w:proofErr w:type="gramStart"/>
      <w:r w:rsidR="005417EA" w:rsidRPr="00874346">
        <w:t>an</w:t>
      </w:r>
      <w:proofErr w:type="gramEnd"/>
      <w:r w:rsidR="005417EA" w:rsidRPr="00874346">
        <w:t xml:space="preserve"> proportionate user charge</w:t>
      </w:r>
      <w:r w:rsidR="00DE32F6">
        <w:t>s</w:t>
      </w:r>
      <w:r w:rsidR="005417EA" w:rsidRPr="00874346">
        <w:t xml:space="preserve"> </w:t>
      </w:r>
      <w:r w:rsidR="00DE32F6">
        <w:t>are</w:t>
      </w:r>
      <w:r w:rsidR="005417EA" w:rsidRPr="00874346">
        <w:t xml:space="preserve"> calculated based on prior year’s AFCA dispute handling data</w:t>
      </w:r>
      <w:r w:rsidR="005417EA" w:rsidRPr="005417EA">
        <w:t>.</w:t>
      </w:r>
    </w:p>
    <w:p w14:paraId="170CBB17" w14:textId="628216EA" w:rsidR="00793059" w:rsidRDefault="005417EA" w:rsidP="00793059">
      <w:r w:rsidRPr="00874346">
        <w:t>AFCA’s fee schedule incentivises early resolution of disputes by regulated entities.</w:t>
      </w:r>
      <w:r w:rsidR="00F45952" w:rsidRPr="00F45952">
        <w:t xml:space="preserve"> EDR costs will be minimised if they meet their mandatory obligations, resolve complaints directly with their customers at the IDR stage or resolve complaints early where they are escalated to EDR. </w:t>
      </w:r>
      <w:r w:rsidR="00793059">
        <w:t xml:space="preserve">AFCA does not charge for the first five complaints in a financial year against a member. After that, AFCA’s complaint fees depend on where in the process that the relevant complaint gets resolved. </w:t>
      </w:r>
      <w:r w:rsidR="007122AD">
        <w:t>F</w:t>
      </w:r>
      <w:r w:rsidR="00793059">
        <w:t>ees are smaller at the earlier stages and increase if the complaint requires a decision. The fee schedule encourages earlier resolution of complaints and for firms to improve their IDR process</w:t>
      </w:r>
      <w:r w:rsidR="00F16F51">
        <w:t xml:space="preserve">, </w:t>
      </w:r>
      <w:r w:rsidR="00793059">
        <w:t>which decrease</w:t>
      </w:r>
      <w:r w:rsidR="00096EE6">
        <w:t>s</w:t>
      </w:r>
      <w:r w:rsidR="00793059">
        <w:t xml:space="preserve"> the need for the complaints to come to AFCA. </w:t>
      </w:r>
    </w:p>
    <w:p w14:paraId="5CF45A40" w14:textId="52A40C99" w:rsidR="00793059" w:rsidRDefault="006E68DA" w:rsidP="00793059">
      <w:r>
        <w:t>The</w:t>
      </w:r>
      <w:r w:rsidR="00793059">
        <w:t xml:space="preserve"> </w:t>
      </w:r>
      <w:hyperlink r:id="rId43" w:history="1">
        <w:r w:rsidR="00793059" w:rsidRPr="00C064B3">
          <w:rPr>
            <w:rStyle w:val="Hyperlink"/>
            <w:color w:val="auto"/>
          </w:rPr>
          <w:t>user charge</w:t>
        </w:r>
      </w:hyperlink>
      <w:r w:rsidR="00793059" w:rsidRPr="00C064B3">
        <w:t xml:space="preserve"> is a </w:t>
      </w:r>
      <w:r w:rsidR="00793059">
        <w:t xml:space="preserve">proportionate annual charge which is calculated at the start of the financial year and is based on </w:t>
      </w:r>
      <w:r w:rsidR="00AE7EE7">
        <w:t>AFCA’s</w:t>
      </w:r>
      <w:r w:rsidR="00793059">
        <w:t xml:space="preserve"> prior year </w:t>
      </w:r>
      <w:r w:rsidR="00AE7EE7">
        <w:t>dispute handing</w:t>
      </w:r>
      <w:r w:rsidR="00793059">
        <w:t xml:space="preserve"> data. </w:t>
      </w:r>
      <w:r w:rsidR="00321BBC">
        <w:t>M</w:t>
      </w:r>
      <w:r w:rsidR="00793059">
        <w:t xml:space="preserve">ore frequent users of AFCA’s service pay higher user charges. </w:t>
      </w:r>
    </w:p>
    <w:p w14:paraId="786A63D5" w14:textId="2840A972" w:rsidR="005D5EA7" w:rsidRPr="007F5BAE" w:rsidRDefault="00321E50" w:rsidP="005D5EA7">
      <w:bookmarkStart w:id="90" w:name="_Hlk177402176"/>
      <w:r>
        <w:t>In 2</w:t>
      </w:r>
      <w:r w:rsidR="007F5BAE">
        <w:t>02</w:t>
      </w:r>
      <w:r w:rsidR="000C4DAD">
        <w:t>3</w:t>
      </w:r>
      <w:r>
        <w:t>-2</w:t>
      </w:r>
      <w:r w:rsidR="000C4DAD">
        <w:t>4</w:t>
      </w:r>
      <w:r>
        <w:t xml:space="preserve">, AFCA received </w:t>
      </w:r>
      <w:r w:rsidR="000C4DAD">
        <w:t>10,928</w:t>
      </w:r>
      <w:r>
        <w:t xml:space="preserve"> scam complaints, with </w:t>
      </w:r>
      <w:r w:rsidR="000C4DAD">
        <w:t>67</w:t>
      </w:r>
      <w:r>
        <w:t>% of the complaints closed at the ‘registration and referral’ stage</w:t>
      </w:r>
      <w:r w:rsidR="007220AC">
        <w:t>.</w:t>
      </w:r>
      <w:r w:rsidR="007220AC" w:rsidRPr="007220AC">
        <w:rPr>
          <w:rStyle w:val="FootnoteReference"/>
          <w:vertAlign w:val="superscript"/>
        </w:rPr>
        <w:footnoteReference w:id="88"/>
      </w:r>
      <w:r w:rsidR="009B1688">
        <w:t xml:space="preserve"> Under the 2024-25 fee schedule</w:t>
      </w:r>
      <w:r w:rsidR="00B56F21">
        <w:t>,</w:t>
      </w:r>
      <w:r w:rsidR="009B1688">
        <w:t xml:space="preserve"> </w:t>
      </w:r>
      <w:r w:rsidR="00B56F21">
        <w:t xml:space="preserve">AFCA </w:t>
      </w:r>
      <w:r w:rsidR="005248B8">
        <w:t>has a complaint fee of $96</w:t>
      </w:r>
      <w:r w:rsidR="00E553D6">
        <w:t xml:space="preserve"> for cases at the ‘registration and referral’ stage.</w:t>
      </w:r>
      <w:r w:rsidR="001C25A8" w:rsidRPr="0051274A">
        <w:rPr>
          <w:rStyle w:val="FootnoteReference"/>
          <w:vertAlign w:val="superscript"/>
        </w:rPr>
        <w:footnoteReference w:id="89"/>
      </w:r>
      <w:r w:rsidR="005248B8" w:rsidRPr="0051274A">
        <w:rPr>
          <w:vertAlign w:val="superscript"/>
        </w:rPr>
        <w:t xml:space="preserve"> </w:t>
      </w:r>
    </w:p>
    <w:bookmarkEnd w:id="90"/>
    <w:p w14:paraId="2B312AA9" w14:textId="7A841F26" w:rsidR="005D5EA7" w:rsidRDefault="008E367A" w:rsidP="005D5EA7">
      <w:r>
        <w:t xml:space="preserve">As a conservative estimate of regulatory costs for the purposes of this </w:t>
      </w:r>
      <w:r w:rsidR="001D322C">
        <w:t>IA</w:t>
      </w:r>
      <w:r w:rsidR="0073793C">
        <w:t xml:space="preserve"> it is assumed </w:t>
      </w:r>
      <w:r w:rsidR="00C35201">
        <w:t xml:space="preserve">that </w:t>
      </w:r>
      <w:r w:rsidR="0073793C">
        <w:t>entit</w:t>
      </w:r>
      <w:r w:rsidR="007122AD">
        <w:t>ies</w:t>
      </w:r>
      <w:r w:rsidR="0073793C">
        <w:t xml:space="preserve"> which </w:t>
      </w:r>
      <w:r w:rsidR="00C35201">
        <w:t>are</w:t>
      </w:r>
      <w:r w:rsidR="0073793C">
        <w:t xml:space="preserve"> not currently a part of an EDR scheme w</w:t>
      </w:r>
      <w:r w:rsidR="007122AD">
        <w:t xml:space="preserve">ould incur </w:t>
      </w:r>
      <w:r w:rsidR="00C35201">
        <w:t xml:space="preserve">approximately </w:t>
      </w:r>
      <w:r w:rsidR="007122AD">
        <w:t>costs o</w:t>
      </w:r>
      <w:r w:rsidR="00CA1F5A">
        <w:t>f $</w:t>
      </w:r>
      <w:r w:rsidR="00F57D29">
        <w:t>924</w:t>
      </w:r>
      <w:r w:rsidR="007122AD">
        <w:t xml:space="preserve"> </w:t>
      </w:r>
      <w:r w:rsidR="00783002">
        <w:t>per complaint</w:t>
      </w:r>
      <w:r w:rsidR="00F57D29">
        <w:t xml:space="preserve"> (inclusive of GST)</w:t>
      </w:r>
      <w:r w:rsidR="00783002">
        <w:t xml:space="preserve">. </w:t>
      </w:r>
      <w:r w:rsidR="00CA1F5A">
        <w:t xml:space="preserve">This is based on </w:t>
      </w:r>
      <w:r w:rsidR="002800A5">
        <w:t>AFCA</w:t>
      </w:r>
      <w:r w:rsidR="00CA1F5A">
        <w:t xml:space="preserve"> 202</w:t>
      </w:r>
      <w:r w:rsidR="006B63BF">
        <w:t>3</w:t>
      </w:r>
      <w:r w:rsidR="00CA1F5A">
        <w:t>-2</w:t>
      </w:r>
      <w:r w:rsidR="006B63BF">
        <w:t>4</w:t>
      </w:r>
      <w:r w:rsidR="00CA1F5A">
        <w:t xml:space="preserve"> data on distribution of </w:t>
      </w:r>
      <w:r w:rsidR="006A7F95">
        <w:t>the stage AFCA scam complaints are closed and the approximate 202</w:t>
      </w:r>
      <w:r w:rsidR="0096032A">
        <w:t>4-25 fee associated with complaints at that stage.</w:t>
      </w:r>
      <w:r w:rsidR="00F0373A">
        <w:t xml:space="preserve"> </w:t>
      </w:r>
    </w:p>
    <w:p w14:paraId="41618FD7" w14:textId="18314841" w:rsidR="00E725C2" w:rsidRDefault="004E7482" w:rsidP="005D5EA7">
      <w:r>
        <w:t xml:space="preserve">The </w:t>
      </w:r>
      <w:r w:rsidRPr="00E725C2">
        <w:t>annual AFCA fees for scam complaints per entity</w:t>
      </w:r>
      <w:r>
        <w:t xml:space="preserve"> is estimated b</w:t>
      </w:r>
      <w:r w:rsidR="00475C78">
        <w:t xml:space="preserve">y </w:t>
      </w:r>
      <w:r w:rsidR="00761138">
        <w:t xml:space="preserve">apportioning </w:t>
      </w:r>
      <w:r w:rsidR="004F31D1">
        <w:t xml:space="preserve">the approximately </w:t>
      </w:r>
      <w:r w:rsidR="006B63BF">
        <w:t>11</w:t>
      </w:r>
      <w:r w:rsidR="004F31D1">
        <w:t xml:space="preserve">,000 </w:t>
      </w:r>
      <w:r w:rsidR="00661D22">
        <w:t xml:space="preserve">complaints received each year </w:t>
      </w:r>
      <w:r w:rsidR="00350A2D">
        <w:t xml:space="preserve">across types of </w:t>
      </w:r>
      <w:r w:rsidR="0007393E">
        <w:t>banks and other ADIs</w:t>
      </w:r>
      <w:r w:rsidR="001A1375">
        <w:t xml:space="preserve"> according to the market share </w:t>
      </w:r>
      <w:r w:rsidR="00820FE3">
        <w:t xml:space="preserve">of total residential </w:t>
      </w:r>
      <w:r w:rsidR="00027903">
        <w:t>deposits</w:t>
      </w:r>
      <w:r w:rsidR="00725CEC">
        <w:t>.</w:t>
      </w:r>
      <w:r w:rsidR="00010618" w:rsidRPr="007C418A">
        <w:rPr>
          <w:rStyle w:val="FootnoteReference"/>
          <w:vertAlign w:val="superscript"/>
        </w:rPr>
        <w:footnoteReference w:id="90"/>
      </w:r>
      <w:r w:rsidR="008C4590">
        <w:t xml:space="preserve"> These estimates</w:t>
      </w:r>
      <w:r w:rsidR="000D20DE">
        <w:t xml:space="preserve"> are outlined </w:t>
      </w:r>
      <w:r w:rsidR="00692C4B">
        <w:t xml:space="preserve">in </w:t>
      </w:r>
      <w:r w:rsidR="00F74F1E">
        <w:fldChar w:fldCharType="begin"/>
      </w:r>
      <w:r w:rsidR="00F74F1E">
        <w:instrText xml:space="preserve"> REF _Ref176989453 \h </w:instrText>
      </w:r>
      <w:r w:rsidR="00F74F1E">
        <w:fldChar w:fldCharType="separate"/>
      </w:r>
      <w:r w:rsidR="005C6ADC">
        <w:t xml:space="preserve">Table </w:t>
      </w:r>
      <w:r w:rsidR="005C6ADC">
        <w:rPr>
          <w:noProof/>
        </w:rPr>
        <w:t>21</w:t>
      </w:r>
      <w:r w:rsidR="00F74F1E">
        <w:fldChar w:fldCharType="end"/>
      </w:r>
      <w:r w:rsidR="00692C4B">
        <w:t xml:space="preserve"> </w:t>
      </w:r>
      <w:r w:rsidR="000D20DE">
        <w:t xml:space="preserve">(covers major banks, non-major ABA member banks and other ADIs) </w:t>
      </w:r>
      <w:r w:rsidR="00692C4B">
        <w:t>and</w:t>
      </w:r>
      <w:r w:rsidR="000D20DE">
        <w:t xml:space="preserve"> are</w:t>
      </w:r>
      <w:r w:rsidR="00692C4B">
        <w:t xml:space="preserve"> </w:t>
      </w:r>
      <w:r w:rsidR="007B71C1">
        <w:t>used as benchmarks fo</w:t>
      </w:r>
      <w:r w:rsidR="001559CC">
        <w:t>r EDR costs</w:t>
      </w:r>
      <w:r w:rsidR="00F74F1E">
        <w:t xml:space="preserve"> for regulated entities in the banking sector, a</w:t>
      </w:r>
      <w:r w:rsidR="001B1A6D">
        <w:t>s well as telecommunications and digital platforms</w:t>
      </w:r>
      <w:r w:rsidR="001559CC">
        <w:t>.</w:t>
      </w:r>
    </w:p>
    <w:p w14:paraId="592C7821" w14:textId="46D939CC" w:rsidR="00F50526" w:rsidRDefault="001559CC" w:rsidP="00A6756E">
      <w:pPr>
        <w:pStyle w:val="Heading8"/>
      </w:pPr>
      <w:bookmarkStart w:id="91" w:name="_Ref176989453"/>
      <w:r>
        <w:t xml:space="preserve">Table </w:t>
      </w:r>
      <w:fldSimple w:instr=" SEQ Table \* ARABIC ">
        <w:r w:rsidR="001813FC">
          <w:rPr>
            <w:noProof/>
          </w:rPr>
          <w:t>21</w:t>
        </w:r>
      </w:fldSimple>
      <w:bookmarkEnd w:id="91"/>
      <w:r w:rsidR="000E1CDD">
        <w:t xml:space="preserve"> – Estimated </w:t>
      </w:r>
      <w:r w:rsidR="005123E2">
        <w:t xml:space="preserve">annual </w:t>
      </w:r>
      <w:r w:rsidR="00E54308">
        <w:t xml:space="preserve">EDR </w:t>
      </w:r>
      <w:r w:rsidR="005123E2">
        <w:t xml:space="preserve">costs for scam complaints by type of </w:t>
      </w:r>
      <w:r w:rsidR="00090FF7">
        <w:t>entity</w:t>
      </w:r>
      <w:r w:rsidR="000C6B8A" w:rsidRPr="000C6B8A">
        <w:rPr>
          <w:rStyle w:val="FootnoteReference"/>
          <w:vertAlign w:val="superscript"/>
        </w:rPr>
        <w:footnoteReference w:id="91"/>
      </w:r>
    </w:p>
    <w:tbl>
      <w:tblPr>
        <w:tblStyle w:val="GridTable4-Accent3"/>
        <w:tblW w:w="9239" w:type="dxa"/>
        <w:tblLook w:val="04A0" w:firstRow="1" w:lastRow="0" w:firstColumn="1" w:lastColumn="0" w:noHBand="0" w:noVBand="1"/>
      </w:tblPr>
      <w:tblGrid>
        <w:gridCol w:w="3256"/>
        <w:gridCol w:w="992"/>
        <w:gridCol w:w="1417"/>
        <w:gridCol w:w="1560"/>
        <w:gridCol w:w="2014"/>
      </w:tblGrid>
      <w:tr w:rsidR="00F50526" w:rsidRPr="00F50526" w14:paraId="1A4DDFE6" w14:textId="77777777" w:rsidTr="005C6ADC">
        <w:trPr>
          <w:cnfStyle w:val="100000000000" w:firstRow="1" w:lastRow="0" w:firstColumn="0" w:lastColumn="0" w:oddVBand="0" w:evenVBand="0" w:oddHBand="0"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89DBED2" w14:textId="77777777" w:rsidR="00F50526" w:rsidRPr="00F50526" w:rsidRDefault="00F50526" w:rsidP="00BE17D1">
            <w:pPr>
              <w:keepNext/>
              <w:keepLines/>
              <w:spacing w:before="0" w:after="0"/>
              <w:rPr>
                <w:rFonts w:ascii="Calibri" w:hAnsi="Calibri" w:cs="Calibri"/>
                <w:szCs w:val="22"/>
              </w:rPr>
            </w:pPr>
            <w:r w:rsidRPr="00F50526">
              <w:rPr>
                <w:rFonts w:ascii="Calibri" w:hAnsi="Calibri" w:cs="Calibri"/>
                <w:szCs w:val="22"/>
              </w:rPr>
              <w:t>Type of entity</w:t>
            </w:r>
          </w:p>
        </w:tc>
        <w:tc>
          <w:tcPr>
            <w:tcW w:w="992" w:type="dxa"/>
            <w:noWrap/>
            <w:hideMark/>
          </w:tcPr>
          <w:p w14:paraId="06AE75A7" w14:textId="77777777" w:rsidR="00F50526" w:rsidRPr="00F50526" w:rsidRDefault="00F50526" w:rsidP="005C6ADC">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r w:rsidRPr="00F50526">
              <w:rPr>
                <w:rFonts w:ascii="Calibri" w:hAnsi="Calibri" w:cs="Calibri"/>
                <w:szCs w:val="22"/>
              </w:rPr>
              <w:t>Number</w:t>
            </w:r>
          </w:p>
        </w:tc>
        <w:tc>
          <w:tcPr>
            <w:tcW w:w="1417" w:type="dxa"/>
            <w:hideMark/>
          </w:tcPr>
          <w:p w14:paraId="6DE448B4" w14:textId="147DBCC8" w:rsidR="00F50526" w:rsidRPr="00F50526" w:rsidRDefault="00F50526" w:rsidP="005C6ADC">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r w:rsidRPr="00F50526">
              <w:rPr>
                <w:rFonts w:ascii="Calibri" w:hAnsi="Calibri" w:cs="Calibri"/>
                <w:szCs w:val="22"/>
              </w:rPr>
              <w:t>Market share</w:t>
            </w:r>
          </w:p>
        </w:tc>
        <w:tc>
          <w:tcPr>
            <w:tcW w:w="1560" w:type="dxa"/>
            <w:hideMark/>
          </w:tcPr>
          <w:p w14:paraId="69C614B4" w14:textId="4A5F2565" w:rsidR="00F50526" w:rsidRPr="00F50526" w:rsidRDefault="00F50526" w:rsidP="005C6ADC">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r w:rsidRPr="00F50526">
              <w:rPr>
                <w:rFonts w:ascii="Calibri" w:hAnsi="Calibri" w:cs="Calibri"/>
                <w:szCs w:val="22"/>
              </w:rPr>
              <w:t xml:space="preserve">Assumed </w:t>
            </w:r>
            <w:r w:rsidR="00D1095E">
              <w:rPr>
                <w:rFonts w:ascii="Calibri" w:hAnsi="Calibri" w:cs="Calibri"/>
                <w:szCs w:val="22"/>
              </w:rPr>
              <w:t xml:space="preserve">scam </w:t>
            </w:r>
            <w:r w:rsidRPr="00F50526">
              <w:rPr>
                <w:rFonts w:ascii="Calibri" w:hAnsi="Calibri" w:cs="Calibri"/>
                <w:szCs w:val="22"/>
              </w:rPr>
              <w:t>complaints per entity</w:t>
            </w:r>
          </w:p>
        </w:tc>
        <w:tc>
          <w:tcPr>
            <w:tcW w:w="2014" w:type="dxa"/>
            <w:hideMark/>
          </w:tcPr>
          <w:p w14:paraId="6F152C35" w14:textId="5E8BD478" w:rsidR="00F50526" w:rsidRPr="00F50526" w:rsidRDefault="00F50526" w:rsidP="005C6ADC">
            <w:pPr>
              <w:keepNext/>
              <w:keepLines/>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r w:rsidRPr="00F50526">
              <w:rPr>
                <w:rFonts w:ascii="Calibri" w:hAnsi="Calibri" w:cs="Calibri"/>
                <w:szCs w:val="22"/>
              </w:rPr>
              <w:t>AFCA fees for scam complaints per entity</w:t>
            </w:r>
          </w:p>
        </w:tc>
      </w:tr>
      <w:tr w:rsidR="00B367E0" w:rsidRPr="00F50526" w14:paraId="35029E9D" w14:textId="77777777" w:rsidTr="00B41B6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dxa"/>
            <w:noWrap/>
            <w:hideMark/>
          </w:tcPr>
          <w:p w14:paraId="38932ABC" w14:textId="77777777" w:rsidR="00B367E0" w:rsidRPr="00F50526" w:rsidRDefault="00B367E0" w:rsidP="00BE17D1">
            <w:pPr>
              <w:keepNext/>
              <w:keepLines/>
              <w:spacing w:before="0" w:after="0"/>
              <w:rPr>
                <w:rFonts w:ascii="Calibri" w:hAnsi="Calibri" w:cs="Calibri"/>
                <w:color w:val="000000"/>
                <w:szCs w:val="22"/>
              </w:rPr>
            </w:pPr>
            <w:r w:rsidRPr="00F50526">
              <w:rPr>
                <w:rFonts w:ascii="Calibri" w:hAnsi="Calibri" w:cs="Calibri"/>
                <w:color w:val="000000"/>
                <w:szCs w:val="22"/>
              </w:rPr>
              <w:t>Major banks</w:t>
            </w:r>
          </w:p>
        </w:tc>
        <w:tc>
          <w:tcPr>
            <w:tcW w:w="0" w:type="dxa"/>
            <w:noWrap/>
            <w:vAlign w:val="bottom"/>
            <w:hideMark/>
          </w:tcPr>
          <w:p w14:paraId="00DB4046" w14:textId="3A1D0B64" w:rsidR="00B367E0" w:rsidRPr="00F50526" w:rsidRDefault="00B367E0" w:rsidP="00BE17D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4</w:t>
            </w:r>
          </w:p>
        </w:tc>
        <w:tc>
          <w:tcPr>
            <w:tcW w:w="0" w:type="dxa"/>
            <w:noWrap/>
            <w:vAlign w:val="bottom"/>
            <w:hideMark/>
          </w:tcPr>
          <w:p w14:paraId="763D65F7" w14:textId="147FD413" w:rsidR="00B367E0" w:rsidRPr="00F50526" w:rsidRDefault="00B367E0" w:rsidP="00BE17D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50526">
              <w:rPr>
                <w:rFonts w:ascii="Calibri" w:hAnsi="Calibri" w:cs="Calibri"/>
                <w:color w:val="000000"/>
                <w:szCs w:val="22"/>
              </w:rPr>
              <w:t>73.6%</w:t>
            </w:r>
          </w:p>
        </w:tc>
        <w:tc>
          <w:tcPr>
            <w:tcW w:w="0" w:type="dxa"/>
            <w:noWrap/>
            <w:vAlign w:val="bottom"/>
            <w:hideMark/>
          </w:tcPr>
          <w:p w14:paraId="2C7D98D6" w14:textId="654A89CD" w:rsidR="00B367E0" w:rsidRPr="00F50526" w:rsidRDefault="00CC0190" w:rsidP="00BE17D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2</w:t>
            </w:r>
            <w:r w:rsidR="009F59AE">
              <w:rPr>
                <w:rFonts w:ascii="Calibri" w:hAnsi="Calibri" w:cs="Calibri"/>
                <w:color w:val="000000"/>
                <w:szCs w:val="22"/>
              </w:rPr>
              <w:t>,</w:t>
            </w:r>
            <w:r>
              <w:rPr>
                <w:rFonts w:ascii="Calibri" w:hAnsi="Calibri" w:cs="Calibri"/>
                <w:color w:val="000000"/>
                <w:szCs w:val="22"/>
              </w:rPr>
              <w:t>025</w:t>
            </w:r>
          </w:p>
        </w:tc>
        <w:tc>
          <w:tcPr>
            <w:tcW w:w="0" w:type="dxa"/>
            <w:noWrap/>
            <w:vAlign w:val="bottom"/>
            <w:hideMark/>
          </w:tcPr>
          <w:p w14:paraId="695D2288" w14:textId="77956A0A" w:rsidR="00B367E0" w:rsidRPr="00F50526" w:rsidRDefault="00CC0190" w:rsidP="00BE17D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$1,818,000</w:t>
            </w:r>
          </w:p>
        </w:tc>
      </w:tr>
      <w:tr w:rsidR="00B367E0" w:rsidRPr="00F50526" w14:paraId="49339EB4" w14:textId="77777777" w:rsidTr="00B41B68">
        <w:trPr>
          <w:trHeight w:val="248"/>
        </w:trPr>
        <w:tc>
          <w:tcPr>
            <w:cnfStyle w:val="001000000000" w:firstRow="0" w:lastRow="0" w:firstColumn="1" w:lastColumn="0" w:oddVBand="0" w:evenVBand="0" w:oddHBand="0" w:evenHBand="0" w:firstRowFirstColumn="0" w:firstRowLastColumn="0" w:lastRowFirstColumn="0" w:lastRowLastColumn="0"/>
            <w:tcW w:w="0" w:type="dxa"/>
            <w:noWrap/>
            <w:hideMark/>
          </w:tcPr>
          <w:p w14:paraId="408BB365" w14:textId="2C721EBE" w:rsidR="00B367E0" w:rsidRPr="00F50526" w:rsidRDefault="00B367E0" w:rsidP="00BE17D1">
            <w:pPr>
              <w:keepNext/>
              <w:keepLines/>
              <w:spacing w:before="0" w:after="0"/>
              <w:rPr>
                <w:rFonts w:ascii="Calibri" w:hAnsi="Calibri" w:cs="Calibri"/>
                <w:b w:val="0"/>
                <w:bCs w:val="0"/>
                <w:color w:val="000000"/>
                <w:szCs w:val="22"/>
              </w:rPr>
            </w:pPr>
            <w:r w:rsidRPr="00F50526">
              <w:rPr>
                <w:rFonts w:ascii="Calibri" w:hAnsi="Calibri" w:cs="Calibri"/>
                <w:b w:val="0"/>
                <w:bCs w:val="0"/>
                <w:color w:val="000000"/>
                <w:szCs w:val="22"/>
              </w:rPr>
              <w:t>Non-major ABA member banks</w:t>
            </w:r>
            <w:r w:rsidR="001F09BD" w:rsidRPr="0041661E">
              <w:rPr>
                <w:rStyle w:val="FootnoteReference"/>
                <w:rFonts w:ascii="Calibri" w:hAnsi="Calibri" w:cs="Calibri"/>
                <w:b w:val="0"/>
                <w:bCs w:val="0"/>
                <w:color w:val="000000"/>
                <w:szCs w:val="22"/>
                <w:vertAlign w:val="superscript"/>
              </w:rPr>
              <w:footnoteReference w:id="92"/>
            </w:r>
          </w:p>
        </w:tc>
        <w:tc>
          <w:tcPr>
            <w:tcW w:w="0" w:type="dxa"/>
            <w:noWrap/>
            <w:vAlign w:val="bottom"/>
            <w:hideMark/>
          </w:tcPr>
          <w:p w14:paraId="4A6DF2AC" w14:textId="5E30F529" w:rsidR="00B367E0" w:rsidRPr="00F50526" w:rsidRDefault="00B367E0" w:rsidP="00BE17D1">
            <w:pPr>
              <w:keepNext/>
              <w:keepLines/>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16</w:t>
            </w:r>
          </w:p>
        </w:tc>
        <w:tc>
          <w:tcPr>
            <w:tcW w:w="0" w:type="dxa"/>
            <w:noWrap/>
            <w:vAlign w:val="bottom"/>
            <w:hideMark/>
          </w:tcPr>
          <w:p w14:paraId="7703872C" w14:textId="3A120967" w:rsidR="00B367E0" w:rsidRPr="00F50526" w:rsidRDefault="00B367E0" w:rsidP="00BE17D1">
            <w:pPr>
              <w:keepNext/>
              <w:keepLines/>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F50526">
              <w:rPr>
                <w:rFonts w:ascii="Calibri" w:hAnsi="Calibri" w:cs="Calibri"/>
                <w:color w:val="000000"/>
                <w:szCs w:val="22"/>
              </w:rPr>
              <w:t>17.5%</w:t>
            </w:r>
          </w:p>
        </w:tc>
        <w:tc>
          <w:tcPr>
            <w:tcW w:w="0" w:type="dxa"/>
            <w:noWrap/>
            <w:vAlign w:val="bottom"/>
            <w:hideMark/>
          </w:tcPr>
          <w:p w14:paraId="5D65A941" w14:textId="60FF935A" w:rsidR="00B367E0" w:rsidRPr="00F50526" w:rsidRDefault="00CC0190" w:rsidP="00BE17D1">
            <w:pPr>
              <w:keepNext/>
              <w:keepLines/>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121</w:t>
            </w:r>
          </w:p>
        </w:tc>
        <w:tc>
          <w:tcPr>
            <w:tcW w:w="0" w:type="dxa"/>
            <w:noWrap/>
            <w:vAlign w:val="bottom"/>
            <w:hideMark/>
          </w:tcPr>
          <w:p w14:paraId="201B0FA3" w14:textId="47C4C2DB" w:rsidR="00B367E0" w:rsidRPr="00F50526" w:rsidRDefault="00CC0190" w:rsidP="00BE17D1">
            <w:pPr>
              <w:keepNext/>
              <w:keepLines/>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$109,000</w:t>
            </w:r>
          </w:p>
        </w:tc>
      </w:tr>
      <w:tr w:rsidR="00B367E0" w:rsidRPr="00F50526" w14:paraId="2DC15AFB" w14:textId="77777777" w:rsidTr="00B41B6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dxa"/>
            <w:noWrap/>
            <w:hideMark/>
          </w:tcPr>
          <w:p w14:paraId="5C5C4BF6" w14:textId="2BE8D135" w:rsidR="00B367E0" w:rsidRPr="00F50526" w:rsidRDefault="00B367E0" w:rsidP="00BE17D1">
            <w:pPr>
              <w:keepNext/>
              <w:keepLines/>
              <w:spacing w:before="0" w:after="0"/>
              <w:rPr>
                <w:rFonts w:ascii="Calibri" w:hAnsi="Calibri" w:cs="Calibri"/>
                <w:b w:val="0"/>
                <w:bCs w:val="0"/>
                <w:color w:val="000000"/>
                <w:szCs w:val="22"/>
              </w:rPr>
            </w:pPr>
            <w:r w:rsidRPr="00F50526">
              <w:rPr>
                <w:rFonts w:ascii="Calibri" w:hAnsi="Calibri" w:cs="Calibri"/>
                <w:b w:val="0"/>
                <w:bCs w:val="0"/>
                <w:color w:val="000000"/>
                <w:szCs w:val="22"/>
              </w:rPr>
              <w:t>Other ADI</w:t>
            </w:r>
            <w:r w:rsidR="00463A1A">
              <w:rPr>
                <w:rFonts w:ascii="Calibri" w:hAnsi="Calibri" w:cs="Calibri"/>
                <w:b w:val="0"/>
                <w:bCs w:val="0"/>
                <w:color w:val="000000"/>
                <w:szCs w:val="22"/>
              </w:rPr>
              <w:t>s</w:t>
            </w:r>
            <w:r w:rsidR="009E6DC7">
              <w:rPr>
                <w:rFonts w:ascii="Calibri" w:hAnsi="Calibri" w:cs="Calibri"/>
                <w:b w:val="0"/>
                <w:bCs w:val="0"/>
                <w:color w:val="000000"/>
                <w:szCs w:val="22"/>
              </w:rPr>
              <w:t xml:space="preserve"> </w:t>
            </w:r>
            <w:r w:rsidR="00463A1A">
              <w:rPr>
                <w:rFonts w:ascii="Calibri" w:hAnsi="Calibri" w:cs="Calibri"/>
                <w:b w:val="0"/>
                <w:bCs w:val="0"/>
                <w:color w:val="000000"/>
                <w:szCs w:val="22"/>
              </w:rPr>
              <w:t xml:space="preserve">- </w:t>
            </w:r>
            <w:r w:rsidR="009E6DC7">
              <w:rPr>
                <w:rFonts w:ascii="Calibri" w:hAnsi="Calibri" w:cs="Calibri"/>
                <w:b w:val="0"/>
                <w:bCs w:val="0"/>
                <w:color w:val="000000"/>
                <w:szCs w:val="22"/>
              </w:rPr>
              <w:t>AFCA members</w:t>
            </w:r>
          </w:p>
        </w:tc>
        <w:tc>
          <w:tcPr>
            <w:tcW w:w="0" w:type="dxa"/>
            <w:noWrap/>
            <w:vAlign w:val="bottom"/>
            <w:hideMark/>
          </w:tcPr>
          <w:p w14:paraId="5BDAFDC6" w14:textId="62741942" w:rsidR="00B367E0" w:rsidRPr="00F50526" w:rsidRDefault="00CC0190" w:rsidP="00BE17D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11</w:t>
            </w:r>
            <w:r w:rsidR="00BC265D">
              <w:rPr>
                <w:rFonts w:ascii="Calibri" w:hAnsi="Calibri" w:cs="Calibri"/>
                <w:color w:val="000000"/>
                <w:szCs w:val="22"/>
              </w:rPr>
              <w:t>5</w:t>
            </w:r>
          </w:p>
        </w:tc>
        <w:tc>
          <w:tcPr>
            <w:tcW w:w="0" w:type="dxa"/>
            <w:noWrap/>
            <w:vAlign w:val="bottom"/>
            <w:hideMark/>
          </w:tcPr>
          <w:p w14:paraId="7B4673DC" w14:textId="1AF9E0AE" w:rsidR="00B367E0" w:rsidRPr="00F50526" w:rsidRDefault="00B367E0" w:rsidP="00BE17D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50526">
              <w:rPr>
                <w:rFonts w:ascii="Calibri" w:hAnsi="Calibri" w:cs="Calibri"/>
                <w:color w:val="000000"/>
                <w:szCs w:val="22"/>
              </w:rPr>
              <w:t>8.8%</w:t>
            </w:r>
          </w:p>
        </w:tc>
        <w:tc>
          <w:tcPr>
            <w:tcW w:w="0" w:type="dxa"/>
            <w:noWrap/>
            <w:vAlign w:val="bottom"/>
            <w:hideMark/>
          </w:tcPr>
          <w:p w14:paraId="58D7C471" w14:textId="7F2D35AB" w:rsidR="00B367E0" w:rsidRPr="00F50526" w:rsidRDefault="00CC0190" w:rsidP="00BE17D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w:t>
            </w:r>
          </w:p>
        </w:tc>
        <w:tc>
          <w:tcPr>
            <w:tcW w:w="0" w:type="dxa"/>
            <w:noWrap/>
            <w:vAlign w:val="bottom"/>
            <w:hideMark/>
          </w:tcPr>
          <w:p w14:paraId="68981743" w14:textId="0470E5C0" w:rsidR="00B367E0" w:rsidRPr="00F50526" w:rsidRDefault="00CC0190" w:rsidP="00BE17D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$8,000</w:t>
            </w:r>
          </w:p>
        </w:tc>
      </w:tr>
    </w:tbl>
    <w:p w14:paraId="3C14CB4C" w14:textId="52ACEF5C" w:rsidR="007054CA" w:rsidRDefault="007054CA" w:rsidP="005D5EA7">
      <w:r>
        <w:t xml:space="preserve">For telecommunications providers which are currently members of the TIO, </w:t>
      </w:r>
      <w:r w:rsidR="00B10EA9">
        <w:t xml:space="preserve">enrolment in a single EDR scheme </w:t>
      </w:r>
      <w:r w:rsidR="00C7311B">
        <w:t xml:space="preserve">under the SPF </w:t>
      </w:r>
      <w:r w:rsidR="00B10EA9">
        <w:t>w</w:t>
      </w:r>
      <w:r w:rsidR="00854551">
        <w:t xml:space="preserve">ould involve an uplift in </w:t>
      </w:r>
      <w:r w:rsidR="001E044C">
        <w:t xml:space="preserve">fees given </w:t>
      </w:r>
      <w:r w:rsidR="00296E30">
        <w:t xml:space="preserve">they would need to be members of two </w:t>
      </w:r>
      <w:r w:rsidR="00296E30">
        <w:lastRenderedPageBreak/>
        <w:t>EDR schemes</w:t>
      </w:r>
      <w:r w:rsidR="001E044C">
        <w:t xml:space="preserve">. </w:t>
      </w:r>
      <w:r w:rsidR="003F6CCE">
        <w:t xml:space="preserve">TIO would </w:t>
      </w:r>
      <w:r w:rsidR="003F6CCE" w:rsidRPr="00C76E40">
        <w:rPr>
          <w:rStyle w:val="normaltextrun"/>
          <w:rFonts w:cs="Calibri"/>
          <w:color w:val="000000"/>
          <w:szCs w:val="22"/>
          <w:shd w:val="clear" w:color="auto" w:fill="FFFFFF"/>
        </w:rPr>
        <w:t xml:space="preserve">continue to operate its existing EDR jurisdiction </w:t>
      </w:r>
      <w:r w:rsidR="003F6CCE" w:rsidRPr="003A4BC4">
        <w:t>in relation to non-scam complaints about telecommunications service providers.</w:t>
      </w:r>
      <w:r w:rsidR="003F6CCE">
        <w:t xml:space="preserve"> </w:t>
      </w:r>
      <w:r w:rsidR="00094554">
        <w:t xml:space="preserve">However, as there is no publicly available data on TIO </w:t>
      </w:r>
      <w:r w:rsidR="006950CE">
        <w:t xml:space="preserve">fees for </w:t>
      </w:r>
      <w:r w:rsidR="00094554">
        <w:t xml:space="preserve">complaints involving scams </w:t>
      </w:r>
      <w:r w:rsidR="00AF0D0D">
        <w:t>it is not possible to estimate current levels of TIO fees</w:t>
      </w:r>
      <w:r w:rsidR="00581480">
        <w:t xml:space="preserve"> which are expended by TIO members on scam complaints</w:t>
      </w:r>
      <w:r w:rsidR="00AF0D0D">
        <w:t>.</w:t>
      </w:r>
      <w:r w:rsidR="00AE7DF0" w:rsidRPr="0016303E">
        <w:rPr>
          <w:rStyle w:val="FootnoteReference"/>
          <w:vertAlign w:val="superscript"/>
        </w:rPr>
        <w:footnoteReference w:id="93"/>
      </w:r>
      <w:r w:rsidR="00581480">
        <w:t xml:space="preserve"> For the purposes of this analysis</w:t>
      </w:r>
      <w:r w:rsidR="00752D58">
        <w:t>,</w:t>
      </w:r>
      <w:r w:rsidR="00581480">
        <w:t xml:space="preserve"> it is assumed </w:t>
      </w:r>
      <w:r w:rsidR="0024062D">
        <w:t xml:space="preserve">the increase in EDR fees from the Framework would be 50 per cent </w:t>
      </w:r>
      <w:r w:rsidR="00E65FA4">
        <w:t>of the estimated fees of similar scale entities in the financial sector.</w:t>
      </w:r>
    </w:p>
    <w:p w14:paraId="0E41E11B" w14:textId="6B9BEF17" w:rsidR="00E92260" w:rsidRDefault="00E92260" w:rsidP="00E92260">
      <w:r>
        <w:t>Under option 2, demand for EDR would be higher as consumers seek to take action to exercise their rights to protection under the Framework</w:t>
      </w:r>
      <w:r w:rsidR="00023BB1">
        <w:t xml:space="preserve"> or mandatory reimbursement. </w:t>
      </w:r>
      <w:r w:rsidR="002C1C50">
        <w:t>T</w:t>
      </w:r>
      <w:r w:rsidR="00023BB1">
        <w:t xml:space="preserve">his is </w:t>
      </w:r>
      <w:r w:rsidR="00574097">
        <w:t>assumed to be a 10</w:t>
      </w:r>
      <w:r w:rsidR="001D25C9">
        <w:t> </w:t>
      </w:r>
      <w:r w:rsidR="00574097">
        <w:t xml:space="preserve">per cent uplift from the </w:t>
      </w:r>
      <w:r w:rsidR="000726D4">
        <w:t>current volume of scam complaints made against AFCA members</w:t>
      </w:r>
      <w:r w:rsidR="00293CB4">
        <w:t xml:space="preserve"> (with the uplifted cost assumption carried across to </w:t>
      </w:r>
      <w:r w:rsidR="004B61FA">
        <w:t>telecommunications and digital platform sector entities)</w:t>
      </w:r>
      <w:r>
        <w:t>.</w:t>
      </w:r>
      <w:r w:rsidR="006E3298">
        <w:t xml:space="preserve"> </w:t>
      </w:r>
    </w:p>
    <w:p w14:paraId="2D274CD5" w14:textId="4D5CA28B" w:rsidR="005428D6" w:rsidRDefault="005428D6" w:rsidP="005428D6">
      <w:r>
        <w:t xml:space="preserve">It is assumed other internal costs and resources required to undertake EDR obligations in addition to AFCA fees are incorporated costs of overall anti-scam </w:t>
      </w:r>
      <w:r w:rsidR="00E905E2">
        <w:t>activity</w:t>
      </w:r>
      <w:r>
        <w:t>. Costs incurred by regulated</w:t>
      </w:r>
      <w:r w:rsidR="001B207B">
        <w:t xml:space="preserve"> entities</w:t>
      </w:r>
      <w:r>
        <w:t xml:space="preserve"> in paying redress to scam victims </w:t>
      </w:r>
      <w:r w:rsidR="005C3984">
        <w:t>are</w:t>
      </w:r>
      <w:r>
        <w:t xml:space="preserve"> not accounted for as a cost of </w:t>
      </w:r>
      <w:r w:rsidR="008A486C">
        <w:t xml:space="preserve">either </w:t>
      </w:r>
      <w:r>
        <w:t>option 2, as th</w:t>
      </w:r>
      <w:r w:rsidR="00D6218D">
        <w:t>ese payments</w:t>
      </w:r>
      <w:r>
        <w:t xml:space="preserve"> represent a transfer from the entity to the consumer with no </w:t>
      </w:r>
      <w:r w:rsidR="001B207B">
        <w:t xml:space="preserve">overall </w:t>
      </w:r>
      <w:r>
        <w:t>net cost or benefit.</w:t>
      </w:r>
    </w:p>
    <w:p w14:paraId="3C5CFE66" w14:textId="5297B2D3" w:rsidR="0086286F" w:rsidRDefault="00B46488" w:rsidP="0086286F">
      <w:pPr>
        <w:pStyle w:val="Heading4"/>
      </w:pPr>
      <w:r>
        <w:t>Assumptions on n</w:t>
      </w:r>
      <w:r w:rsidR="003A2B71">
        <w:t xml:space="preserve">umber of </w:t>
      </w:r>
      <w:r w:rsidR="006F29DE">
        <w:t xml:space="preserve">regulated </w:t>
      </w:r>
      <w:r w:rsidR="003A2B71">
        <w:t>entities</w:t>
      </w:r>
    </w:p>
    <w:p w14:paraId="0CB69833" w14:textId="48B46AA2" w:rsidR="00F10148" w:rsidRDefault="003A2B71" w:rsidP="00360AB6">
      <w:pPr>
        <w:pStyle w:val="Heading7"/>
      </w:pPr>
      <w:r>
        <w:t>Banking</w:t>
      </w:r>
    </w:p>
    <w:p w14:paraId="5ED4297C" w14:textId="75D4881B" w:rsidR="0088415C" w:rsidRDefault="0088415C" w:rsidP="0088415C">
      <w:r>
        <w:t xml:space="preserve">Full membership of the AFCX is not publicly disclosed, however participants include the four founding major banks, Macquarie and Bendigo Bank, and COBA. In May 2023, the ABA reported that 14 of its 20 members were, or were in the process of, entering membership with the Fraud Reporting Exchange. </w:t>
      </w:r>
    </w:p>
    <w:p w14:paraId="26BE5608" w14:textId="0DB87E46" w:rsidR="0088415C" w:rsidRDefault="00BE17D1" w:rsidP="0088415C">
      <w:r>
        <w:rPr>
          <w:b/>
          <w:bCs/>
        </w:rPr>
        <w:fldChar w:fldCharType="begin"/>
      </w:r>
      <w:r>
        <w:rPr>
          <w:b/>
          <w:bCs/>
        </w:rPr>
        <w:instrText xml:space="preserve"> REF _Ref177678666 \h </w:instrText>
      </w:r>
      <w:r>
        <w:rPr>
          <w:b/>
          <w:bCs/>
        </w:rPr>
      </w:r>
      <w:r>
        <w:rPr>
          <w:b/>
          <w:bCs/>
        </w:rPr>
        <w:fldChar w:fldCharType="separate"/>
      </w:r>
      <w:r>
        <w:t xml:space="preserve">Table </w:t>
      </w:r>
      <w:r>
        <w:rPr>
          <w:noProof/>
        </w:rPr>
        <w:t>22</w:t>
      </w:r>
      <w:r>
        <w:rPr>
          <w:b/>
          <w:bCs/>
        </w:rPr>
        <w:fldChar w:fldCharType="end"/>
      </w:r>
      <w:r w:rsidR="00D0423B">
        <w:rPr>
          <w:b/>
          <w:bCs/>
        </w:rPr>
        <w:fldChar w:fldCharType="begin"/>
      </w:r>
      <w:r w:rsidR="00D0423B">
        <w:rPr>
          <w:b/>
          <w:bCs/>
        </w:rPr>
        <w:instrText xml:space="preserve"> REF _Ref177678666 \h </w:instrText>
      </w:r>
      <w:r w:rsidR="00D0423B">
        <w:rPr>
          <w:b/>
          <w:bCs/>
        </w:rPr>
      </w:r>
      <w:r w:rsidR="00D0423B">
        <w:rPr>
          <w:b/>
          <w:bCs/>
        </w:rPr>
        <w:fldChar w:fldCharType="end"/>
      </w:r>
      <w:r w:rsidR="00D0423B">
        <w:rPr>
          <w:b/>
          <w:bCs/>
        </w:rPr>
        <w:t xml:space="preserve"> </w:t>
      </w:r>
      <w:r w:rsidR="002D2540">
        <w:t>outlines the estimated number of ADIs which are currently a part of voluntary industry codes, information sharing arrangements and EDR schemes.</w:t>
      </w:r>
      <w:r w:rsidR="00B154B1">
        <w:t xml:space="preserve"> </w:t>
      </w:r>
      <w:r w:rsidR="0088415C">
        <w:t>Almost all domestic ADIs are a member of an external dispute resolution scheme. According to APRA’s register of ADIs and AFCA’s member register</w:t>
      </w:r>
      <w:r w:rsidR="0088415C" w:rsidRPr="009D5EF2">
        <w:t xml:space="preserve">, </w:t>
      </w:r>
      <w:r w:rsidR="00607CAD">
        <w:t xml:space="preserve">only </w:t>
      </w:r>
      <w:r w:rsidR="002161FD">
        <w:t>1</w:t>
      </w:r>
      <w:r w:rsidR="0088415C" w:rsidRPr="009D5EF2">
        <w:t xml:space="preserve"> of the 80 Australian-owned authorised ADIs are not AFCA members.</w:t>
      </w:r>
      <w:r w:rsidR="00A63273" w:rsidRPr="00A114F9">
        <w:rPr>
          <w:rStyle w:val="FootnoteReference"/>
          <w:vertAlign w:val="superscript"/>
        </w:rPr>
        <w:footnoteReference w:id="94"/>
      </w:r>
      <w:r w:rsidR="0088415C" w:rsidRPr="009D5EF2">
        <w:t xml:space="preserve"> This extends to 19 of </w:t>
      </w:r>
      <w:r w:rsidR="0088415C">
        <w:t xml:space="preserve">the 49 Australian branches of foreign-owned banks on the APRA register. </w:t>
      </w:r>
    </w:p>
    <w:p w14:paraId="08A0771E" w14:textId="2E484913" w:rsidR="00506DE2" w:rsidRPr="0082510F" w:rsidRDefault="00506DE2" w:rsidP="00506DE2">
      <w:pPr>
        <w:pStyle w:val="Heading8"/>
      </w:pPr>
      <w:bookmarkStart w:id="92" w:name="_Ref177678666"/>
      <w:r>
        <w:t xml:space="preserve">Table </w:t>
      </w:r>
      <w:fldSimple w:instr=" SEQ Table \* ARABIC ">
        <w:r w:rsidR="00BE17D1">
          <w:rPr>
            <w:noProof/>
          </w:rPr>
          <w:t>22</w:t>
        </w:r>
      </w:fldSimple>
      <w:bookmarkEnd w:id="92"/>
      <w:r>
        <w:t xml:space="preserve"> –</w:t>
      </w:r>
      <w:r w:rsidR="00886204">
        <w:t xml:space="preserve"> Number of assumed regulated banking entities by current activity category</w:t>
      </w:r>
    </w:p>
    <w:tbl>
      <w:tblPr>
        <w:tblStyle w:val="GridTable4-Accent1"/>
        <w:tblW w:w="0" w:type="auto"/>
        <w:tblLook w:val="04A0" w:firstRow="1" w:lastRow="0" w:firstColumn="1" w:lastColumn="0" w:noHBand="0" w:noVBand="1"/>
      </w:tblPr>
      <w:tblGrid>
        <w:gridCol w:w="1980"/>
        <w:gridCol w:w="1276"/>
        <w:gridCol w:w="1725"/>
        <w:gridCol w:w="2295"/>
        <w:gridCol w:w="1635"/>
      </w:tblGrid>
      <w:tr w:rsidR="00506DE2" w:rsidRPr="0081736C" w14:paraId="13D48AFF" w14:textId="77777777" w:rsidTr="00901175">
        <w:trPr>
          <w:cnfStyle w:val="100000000000" w:firstRow="1" w:lastRow="0" w:firstColumn="0" w:lastColumn="0" w:oddVBand="0" w:evenVBand="0" w:oddHBand="0" w:evenHBand="0" w:firstRowFirstColumn="0" w:firstRowLastColumn="0" w:lastRowFirstColumn="0" w:lastRowLastColumn="0"/>
          <w:trHeight w:val="62"/>
          <w:tblHeader/>
        </w:trPr>
        <w:tc>
          <w:tcPr>
            <w:cnfStyle w:val="001000000000" w:firstRow="0" w:lastRow="0" w:firstColumn="1" w:lastColumn="0" w:oddVBand="0" w:evenVBand="0" w:oddHBand="0" w:evenHBand="0" w:firstRowFirstColumn="0" w:firstRowLastColumn="0" w:lastRowFirstColumn="0" w:lastRowLastColumn="0"/>
            <w:tcW w:w="1980" w:type="dxa"/>
          </w:tcPr>
          <w:p w14:paraId="0F06747F" w14:textId="77777777" w:rsidR="00506DE2" w:rsidRDefault="00506DE2">
            <w:pPr>
              <w:rPr>
                <w:szCs w:val="22"/>
              </w:rPr>
            </w:pPr>
            <w:r>
              <w:rPr>
                <w:szCs w:val="22"/>
              </w:rPr>
              <w:t>Category</w:t>
            </w:r>
          </w:p>
        </w:tc>
        <w:tc>
          <w:tcPr>
            <w:tcW w:w="1276" w:type="dxa"/>
          </w:tcPr>
          <w:p w14:paraId="05AFE144" w14:textId="77777777" w:rsidR="00506DE2" w:rsidRDefault="00506DE2">
            <w:pPr>
              <w:cnfStyle w:val="100000000000" w:firstRow="1" w:lastRow="0" w:firstColumn="0" w:lastColumn="0" w:oddVBand="0" w:evenVBand="0" w:oddHBand="0" w:evenHBand="0" w:firstRowFirstColumn="0" w:firstRowLastColumn="0" w:lastRowFirstColumn="0" w:lastRowLastColumn="0"/>
              <w:rPr>
                <w:szCs w:val="22"/>
              </w:rPr>
            </w:pPr>
            <w:r>
              <w:rPr>
                <w:szCs w:val="22"/>
              </w:rPr>
              <w:t xml:space="preserve">Number of </w:t>
            </w:r>
            <w:r w:rsidRPr="0081736C">
              <w:rPr>
                <w:szCs w:val="22"/>
              </w:rPr>
              <w:t xml:space="preserve">entities </w:t>
            </w:r>
          </w:p>
        </w:tc>
        <w:tc>
          <w:tcPr>
            <w:tcW w:w="1725" w:type="dxa"/>
          </w:tcPr>
          <w:p w14:paraId="476198DD" w14:textId="77777777" w:rsidR="00506DE2" w:rsidRDefault="00506DE2">
            <w:pPr>
              <w:cnfStyle w:val="100000000000" w:firstRow="1" w:lastRow="0" w:firstColumn="0" w:lastColumn="0" w:oddVBand="0" w:evenVBand="0" w:oddHBand="0" w:evenHBand="0" w:firstRowFirstColumn="0" w:firstRowLastColumn="0" w:lastRowFirstColumn="0" w:lastRowLastColumn="0"/>
              <w:rPr>
                <w:szCs w:val="22"/>
              </w:rPr>
            </w:pPr>
            <w:r>
              <w:rPr>
                <w:szCs w:val="22"/>
              </w:rPr>
              <w:t>Voluntary code membership</w:t>
            </w:r>
          </w:p>
        </w:tc>
        <w:tc>
          <w:tcPr>
            <w:tcW w:w="2295" w:type="dxa"/>
          </w:tcPr>
          <w:p w14:paraId="063221BE" w14:textId="77777777" w:rsidR="00506DE2" w:rsidRDefault="00506DE2">
            <w:pPr>
              <w:cnfStyle w:val="100000000000" w:firstRow="1" w:lastRow="0" w:firstColumn="0" w:lastColumn="0" w:oddVBand="0" w:evenVBand="0" w:oddHBand="0" w:evenHBand="0" w:firstRowFirstColumn="0" w:firstRowLastColumn="0" w:lastRowFirstColumn="0" w:lastRowLastColumn="0"/>
              <w:rPr>
                <w:szCs w:val="22"/>
              </w:rPr>
            </w:pPr>
            <w:r>
              <w:rPr>
                <w:szCs w:val="22"/>
              </w:rPr>
              <w:t>Information sharing</w:t>
            </w:r>
          </w:p>
        </w:tc>
        <w:tc>
          <w:tcPr>
            <w:tcW w:w="1635" w:type="dxa"/>
          </w:tcPr>
          <w:p w14:paraId="4C452621" w14:textId="77777777" w:rsidR="00506DE2" w:rsidRDefault="00506DE2">
            <w:pPr>
              <w:cnfStyle w:val="100000000000" w:firstRow="1" w:lastRow="0" w:firstColumn="0" w:lastColumn="0" w:oddVBand="0" w:evenVBand="0" w:oddHBand="0" w:evenHBand="0" w:firstRowFirstColumn="0" w:firstRowLastColumn="0" w:lastRowFirstColumn="0" w:lastRowLastColumn="0"/>
              <w:rPr>
                <w:szCs w:val="22"/>
              </w:rPr>
            </w:pPr>
            <w:r>
              <w:rPr>
                <w:szCs w:val="22"/>
              </w:rPr>
              <w:t>EDR membership</w:t>
            </w:r>
          </w:p>
        </w:tc>
      </w:tr>
      <w:tr w:rsidR="00472405" w:rsidRPr="0032722E" w14:paraId="3169E2F5" w14:textId="77777777" w:rsidTr="00901175">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1980" w:type="dxa"/>
            <w:shd w:val="clear" w:color="auto" w:fill="DEE3EB" w:themeFill="accent3" w:themeFillTint="33"/>
          </w:tcPr>
          <w:p w14:paraId="5BE5054B" w14:textId="77777777" w:rsidR="00506DE2" w:rsidRPr="005D5B0F" w:rsidRDefault="00506DE2">
            <w:pPr>
              <w:contextualSpacing/>
              <w:rPr>
                <w:b w:val="0"/>
              </w:rPr>
            </w:pPr>
            <w:r>
              <w:rPr>
                <w:szCs w:val="22"/>
              </w:rPr>
              <w:t>M</w:t>
            </w:r>
            <w:r w:rsidRPr="0032722E">
              <w:rPr>
                <w:szCs w:val="22"/>
              </w:rPr>
              <w:t>ajor banks</w:t>
            </w:r>
          </w:p>
        </w:tc>
        <w:tc>
          <w:tcPr>
            <w:tcW w:w="1276" w:type="dxa"/>
            <w:shd w:val="clear" w:color="auto" w:fill="DEE3EB" w:themeFill="accent3" w:themeFillTint="33"/>
          </w:tcPr>
          <w:p w14:paraId="7C08F1F9" w14:textId="77777777" w:rsidR="00506DE2" w:rsidRPr="0032722E" w:rsidRDefault="00506DE2">
            <w:pPr>
              <w:contextualSpacing/>
              <w:cnfStyle w:val="000000100000" w:firstRow="0" w:lastRow="0" w:firstColumn="0" w:lastColumn="0" w:oddVBand="0" w:evenVBand="0" w:oddHBand="1" w:evenHBand="0" w:firstRowFirstColumn="0" w:firstRowLastColumn="0" w:lastRowFirstColumn="0" w:lastRowLastColumn="0"/>
            </w:pPr>
            <w:r w:rsidRPr="005D5B0F">
              <w:rPr>
                <w:b/>
              </w:rPr>
              <w:t>4</w:t>
            </w:r>
          </w:p>
        </w:tc>
        <w:tc>
          <w:tcPr>
            <w:tcW w:w="1725" w:type="dxa"/>
            <w:vMerge w:val="restart"/>
            <w:shd w:val="clear" w:color="auto" w:fill="DEE3EB" w:themeFill="accent3" w:themeFillTint="33"/>
          </w:tcPr>
          <w:p w14:paraId="7E37D497" w14:textId="08F68193" w:rsidR="00506DE2" w:rsidRPr="005D5B0F" w:rsidRDefault="00506DE2">
            <w:pPr>
              <w:contextualSpacing/>
              <w:cnfStyle w:val="000000100000" w:firstRow="0" w:lastRow="0" w:firstColumn="0" w:lastColumn="0" w:oddVBand="0" w:evenVBand="0" w:oddHBand="1" w:evenHBand="0" w:firstRowFirstColumn="0" w:firstRowLastColumn="0" w:lastRowFirstColumn="0" w:lastRowLastColumn="0"/>
              <w:rPr>
                <w:b/>
              </w:rPr>
            </w:pPr>
            <w:r w:rsidRPr="0032722E">
              <w:t>ABA</w:t>
            </w:r>
            <w:r>
              <w:t xml:space="preserve"> Scam</w:t>
            </w:r>
            <w:r w:rsidR="004A19F4">
              <w:t>-</w:t>
            </w:r>
            <w:r>
              <w:t xml:space="preserve">Safe Accord </w:t>
            </w:r>
          </w:p>
        </w:tc>
        <w:tc>
          <w:tcPr>
            <w:tcW w:w="2295" w:type="dxa"/>
            <w:shd w:val="clear" w:color="auto" w:fill="DEE3EB" w:themeFill="accent3" w:themeFillTint="33"/>
          </w:tcPr>
          <w:p w14:paraId="3EE39DDD" w14:textId="77777777" w:rsidR="00506DE2" w:rsidRPr="00D13208" w:rsidRDefault="00506DE2">
            <w:pPr>
              <w:contextualSpacing/>
              <w:cnfStyle w:val="000000100000" w:firstRow="0" w:lastRow="0" w:firstColumn="0" w:lastColumn="0" w:oddVBand="0" w:evenVBand="0" w:oddHBand="1" w:evenHBand="0" w:firstRowFirstColumn="0" w:firstRowLastColumn="0" w:lastRowFirstColumn="0" w:lastRowLastColumn="0"/>
              <w:rPr>
                <w:bCs/>
              </w:rPr>
            </w:pPr>
            <w:r>
              <w:rPr>
                <w:bCs/>
              </w:rPr>
              <w:t>AFCX members</w:t>
            </w:r>
          </w:p>
        </w:tc>
        <w:tc>
          <w:tcPr>
            <w:tcW w:w="1635" w:type="dxa"/>
            <w:vMerge w:val="restart"/>
            <w:shd w:val="clear" w:color="auto" w:fill="DEE3EB" w:themeFill="accent3" w:themeFillTint="33"/>
          </w:tcPr>
          <w:p w14:paraId="3D2C0E9D" w14:textId="6E962862" w:rsidR="00506DE2" w:rsidRPr="00D13208" w:rsidRDefault="00506DE2">
            <w:pPr>
              <w:contextualSpacing/>
              <w:cnfStyle w:val="000000100000" w:firstRow="0" w:lastRow="0" w:firstColumn="0" w:lastColumn="0" w:oddVBand="0" w:evenVBand="0" w:oddHBand="1" w:evenHBand="0" w:firstRowFirstColumn="0" w:firstRowLastColumn="0" w:lastRowFirstColumn="0" w:lastRowLastColumn="0"/>
              <w:rPr>
                <w:bCs/>
              </w:rPr>
            </w:pPr>
            <w:r>
              <w:rPr>
                <w:bCs/>
              </w:rPr>
              <w:t xml:space="preserve">AFCA </w:t>
            </w:r>
            <w:r w:rsidRPr="00D13208">
              <w:rPr>
                <w:bCs/>
              </w:rPr>
              <w:t>members</w:t>
            </w:r>
          </w:p>
        </w:tc>
      </w:tr>
      <w:tr w:rsidR="00472405" w:rsidRPr="0032722E" w14:paraId="5BC1900E" w14:textId="77777777" w:rsidTr="00901175">
        <w:trPr>
          <w:trHeight w:val="62"/>
        </w:trPr>
        <w:tc>
          <w:tcPr>
            <w:cnfStyle w:val="001000000000" w:firstRow="0" w:lastRow="0" w:firstColumn="1" w:lastColumn="0" w:oddVBand="0" w:evenVBand="0" w:oddHBand="0" w:evenHBand="0" w:firstRowFirstColumn="0" w:firstRowLastColumn="0" w:lastRowFirstColumn="0" w:lastRowLastColumn="0"/>
            <w:tcW w:w="1980" w:type="dxa"/>
            <w:shd w:val="clear" w:color="auto" w:fill="DEE3EB" w:themeFill="accent3" w:themeFillTint="33"/>
          </w:tcPr>
          <w:p w14:paraId="5A988351" w14:textId="77777777" w:rsidR="00506DE2" w:rsidRPr="005750FE" w:rsidRDefault="00506DE2">
            <w:pPr>
              <w:contextualSpacing/>
              <w:rPr>
                <w:bCs w:val="0"/>
              </w:rPr>
            </w:pPr>
            <w:r>
              <w:rPr>
                <w:bCs w:val="0"/>
              </w:rPr>
              <w:t>ABA/COBA members</w:t>
            </w:r>
          </w:p>
        </w:tc>
        <w:tc>
          <w:tcPr>
            <w:tcW w:w="1276" w:type="dxa"/>
            <w:shd w:val="clear" w:color="auto" w:fill="DEE3EB" w:themeFill="accent3" w:themeFillTint="33"/>
          </w:tcPr>
          <w:p w14:paraId="27F2A5BA" w14:textId="292D7930" w:rsidR="00506DE2" w:rsidRPr="005D5B0F" w:rsidRDefault="00506DE2">
            <w:pPr>
              <w:contextualSpacing/>
              <w:cnfStyle w:val="000000000000" w:firstRow="0" w:lastRow="0" w:firstColumn="0" w:lastColumn="0" w:oddVBand="0" w:evenVBand="0" w:oddHBand="0" w:evenHBand="0" w:firstRowFirstColumn="0" w:firstRowLastColumn="0" w:lastRowFirstColumn="0" w:lastRowLastColumn="0"/>
              <w:rPr>
                <w:b/>
              </w:rPr>
            </w:pPr>
            <w:r>
              <w:rPr>
                <w:b/>
              </w:rPr>
              <w:t>7</w:t>
            </w:r>
            <w:r w:rsidR="00880492">
              <w:rPr>
                <w:b/>
              </w:rPr>
              <w:t>2</w:t>
            </w:r>
          </w:p>
        </w:tc>
        <w:tc>
          <w:tcPr>
            <w:tcW w:w="1725" w:type="dxa"/>
            <w:vMerge/>
            <w:shd w:val="clear" w:color="auto" w:fill="DEE3EB" w:themeFill="accent3" w:themeFillTint="33"/>
          </w:tcPr>
          <w:p w14:paraId="22CC883F" w14:textId="422282DE" w:rsidR="00506DE2" w:rsidRPr="005D5B0F" w:rsidRDefault="00506DE2">
            <w:pPr>
              <w:contextualSpacing/>
              <w:cnfStyle w:val="000000000000" w:firstRow="0" w:lastRow="0" w:firstColumn="0" w:lastColumn="0" w:oddVBand="0" w:evenVBand="0" w:oddHBand="0" w:evenHBand="0" w:firstRowFirstColumn="0" w:firstRowLastColumn="0" w:lastRowFirstColumn="0" w:lastRowLastColumn="0"/>
              <w:rPr>
                <w:b/>
              </w:rPr>
            </w:pPr>
          </w:p>
        </w:tc>
        <w:tc>
          <w:tcPr>
            <w:tcW w:w="2295" w:type="dxa"/>
            <w:shd w:val="clear" w:color="auto" w:fill="DEE3EB" w:themeFill="accent3" w:themeFillTint="33"/>
          </w:tcPr>
          <w:p w14:paraId="1B938ACB" w14:textId="77777777" w:rsidR="00506DE2" w:rsidRPr="009B5EBD" w:rsidRDefault="00506DE2">
            <w:pPr>
              <w:contextualSpacing/>
              <w:cnfStyle w:val="000000000000" w:firstRow="0" w:lastRow="0" w:firstColumn="0" w:lastColumn="0" w:oddVBand="0" w:evenVBand="0" w:oddHBand="0" w:evenHBand="0" w:firstRowFirstColumn="0" w:firstRowLastColumn="0" w:lastRowFirstColumn="0" w:lastRowLastColumn="0"/>
              <w:rPr>
                <w:bCs/>
              </w:rPr>
            </w:pPr>
            <w:r w:rsidRPr="009B5EBD">
              <w:rPr>
                <w:bCs/>
              </w:rPr>
              <w:t>Soon to all be AFCX members</w:t>
            </w:r>
          </w:p>
        </w:tc>
        <w:tc>
          <w:tcPr>
            <w:tcW w:w="1635" w:type="dxa"/>
            <w:vMerge/>
            <w:shd w:val="clear" w:color="auto" w:fill="DEE3EB" w:themeFill="accent3" w:themeFillTint="33"/>
          </w:tcPr>
          <w:p w14:paraId="0640402D" w14:textId="77777777" w:rsidR="00506DE2" w:rsidRPr="005D5B0F" w:rsidRDefault="00506DE2">
            <w:pPr>
              <w:contextualSpacing/>
              <w:cnfStyle w:val="000000000000" w:firstRow="0" w:lastRow="0" w:firstColumn="0" w:lastColumn="0" w:oddVBand="0" w:evenVBand="0" w:oddHBand="0" w:evenHBand="0" w:firstRowFirstColumn="0" w:firstRowLastColumn="0" w:lastRowFirstColumn="0" w:lastRowLastColumn="0"/>
              <w:rPr>
                <w:b/>
              </w:rPr>
            </w:pPr>
          </w:p>
        </w:tc>
      </w:tr>
      <w:tr w:rsidR="000606FF" w:rsidRPr="0032722E" w14:paraId="305ED2C3" w14:textId="77777777" w:rsidTr="00901175">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980" w:type="dxa"/>
            <w:shd w:val="clear" w:color="auto" w:fill="DEE3EB" w:themeFill="accent3" w:themeFillTint="33"/>
          </w:tcPr>
          <w:p w14:paraId="6D1C0D28" w14:textId="2F15CB9D" w:rsidR="00506DE2" w:rsidRPr="001607D3" w:rsidRDefault="00506DE2">
            <w:pPr>
              <w:contextualSpacing/>
              <w:rPr>
                <w:bCs w:val="0"/>
              </w:rPr>
            </w:pPr>
            <w:r w:rsidRPr="001607D3">
              <w:rPr>
                <w:bCs w:val="0"/>
              </w:rPr>
              <w:t>No</w:t>
            </w:r>
            <w:r>
              <w:rPr>
                <w:bCs w:val="0"/>
              </w:rPr>
              <w:t>n-affiliated</w:t>
            </w:r>
            <w:r w:rsidRPr="00BE2E22">
              <w:rPr>
                <w:rStyle w:val="FootnoteReference"/>
                <w:bCs w:val="0"/>
                <w:vertAlign w:val="superscript"/>
              </w:rPr>
              <w:footnoteReference w:id="95"/>
            </w:r>
            <w:r>
              <w:rPr>
                <w:bCs w:val="0"/>
              </w:rPr>
              <w:t>/ AFCA members</w:t>
            </w:r>
          </w:p>
        </w:tc>
        <w:tc>
          <w:tcPr>
            <w:tcW w:w="1276" w:type="dxa"/>
            <w:shd w:val="clear" w:color="auto" w:fill="DEE3EB" w:themeFill="accent3" w:themeFillTint="33"/>
          </w:tcPr>
          <w:p w14:paraId="6831A6DF" w14:textId="7507563E" w:rsidR="00506DE2" w:rsidRPr="005D5B0F" w:rsidRDefault="00880492">
            <w:pPr>
              <w:contextualSpacing/>
              <w:cnfStyle w:val="000000100000" w:firstRow="0" w:lastRow="0" w:firstColumn="0" w:lastColumn="0" w:oddVBand="0" w:evenVBand="0" w:oddHBand="1" w:evenHBand="0" w:firstRowFirstColumn="0" w:firstRowLastColumn="0" w:lastRowFirstColumn="0" w:lastRowLastColumn="0"/>
              <w:rPr>
                <w:b/>
              </w:rPr>
            </w:pPr>
            <w:r>
              <w:rPr>
                <w:b/>
              </w:rPr>
              <w:t>40</w:t>
            </w:r>
          </w:p>
        </w:tc>
        <w:tc>
          <w:tcPr>
            <w:tcW w:w="1725" w:type="dxa"/>
            <w:vMerge w:val="restart"/>
            <w:shd w:val="clear" w:color="auto" w:fill="DEE3EB" w:themeFill="accent3" w:themeFillTint="33"/>
          </w:tcPr>
          <w:p w14:paraId="53DBB637" w14:textId="77777777" w:rsidR="00506DE2" w:rsidRPr="009F4EFC" w:rsidRDefault="00506DE2">
            <w:pPr>
              <w:contextualSpacing/>
              <w:cnfStyle w:val="000000100000" w:firstRow="0" w:lastRow="0" w:firstColumn="0" w:lastColumn="0" w:oddVBand="0" w:evenVBand="0" w:oddHBand="1" w:evenHBand="0" w:firstRowFirstColumn="0" w:firstRowLastColumn="0" w:lastRowFirstColumn="0" w:lastRowLastColumn="0"/>
              <w:rPr>
                <w:bCs/>
              </w:rPr>
            </w:pPr>
            <w:r w:rsidRPr="009F4EFC">
              <w:rPr>
                <w:bCs/>
              </w:rPr>
              <w:t>No applicable code</w:t>
            </w:r>
          </w:p>
        </w:tc>
        <w:tc>
          <w:tcPr>
            <w:tcW w:w="2295" w:type="dxa"/>
            <w:vMerge w:val="restart"/>
            <w:shd w:val="clear" w:color="auto" w:fill="DEE3EB" w:themeFill="accent3" w:themeFillTint="33"/>
          </w:tcPr>
          <w:p w14:paraId="2EEA49D4" w14:textId="77777777" w:rsidR="00506DE2" w:rsidRPr="009B5EBD" w:rsidRDefault="00506DE2">
            <w:pPr>
              <w:cnfStyle w:val="000000100000" w:firstRow="0" w:lastRow="0" w:firstColumn="0" w:lastColumn="0" w:oddVBand="0" w:evenVBand="0" w:oddHBand="1" w:evenHBand="0" w:firstRowFirstColumn="0" w:firstRowLastColumn="0" w:lastRowFirstColumn="0" w:lastRowLastColumn="0"/>
              <w:rPr>
                <w:bCs/>
              </w:rPr>
            </w:pPr>
            <w:r>
              <w:rPr>
                <w:bCs/>
              </w:rPr>
              <w:t>No information sharing arrangements</w:t>
            </w:r>
          </w:p>
        </w:tc>
        <w:tc>
          <w:tcPr>
            <w:tcW w:w="1635" w:type="dxa"/>
            <w:vMerge/>
            <w:shd w:val="clear" w:color="auto" w:fill="DEE3EB" w:themeFill="accent3" w:themeFillTint="33"/>
          </w:tcPr>
          <w:p w14:paraId="6D1F086E" w14:textId="77777777" w:rsidR="00506DE2" w:rsidRPr="005D5B0F" w:rsidRDefault="00506DE2">
            <w:pPr>
              <w:contextualSpacing/>
              <w:cnfStyle w:val="000000100000" w:firstRow="0" w:lastRow="0" w:firstColumn="0" w:lastColumn="0" w:oddVBand="0" w:evenVBand="0" w:oddHBand="1" w:evenHBand="0" w:firstRowFirstColumn="0" w:firstRowLastColumn="0" w:lastRowFirstColumn="0" w:lastRowLastColumn="0"/>
              <w:rPr>
                <w:b/>
              </w:rPr>
            </w:pPr>
          </w:p>
        </w:tc>
      </w:tr>
      <w:tr w:rsidR="00472405" w:rsidRPr="0032722E" w14:paraId="33FFA5EB" w14:textId="77777777" w:rsidTr="00901175">
        <w:trPr>
          <w:trHeight w:val="460"/>
        </w:trPr>
        <w:tc>
          <w:tcPr>
            <w:cnfStyle w:val="001000000000" w:firstRow="0" w:lastRow="0" w:firstColumn="1" w:lastColumn="0" w:oddVBand="0" w:evenVBand="0" w:oddHBand="0" w:evenHBand="0" w:firstRowFirstColumn="0" w:firstRowLastColumn="0" w:lastRowFirstColumn="0" w:lastRowLastColumn="0"/>
            <w:tcW w:w="1980" w:type="dxa"/>
            <w:shd w:val="clear" w:color="auto" w:fill="DEE3EB" w:themeFill="accent3" w:themeFillTint="33"/>
          </w:tcPr>
          <w:p w14:paraId="5F79FED7" w14:textId="682D576C" w:rsidR="00506DE2" w:rsidRPr="0032722E" w:rsidRDefault="00506DE2">
            <w:pPr>
              <w:rPr>
                <w:b w:val="0"/>
              </w:rPr>
            </w:pPr>
            <w:r w:rsidRPr="001607D3">
              <w:rPr>
                <w:bCs w:val="0"/>
              </w:rPr>
              <w:t>No</w:t>
            </w:r>
            <w:r>
              <w:rPr>
                <w:bCs w:val="0"/>
              </w:rPr>
              <w:t>n-affiliated/ non-</w:t>
            </w:r>
            <w:r w:rsidR="00880492">
              <w:rPr>
                <w:bCs w:val="0"/>
              </w:rPr>
              <w:t>AFCA</w:t>
            </w:r>
          </w:p>
        </w:tc>
        <w:tc>
          <w:tcPr>
            <w:tcW w:w="1276" w:type="dxa"/>
            <w:shd w:val="clear" w:color="auto" w:fill="DEE3EB" w:themeFill="accent3" w:themeFillTint="33"/>
          </w:tcPr>
          <w:p w14:paraId="66325CAA" w14:textId="6D9F2475" w:rsidR="00506DE2" w:rsidRPr="0032722E" w:rsidRDefault="00506DE2">
            <w:pPr>
              <w:cnfStyle w:val="000000000000" w:firstRow="0" w:lastRow="0" w:firstColumn="0" w:lastColumn="0" w:oddVBand="0" w:evenVBand="0" w:oddHBand="0" w:evenHBand="0" w:firstRowFirstColumn="0" w:firstRowLastColumn="0" w:lastRowFirstColumn="0" w:lastRowLastColumn="0"/>
              <w:rPr>
                <w:b/>
              </w:rPr>
            </w:pPr>
            <w:r>
              <w:rPr>
                <w:b/>
              </w:rPr>
              <w:t>1</w:t>
            </w:r>
            <w:r w:rsidR="00880492">
              <w:rPr>
                <w:b/>
              </w:rPr>
              <w:t>6</w:t>
            </w:r>
          </w:p>
        </w:tc>
        <w:tc>
          <w:tcPr>
            <w:tcW w:w="1725" w:type="dxa"/>
            <w:vMerge/>
            <w:shd w:val="clear" w:color="auto" w:fill="DEE3EB" w:themeFill="accent3" w:themeFillTint="33"/>
          </w:tcPr>
          <w:p w14:paraId="3519C870" w14:textId="77777777" w:rsidR="00506DE2" w:rsidRPr="0032722E" w:rsidRDefault="00506DE2">
            <w:pPr>
              <w:cnfStyle w:val="000000000000" w:firstRow="0" w:lastRow="0" w:firstColumn="0" w:lastColumn="0" w:oddVBand="0" w:evenVBand="0" w:oddHBand="0" w:evenHBand="0" w:firstRowFirstColumn="0" w:firstRowLastColumn="0" w:lastRowFirstColumn="0" w:lastRowLastColumn="0"/>
              <w:rPr>
                <w:b/>
              </w:rPr>
            </w:pPr>
          </w:p>
        </w:tc>
        <w:tc>
          <w:tcPr>
            <w:tcW w:w="2295" w:type="dxa"/>
            <w:vMerge/>
            <w:shd w:val="clear" w:color="auto" w:fill="DEE3EB" w:themeFill="accent3" w:themeFillTint="33"/>
          </w:tcPr>
          <w:p w14:paraId="392B52FF" w14:textId="77777777" w:rsidR="00506DE2" w:rsidRPr="0032722E" w:rsidRDefault="00506DE2">
            <w:pPr>
              <w:cnfStyle w:val="000000000000" w:firstRow="0" w:lastRow="0" w:firstColumn="0" w:lastColumn="0" w:oddVBand="0" w:evenVBand="0" w:oddHBand="0" w:evenHBand="0" w:firstRowFirstColumn="0" w:firstRowLastColumn="0" w:lastRowFirstColumn="0" w:lastRowLastColumn="0"/>
              <w:rPr>
                <w:b/>
              </w:rPr>
            </w:pPr>
          </w:p>
        </w:tc>
        <w:tc>
          <w:tcPr>
            <w:tcW w:w="1635" w:type="dxa"/>
            <w:shd w:val="clear" w:color="auto" w:fill="DEE3EB" w:themeFill="accent3" w:themeFillTint="33"/>
          </w:tcPr>
          <w:p w14:paraId="4E1BC01A" w14:textId="767C690D" w:rsidR="00506DE2" w:rsidRPr="00723A0E" w:rsidRDefault="00506DE2">
            <w:pPr>
              <w:cnfStyle w:val="000000000000" w:firstRow="0" w:lastRow="0" w:firstColumn="0" w:lastColumn="0" w:oddVBand="0" w:evenVBand="0" w:oddHBand="0" w:evenHBand="0" w:firstRowFirstColumn="0" w:firstRowLastColumn="0" w:lastRowFirstColumn="0" w:lastRowLastColumn="0"/>
              <w:rPr>
                <w:bCs/>
              </w:rPr>
            </w:pPr>
            <w:r>
              <w:rPr>
                <w:bCs/>
              </w:rPr>
              <w:t>No</w:t>
            </w:r>
            <w:r w:rsidR="001B1813">
              <w:rPr>
                <w:bCs/>
              </w:rPr>
              <w:t xml:space="preserve"> </w:t>
            </w:r>
            <w:r w:rsidR="00E71B48">
              <w:rPr>
                <w:bCs/>
              </w:rPr>
              <w:t>EDR scheme</w:t>
            </w:r>
          </w:p>
        </w:tc>
      </w:tr>
    </w:tbl>
    <w:p w14:paraId="2FA66F72" w14:textId="77777777" w:rsidR="0086286F" w:rsidRDefault="0086286F" w:rsidP="00ED241B">
      <w:pPr>
        <w:pStyle w:val="Heading7"/>
      </w:pPr>
      <w:r>
        <w:t>Telecommunications providers</w:t>
      </w:r>
    </w:p>
    <w:p w14:paraId="5EE11E90" w14:textId="407C17D6" w:rsidR="00ED384E" w:rsidRDefault="00192650" w:rsidP="00BE17D1">
      <w:pPr>
        <w:pStyle w:val="Bullet"/>
        <w:numPr>
          <w:ilvl w:val="0"/>
          <w:numId w:val="0"/>
        </w:numPr>
      </w:pPr>
      <w:r>
        <w:t>For regulatory cost calculation purposes t</w:t>
      </w:r>
      <w:r w:rsidR="00970614">
        <w:t xml:space="preserve">he </w:t>
      </w:r>
      <w:r w:rsidR="00AB609C">
        <w:t>SPF</w:t>
      </w:r>
      <w:r w:rsidR="00970614">
        <w:t xml:space="preserve"> </w:t>
      </w:r>
      <w:r>
        <w:t>would be assumed to</w:t>
      </w:r>
      <w:r w:rsidR="00970614">
        <w:t xml:space="preserve"> apply to </w:t>
      </w:r>
      <w:r w:rsidR="00970614" w:rsidRPr="00BE17D1">
        <w:rPr>
          <w:iCs w:val="0"/>
        </w:rPr>
        <w:t>carriers</w:t>
      </w:r>
      <w:r w:rsidR="00970614" w:rsidRPr="006556B4">
        <w:rPr>
          <w:iCs w:val="0"/>
        </w:rPr>
        <w:t xml:space="preserve"> and </w:t>
      </w:r>
      <w:r w:rsidR="00970614" w:rsidRPr="00BE17D1">
        <w:rPr>
          <w:iCs w:val="0"/>
        </w:rPr>
        <w:t>carriage service providers</w:t>
      </w:r>
      <w:r w:rsidR="00970614">
        <w:t xml:space="preserve"> as those terms are defined in s 7 of the </w:t>
      </w:r>
      <w:r w:rsidR="00970614" w:rsidRPr="00D02173">
        <w:rPr>
          <w:i/>
        </w:rPr>
        <w:t>Telecommunications Act 1997</w:t>
      </w:r>
      <w:r w:rsidR="00970614">
        <w:rPr>
          <w:i/>
        </w:rPr>
        <w:t xml:space="preserve"> </w:t>
      </w:r>
      <w:r w:rsidR="00970614">
        <w:t>(Telco Act)</w:t>
      </w:r>
      <w:r w:rsidR="00A4092E">
        <w:t xml:space="preserve">. </w:t>
      </w:r>
      <w:r w:rsidR="001F009D">
        <w:t xml:space="preserve">Carriers require a license under the Act and are published under an ACMA register. Currently, there </w:t>
      </w:r>
      <w:r w:rsidR="001F009D">
        <w:lastRenderedPageBreak/>
        <w:t>are 34</w:t>
      </w:r>
      <w:r w:rsidR="00AE08AE">
        <w:t>2</w:t>
      </w:r>
      <w:r w:rsidR="001F009D">
        <w:t xml:space="preserve"> ACMA licensed carriers.</w:t>
      </w:r>
      <w:r w:rsidR="001F009D" w:rsidRPr="0082510F">
        <w:rPr>
          <w:rStyle w:val="FootnoteReference"/>
          <w:vertAlign w:val="superscript"/>
        </w:rPr>
        <w:footnoteReference w:id="96"/>
      </w:r>
      <w:r w:rsidR="001F009D">
        <w:t xml:space="preserve"> Carriage service providers represent a far wider market, with ACMA estimating there are around 1,500 ‘eligible CSPs’ under the </w:t>
      </w:r>
      <w:r w:rsidR="001F009D">
        <w:rPr>
          <w:i/>
        </w:rPr>
        <w:t>Telecommunications (Consumer Protection and Service Standards) Act</w:t>
      </w:r>
      <w:r w:rsidR="0008734B">
        <w:t xml:space="preserve"> (TCPSS</w:t>
      </w:r>
      <w:r w:rsidR="0019614F">
        <w:t xml:space="preserve"> Act</w:t>
      </w:r>
      <w:r w:rsidR="0008734B">
        <w:t>)</w:t>
      </w:r>
      <w:r w:rsidR="0019614F">
        <w:t>.</w:t>
      </w:r>
      <w:r w:rsidR="001F009D" w:rsidRPr="0082510F">
        <w:rPr>
          <w:rStyle w:val="FootnoteReference"/>
          <w:vertAlign w:val="superscript"/>
        </w:rPr>
        <w:footnoteReference w:id="97"/>
      </w:r>
      <w:r w:rsidR="001F009D">
        <w:t xml:space="preserve"> </w:t>
      </w:r>
    </w:p>
    <w:p w14:paraId="74AE1976" w14:textId="5154AD4B" w:rsidR="00ED384E" w:rsidRDefault="00FE1AFF" w:rsidP="009E7971">
      <w:r>
        <w:t xml:space="preserve">The TCPSS Act requires eligible CSPs to be members of, and comply with, the TIO Scheme. </w:t>
      </w:r>
      <w:r w:rsidR="00ED384E">
        <w:t xml:space="preserve">Under s 128 of the TCPSS Act, each </w:t>
      </w:r>
      <w:r w:rsidR="00ED384E" w:rsidRPr="0070052A">
        <w:rPr>
          <w:i/>
        </w:rPr>
        <w:t>carrier</w:t>
      </w:r>
      <w:r w:rsidR="00ED384E">
        <w:t xml:space="preserve"> and each </w:t>
      </w:r>
      <w:r w:rsidR="00ED384E" w:rsidRPr="006F62DE">
        <w:rPr>
          <w:i/>
          <w:u w:val="single"/>
        </w:rPr>
        <w:t>eligible</w:t>
      </w:r>
      <w:r w:rsidR="00ED384E" w:rsidRPr="0070052A">
        <w:rPr>
          <w:i/>
        </w:rPr>
        <w:t xml:space="preserve"> carriage service</w:t>
      </w:r>
      <w:r w:rsidR="00ED384E">
        <w:t xml:space="preserve"> provider must join the TIO Scheme.</w:t>
      </w:r>
    </w:p>
    <w:p w14:paraId="2F472D15" w14:textId="5A93F150" w:rsidR="00ED384E" w:rsidRDefault="00ED384E" w:rsidP="00E004C0">
      <w:pPr>
        <w:pStyle w:val="ListParagraph"/>
        <w:numPr>
          <w:ilvl w:val="0"/>
          <w:numId w:val="39"/>
        </w:numPr>
      </w:pPr>
      <w:r>
        <w:t xml:space="preserve">A “carrier” is a holder of a carrier licence granted under s 56 of the Telco Act. </w:t>
      </w:r>
    </w:p>
    <w:p w14:paraId="58993985" w14:textId="73AB3F16" w:rsidR="00ED384E" w:rsidRDefault="00ED384E" w:rsidP="00E004C0">
      <w:pPr>
        <w:pStyle w:val="ListParagraph"/>
        <w:numPr>
          <w:ilvl w:val="0"/>
          <w:numId w:val="39"/>
        </w:numPr>
      </w:pPr>
      <w:r>
        <w:t>Under s 127, a</w:t>
      </w:r>
      <w:r w:rsidR="0097545A">
        <w:t>n</w:t>
      </w:r>
      <w:r>
        <w:t xml:space="preserve"> “eligible carrier service provider” is a carriage service provider who supplies or arranges the supply of:</w:t>
      </w:r>
    </w:p>
    <w:p w14:paraId="09409AAE" w14:textId="3837D0BF" w:rsidR="00ED384E" w:rsidRDefault="00ED384E" w:rsidP="00E004C0">
      <w:pPr>
        <w:pStyle w:val="ListParagraph"/>
        <w:numPr>
          <w:ilvl w:val="1"/>
          <w:numId w:val="39"/>
        </w:numPr>
      </w:pPr>
      <w:r>
        <w:t xml:space="preserve">A standard telephone service to residential or small business customers </w:t>
      </w:r>
    </w:p>
    <w:p w14:paraId="0E7AC641" w14:textId="31675356" w:rsidR="00ED384E" w:rsidRDefault="00ED384E" w:rsidP="00E004C0">
      <w:pPr>
        <w:pStyle w:val="ListParagraph"/>
        <w:numPr>
          <w:ilvl w:val="1"/>
          <w:numId w:val="39"/>
        </w:numPr>
      </w:pPr>
      <w:r>
        <w:t xml:space="preserve">Public mobile telecommunication service </w:t>
      </w:r>
    </w:p>
    <w:p w14:paraId="024E43B4" w14:textId="7D21EEEE" w:rsidR="00406782" w:rsidRDefault="00ED384E" w:rsidP="00874346">
      <w:pPr>
        <w:pStyle w:val="ListParagraph"/>
        <w:numPr>
          <w:ilvl w:val="1"/>
          <w:numId w:val="39"/>
        </w:numPr>
      </w:pPr>
      <w:r>
        <w:t>Access to the internet</w:t>
      </w:r>
    </w:p>
    <w:p w14:paraId="7A732CE4" w14:textId="18281587" w:rsidR="0078678E" w:rsidRDefault="005544E4" w:rsidP="0078678E">
      <w:r>
        <w:t>U</w:t>
      </w:r>
      <w:r w:rsidR="001B391E">
        <w:t>nder option 2</w:t>
      </w:r>
      <w:r w:rsidR="001B391E" w:rsidRPr="0078678E">
        <w:t xml:space="preserve"> </w:t>
      </w:r>
      <w:r w:rsidR="00217235">
        <w:t>a</w:t>
      </w:r>
      <w:r w:rsidR="0078678E" w:rsidRPr="0078678E">
        <w:t xml:space="preserve"> </w:t>
      </w:r>
      <w:r w:rsidRPr="0078678E">
        <w:t xml:space="preserve">potentially </w:t>
      </w:r>
      <w:r w:rsidR="0078678E" w:rsidRPr="0078678E">
        <w:t xml:space="preserve">broader group of entities </w:t>
      </w:r>
      <w:r>
        <w:t>would</w:t>
      </w:r>
      <w:r w:rsidRPr="0078678E">
        <w:t xml:space="preserve"> </w:t>
      </w:r>
      <w:r>
        <w:t xml:space="preserve">be required </w:t>
      </w:r>
      <w:r w:rsidR="0078678E" w:rsidRPr="0078678E">
        <w:t xml:space="preserve">to join </w:t>
      </w:r>
      <w:r w:rsidR="00DE0EB9">
        <w:t xml:space="preserve">an EDR scheme than are currently required to join </w:t>
      </w:r>
      <w:r w:rsidR="009139F2">
        <w:t xml:space="preserve">the </w:t>
      </w:r>
      <w:r w:rsidR="0078678E" w:rsidRPr="0078678E">
        <w:t>TIO.</w:t>
      </w:r>
      <w:r w:rsidR="005232C7">
        <w:t xml:space="preserve"> </w:t>
      </w:r>
      <w:r w:rsidR="00A5475F">
        <w:t>T</w:t>
      </w:r>
      <w:r w:rsidR="005232C7">
        <w:t>ransit carriers</w:t>
      </w:r>
      <w:r w:rsidR="00187783">
        <w:t xml:space="preserve"> and CSPs</w:t>
      </w:r>
      <w:r w:rsidR="005232C7">
        <w:t xml:space="preserve"> may be exempt from the requirement to join</w:t>
      </w:r>
      <w:r w:rsidR="00187783">
        <w:t xml:space="preserve"> the</w:t>
      </w:r>
      <w:r w:rsidR="005232C7">
        <w:t xml:space="preserve"> TIO </w:t>
      </w:r>
      <w:r w:rsidR="00187783">
        <w:t xml:space="preserve">scheme </w:t>
      </w:r>
      <w:r w:rsidR="005232C7">
        <w:t>as they do not have individual or small business customers</w:t>
      </w:r>
      <w:r w:rsidR="00926A5E">
        <w:t>,</w:t>
      </w:r>
      <w:r w:rsidR="00AB52FA" w:rsidRPr="00874346">
        <w:rPr>
          <w:rStyle w:val="FootnoteReference"/>
          <w:vertAlign w:val="superscript"/>
        </w:rPr>
        <w:footnoteReference w:id="98"/>
      </w:r>
      <w:r w:rsidR="00926A5E">
        <w:t xml:space="preserve"> but would</w:t>
      </w:r>
      <w:r w:rsidR="005232C7">
        <w:t xml:space="preserve"> be required to join</w:t>
      </w:r>
      <w:r w:rsidR="00D72E84">
        <w:t xml:space="preserve"> the AFCA scheme under the </w:t>
      </w:r>
      <w:r w:rsidR="00474910">
        <w:t>SPF</w:t>
      </w:r>
      <w:r w:rsidR="00D72E84">
        <w:t>.</w:t>
      </w:r>
      <w:r w:rsidR="001B391E" w:rsidRPr="001B391E">
        <w:t xml:space="preserve"> </w:t>
      </w:r>
      <w:r w:rsidR="00952A81">
        <w:t>As at the end of 2022-23 there w</w:t>
      </w:r>
      <w:r w:rsidR="00FD2A45">
        <w:t>ere 1,686 TIO members,</w:t>
      </w:r>
      <w:r w:rsidR="00FD2A45" w:rsidRPr="00874346">
        <w:rPr>
          <w:rStyle w:val="FootnoteReference"/>
          <w:vertAlign w:val="superscript"/>
        </w:rPr>
        <w:footnoteReference w:id="99"/>
      </w:r>
      <w:r w:rsidR="00FD2A45">
        <w:t xml:space="preserve"> and </w:t>
      </w:r>
      <w:r w:rsidR="001B391E">
        <w:t xml:space="preserve">32 transit carriers </w:t>
      </w:r>
      <w:r w:rsidR="00187783">
        <w:t xml:space="preserve">and CSPs </w:t>
      </w:r>
      <w:r w:rsidR="001B391E">
        <w:t xml:space="preserve">with TIO membership </w:t>
      </w:r>
      <w:r w:rsidR="00A81D15">
        <w:t>exemptions</w:t>
      </w:r>
      <w:r w:rsidR="001B391E">
        <w:t>.</w:t>
      </w:r>
    </w:p>
    <w:p w14:paraId="7E1675EA" w14:textId="0BA020BD" w:rsidR="00101495" w:rsidRDefault="002926D1" w:rsidP="002926D1">
      <w:r>
        <w:t>ACMA published a</w:t>
      </w:r>
      <w:r w:rsidR="00AE212E">
        <w:t xml:space="preserve"> regulation impact statement</w:t>
      </w:r>
      <w:r>
        <w:t xml:space="preserve">, </w:t>
      </w:r>
      <w:proofErr w:type="gramStart"/>
      <w:r w:rsidRPr="00633A6F">
        <w:rPr>
          <w:i/>
          <w:iCs/>
        </w:rPr>
        <w:t>Reducing</w:t>
      </w:r>
      <w:proofErr w:type="gramEnd"/>
      <w:r w:rsidRPr="00633A6F">
        <w:rPr>
          <w:i/>
          <w:iCs/>
        </w:rPr>
        <w:t xml:space="preserve"> the impact of scam calls</w:t>
      </w:r>
      <w:r>
        <w:t xml:space="preserve">, that estimated 413 </w:t>
      </w:r>
      <w:r w:rsidR="000C7751">
        <w:t>carriers</w:t>
      </w:r>
      <w:r>
        <w:t>/CSPs provide public numbers to ACMA for mobile and local services in 2020</w:t>
      </w:r>
      <w:r w:rsidR="004D6CD1">
        <w:t>.</w:t>
      </w:r>
      <w:r w:rsidR="001B6630" w:rsidRPr="001B6630">
        <w:rPr>
          <w:rStyle w:val="FootnoteReference"/>
          <w:vertAlign w:val="superscript"/>
        </w:rPr>
        <w:t xml:space="preserve"> </w:t>
      </w:r>
      <w:r w:rsidR="001B6630" w:rsidRPr="0082510F">
        <w:rPr>
          <w:rStyle w:val="FootnoteReference"/>
          <w:vertAlign w:val="superscript"/>
        </w:rPr>
        <w:footnoteReference w:id="100"/>
      </w:r>
      <w:r w:rsidR="001B6630" w:rsidRPr="0082510F" w:rsidDel="00245CFE">
        <w:rPr>
          <w:vertAlign w:val="superscript"/>
        </w:rPr>
        <w:t xml:space="preserve"> </w:t>
      </w:r>
      <w:r w:rsidR="004D6CD1">
        <w:t xml:space="preserve">The report noted that multiple carrier and/or CSP licences can be held by </w:t>
      </w:r>
      <w:r w:rsidR="00995F91">
        <w:t>a single telecommunications provider</w:t>
      </w:r>
      <w:r w:rsidR="00B74426">
        <w:t xml:space="preserve"> entity</w:t>
      </w:r>
      <w:r w:rsidR="006F7234">
        <w:t xml:space="preserve">. </w:t>
      </w:r>
      <w:r w:rsidR="001B6630">
        <w:t xml:space="preserve">The </w:t>
      </w:r>
      <w:r w:rsidR="001D322C">
        <w:t>IA</w:t>
      </w:r>
      <w:r w:rsidR="001B6630">
        <w:t xml:space="preserve"> provides the following estimates of the number of </w:t>
      </w:r>
      <w:r w:rsidR="00E9690C">
        <w:t>telco entities impacted by the scam calls code holding relevant licences</w:t>
      </w:r>
      <w:r w:rsidR="008E420F">
        <w:t xml:space="preserve"> as follows:</w:t>
      </w:r>
      <w:r w:rsidR="00CB48A6">
        <w:rPr>
          <w:vertAlign w:val="superscript"/>
        </w:rPr>
        <w:t xml:space="preserve"> </w:t>
      </w:r>
    </w:p>
    <w:p w14:paraId="0AE6FB41" w14:textId="77777777" w:rsidR="00101495" w:rsidRDefault="00101495">
      <w:pPr>
        <w:pStyle w:val="ListParagraph"/>
        <w:numPr>
          <w:ilvl w:val="0"/>
          <w:numId w:val="46"/>
        </w:numPr>
      </w:pPr>
      <w:r>
        <w:t>large carriers: 4 (over 10 million numbers)</w:t>
      </w:r>
    </w:p>
    <w:p w14:paraId="7F058216" w14:textId="77777777" w:rsidR="00101495" w:rsidRDefault="00101495">
      <w:pPr>
        <w:pStyle w:val="ListParagraph"/>
        <w:numPr>
          <w:ilvl w:val="0"/>
          <w:numId w:val="46"/>
        </w:numPr>
      </w:pPr>
      <w:r>
        <w:t>medium CSPs: 18 (1 million to 10 million numbers)</w:t>
      </w:r>
    </w:p>
    <w:p w14:paraId="439E7565" w14:textId="77777777" w:rsidR="00101495" w:rsidRDefault="00101495">
      <w:pPr>
        <w:pStyle w:val="ListParagraph"/>
        <w:numPr>
          <w:ilvl w:val="0"/>
          <w:numId w:val="46"/>
        </w:numPr>
      </w:pPr>
      <w:r>
        <w:t>small CSPs: 150 (100,000 to 1 million numbers)</w:t>
      </w:r>
    </w:p>
    <w:p w14:paraId="18374E3E" w14:textId="4D400D11" w:rsidR="00101495" w:rsidRDefault="00101495" w:rsidP="003E6303">
      <w:pPr>
        <w:pStyle w:val="ListParagraph"/>
        <w:numPr>
          <w:ilvl w:val="0"/>
          <w:numId w:val="46"/>
        </w:numPr>
      </w:pPr>
      <w:r>
        <w:t>very small</w:t>
      </w:r>
      <w:r w:rsidR="004E08DE">
        <w:t xml:space="preserve"> CSPs</w:t>
      </w:r>
      <w:r>
        <w:t>: 241 (1 to 100,000 numbers)</w:t>
      </w:r>
    </w:p>
    <w:p w14:paraId="0E8C9635" w14:textId="4B419788" w:rsidR="00344AAF" w:rsidRDefault="00E9690C" w:rsidP="00874346">
      <w:r>
        <w:t xml:space="preserve">These figures are </w:t>
      </w:r>
      <w:r w:rsidR="00F61794">
        <w:t xml:space="preserve">used </w:t>
      </w:r>
      <w:r w:rsidR="008E418D">
        <w:t>as the basis for the number of entities which would be regulated entities under option 2’s SPF,</w:t>
      </w:r>
      <w:r w:rsidR="00A5697B">
        <w:t xml:space="preserve"> with the addition of 32 transit </w:t>
      </w:r>
      <w:r w:rsidR="00344AAF">
        <w:t>carriers/</w:t>
      </w:r>
      <w:r w:rsidR="00A5697B">
        <w:t>CSP</w:t>
      </w:r>
      <w:r w:rsidR="00344AAF">
        <w:t>s</w:t>
      </w:r>
      <w:r w:rsidR="008E1692">
        <w:t xml:space="preserve">. </w:t>
      </w:r>
      <w:r w:rsidR="008E1692">
        <w:fldChar w:fldCharType="begin"/>
      </w:r>
      <w:r w:rsidR="008E1692">
        <w:instrText xml:space="preserve"> REF _Ref177678396 \h </w:instrText>
      </w:r>
      <w:r w:rsidR="008E1692">
        <w:fldChar w:fldCharType="separate"/>
      </w:r>
      <w:r w:rsidR="00BE17D1">
        <w:t xml:space="preserve">Table </w:t>
      </w:r>
      <w:r w:rsidR="00BE17D1">
        <w:rPr>
          <w:noProof/>
        </w:rPr>
        <w:t>23</w:t>
      </w:r>
      <w:r w:rsidR="008E1692">
        <w:fldChar w:fldCharType="end"/>
      </w:r>
      <w:r w:rsidR="008E1692">
        <w:t xml:space="preserve"> outlines the </w:t>
      </w:r>
      <w:r w:rsidR="002F2A59">
        <w:t>number of entities in each category.</w:t>
      </w:r>
    </w:p>
    <w:p w14:paraId="62F1E88F" w14:textId="14451297" w:rsidR="001F009D" w:rsidRPr="0082510F" w:rsidRDefault="00793570" w:rsidP="008311EE">
      <w:pPr>
        <w:pStyle w:val="Heading8"/>
      </w:pPr>
      <w:bookmarkStart w:id="93" w:name="_Ref177678396"/>
      <w:r>
        <w:t xml:space="preserve">Table </w:t>
      </w:r>
      <w:fldSimple w:instr=" SEQ Table \* ARABIC ">
        <w:r w:rsidR="00BE17D1">
          <w:rPr>
            <w:noProof/>
          </w:rPr>
          <w:t>23</w:t>
        </w:r>
      </w:fldSimple>
      <w:bookmarkEnd w:id="93"/>
      <w:r w:rsidR="008311EE">
        <w:t xml:space="preserve"> </w:t>
      </w:r>
      <w:r w:rsidR="001F009D">
        <w:t xml:space="preserve">– </w:t>
      </w:r>
      <w:r w:rsidR="004B3DBF">
        <w:t>Number of assumed regulated telecommunications entities by current activity category</w:t>
      </w:r>
    </w:p>
    <w:tbl>
      <w:tblPr>
        <w:tblStyle w:val="GridTable4-Accent1"/>
        <w:tblW w:w="0" w:type="auto"/>
        <w:tblLook w:val="04A0" w:firstRow="1" w:lastRow="0" w:firstColumn="1" w:lastColumn="0" w:noHBand="0" w:noVBand="1"/>
      </w:tblPr>
      <w:tblGrid>
        <w:gridCol w:w="2122"/>
        <w:gridCol w:w="1559"/>
        <w:gridCol w:w="1417"/>
        <w:gridCol w:w="2127"/>
        <w:gridCol w:w="1794"/>
      </w:tblGrid>
      <w:tr w:rsidR="001F009D" w:rsidRPr="0081736C" w14:paraId="50FD0ECD" w14:textId="77777777" w:rsidTr="009B048E">
        <w:trPr>
          <w:cnfStyle w:val="100000000000" w:firstRow="1" w:lastRow="0" w:firstColumn="0" w:lastColumn="0" w:oddVBand="0" w:evenVBand="0" w:oddHBand="0" w:evenHBand="0" w:firstRowFirstColumn="0" w:firstRowLastColumn="0" w:lastRowFirstColumn="0" w:lastRowLastColumn="0"/>
          <w:trHeight w:val="9"/>
          <w:tblHeader/>
        </w:trPr>
        <w:tc>
          <w:tcPr>
            <w:cnfStyle w:val="001000000000" w:firstRow="0" w:lastRow="0" w:firstColumn="1" w:lastColumn="0" w:oddVBand="0" w:evenVBand="0" w:oddHBand="0" w:evenHBand="0" w:firstRowFirstColumn="0" w:firstRowLastColumn="0" w:lastRowFirstColumn="0" w:lastRowLastColumn="0"/>
            <w:tcW w:w="2122" w:type="dxa"/>
          </w:tcPr>
          <w:p w14:paraId="7573A1C5" w14:textId="77777777" w:rsidR="001F009D" w:rsidRPr="009B048E" w:rsidRDefault="001F009D">
            <w:pPr>
              <w:rPr>
                <w:rFonts w:asciiTheme="minorHAnsi" w:hAnsiTheme="minorHAnsi" w:cstheme="minorHAnsi"/>
                <w:szCs w:val="22"/>
              </w:rPr>
            </w:pPr>
            <w:r w:rsidRPr="009B048E">
              <w:rPr>
                <w:rFonts w:asciiTheme="minorHAnsi" w:hAnsiTheme="minorHAnsi" w:cstheme="minorHAnsi"/>
                <w:szCs w:val="22"/>
              </w:rPr>
              <w:t>Category</w:t>
            </w:r>
          </w:p>
        </w:tc>
        <w:tc>
          <w:tcPr>
            <w:tcW w:w="1559" w:type="dxa"/>
          </w:tcPr>
          <w:p w14:paraId="7011EB04" w14:textId="77777777" w:rsidR="001F009D" w:rsidRPr="009B048E" w:rsidRDefault="001F009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B048E">
              <w:rPr>
                <w:rFonts w:asciiTheme="minorHAnsi" w:hAnsiTheme="minorHAnsi" w:cstheme="minorHAnsi"/>
                <w:szCs w:val="22"/>
              </w:rPr>
              <w:t xml:space="preserve">Number of entities </w:t>
            </w:r>
          </w:p>
        </w:tc>
        <w:tc>
          <w:tcPr>
            <w:tcW w:w="1417" w:type="dxa"/>
          </w:tcPr>
          <w:p w14:paraId="7A71DA62" w14:textId="734B1C38" w:rsidR="001F009D" w:rsidRPr="009B048E" w:rsidRDefault="008C5DD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B048E">
              <w:rPr>
                <w:rFonts w:asciiTheme="minorHAnsi" w:hAnsiTheme="minorHAnsi" w:cstheme="minorHAnsi"/>
                <w:szCs w:val="22"/>
              </w:rPr>
              <w:t>Mandatory c</w:t>
            </w:r>
            <w:r w:rsidR="008069BD" w:rsidRPr="009B048E">
              <w:rPr>
                <w:rFonts w:asciiTheme="minorHAnsi" w:hAnsiTheme="minorHAnsi" w:cstheme="minorHAnsi"/>
                <w:szCs w:val="22"/>
              </w:rPr>
              <w:t>o</w:t>
            </w:r>
            <w:r w:rsidR="001F009D" w:rsidRPr="009B048E">
              <w:rPr>
                <w:rFonts w:asciiTheme="minorHAnsi" w:hAnsiTheme="minorHAnsi" w:cstheme="minorHAnsi"/>
                <w:szCs w:val="22"/>
              </w:rPr>
              <w:t xml:space="preserve">de </w:t>
            </w:r>
            <w:r w:rsidR="008069BD" w:rsidRPr="009B048E">
              <w:rPr>
                <w:rFonts w:asciiTheme="minorHAnsi" w:hAnsiTheme="minorHAnsi" w:cstheme="minorHAnsi"/>
                <w:szCs w:val="22"/>
              </w:rPr>
              <w:t>obligations</w:t>
            </w:r>
          </w:p>
        </w:tc>
        <w:tc>
          <w:tcPr>
            <w:tcW w:w="2127" w:type="dxa"/>
          </w:tcPr>
          <w:p w14:paraId="7CD3CB06" w14:textId="77777777" w:rsidR="001F009D" w:rsidRPr="009B048E" w:rsidRDefault="001F009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B048E">
              <w:rPr>
                <w:rFonts w:asciiTheme="minorHAnsi" w:hAnsiTheme="minorHAnsi" w:cstheme="minorHAnsi"/>
                <w:szCs w:val="22"/>
              </w:rPr>
              <w:t>Information sharing</w:t>
            </w:r>
          </w:p>
        </w:tc>
        <w:tc>
          <w:tcPr>
            <w:tcW w:w="1794" w:type="dxa"/>
          </w:tcPr>
          <w:p w14:paraId="642094E5" w14:textId="77777777" w:rsidR="001F009D" w:rsidRPr="009B048E" w:rsidRDefault="001F009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B048E">
              <w:rPr>
                <w:rFonts w:asciiTheme="minorHAnsi" w:hAnsiTheme="minorHAnsi" w:cstheme="minorHAnsi"/>
                <w:szCs w:val="22"/>
              </w:rPr>
              <w:t>EDR membership</w:t>
            </w:r>
          </w:p>
        </w:tc>
      </w:tr>
      <w:tr w:rsidR="00DD7F28" w:rsidRPr="0032722E" w14:paraId="00432185" w14:textId="77777777" w:rsidTr="009B048E">
        <w:trPr>
          <w:cnfStyle w:val="000000100000" w:firstRow="0" w:lastRow="0" w:firstColumn="0" w:lastColumn="0" w:oddVBand="0" w:evenVBand="0" w:oddHBand="1" w:evenHBand="0" w:firstRowFirstColumn="0" w:firstRowLastColumn="0" w:lastRowFirstColumn="0" w:lastRowLastColumn="0"/>
          <w:trHeight w:val="9"/>
        </w:trPr>
        <w:tc>
          <w:tcPr>
            <w:cnfStyle w:val="001000000000" w:firstRow="0" w:lastRow="0" w:firstColumn="1" w:lastColumn="0" w:oddVBand="0" w:evenVBand="0" w:oddHBand="0" w:evenHBand="0" w:firstRowFirstColumn="0" w:firstRowLastColumn="0" w:lastRowFirstColumn="0" w:lastRowLastColumn="0"/>
            <w:tcW w:w="2122" w:type="dxa"/>
            <w:shd w:val="clear" w:color="auto" w:fill="DEE3EB" w:themeFill="accent3" w:themeFillTint="33"/>
          </w:tcPr>
          <w:p w14:paraId="172DA0BF" w14:textId="77777777" w:rsidR="00395EF1" w:rsidRPr="009B048E" w:rsidRDefault="00395EF1">
            <w:pPr>
              <w:contextualSpacing/>
              <w:rPr>
                <w:rFonts w:asciiTheme="minorHAnsi" w:hAnsiTheme="minorHAnsi" w:cstheme="minorHAnsi"/>
                <w:b w:val="0"/>
              </w:rPr>
            </w:pPr>
            <w:r w:rsidRPr="009B048E">
              <w:rPr>
                <w:rFonts w:asciiTheme="minorHAnsi" w:hAnsiTheme="minorHAnsi" w:cstheme="minorHAnsi"/>
                <w:szCs w:val="22"/>
              </w:rPr>
              <w:t>Major telcos</w:t>
            </w:r>
          </w:p>
        </w:tc>
        <w:tc>
          <w:tcPr>
            <w:tcW w:w="1559" w:type="dxa"/>
            <w:shd w:val="clear" w:color="auto" w:fill="DEE3EB" w:themeFill="accent3" w:themeFillTint="33"/>
          </w:tcPr>
          <w:p w14:paraId="4C7C83CC" w14:textId="5DBFA2D3" w:rsidR="00395EF1" w:rsidRPr="009B048E" w:rsidRDefault="003B38D3">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B048E">
              <w:rPr>
                <w:rFonts w:asciiTheme="minorHAnsi" w:hAnsiTheme="minorHAnsi" w:cstheme="minorHAnsi"/>
              </w:rPr>
              <w:t>4</w:t>
            </w:r>
            <w:r w:rsidR="00395EF1" w:rsidRPr="009B048E">
              <w:rPr>
                <w:rFonts w:asciiTheme="minorHAnsi" w:hAnsiTheme="minorHAnsi" w:cstheme="minorHAnsi"/>
                <w:bCs/>
              </w:rPr>
              <w:t xml:space="preserve"> (Telstra, Optus, TPG)</w:t>
            </w:r>
          </w:p>
        </w:tc>
        <w:tc>
          <w:tcPr>
            <w:tcW w:w="1417" w:type="dxa"/>
            <w:vMerge w:val="restart"/>
            <w:shd w:val="clear" w:color="auto" w:fill="DEE3EB" w:themeFill="accent3" w:themeFillTint="33"/>
          </w:tcPr>
          <w:p w14:paraId="5C9269EF" w14:textId="77777777" w:rsidR="008C5DDC" w:rsidRPr="009B048E" w:rsidRDefault="00395EF1">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B048E">
              <w:rPr>
                <w:rFonts w:asciiTheme="minorHAnsi" w:hAnsiTheme="minorHAnsi" w:cstheme="minorHAnsi"/>
                <w:i/>
              </w:rPr>
              <w:t xml:space="preserve">Reducing Scam Calls </w:t>
            </w:r>
            <w:r w:rsidRPr="009B048E">
              <w:rPr>
                <w:rFonts w:asciiTheme="minorHAnsi" w:hAnsiTheme="minorHAnsi" w:cstheme="minorHAnsi"/>
                <w:i/>
                <w:iCs/>
              </w:rPr>
              <w:t xml:space="preserve">and Scam SMs </w:t>
            </w:r>
            <w:r w:rsidRPr="009B048E">
              <w:rPr>
                <w:rFonts w:asciiTheme="minorHAnsi" w:hAnsiTheme="minorHAnsi" w:cstheme="minorHAnsi"/>
              </w:rPr>
              <w:t>code</w:t>
            </w:r>
          </w:p>
          <w:p w14:paraId="5FD8FCBA" w14:textId="23868E60" w:rsidR="00395EF1" w:rsidRPr="009B048E" w:rsidRDefault="00395EF1" w:rsidP="00E877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tcW w:w="2127" w:type="dxa"/>
            <w:shd w:val="clear" w:color="auto" w:fill="DEE3EB" w:themeFill="accent3" w:themeFillTint="33"/>
          </w:tcPr>
          <w:p w14:paraId="5584477A" w14:textId="77777777" w:rsidR="002D711E" w:rsidRPr="009B048E" w:rsidRDefault="002D711E" w:rsidP="002D711E">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B048E">
              <w:rPr>
                <w:rFonts w:asciiTheme="minorHAnsi" w:hAnsiTheme="minorHAnsi" w:cstheme="minorHAnsi"/>
                <w:i/>
              </w:rPr>
              <w:t xml:space="preserve">Reducing Scam Calls </w:t>
            </w:r>
            <w:r w:rsidRPr="009B048E">
              <w:rPr>
                <w:rFonts w:asciiTheme="minorHAnsi" w:hAnsiTheme="minorHAnsi" w:cstheme="minorHAnsi"/>
                <w:i/>
                <w:iCs/>
              </w:rPr>
              <w:t xml:space="preserve">and Scam SMs </w:t>
            </w:r>
            <w:r w:rsidRPr="009B048E">
              <w:rPr>
                <w:rFonts w:asciiTheme="minorHAnsi" w:hAnsiTheme="minorHAnsi" w:cstheme="minorHAnsi"/>
              </w:rPr>
              <w:t>code</w:t>
            </w:r>
          </w:p>
          <w:p w14:paraId="226460AF" w14:textId="02B9A870" w:rsidR="00395EF1" w:rsidRPr="009B048E" w:rsidRDefault="002D711E">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B048E">
              <w:rPr>
                <w:rFonts w:asciiTheme="minorHAnsi" w:hAnsiTheme="minorHAnsi" w:cstheme="minorHAnsi"/>
                <w:bCs/>
              </w:rPr>
              <w:t xml:space="preserve">&amp; </w:t>
            </w:r>
            <w:r w:rsidR="00395EF1" w:rsidRPr="009B048E">
              <w:rPr>
                <w:rFonts w:asciiTheme="minorHAnsi" w:hAnsiTheme="minorHAnsi" w:cstheme="minorHAnsi"/>
                <w:bCs/>
              </w:rPr>
              <w:t>AFCX members</w:t>
            </w:r>
          </w:p>
        </w:tc>
        <w:tc>
          <w:tcPr>
            <w:tcW w:w="1794" w:type="dxa"/>
            <w:vMerge w:val="restart"/>
            <w:shd w:val="clear" w:color="auto" w:fill="DEE3EB" w:themeFill="accent3" w:themeFillTint="33"/>
          </w:tcPr>
          <w:p w14:paraId="7FDDEFBD" w14:textId="0C90E261" w:rsidR="00395EF1" w:rsidRPr="009B048E" w:rsidRDefault="00395EF1">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B048E">
              <w:rPr>
                <w:rFonts w:asciiTheme="minorHAnsi" w:hAnsiTheme="minorHAnsi" w:cstheme="minorHAnsi"/>
                <w:bCs/>
              </w:rPr>
              <w:t>TIO members</w:t>
            </w:r>
          </w:p>
        </w:tc>
      </w:tr>
      <w:tr w:rsidR="00DD7F28" w:rsidRPr="0032722E" w14:paraId="67E52BB4" w14:textId="77777777" w:rsidTr="009B048E">
        <w:trPr>
          <w:trHeight w:val="10"/>
        </w:trPr>
        <w:tc>
          <w:tcPr>
            <w:cnfStyle w:val="001000000000" w:firstRow="0" w:lastRow="0" w:firstColumn="1" w:lastColumn="0" w:oddVBand="0" w:evenVBand="0" w:oddHBand="0" w:evenHBand="0" w:firstRowFirstColumn="0" w:firstRowLastColumn="0" w:lastRowFirstColumn="0" w:lastRowLastColumn="0"/>
            <w:tcW w:w="2122" w:type="dxa"/>
            <w:shd w:val="clear" w:color="auto" w:fill="DEE3EB" w:themeFill="accent3" w:themeFillTint="33"/>
            <w:vAlign w:val="center"/>
          </w:tcPr>
          <w:p w14:paraId="2A69A889" w14:textId="08E814C9" w:rsidR="00D472FE" w:rsidRPr="009B048E" w:rsidRDefault="00D472FE" w:rsidP="00D472FE">
            <w:pPr>
              <w:contextualSpacing/>
              <w:rPr>
                <w:rFonts w:asciiTheme="minorHAnsi" w:hAnsiTheme="minorHAnsi" w:cstheme="minorHAnsi"/>
              </w:rPr>
            </w:pPr>
            <w:r w:rsidRPr="009B048E">
              <w:rPr>
                <w:rFonts w:asciiTheme="minorHAnsi" w:hAnsiTheme="minorHAnsi" w:cstheme="minorHAnsi"/>
                <w:szCs w:val="22"/>
              </w:rPr>
              <w:t>Medium CSPs</w:t>
            </w:r>
          </w:p>
        </w:tc>
        <w:tc>
          <w:tcPr>
            <w:tcW w:w="1559" w:type="dxa"/>
            <w:shd w:val="clear" w:color="auto" w:fill="DEE3EB" w:themeFill="accent3" w:themeFillTint="33"/>
            <w:vAlign w:val="bottom"/>
          </w:tcPr>
          <w:p w14:paraId="3273529C" w14:textId="14A245A6" w:rsidR="00D472FE" w:rsidRPr="009B048E" w:rsidRDefault="00D472FE" w:rsidP="00D472FE">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B048E">
              <w:rPr>
                <w:rFonts w:asciiTheme="minorHAnsi" w:hAnsiTheme="minorHAnsi" w:cstheme="minorHAnsi"/>
                <w:color w:val="000000"/>
                <w:szCs w:val="22"/>
              </w:rPr>
              <w:t>18</w:t>
            </w:r>
          </w:p>
        </w:tc>
        <w:tc>
          <w:tcPr>
            <w:tcW w:w="1417" w:type="dxa"/>
            <w:vMerge/>
            <w:shd w:val="clear" w:color="auto" w:fill="DEE3EB" w:themeFill="accent3" w:themeFillTint="33"/>
          </w:tcPr>
          <w:p w14:paraId="0D34ED70" w14:textId="32665F12" w:rsidR="00D472FE" w:rsidRPr="009B048E" w:rsidRDefault="00D472FE" w:rsidP="00E877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c>
          <w:tcPr>
            <w:tcW w:w="2127" w:type="dxa"/>
            <w:vMerge w:val="restart"/>
            <w:shd w:val="clear" w:color="auto" w:fill="DEE3EB" w:themeFill="accent3" w:themeFillTint="33"/>
          </w:tcPr>
          <w:p w14:paraId="64546681" w14:textId="77777777" w:rsidR="008C5DDC" w:rsidRPr="009B048E" w:rsidRDefault="00D472FE" w:rsidP="00D472FE">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B048E">
              <w:rPr>
                <w:rFonts w:asciiTheme="minorHAnsi" w:hAnsiTheme="minorHAnsi" w:cstheme="minorHAnsi"/>
                <w:i/>
              </w:rPr>
              <w:t xml:space="preserve">Reducing Scam Calls </w:t>
            </w:r>
            <w:r w:rsidRPr="009B048E">
              <w:rPr>
                <w:rFonts w:asciiTheme="minorHAnsi" w:hAnsiTheme="minorHAnsi" w:cstheme="minorHAnsi"/>
                <w:i/>
                <w:iCs/>
              </w:rPr>
              <w:t xml:space="preserve">and Scam SMs </w:t>
            </w:r>
            <w:r w:rsidRPr="009B048E">
              <w:rPr>
                <w:rFonts w:asciiTheme="minorHAnsi" w:hAnsiTheme="minorHAnsi" w:cstheme="minorHAnsi"/>
              </w:rPr>
              <w:t>code</w:t>
            </w:r>
          </w:p>
          <w:p w14:paraId="42858F18" w14:textId="7C10C06E" w:rsidR="00D472FE" w:rsidRPr="009B048E" w:rsidRDefault="00D472FE" w:rsidP="00E877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794" w:type="dxa"/>
            <w:vMerge/>
            <w:shd w:val="clear" w:color="auto" w:fill="DEE3EB" w:themeFill="accent3" w:themeFillTint="33"/>
          </w:tcPr>
          <w:p w14:paraId="18CF6868" w14:textId="77777777" w:rsidR="00D472FE" w:rsidRPr="009B048E" w:rsidRDefault="00D472FE" w:rsidP="00D472FE">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DD7F28" w:rsidRPr="0032722E" w14:paraId="361E4E37" w14:textId="77777777" w:rsidTr="009B048E">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2122" w:type="dxa"/>
            <w:shd w:val="clear" w:color="auto" w:fill="DEE3EB" w:themeFill="accent3" w:themeFillTint="33"/>
            <w:vAlign w:val="bottom"/>
          </w:tcPr>
          <w:p w14:paraId="5DCA94FF" w14:textId="3056B74A" w:rsidR="00D472FE" w:rsidRPr="009B048E" w:rsidRDefault="00D472FE" w:rsidP="00D472FE">
            <w:pPr>
              <w:contextualSpacing/>
              <w:rPr>
                <w:rFonts w:asciiTheme="minorHAnsi" w:hAnsiTheme="minorHAnsi" w:cstheme="minorHAnsi"/>
              </w:rPr>
            </w:pPr>
            <w:r w:rsidRPr="009B048E">
              <w:rPr>
                <w:rFonts w:asciiTheme="minorHAnsi" w:hAnsiTheme="minorHAnsi" w:cstheme="minorHAnsi"/>
                <w:color w:val="000000"/>
                <w:szCs w:val="22"/>
              </w:rPr>
              <w:t>Small CSPs</w:t>
            </w:r>
          </w:p>
        </w:tc>
        <w:tc>
          <w:tcPr>
            <w:tcW w:w="1559" w:type="dxa"/>
            <w:shd w:val="clear" w:color="auto" w:fill="DEE3EB" w:themeFill="accent3" w:themeFillTint="33"/>
            <w:vAlign w:val="bottom"/>
          </w:tcPr>
          <w:p w14:paraId="3FC2D719" w14:textId="09C25E63" w:rsidR="00D472FE" w:rsidRPr="009B048E" w:rsidRDefault="00D472FE" w:rsidP="00D472FE">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B048E">
              <w:rPr>
                <w:rFonts w:asciiTheme="minorHAnsi" w:hAnsiTheme="minorHAnsi" w:cstheme="minorHAnsi"/>
                <w:color w:val="000000"/>
                <w:szCs w:val="22"/>
              </w:rPr>
              <w:t>150</w:t>
            </w:r>
          </w:p>
        </w:tc>
        <w:tc>
          <w:tcPr>
            <w:tcW w:w="1417" w:type="dxa"/>
            <w:vMerge/>
            <w:shd w:val="clear" w:color="auto" w:fill="DEE3EB" w:themeFill="accent3" w:themeFillTint="33"/>
          </w:tcPr>
          <w:p w14:paraId="30C2B978" w14:textId="65559EE5" w:rsidR="00D472FE" w:rsidRPr="009B048E" w:rsidRDefault="00D472FE" w:rsidP="00E877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127" w:type="dxa"/>
            <w:vMerge/>
            <w:shd w:val="clear" w:color="auto" w:fill="DEE3EB" w:themeFill="accent3" w:themeFillTint="33"/>
          </w:tcPr>
          <w:p w14:paraId="3951ECD6" w14:textId="77777777" w:rsidR="00D472FE" w:rsidRPr="009B048E" w:rsidRDefault="00D472FE" w:rsidP="00D472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1794" w:type="dxa"/>
            <w:vMerge/>
            <w:shd w:val="clear" w:color="auto" w:fill="DEE3EB" w:themeFill="accent3" w:themeFillTint="33"/>
          </w:tcPr>
          <w:p w14:paraId="16F7A915" w14:textId="77777777" w:rsidR="00D472FE" w:rsidRPr="009B048E" w:rsidRDefault="00D472FE" w:rsidP="00D472FE">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r w:rsidR="00DD7F28" w:rsidRPr="0032722E" w14:paraId="2DB16A18" w14:textId="77777777" w:rsidTr="009B048E">
        <w:trPr>
          <w:trHeight w:val="67"/>
        </w:trPr>
        <w:tc>
          <w:tcPr>
            <w:cnfStyle w:val="001000000000" w:firstRow="0" w:lastRow="0" w:firstColumn="1" w:lastColumn="0" w:oddVBand="0" w:evenVBand="0" w:oddHBand="0" w:evenHBand="0" w:firstRowFirstColumn="0" w:firstRowLastColumn="0" w:lastRowFirstColumn="0" w:lastRowLastColumn="0"/>
            <w:tcW w:w="2122" w:type="dxa"/>
            <w:shd w:val="clear" w:color="auto" w:fill="DEE3EB" w:themeFill="accent3" w:themeFillTint="33"/>
            <w:vAlign w:val="center"/>
          </w:tcPr>
          <w:p w14:paraId="43AB67AD" w14:textId="58141597" w:rsidR="00D472FE" w:rsidRPr="009B048E" w:rsidRDefault="00D472FE" w:rsidP="009B048E">
            <w:pPr>
              <w:spacing w:before="0" w:after="0"/>
              <w:rPr>
                <w:rFonts w:asciiTheme="minorHAnsi" w:hAnsiTheme="minorHAnsi" w:cstheme="minorHAnsi"/>
                <w:b w:val="0"/>
              </w:rPr>
            </w:pPr>
            <w:r w:rsidRPr="009B048E">
              <w:rPr>
                <w:rFonts w:asciiTheme="minorHAnsi" w:hAnsiTheme="minorHAnsi" w:cstheme="minorHAnsi"/>
                <w:szCs w:val="22"/>
              </w:rPr>
              <w:t xml:space="preserve">Very small </w:t>
            </w:r>
            <w:r w:rsidRPr="009B048E" w:rsidDel="00286437">
              <w:rPr>
                <w:rFonts w:asciiTheme="minorHAnsi" w:hAnsiTheme="minorHAnsi" w:cstheme="minorHAnsi"/>
                <w:szCs w:val="22"/>
              </w:rPr>
              <w:t>CSPs</w:t>
            </w:r>
          </w:p>
        </w:tc>
        <w:tc>
          <w:tcPr>
            <w:tcW w:w="1559" w:type="dxa"/>
            <w:shd w:val="clear" w:color="auto" w:fill="DEE3EB" w:themeFill="accent3" w:themeFillTint="33"/>
            <w:vAlign w:val="bottom"/>
          </w:tcPr>
          <w:p w14:paraId="21B52D91" w14:textId="612FFB84" w:rsidR="00D472FE" w:rsidRPr="009B048E" w:rsidRDefault="00D472FE" w:rsidP="009B048E">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B048E">
              <w:rPr>
                <w:rFonts w:asciiTheme="minorHAnsi" w:hAnsiTheme="minorHAnsi" w:cstheme="minorHAnsi"/>
                <w:color w:val="000000"/>
                <w:szCs w:val="22"/>
              </w:rPr>
              <w:t>241</w:t>
            </w:r>
          </w:p>
        </w:tc>
        <w:tc>
          <w:tcPr>
            <w:tcW w:w="1417" w:type="dxa"/>
            <w:vMerge/>
            <w:shd w:val="clear" w:color="auto" w:fill="DEE3EB" w:themeFill="accent3" w:themeFillTint="33"/>
          </w:tcPr>
          <w:p w14:paraId="3EA1E5B9" w14:textId="77777777" w:rsidR="00D472FE" w:rsidRPr="009B048E" w:rsidRDefault="00D472FE" w:rsidP="009B048E">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c>
          <w:tcPr>
            <w:tcW w:w="2127" w:type="dxa"/>
            <w:vMerge/>
            <w:shd w:val="clear" w:color="auto" w:fill="DEE3EB" w:themeFill="accent3" w:themeFillTint="33"/>
          </w:tcPr>
          <w:p w14:paraId="63F6C013" w14:textId="77777777" w:rsidR="00D472FE" w:rsidRPr="009B048E" w:rsidRDefault="00D472FE" w:rsidP="009B048E">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c>
          <w:tcPr>
            <w:tcW w:w="1794" w:type="dxa"/>
            <w:vMerge/>
            <w:shd w:val="clear" w:color="auto" w:fill="DEE3EB" w:themeFill="accent3" w:themeFillTint="33"/>
          </w:tcPr>
          <w:p w14:paraId="0C3378E4" w14:textId="77777777" w:rsidR="00D472FE" w:rsidRPr="009B048E" w:rsidRDefault="00D472FE" w:rsidP="009B048E">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8D4E44" w:rsidRPr="0032722E" w14:paraId="2C7EC20C" w14:textId="77777777" w:rsidTr="009B048E">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2122" w:type="dxa"/>
            <w:shd w:val="clear" w:color="auto" w:fill="DEE3EB" w:themeFill="accent3" w:themeFillTint="33"/>
            <w:vAlign w:val="center"/>
          </w:tcPr>
          <w:p w14:paraId="1F589A57" w14:textId="7BCD417A" w:rsidR="00926A5E" w:rsidRPr="009B048E" w:rsidRDefault="00926A5E" w:rsidP="009B048E">
            <w:pPr>
              <w:spacing w:before="0" w:after="0"/>
              <w:rPr>
                <w:rFonts w:asciiTheme="minorHAnsi" w:hAnsiTheme="minorHAnsi" w:cstheme="minorHAnsi"/>
              </w:rPr>
            </w:pPr>
            <w:r w:rsidRPr="009B048E">
              <w:rPr>
                <w:rFonts w:asciiTheme="minorHAnsi" w:hAnsiTheme="minorHAnsi" w:cstheme="minorHAnsi"/>
                <w:szCs w:val="22"/>
              </w:rPr>
              <w:lastRenderedPageBreak/>
              <w:t xml:space="preserve">Transit </w:t>
            </w:r>
            <w:r w:rsidR="00715040" w:rsidRPr="009B048E">
              <w:rPr>
                <w:rFonts w:asciiTheme="minorHAnsi" w:hAnsiTheme="minorHAnsi" w:cstheme="minorHAnsi"/>
                <w:szCs w:val="22"/>
              </w:rPr>
              <w:t>carriers</w:t>
            </w:r>
            <w:r w:rsidR="002D5D60" w:rsidRPr="009B048E">
              <w:rPr>
                <w:rFonts w:asciiTheme="minorHAnsi" w:hAnsiTheme="minorHAnsi" w:cstheme="minorHAnsi"/>
                <w:szCs w:val="22"/>
              </w:rPr>
              <w:t>/CSPs</w:t>
            </w:r>
          </w:p>
        </w:tc>
        <w:tc>
          <w:tcPr>
            <w:tcW w:w="1559" w:type="dxa"/>
            <w:shd w:val="clear" w:color="auto" w:fill="DEE3EB" w:themeFill="accent3" w:themeFillTint="33"/>
          </w:tcPr>
          <w:p w14:paraId="2525AE1C" w14:textId="06591C0D" w:rsidR="00926A5E" w:rsidRPr="009B048E" w:rsidRDefault="00926A5E" w:rsidP="009B048E">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B048E">
              <w:rPr>
                <w:rFonts w:asciiTheme="minorHAnsi" w:hAnsiTheme="minorHAnsi" w:cstheme="minorHAnsi"/>
              </w:rPr>
              <w:t>32</w:t>
            </w:r>
          </w:p>
        </w:tc>
        <w:tc>
          <w:tcPr>
            <w:tcW w:w="1417" w:type="dxa"/>
            <w:vMerge/>
            <w:shd w:val="clear" w:color="auto" w:fill="DEE3EB" w:themeFill="accent3" w:themeFillTint="33"/>
          </w:tcPr>
          <w:p w14:paraId="6FAB4D0D" w14:textId="62883635" w:rsidR="00926A5E" w:rsidRPr="009B048E" w:rsidRDefault="00926A5E" w:rsidP="009B048E">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127" w:type="dxa"/>
            <w:vMerge/>
            <w:shd w:val="clear" w:color="auto" w:fill="DEE3EB" w:themeFill="accent3" w:themeFillTint="33"/>
          </w:tcPr>
          <w:p w14:paraId="42C524C9" w14:textId="7C6AA61D" w:rsidR="00926A5E" w:rsidRPr="009B048E" w:rsidRDefault="00926A5E" w:rsidP="009B048E">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1794" w:type="dxa"/>
            <w:shd w:val="clear" w:color="auto" w:fill="DEE3EB" w:themeFill="accent3" w:themeFillTint="33"/>
          </w:tcPr>
          <w:p w14:paraId="2020FC60" w14:textId="6A69E3D5" w:rsidR="00926A5E" w:rsidRPr="009B048E" w:rsidRDefault="00A5697B" w:rsidP="009B048E">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B048E">
              <w:rPr>
                <w:rFonts w:asciiTheme="minorHAnsi" w:hAnsiTheme="minorHAnsi" w:cstheme="minorHAnsi"/>
                <w:bCs/>
              </w:rPr>
              <w:t>TIO e</w:t>
            </w:r>
            <w:r w:rsidR="00926A5E" w:rsidRPr="009B048E">
              <w:rPr>
                <w:rFonts w:asciiTheme="minorHAnsi" w:hAnsiTheme="minorHAnsi" w:cstheme="minorHAnsi"/>
                <w:bCs/>
              </w:rPr>
              <w:t>xempt</w:t>
            </w:r>
          </w:p>
        </w:tc>
      </w:tr>
    </w:tbl>
    <w:p w14:paraId="77C4E5A1" w14:textId="647E019C" w:rsidR="00CF3343" w:rsidRDefault="0086286F" w:rsidP="0097222E">
      <w:pPr>
        <w:pStyle w:val="Heading7"/>
      </w:pPr>
      <w:r>
        <w:t>Digital platforms</w:t>
      </w:r>
      <w:r w:rsidR="00260D04">
        <w:t xml:space="preserve"> </w:t>
      </w:r>
    </w:p>
    <w:p w14:paraId="68B04CFA" w14:textId="49A88417" w:rsidR="004A2BF1" w:rsidRDefault="004A2BF1" w:rsidP="00C43431">
      <w:r>
        <w:t xml:space="preserve">The number of digital platform entities </w:t>
      </w:r>
      <w:r w:rsidR="001C206F">
        <w:t xml:space="preserve">which would be regulated entities under option 2 has been estimated based on previous </w:t>
      </w:r>
      <w:r w:rsidR="00060FCB">
        <w:t>ACCC</w:t>
      </w:r>
      <w:r w:rsidR="001C206F">
        <w:t xml:space="preserve"> inquiries into the relevant services.</w:t>
      </w:r>
    </w:p>
    <w:p w14:paraId="1FE50946" w14:textId="499CB1F9" w:rsidR="00C43431" w:rsidRDefault="00C43431" w:rsidP="00C43431">
      <w:r>
        <w:t xml:space="preserve">As the </w:t>
      </w:r>
      <w:r w:rsidR="00474910">
        <w:t>SPF</w:t>
      </w:r>
      <w:r>
        <w:t xml:space="preserve"> </w:t>
      </w:r>
      <w:r w:rsidR="00821505">
        <w:t xml:space="preserve">would be </w:t>
      </w:r>
      <w:r>
        <w:t>intend</w:t>
      </w:r>
      <w:r w:rsidR="00821505">
        <w:t>ed</w:t>
      </w:r>
      <w:r>
        <w:t xml:space="preserve"> to address where scams harms are most prevalent, the social media services that could be captured would include Facebook, YouTube, Instagram, Snap, TikTok, Pinterest, </w:t>
      </w:r>
      <w:proofErr w:type="spellStart"/>
      <w:r>
        <w:t>Reddit</w:t>
      </w:r>
      <w:proofErr w:type="spellEnd"/>
      <w:r>
        <w:t xml:space="preserve">, LinkedIn, </w:t>
      </w:r>
      <w:proofErr w:type="spellStart"/>
      <w:r>
        <w:t>BeReal</w:t>
      </w:r>
      <w:proofErr w:type="spellEnd"/>
      <w:r>
        <w:t xml:space="preserve"> and X. This </w:t>
      </w:r>
      <w:r w:rsidR="00EC0FA6">
        <w:t>is</w:t>
      </w:r>
      <w:r>
        <w:t xml:space="preserve"> based </w:t>
      </w:r>
      <w:r w:rsidR="00A97071">
        <w:t>on</w:t>
      </w:r>
      <w:r>
        <w:t xml:space="preserve"> the ACCC’s 6</w:t>
      </w:r>
      <w:r w:rsidRPr="00C17E48">
        <w:rPr>
          <w:vertAlign w:val="superscript"/>
        </w:rPr>
        <w:t>th</w:t>
      </w:r>
      <w:r>
        <w:t xml:space="preserve"> interim report of the Digital Platform Services Inquiry</w:t>
      </w:r>
      <w:r w:rsidRPr="003E5E74">
        <w:rPr>
          <w:rStyle w:val="FootnoteReference"/>
          <w:vertAlign w:val="superscript"/>
        </w:rPr>
        <w:footnoteReference w:id="101"/>
      </w:r>
      <w:r>
        <w:t>,</w:t>
      </w:r>
      <w:r w:rsidR="004563F3">
        <w:t xml:space="preserve"> which </w:t>
      </w:r>
      <w:r w:rsidR="008B524A">
        <w:t xml:space="preserve">identified </w:t>
      </w:r>
      <w:r w:rsidR="00075F23">
        <w:t>services of Meta</w:t>
      </w:r>
      <w:r w:rsidR="00CA5430">
        <w:t xml:space="preserve"> (Facebook, Instagram)</w:t>
      </w:r>
      <w:r w:rsidR="00075F23">
        <w:t>, Google</w:t>
      </w:r>
      <w:r w:rsidR="00CA5430">
        <w:t xml:space="preserve"> (YouTube)</w:t>
      </w:r>
      <w:r w:rsidR="00075F23">
        <w:t xml:space="preserve">, </w:t>
      </w:r>
      <w:proofErr w:type="spellStart"/>
      <w:proofErr w:type="gramStart"/>
      <w:r w:rsidR="00075F23">
        <w:t>ByteDance</w:t>
      </w:r>
      <w:proofErr w:type="spellEnd"/>
      <w:proofErr w:type="gramEnd"/>
      <w:r w:rsidR="00CA5430">
        <w:t xml:space="preserve"> (</w:t>
      </w:r>
      <w:proofErr w:type="spellStart"/>
      <w:r w:rsidR="00CA5430">
        <w:t>TikTok</w:t>
      </w:r>
      <w:proofErr w:type="spellEnd"/>
      <w:r w:rsidR="00CA5430">
        <w:t>)</w:t>
      </w:r>
      <w:r w:rsidR="00075F23">
        <w:t>, Snap</w:t>
      </w:r>
      <w:r w:rsidR="008921F4">
        <w:t xml:space="preserve"> (Snapchat)</w:t>
      </w:r>
      <w:r w:rsidR="00075F23">
        <w:t xml:space="preserve"> and Pinterest having over 5 million </w:t>
      </w:r>
      <w:r w:rsidR="00BB5485">
        <w:t xml:space="preserve">monthly </w:t>
      </w:r>
      <w:r w:rsidR="00075F23">
        <w:t>activ</w:t>
      </w:r>
      <w:r w:rsidR="00BB5485">
        <w:t>e</w:t>
      </w:r>
      <w:r w:rsidR="00075F23">
        <w:t xml:space="preserve"> </w:t>
      </w:r>
      <w:r w:rsidR="00BB5485">
        <w:t>users in 2022.</w:t>
      </w:r>
      <w:r>
        <w:t xml:space="preserve"> </w:t>
      </w:r>
    </w:p>
    <w:p w14:paraId="0B730111" w14:textId="50003B46" w:rsidR="000D1949" w:rsidRDefault="00552E00" w:rsidP="00552E00">
      <w:r>
        <w:t>In the ACCC’s 5</w:t>
      </w:r>
      <w:r w:rsidRPr="0082510F">
        <w:rPr>
          <w:vertAlign w:val="superscript"/>
        </w:rPr>
        <w:t>th</w:t>
      </w:r>
      <w:r>
        <w:t xml:space="preserve"> interim report of the Digital Platform Services Inquiry </w:t>
      </w:r>
      <w:r w:rsidR="0035301B">
        <w:t>“online private messaging</w:t>
      </w:r>
      <w:r>
        <w:t xml:space="preserve"> services</w:t>
      </w:r>
      <w:r w:rsidR="0035301B">
        <w:t>”</w:t>
      </w:r>
      <w:r>
        <w:t xml:space="preserve"> </w:t>
      </w:r>
      <w:r w:rsidR="00EC0FA6">
        <w:t xml:space="preserve">are defined </w:t>
      </w:r>
      <w:r>
        <w:t xml:space="preserve">as </w:t>
      </w:r>
      <w:r w:rsidR="0035301B">
        <w:t>“</w:t>
      </w:r>
      <w:r>
        <w:t>services that enable users to communicate privately and in real-time with friends, family members, colleagues and other contacts, one-to-one and/or with a group using text, voice or video.</w:t>
      </w:r>
      <w:r w:rsidR="0035301B">
        <w:t>”</w:t>
      </w:r>
      <w:r w:rsidR="0035301B" w:rsidRPr="000D1949">
        <w:rPr>
          <w:rStyle w:val="FootnoteReference"/>
          <w:vertAlign w:val="superscript"/>
        </w:rPr>
        <w:footnoteReference w:id="102"/>
      </w:r>
      <w:r>
        <w:t xml:space="preserve"> </w:t>
      </w:r>
      <w:r w:rsidR="004C1C10">
        <w:t>Based on N</w:t>
      </w:r>
      <w:r w:rsidR="00D16607">
        <w:t>i</w:t>
      </w:r>
      <w:r w:rsidR="004C1C10">
        <w:t xml:space="preserve">elsen </w:t>
      </w:r>
      <w:r w:rsidR="00D16607">
        <w:t>Digital Content Ratings</w:t>
      </w:r>
      <w:r w:rsidR="00B4770C">
        <w:t xml:space="preserve"> the report identifies </w:t>
      </w:r>
      <w:r w:rsidR="00926EE0">
        <w:t xml:space="preserve">usage data for </w:t>
      </w:r>
      <w:r w:rsidR="00BD151D">
        <w:t>17 direct messaging services</w:t>
      </w:r>
      <w:r w:rsidR="00934FA0">
        <w:t xml:space="preserve">, in addition to </w:t>
      </w:r>
      <w:r w:rsidR="00E63684">
        <w:t>3 services not captured by this ratings data.</w:t>
      </w:r>
      <w:r w:rsidR="00C1531B" w:rsidRPr="000D1949">
        <w:rPr>
          <w:rStyle w:val="FootnoteReference"/>
          <w:vertAlign w:val="superscript"/>
        </w:rPr>
        <w:footnoteReference w:id="103"/>
      </w:r>
      <w:r w:rsidR="00E63684">
        <w:t xml:space="preserve"> </w:t>
      </w:r>
      <w:r w:rsidR="001311C6">
        <w:t xml:space="preserve">The report identified </w:t>
      </w:r>
      <w:r w:rsidR="00334E80">
        <w:t xml:space="preserve">Meta </w:t>
      </w:r>
      <w:r w:rsidR="00540560">
        <w:t xml:space="preserve">(Facebook Messenger, WhatsApp) </w:t>
      </w:r>
      <w:r w:rsidR="00334E80">
        <w:t xml:space="preserve">and Apple </w:t>
      </w:r>
      <w:r w:rsidR="00EB4FCE">
        <w:t>(iMessage</w:t>
      </w:r>
      <w:r w:rsidR="0055328C">
        <w:t>, FaceTime</w:t>
      </w:r>
      <w:r w:rsidR="00EB4FCE">
        <w:t xml:space="preserve">) </w:t>
      </w:r>
      <w:r w:rsidR="00334E80">
        <w:t xml:space="preserve">as the 2 largest </w:t>
      </w:r>
      <w:r w:rsidR="007B5E34">
        <w:t xml:space="preserve">supplies of </w:t>
      </w:r>
      <w:r w:rsidR="00D52115">
        <w:t>online messaging services</w:t>
      </w:r>
      <w:r w:rsidR="00B86099">
        <w:t xml:space="preserve">, </w:t>
      </w:r>
      <w:r w:rsidR="00900FDE">
        <w:t xml:space="preserve">Snap </w:t>
      </w:r>
      <w:r w:rsidR="002A4475">
        <w:t>(</w:t>
      </w:r>
      <w:r w:rsidR="00900FDE">
        <w:t>Snapchat</w:t>
      </w:r>
      <w:r w:rsidR="002A4475">
        <w:t>)</w:t>
      </w:r>
      <w:r w:rsidR="00DA3472">
        <w:t xml:space="preserve"> had </w:t>
      </w:r>
      <w:r w:rsidR="009D57F5">
        <w:t>over 4 million</w:t>
      </w:r>
      <w:r w:rsidR="0073422D" w:rsidRPr="0073422D">
        <w:t xml:space="preserve"> </w:t>
      </w:r>
      <w:r w:rsidR="0073422D">
        <w:t>monthly active users</w:t>
      </w:r>
      <w:r w:rsidR="009D57F5">
        <w:t>, and</w:t>
      </w:r>
      <w:r w:rsidR="00900FDE">
        <w:t xml:space="preserve"> Zoom, Microsoft (Skype)</w:t>
      </w:r>
      <w:r w:rsidR="002A4475">
        <w:t xml:space="preserve"> and</w:t>
      </w:r>
      <w:r w:rsidR="00900FDE">
        <w:t xml:space="preserve"> Discord </w:t>
      </w:r>
      <w:r w:rsidR="00ED0C99">
        <w:t>had</w:t>
      </w:r>
      <w:r w:rsidR="00F46557">
        <w:t xml:space="preserve"> services with</w:t>
      </w:r>
      <w:r w:rsidR="00352A61">
        <w:t xml:space="preserve"> around or over</w:t>
      </w:r>
      <w:r w:rsidR="00891A4F">
        <w:t xml:space="preserve"> 2 million monthly active users</w:t>
      </w:r>
      <w:r w:rsidR="00D52115">
        <w:t>.</w:t>
      </w:r>
    </w:p>
    <w:p w14:paraId="1534A867" w14:textId="279939AD" w:rsidR="337325E1" w:rsidRDefault="00F119EF">
      <w:r>
        <w:t>In terms of search advertising service providers, Google (th</w:t>
      </w:r>
      <w:r w:rsidR="00A97071">
        <w:t>r</w:t>
      </w:r>
      <w:r>
        <w:t>ough its Google search service) and Microsoft (though its Bing search service) would initially be captured. This is based on the ACCC’s 2021 Digital Advertising Services Inquiry</w:t>
      </w:r>
      <w:r w:rsidR="00960DA6" w:rsidRPr="000F0FE0">
        <w:rPr>
          <w:rStyle w:val="FootnoteReference"/>
          <w:vertAlign w:val="superscript"/>
        </w:rPr>
        <w:footnoteReference w:id="104"/>
      </w:r>
      <w:r>
        <w:t xml:space="preserve"> and more recently, the ACCC’</w:t>
      </w:r>
      <w:r w:rsidR="003836EA">
        <w:t>s</w:t>
      </w:r>
      <w:r>
        <w:t xml:space="preserve"> 9</w:t>
      </w:r>
      <w:r w:rsidRPr="00F3251D">
        <w:rPr>
          <w:vertAlign w:val="superscript"/>
        </w:rPr>
        <w:t>th</w:t>
      </w:r>
      <w:r>
        <w:t xml:space="preserve"> interim report of the Digital Platform Services Inquiry issues paper on revisiting general search services</w:t>
      </w:r>
      <w:r w:rsidR="00F31862" w:rsidRPr="000F0FE0">
        <w:rPr>
          <w:rStyle w:val="FootnoteReference"/>
          <w:vertAlign w:val="superscript"/>
        </w:rPr>
        <w:footnoteReference w:id="105"/>
      </w:r>
      <w:r w:rsidR="00F31862">
        <w:t xml:space="preserve"> </w:t>
      </w:r>
      <w:r w:rsidR="00DA4E24">
        <w:t xml:space="preserve">which reported that these </w:t>
      </w:r>
      <w:r w:rsidR="00DC05F1">
        <w:t xml:space="preserve">entities </w:t>
      </w:r>
      <w:r w:rsidR="00DA4E24">
        <w:t>provide almost all search engine services used in Australia</w:t>
      </w:r>
      <w:r w:rsidR="00C742FE">
        <w:t xml:space="preserve">. The </w:t>
      </w:r>
      <w:r w:rsidR="00C8487D">
        <w:t>recent issues paper</w:t>
      </w:r>
      <w:r w:rsidR="009B5049" w:rsidRPr="009B5049">
        <w:t xml:space="preserve"> </w:t>
      </w:r>
      <w:r w:rsidR="009B5049">
        <w:t xml:space="preserve">reported that Google Search </w:t>
      </w:r>
      <w:r w:rsidR="00C8487D">
        <w:t>had a</w:t>
      </w:r>
      <w:r w:rsidR="00425202">
        <w:t>n</w:t>
      </w:r>
      <w:r w:rsidR="00C8487D">
        <w:t xml:space="preserve"> </w:t>
      </w:r>
      <w:r w:rsidR="00425202">
        <w:t>86</w:t>
      </w:r>
      <w:r w:rsidR="009B5049">
        <w:t xml:space="preserve"> per cent market share</w:t>
      </w:r>
      <w:r w:rsidR="00425202">
        <w:t xml:space="preserve"> in desktop search</w:t>
      </w:r>
      <w:r w:rsidR="00DA4E24">
        <w:t xml:space="preserve"> and 98 per cent market share in mobile search</w:t>
      </w:r>
      <w:r w:rsidR="009B5049">
        <w:t xml:space="preserve">, and Microsoft Bing </w:t>
      </w:r>
      <w:r w:rsidR="00DC05F1">
        <w:t>had a</w:t>
      </w:r>
      <w:r w:rsidR="003630C6">
        <w:t xml:space="preserve"> 12</w:t>
      </w:r>
      <w:r w:rsidR="009B5049">
        <w:t xml:space="preserve"> per cent market share</w:t>
      </w:r>
      <w:r w:rsidR="003630C6">
        <w:t xml:space="preserve"> in desktop search</w:t>
      </w:r>
      <w:r w:rsidR="000F0FE0">
        <w:t>.</w:t>
      </w:r>
      <w:r w:rsidR="008664B5" w:rsidRPr="000F0FE0">
        <w:rPr>
          <w:rStyle w:val="FootnoteReference"/>
          <w:vertAlign w:val="superscript"/>
        </w:rPr>
        <w:footnoteReference w:id="106"/>
      </w:r>
      <w:r>
        <w:t xml:space="preserve"> </w:t>
      </w:r>
    </w:p>
    <w:p w14:paraId="017B4E7C" w14:textId="31E057F3" w:rsidR="008520B3" w:rsidRDefault="00211C45" w:rsidP="00C66862">
      <w:r>
        <w:fldChar w:fldCharType="begin"/>
      </w:r>
      <w:r>
        <w:instrText xml:space="preserve"> REF _Ref177513445 \h </w:instrText>
      </w:r>
      <w:r>
        <w:fldChar w:fldCharType="separate"/>
      </w:r>
      <w:r w:rsidR="00BE17D1">
        <w:t xml:space="preserve">Table </w:t>
      </w:r>
      <w:r w:rsidR="00BE17D1">
        <w:rPr>
          <w:noProof/>
        </w:rPr>
        <w:t>24</w:t>
      </w:r>
      <w:r>
        <w:fldChar w:fldCharType="end"/>
      </w:r>
      <w:r w:rsidR="001158DF">
        <w:t xml:space="preserve"> outlines the number of entities in each category</w:t>
      </w:r>
      <w:r w:rsidR="00F567B6">
        <w:t xml:space="preserve"> assumed for this </w:t>
      </w:r>
      <w:r w:rsidR="001D322C">
        <w:t>IA</w:t>
      </w:r>
      <w:r w:rsidR="00F567B6">
        <w:t>. Digital platform entities are</w:t>
      </w:r>
      <w:r w:rsidR="00922A9A">
        <w:t xml:space="preserve"> grouped by the scale of their entity (major or medium) and whether they are a signatory to the AOSC</w:t>
      </w:r>
      <w:r w:rsidR="00E8212C">
        <w:t xml:space="preserve"> in order to estimate the relative level of regulatory cost</w:t>
      </w:r>
      <w:r w:rsidR="002E6258">
        <w:t xml:space="preserve"> required to be incurred under the obligations in option 2</w:t>
      </w:r>
      <w:r w:rsidR="001158DF">
        <w:t>.</w:t>
      </w:r>
      <w:r w:rsidR="00932B53">
        <w:t xml:space="preserve"> </w:t>
      </w:r>
      <w:r w:rsidR="000F58CA">
        <w:t xml:space="preserve">Major platforms </w:t>
      </w:r>
      <w:r w:rsidR="00877CF2">
        <w:t>operate</w:t>
      </w:r>
      <w:r w:rsidR="009300DE">
        <w:t xml:space="preserve"> either</w:t>
      </w:r>
      <w:r w:rsidR="00877CF2">
        <w:t xml:space="preserve"> a social media platform or </w:t>
      </w:r>
      <w:r w:rsidR="001765BD">
        <w:t>direct messaging service with over 4 million active monthly users (in 2022)</w:t>
      </w:r>
      <w:r w:rsidR="00B5206B">
        <w:t xml:space="preserve">, or a search advertising service with </w:t>
      </w:r>
      <w:r w:rsidR="00EF7374">
        <w:t>a greater than 10 per cent market share on either desktop o</w:t>
      </w:r>
      <w:r w:rsidR="00B70CCB">
        <w:t>r</w:t>
      </w:r>
      <w:r w:rsidR="00EF7374">
        <w:t xml:space="preserve"> mobile (in 2024).</w:t>
      </w:r>
    </w:p>
    <w:p w14:paraId="79A91B76" w14:textId="5D442C5C" w:rsidR="004B3DBF" w:rsidRPr="0082510F" w:rsidRDefault="004B3DBF" w:rsidP="004B3DBF">
      <w:pPr>
        <w:pStyle w:val="Heading8"/>
      </w:pPr>
      <w:bookmarkStart w:id="94" w:name="_Ref177513445"/>
      <w:r>
        <w:lastRenderedPageBreak/>
        <w:t xml:space="preserve">Table </w:t>
      </w:r>
      <w:fldSimple w:instr=" SEQ Table \* ARABIC ">
        <w:r w:rsidR="004C77A4">
          <w:rPr>
            <w:noProof/>
          </w:rPr>
          <w:t>24</w:t>
        </w:r>
      </w:fldSimple>
      <w:bookmarkEnd w:id="94"/>
      <w:r w:rsidR="00FF3B33">
        <w:t xml:space="preserve"> </w:t>
      </w:r>
      <w:r>
        <w:t xml:space="preserve">– Number of assumed regulated </w:t>
      </w:r>
      <w:r w:rsidR="00211C45">
        <w:t>digital platform</w:t>
      </w:r>
      <w:r>
        <w:t xml:space="preserve"> entities by current activity category</w:t>
      </w:r>
    </w:p>
    <w:tbl>
      <w:tblPr>
        <w:tblStyle w:val="GridTable4-Accent1"/>
        <w:tblW w:w="0" w:type="auto"/>
        <w:tblLook w:val="04A0" w:firstRow="1" w:lastRow="0" w:firstColumn="1" w:lastColumn="0" w:noHBand="0" w:noVBand="1"/>
      </w:tblPr>
      <w:tblGrid>
        <w:gridCol w:w="1980"/>
        <w:gridCol w:w="1843"/>
        <w:gridCol w:w="1701"/>
        <w:gridCol w:w="1701"/>
        <w:gridCol w:w="1835"/>
      </w:tblGrid>
      <w:tr w:rsidR="00BB6AC3" w:rsidRPr="0081736C" w14:paraId="208E45AD" w14:textId="77777777" w:rsidTr="006636DB">
        <w:trPr>
          <w:cnfStyle w:val="100000000000" w:firstRow="1" w:lastRow="0" w:firstColumn="0" w:lastColumn="0" w:oddVBand="0" w:evenVBand="0" w:oddHBand="0" w:evenHBand="0" w:firstRowFirstColumn="0" w:firstRowLastColumn="0" w:lastRowFirstColumn="0" w:lastRowLastColumn="0"/>
          <w:trHeight w:val="67"/>
          <w:tblHeader/>
        </w:trPr>
        <w:tc>
          <w:tcPr>
            <w:cnfStyle w:val="001000000000" w:firstRow="0" w:lastRow="0" w:firstColumn="1" w:lastColumn="0" w:oddVBand="0" w:evenVBand="0" w:oddHBand="0" w:evenHBand="0" w:firstRowFirstColumn="0" w:firstRowLastColumn="0" w:lastRowFirstColumn="0" w:lastRowLastColumn="0"/>
            <w:tcW w:w="1980" w:type="dxa"/>
          </w:tcPr>
          <w:p w14:paraId="6565A831" w14:textId="77777777" w:rsidR="00BB6AC3" w:rsidRDefault="00BB6AC3">
            <w:pPr>
              <w:rPr>
                <w:szCs w:val="22"/>
              </w:rPr>
            </w:pPr>
            <w:r>
              <w:rPr>
                <w:szCs w:val="22"/>
              </w:rPr>
              <w:t>Category</w:t>
            </w:r>
          </w:p>
        </w:tc>
        <w:tc>
          <w:tcPr>
            <w:tcW w:w="1843" w:type="dxa"/>
          </w:tcPr>
          <w:p w14:paraId="07F23A18" w14:textId="77777777" w:rsidR="00BB6AC3" w:rsidRDefault="00BB6AC3">
            <w:pPr>
              <w:cnfStyle w:val="100000000000" w:firstRow="1" w:lastRow="0" w:firstColumn="0" w:lastColumn="0" w:oddVBand="0" w:evenVBand="0" w:oddHBand="0" w:evenHBand="0" w:firstRowFirstColumn="0" w:firstRowLastColumn="0" w:lastRowFirstColumn="0" w:lastRowLastColumn="0"/>
              <w:rPr>
                <w:szCs w:val="22"/>
              </w:rPr>
            </w:pPr>
            <w:r>
              <w:rPr>
                <w:szCs w:val="22"/>
              </w:rPr>
              <w:t xml:space="preserve">Number of </w:t>
            </w:r>
            <w:r w:rsidRPr="0081736C">
              <w:rPr>
                <w:szCs w:val="22"/>
              </w:rPr>
              <w:t xml:space="preserve">entities </w:t>
            </w:r>
          </w:p>
        </w:tc>
        <w:tc>
          <w:tcPr>
            <w:tcW w:w="1701" w:type="dxa"/>
          </w:tcPr>
          <w:p w14:paraId="72AB5979" w14:textId="77777777" w:rsidR="00BB6AC3" w:rsidRDefault="00BB6AC3">
            <w:pPr>
              <w:cnfStyle w:val="100000000000" w:firstRow="1" w:lastRow="0" w:firstColumn="0" w:lastColumn="0" w:oddVBand="0" w:evenVBand="0" w:oddHBand="0" w:evenHBand="0" w:firstRowFirstColumn="0" w:firstRowLastColumn="0" w:lastRowFirstColumn="0" w:lastRowLastColumn="0"/>
              <w:rPr>
                <w:szCs w:val="22"/>
              </w:rPr>
            </w:pPr>
            <w:r>
              <w:rPr>
                <w:szCs w:val="22"/>
              </w:rPr>
              <w:t>Voluntary code membership</w:t>
            </w:r>
          </w:p>
        </w:tc>
        <w:tc>
          <w:tcPr>
            <w:tcW w:w="1701" w:type="dxa"/>
          </w:tcPr>
          <w:p w14:paraId="32945DFC" w14:textId="77777777" w:rsidR="00BB6AC3" w:rsidRDefault="00BB6AC3">
            <w:pPr>
              <w:cnfStyle w:val="100000000000" w:firstRow="1" w:lastRow="0" w:firstColumn="0" w:lastColumn="0" w:oddVBand="0" w:evenVBand="0" w:oddHBand="0" w:evenHBand="0" w:firstRowFirstColumn="0" w:firstRowLastColumn="0" w:lastRowFirstColumn="0" w:lastRowLastColumn="0"/>
              <w:rPr>
                <w:szCs w:val="22"/>
              </w:rPr>
            </w:pPr>
            <w:r>
              <w:rPr>
                <w:szCs w:val="22"/>
              </w:rPr>
              <w:t>Information sharing</w:t>
            </w:r>
          </w:p>
        </w:tc>
        <w:tc>
          <w:tcPr>
            <w:tcW w:w="1835" w:type="dxa"/>
          </w:tcPr>
          <w:p w14:paraId="00E65D19" w14:textId="77777777" w:rsidR="00BB6AC3" w:rsidRDefault="00BB6AC3">
            <w:pPr>
              <w:cnfStyle w:val="100000000000" w:firstRow="1" w:lastRow="0" w:firstColumn="0" w:lastColumn="0" w:oddVBand="0" w:evenVBand="0" w:oddHBand="0" w:evenHBand="0" w:firstRowFirstColumn="0" w:firstRowLastColumn="0" w:lastRowFirstColumn="0" w:lastRowLastColumn="0"/>
              <w:rPr>
                <w:szCs w:val="22"/>
              </w:rPr>
            </w:pPr>
            <w:r>
              <w:rPr>
                <w:szCs w:val="22"/>
              </w:rPr>
              <w:t>EDR membership</w:t>
            </w:r>
          </w:p>
        </w:tc>
      </w:tr>
      <w:tr w:rsidR="00765DB2" w:rsidRPr="0032722E" w14:paraId="67EBB625" w14:textId="77777777" w:rsidTr="006636DB">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980" w:type="dxa"/>
            <w:shd w:val="clear" w:color="auto" w:fill="DEE3EB" w:themeFill="accent3" w:themeFillTint="33"/>
          </w:tcPr>
          <w:p w14:paraId="0D13BD2B" w14:textId="0591C98B" w:rsidR="00765DB2" w:rsidRPr="005D5B0F" w:rsidRDefault="00765DB2" w:rsidP="00526C7B">
            <w:pPr>
              <w:contextualSpacing/>
              <w:rPr>
                <w:b w:val="0"/>
              </w:rPr>
            </w:pPr>
            <w:r w:rsidRPr="003C6278">
              <w:t xml:space="preserve">Major platforms </w:t>
            </w:r>
            <w:r w:rsidR="00A7077D">
              <w:t>– AOSC</w:t>
            </w:r>
          </w:p>
        </w:tc>
        <w:tc>
          <w:tcPr>
            <w:tcW w:w="1843" w:type="dxa"/>
            <w:shd w:val="clear" w:color="auto" w:fill="DEE3EB" w:themeFill="accent3" w:themeFillTint="33"/>
          </w:tcPr>
          <w:p w14:paraId="494CC5E4" w14:textId="2039F360" w:rsidR="00765DB2" w:rsidRPr="0032722E" w:rsidRDefault="00167C0F" w:rsidP="00526C7B">
            <w:pPr>
              <w:contextualSpacing/>
              <w:cnfStyle w:val="000000100000" w:firstRow="0" w:lastRow="0" w:firstColumn="0" w:lastColumn="0" w:oddVBand="0" w:evenVBand="0" w:oddHBand="1" w:evenHBand="0" w:firstRowFirstColumn="0" w:firstRowLastColumn="0" w:lastRowFirstColumn="0" w:lastRowLastColumn="0"/>
            </w:pPr>
            <w:r>
              <w:rPr>
                <w:b/>
                <w:bCs/>
              </w:rPr>
              <w:t>5</w:t>
            </w:r>
            <w:r w:rsidR="00765DB2" w:rsidRPr="003F4223">
              <w:rPr>
                <w:bCs/>
              </w:rPr>
              <w:t xml:space="preserve"> (</w:t>
            </w:r>
            <w:r w:rsidR="00765DB2" w:rsidRPr="007B69D9">
              <w:rPr>
                <w:bCs/>
              </w:rPr>
              <w:t xml:space="preserve">Meta, Google, </w:t>
            </w:r>
            <w:proofErr w:type="spellStart"/>
            <w:r w:rsidR="009C7A12">
              <w:rPr>
                <w:bCs/>
              </w:rPr>
              <w:t>ByteDance</w:t>
            </w:r>
            <w:proofErr w:type="spellEnd"/>
            <w:r w:rsidR="00F17022">
              <w:rPr>
                <w:bCs/>
              </w:rPr>
              <w:t>, Snap</w:t>
            </w:r>
            <w:r w:rsidR="00CD5D0D">
              <w:rPr>
                <w:bCs/>
              </w:rPr>
              <w:t>, Apple</w:t>
            </w:r>
            <w:r w:rsidR="00765DB2" w:rsidRPr="003F4223">
              <w:rPr>
                <w:bCs/>
              </w:rPr>
              <w:t>)</w:t>
            </w:r>
          </w:p>
        </w:tc>
        <w:tc>
          <w:tcPr>
            <w:tcW w:w="1701" w:type="dxa"/>
            <w:vMerge w:val="restart"/>
            <w:shd w:val="clear" w:color="auto" w:fill="DEE3EB" w:themeFill="accent3" w:themeFillTint="33"/>
          </w:tcPr>
          <w:p w14:paraId="2150A4EB" w14:textId="1BFEEA54" w:rsidR="00765DB2" w:rsidRPr="00BF52FA" w:rsidRDefault="00765DB2" w:rsidP="00526C7B">
            <w:pPr>
              <w:contextualSpacing/>
              <w:cnfStyle w:val="000000100000" w:firstRow="0" w:lastRow="0" w:firstColumn="0" w:lastColumn="0" w:oddVBand="0" w:evenVBand="0" w:oddHBand="1" w:evenHBand="0" w:firstRowFirstColumn="0" w:firstRowLastColumn="0" w:lastRowFirstColumn="0" w:lastRowLastColumn="0"/>
              <w:rPr>
                <w:bCs/>
              </w:rPr>
            </w:pPr>
            <w:r w:rsidRPr="00BF52FA">
              <w:rPr>
                <w:bCs/>
              </w:rPr>
              <w:t>Australian Online Scams Code</w:t>
            </w:r>
            <w:r w:rsidR="000416B4">
              <w:rPr>
                <w:bCs/>
              </w:rPr>
              <w:t xml:space="preserve"> (AOSC)</w:t>
            </w:r>
          </w:p>
        </w:tc>
        <w:tc>
          <w:tcPr>
            <w:tcW w:w="1701" w:type="dxa"/>
            <w:vMerge w:val="restart"/>
            <w:shd w:val="clear" w:color="auto" w:fill="DEE3EB" w:themeFill="accent3" w:themeFillTint="33"/>
          </w:tcPr>
          <w:p w14:paraId="2DD38884" w14:textId="6FA73FF2" w:rsidR="00765DB2" w:rsidRPr="00D13208" w:rsidRDefault="00CD5D0D" w:rsidP="00526C7B">
            <w:pPr>
              <w:contextualSpacing/>
              <w:cnfStyle w:val="000000100000" w:firstRow="0" w:lastRow="0" w:firstColumn="0" w:lastColumn="0" w:oddVBand="0" w:evenVBand="0" w:oddHBand="1" w:evenHBand="0" w:firstRowFirstColumn="0" w:firstRowLastColumn="0" w:lastRowFirstColumn="0" w:lastRowLastColumn="0"/>
              <w:rPr>
                <w:bCs/>
              </w:rPr>
            </w:pPr>
            <w:r>
              <w:rPr>
                <w:bCs/>
              </w:rPr>
              <w:t>E</w:t>
            </w:r>
            <w:r w:rsidR="00454FED">
              <w:rPr>
                <w:bCs/>
              </w:rPr>
              <w:t>ngage</w:t>
            </w:r>
            <w:r>
              <w:rPr>
                <w:bCs/>
              </w:rPr>
              <w:t>ment in</w:t>
            </w:r>
            <w:r w:rsidR="000960C4">
              <w:rPr>
                <w:bCs/>
              </w:rPr>
              <w:t xml:space="preserve"> NASC</w:t>
            </w:r>
            <w:r w:rsidR="00376F20">
              <w:rPr>
                <w:bCs/>
              </w:rPr>
              <w:t xml:space="preserve"> </w:t>
            </w:r>
            <w:r w:rsidR="00DE0730">
              <w:rPr>
                <w:bCs/>
              </w:rPr>
              <w:t xml:space="preserve">information </w:t>
            </w:r>
            <w:r w:rsidR="00672A76">
              <w:rPr>
                <w:bCs/>
              </w:rPr>
              <w:t>shar</w:t>
            </w:r>
            <w:r w:rsidR="00DE0730">
              <w:rPr>
                <w:bCs/>
              </w:rPr>
              <w:t>ing</w:t>
            </w:r>
            <w:r w:rsidR="00672A76">
              <w:rPr>
                <w:bCs/>
              </w:rPr>
              <w:t xml:space="preserve"> </w:t>
            </w:r>
          </w:p>
        </w:tc>
        <w:tc>
          <w:tcPr>
            <w:tcW w:w="1835" w:type="dxa"/>
            <w:vMerge w:val="restart"/>
            <w:shd w:val="clear" w:color="auto" w:fill="DEE3EB" w:themeFill="accent3" w:themeFillTint="33"/>
          </w:tcPr>
          <w:p w14:paraId="2728EBD3" w14:textId="0875301C" w:rsidR="00765DB2" w:rsidRPr="00D13208" w:rsidRDefault="00765DB2" w:rsidP="00526C7B">
            <w:pPr>
              <w:contextualSpacing/>
              <w:cnfStyle w:val="000000100000" w:firstRow="0" w:lastRow="0" w:firstColumn="0" w:lastColumn="0" w:oddVBand="0" w:evenVBand="0" w:oddHBand="1" w:evenHBand="0" w:firstRowFirstColumn="0" w:firstRowLastColumn="0" w:lastRowFirstColumn="0" w:lastRowLastColumn="0"/>
              <w:rPr>
                <w:bCs/>
              </w:rPr>
            </w:pPr>
            <w:r>
              <w:rPr>
                <w:bCs/>
              </w:rPr>
              <w:t>No memberships of EDR schemes</w:t>
            </w:r>
          </w:p>
        </w:tc>
      </w:tr>
      <w:tr w:rsidR="00765DB2" w:rsidRPr="0032722E" w14:paraId="5A556ED1" w14:textId="77777777" w:rsidTr="006636DB">
        <w:trPr>
          <w:trHeight w:val="67"/>
        </w:trPr>
        <w:tc>
          <w:tcPr>
            <w:cnfStyle w:val="001000000000" w:firstRow="0" w:lastRow="0" w:firstColumn="1" w:lastColumn="0" w:oddVBand="0" w:evenVBand="0" w:oddHBand="0" w:evenHBand="0" w:firstRowFirstColumn="0" w:firstRowLastColumn="0" w:lastRowFirstColumn="0" w:lastRowLastColumn="0"/>
            <w:tcW w:w="1980" w:type="dxa"/>
            <w:shd w:val="clear" w:color="auto" w:fill="DEE3EB" w:themeFill="accent3" w:themeFillTint="33"/>
          </w:tcPr>
          <w:p w14:paraId="58B7A7FE" w14:textId="2E89734A" w:rsidR="00765DB2" w:rsidRPr="005750FE" w:rsidRDefault="00765DB2" w:rsidP="00526C7B">
            <w:pPr>
              <w:contextualSpacing/>
              <w:rPr>
                <w:bCs w:val="0"/>
              </w:rPr>
            </w:pPr>
            <w:r w:rsidRPr="003C6278">
              <w:t xml:space="preserve">Medium platforms </w:t>
            </w:r>
            <w:r w:rsidR="00A7077D">
              <w:t>–</w:t>
            </w:r>
            <w:r w:rsidRPr="003C6278">
              <w:t xml:space="preserve"> </w:t>
            </w:r>
            <w:r w:rsidR="00A7077D">
              <w:t>AOSC</w:t>
            </w:r>
          </w:p>
        </w:tc>
        <w:tc>
          <w:tcPr>
            <w:tcW w:w="1843" w:type="dxa"/>
            <w:shd w:val="clear" w:color="auto" w:fill="DEE3EB" w:themeFill="accent3" w:themeFillTint="33"/>
          </w:tcPr>
          <w:p w14:paraId="18B4B376" w14:textId="271CA79F" w:rsidR="00765DB2" w:rsidRPr="005D5B0F" w:rsidRDefault="00B50410" w:rsidP="00526C7B">
            <w:pPr>
              <w:contextualSpacing/>
              <w:cnfStyle w:val="000000000000" w:firstRow="0" w:lastRow="0" w:firstColumn="0" w:lastColumn="0" w:oddVBand="0" w:evenVBand="0" w:oddHBand="0" w:evenHBand="0" w:firstRowFirstColumn="0" w:firstRowLastColumn="0" w:lastRowFirstColumn="0" w:lastRowLastColumn="0"/>
              <w:rPr>
                <w:b/>
              </w:rPr>
            </w:pPr>
            <w:r>
              <w:rPr>
                <w:b/>
              </w:rPr>
              <w:t>2</w:t>
            </w:r>
            <w:r w:rsidR="00765DB2">
              <w:rPr>
                <w:b/>
              </w:rPr>
              <w:t xml:space="preserve"> </w:t>
            </w:r>
            <w:r w:rsidR="00765DB2" w:rsidRPr="00BF52FA">
              <w:rPr>
                <w:bCs/>
              </w:rPr>
              <w:t>(X</w:t>
            </w:r>
            <w:r w:rsidR="003036EF">
              <w:rPr>
                <w:bCs/>
              </w:rPr>
              <w:t>, Discord</w:t>
            </w:r>
            <w:r w:rsidR="00765DB2" w:rsidRPr="00BF52FA">
              <w:rPr>
                <w:bCs/>
              </w:rPr>
              <w:t>)</w:t>
            </w:r>
          </w:p>
        </w:tc>
        <w:tc>
          <w:tcPr>
            <w:tcW w:w="1701" w:type="dxa"/>
            <w:vMerge/>
            <w:shd w:val="clear" w:color="auto" w:fill="DEE3EB" w:themeFill="accent3" w:themeFillTint="33"/>
          </w:tcPr>
          <w:p w14:paraId="675576D4" w14:textId="3EBAF724" w:rsidR="00765DB2" w:rsidRPr="005D5B0F" w:rsidRDefault="00765DB2" w:rsidP="00526C7B">
            <w:pPr>
              <w:contextualSpacing/>
              <w:cnfStyle w:val="000000000000" w:firstRow="0" w:lastRow="0" w:firstColumn="0" w:lastColumn="0" w:oddVBand="0" w:evenVBand="0" w:oddHBand="0" w:evenHBand="0" w:firstRowFirstColumn="0" w:firstRowLastColumn="0" w:lastRowFirstColumn="0" w:lastRowLastColumn="0"/>
              <w:rPr>
                <w:b/>
              </w:rPr>
            </w:pPr>
          </w:p>
        </w:tc>
        <w:tc>
          <w:tcPr>
            <w:tcW w:w="1701" w:type="dxa"/>
            <w:vMerge/>
            <w:shd w:val="clear" w:color="auto" w:fill="DEE3EB" w:themeFill="accent3" w:themeFillTint="33"/>
          </w:tcPr>
          <w:p w14:paraId="54BC8F5C" w14:textId="5F67435A" w:rsidR="00765DB2" w:rsidRPr="009B5EBD" w:rsidRDefault="00765DB2" w:rsidP="00526C7B">
            <w:pPr>
              <w:contextualSpacing/>
              <w:cnfStyle w:val="000000000000" w:firstRow="0" w:lastRow="0" w:firstColumn="0" w:lastColumn="0" w:oddVBand="0" w:evenVBand="0" w:oddHBand="0" w:evenHBand="0" w:firstRowFirstColumn="0" w:firstRowLastColumn="0" w:lastRowFirstColumn="0" w:lastRowLastColumn="0"/>
              <w:rPr>
                <w:bCs/>
              </w:rPr>
            </w:pPr>
          </w:p>
        </w:tc>
        <w:tc>
          <w:tcPr>
            <w:tcW w:w="1835" w:type="dxa"/>
            <w:vMerge/>
            <w:shd w:val="clear" w:color="auto" w:fill="DEE3EB" w:themeFill="accent3" w:themeFillTint="33"/>
          </w:tcPr>
          <w:p w14:paraId="60D4AF49" w14:textId="77777777" w:rsidR="00765DB2" w:rsidRPr="005D5B0F" w:rsidRDefault="00765DB2" w:rsidP="00526C7B">
            <w:pPr>
              <w:contextualSpacing/>
              <w:cnfStyle w:val="000000000000" w:firstRow="0" w:lastRow="0" w:firstColumn="0" w:lastColumn="0" w:oddVBand="0" w:evenVBand="0" w:oddHBand="0" w:evenHBand="0" w:firstRowFirstColumn="0" w:firstRowLastColumn="0" w:lastRowFirstColumn="0" w:lastRowLastColumn="0"/>
              <w:rPr>
                <w:b/>
              </w:rPr>
            </w:pPr>
          </w:p>
        </w:tc>
      </w:tr>
      <w:tr w:rsidR="000263A5" w:rsidRPr="0032722E" w14:paraId="788471CC" w14:textId="77777777" w:rsidTr="006636DB">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980" w:type="dxa"/>
            <w:shd w:val="clear" w:color="auto" w:fill="DEE3EB" w:themeFill="accent3" w:themeFillTint="33"/>
          </w:tcPr>
          <w:p w14:paraId="7857750F" w14:textId="6A76BF3F" w:rsidR="000263A5" w:rsidRPr="003C6278" w:rsidRDefault="007F5FBE" w:rsidP="00526C7B">
            <w:pPr>
              <w:contextualSpacing/>
            </w:pPr>
            <w:r>
              <w:t>Major</w:t>
            </w:r>
            <w:r w:rsidR="000263A5">
              <w:t xml:space="preserve"> Platforms – non-AOSC</w:t>
            </w:r>
          </w:p>
        </w:tc>
        <w:tc>
          <w:tcPr>
            <w:tcW w:w="1843" w:type="dxa"/>
            <w:shd w:val="clear" w:color="auto" w:fill="DEE3EB" w:themeFill="accent3" w:themeFillTint="33"/>
          </w:tcPr>
          <w:p w14:paraId="4E32AF58" w14:textId="2158DFAF" w:rsidR="000263A5" w:rsidRDefault="00167C0F" w:rsidP="00526C7B">
            <w:pPr>
              <w:contextualSpacing/>
              <w:cnfStyle w:val="000000100000" w:firstRow="0" w:lastRow="0" w:firstColumn="0" w:lastColumn="0" w:oddVBand="0" w:evenVBand="0" w:oddHBand="1" w:evenHBand="0" w:firstRowFirstColumn="0" w:firstRowLastColumn="0" w:lastRowFirstColumn="0" w:lastRowLastColumn="0"/>
              <w:rPr>
                <w:b/>
              </w:rPr>
            </w:pPr>
            <w:r>
              <w:rPr>
                <w:b/>
              </w:rPr>
              <w:t>2</w:t>
            </w:r>
            <w:r w:rsidR="000263A5">
              <w:rPr>
                <w:b/>
              </w:rPr>
              <w:t xml:space="preserve"> </w:t>
            </w:r>
            <w:r w:rsidR="000263A5" w:rsidRPr="001C15BD">
              <w:rPr>
                <w:bCs/>
              </w:rPr>
              <w:t xml:space="preserve">(Microsoft, </w:t>
            </w:r>
            <w:r w:rsidR="00022DC2">
              <w:rPr>
                <w:bCs/>
              </w:rPr>
              <w:t xml:space="preserve"> Pinterest</w:t>
            </w:r>
            <w:r w:rsidR="000263A5" w:rsidRPr="001C15BD">
              <w:rPr>
                <w:bCs/>
              </w:rPr>
              <w:t>)</w:t>
            </w:r>
          </w:p>
        </w:tc>
        <w:tc>
          <w:tcPr>
            <w:tcW w:w="1701" w:type="dxa"/>
            <w:vMerge w:val="restart"/>
            <w:shd w:val="clear" w:color="auto" w:fill="DEE3EB" w:themeFill="accent3" w:themeFillTint="33"/>
          </w:tcPr>
          <w:p w14:paraId="097D9638" w14:textId="5D49639F" w:rsidR="000263A5" w:rsidRPr="005D5B0F" w:rsidRDefault="000263A5" w:rsidP="00526C7B">
            <w:pPr>
              <w:contextualSpacing/>
              <w:cnfStyle w:val="000000100000" w:firstRow="0" w:lastRow="0" w:firstColumn="0" w:lastColumn="0" w:oddVBand="0" w:evenVBand="0" w:oddHBand="1" w:evenHBand="0" w:firstRowFirstColumn="0" w:firstRowLastColumn="0" w:lastRowFirstColumn="0" w:lastRowLastColumn="0"/>
              <w:rPr>
                <w:b/>
              </w:rPr>
            </w:pPr>
            <w:r>
              <w:rPr>
                <w:bCs/>
              </w:rPr>
              <w:t>None</w:t>
            </w:r>
          </w:p>
        </w:tc>
        <w:tc>
          <w:tcPr>
            <w:tcW w:w="1701" w:type="dxa"/>
            <w:vMerge w:val="restart"/>
            <w:shd w:val="clear" w:color="auto" w:fill="DEE3EB" w:themeFill="accent3" w:themeFillTint="33"/>
          </w:tcPr>
          <w:p w14:paraId="31F88E41" w14:textId="55BB59B1" w:rsidR="000263A5" w:rsidRPr="009B5EBD" w:rsidRDefault="000263A5" w:rsidP="00526C7B">
            <w:pPr>
              <w:contextualSpacing/>
              <w:cnfStyle w:val="000000100000" w:firstRow="0" w:lastRow="0" w:firstColumn="0" w:lastColumn="0" w:oddVBand="0" w:evenVBand="0" w:oddHBand="1" w:evenHBand="0" w:firstRowFirstColumn="0" w:firstRowLastColumn="0" w:lastRowFirstColumn="0" w:lastRowLastColumn="0"/>
              <w:rPr>
                <w:bCs/>
              </w:rPr>
            </w:pPr>
            <w:r>
              <w:rPr>
                <w:bCs/>
              </w:rPr>
              <w:t>No current arrangements</w:t>
            </w:r>
          </w:p>
        </w:tc>
        <w:tc>
          <w:tcPr>
            <w:tcW w:w="1835" w:type="dxa"/>
            <w:vMerge/>
            <w:shd w:val="clear" w:color="auto" w:fill="DEE3EB" w:themeFill="accent3" w:themeFillTint="33"/>
          </w:tcPr>
          <w:p w14:paraId="27761806" w14:textId="77777777" w:rsidR="000263A5" w:rsidRPr="005D5B0F" w:rsidRDefault="000263A5" w:rsidP="00526C7B">
            <w:pPr>
              <w:contextualSpacing/>
              <w:cnfStyle w:val="000000100000" w:firstRow="0" w:lastRow="0" w:firstColumn="0" w:lastColumn="0" w:oddVBand="0" w:evenVBand="0" w:oddHBand="1" w:evenHBand="0" w:firstRowFirstColumn="0" w:firstRowLastColumn="0" w:lastRowFirstColumn="0" w:lastRowLastColumn="0"/>
              <w:rPr>
                <w:b/>
              </w:rPr>
            </w:pPr>
          </w:p>
        </w:tc>
      </w:tr>
      <w:tr w:rsidR="00526C7B" w:rsidRPr="0032722E" w14:paraId="30B2CA38" w14:textId="77777777" w:rsidTr="006636DB">
        <w:trPr>
          <w:trHeight w:val="253"/>
        </w:trPr>
        <w:tc>
          <w:tcPr>
            <w:cnfStyle w:val="001000000000" w:firstRow="0" w:lastRow="0" w:firstColumn="1" w:lastColumn="0" w:oddVBand="0" w:evenVBand="0" w:oddHBand="0" w:evenHBand="0" w:firstRowFirstColumn="0" w:firstRowLastColumn="0" w:lastRowFirstColumn="0" w:lastRowLastColumn="0"/>
            <w:tcW w:w="1980" w:type="dxa"/>
            <w:shd w:val="clear" w:color="auto" w:fill="DEE3EB" w:themeFill="accent3" w:themeFillTint="33"/>
          </w:tcPr>
          <w:p w14:paraId="1A8925F7" w14:textId="2B3CF937" w:rsidR="00526C7B" w:rsidRPr="001607D3" w:rsidRDefault="00526C7B" w:rsidP="00526C7B">
            <w:pPr>
              <w:contextualSpacing/>
              <w:rPr>
                <w:bCs w:val="0"/>
              </w:rPr>
            </w:pPr>
            <w:r w:rsidRPr="003C6278">
              <w:t>Medium platforms - non-</w:t>
            </w:r>
            <w:r w:rsidR="000263A5">
              <w:t>AOSC</w:t>
            </w:r>
          </w:p>
        </w:tc>
        <w:tc>
          <w:tcPr>
            <w:tcW w:w="1843" w:type="dxa"/>
            <w:shd w:val="clear" w:color="auto" w:fill="DEE3EB" w:themeFill="accent3" w:themeFillTint="33"/>
          </w:tcPr>
          <w:p w14:paraId="1A8226A3" w14:textId="13BD40C7" w:rsidR="00526C7B" w:rsidRPr="005D5B0F" w:rsidRDefault="000263A5" w:rsidP="00526C7B">
            <w:pPr>
              <w:contextualSpacing/>
              <w:cnfStyle w:val="000000000000" w:firstRow="0" w:lastRow="0" w:firstColumn="0" w:lastColumn="0" w:oddVBand="0" w:evenVBand="0" w:oddHBand="0" w:evenHBand="0" w:firstRowFirstColumn="0" w:firstRowLastColumn="0" w:lastRowFirstColumn="0" w:lastRowLastColumn="0"/>
              <w:rPr>
                <w:b/>
              </w:rPr>
            </w:pPr>
            <w:r>
              <w:rPr>
                <w:b/>
              </w:rPr>
              <w:t>1</w:t>
            </w:r>
            <w:r w:rsidR="00EF7EC6">
              <w:rPr>
                <w:b/>
              </w:rPr>
              <w:t>2</w:t>
            </w:r>
            <w:r>
              <w:rPr>
                <w:b/>
              </w:rPr>
              <w:t xml:space="preserve"> </w:t>
            </w:r>
            <w:r w:rsidRPr="0011348A">
              <w:rPr>
                <w:bCs/>
              </w:rPr>
              <w:t>(</w:t>
            </w:r>
            <w:proofErr w:type="spellStart"/>
            <w:r w:rsidR="0011348A" w:rsidRPr="0011348A">
              <w:rPr>
                <w:bCs/>
              </w:rPr>
              <w:t>Reddit</w:t>
            </w:r>
            <w:proofErr w:type="spellEnd"/>
            <w:r w:rsidR="0011348A" w:rsidRPr="0011348A">
              <w:rPr>
                <w:bCs/>
              </w:rPr>
              <w:t>,</w:t>
            </w:r>
            <w:r w:rsidR="006E442E">
              <w:rPr>
                <w:bCs/>
              </w:rPr>
              <w:t xml:space="preserve"> </w:t>
            </w:r>
            <w:proofErr w:type="spellStart"/>
            <w:r w:rsidR="0011348A" w:rsidRPr="0011348A">
              <w:rPr>
                <w:bCs/>
              </w:rPr>
              <w:t>BeReal</w:t>
            </w:r>
            <w:proofErr w:type="spellEnd"/>
            <w:r w:rsidR="0011348A" w:rsidRPr="0011348A">
              <w:rPr>
                <w:bCs/>
              </w:rPr>
              <w:t xml:space="preserve">, </w:t>
            </w:r>
            <w:r w:rsidR="00E15B59">
              <w:rPr>
                <w:bCs/>
              </w:rPr>
              <w:t>Zoom</w:t>
            </w:r>
            <w:r w:rsidR="0011348A" w:rsidRPr="0011348A">
              <w:rPr>
                <w:bCs/>
              </w:rPr>
              <w:t>)</w:t>
            </w:r>
          </w:p>
        </w:tc>
        <w:tc>
          <w:tcPr>
            <w:tcW w:w="1701" w:type="dxa"/>
            <w:vMerge/>
            <w:shd w:val="clear" w:color="auto" w:fill="DEE3EB" w:themeFill="accent3" w:themeFillTint="33"/>
          </w:tcPr>
          <w:p w14:paraId="0E10EDA5" w14:textId="709DE99B" w:rsidR="00526C7B" w:rsidRPr="009F4EFC" w:rsidRDefault="00526C7B" w:rsidP="00526C7B">
            <w:pPr>
              <w:contextualSpacing/>
              <w:cnfStyle w:val="000000000000" w:firstRow="0" w:lastRow="0" w:firstColumn="0" w:lastColumn="0" w:oddVBand="0" w:evenVBand="0" w:oddHBand="0" w:evenHBand="0" w:firstRowFirstColumn="0" w:firstRowLastColumn="0" w:lastRowFirstColumn="0" w:lastRowLastColumn="0"/>
              <w:rPr>
                <w:bCs/>
              </w:rPr>
            </w:pPr>
          </w:p>
        </w:tc>
        <w:tc>
          <w:tcPr>
            <w:tcW w:w="1701" w:type="dxa"/>
            <w:vMerge/>
            <w:shd w:val="clear" w:color="auto" w:fill="DEE3EB" w:themeFill="accent3" w:themeFillTint="33"/>
          </w:tcPr>
          <w:p w14:paraId="3A798FC9" w14:textId="77777777" w:rsidR="00526C7B" w:rsidRPr="009B5EBD" w:rsidRDefault="00526C7B" w:rsidP="00526C7B">
            <w:pPr>
              <w:cnfStyle w:val="000000000000" w:firstRow="0" w:lastRow="0" w:firstColumn="0" w:lastColumn="0" w:oddVBand="0" w:evenVBand="0" w:oddHBand="0" w:evenHBand="0" w:firstRowFirstColumn="0" w:firstRowLastColumn="0" w:lastRowFirstColumn="0" w:lastRowLastColumn="0"/>
              <w:rPr>
                <w:bCs/>
              </w:rPr>
            </w:pPr>
          </w:p>
        </w:tc>
        <w:tc>
          <w:tcPr>
            <w:tcW w:w="1835" w:type="dxa"/>
            <w:vMerge/>
            <w:shd w:val="clear" w:color="auto" w:fill="DEE3EB" w:themeFill="accent3" w:themeFillTint="33"/>
          </w:tcPr>
          <w:p w14:paraId="648DD860" w14:textId="77777777" w:rsidR="00526C7B" w:rsidRPr="005D5B0F" w:rsidRDefault="00526C7B" w:rsidP="00526C7B">
            <w:pPr>
              <w:contextualSpacing/>
              <w:cnfStyle w:val="000000000000" w:firstRow="0" w:lastRow="0" w:firstColumn="0" w:lastColumn="0" w:oddVBand="0" w:evenVBand="0" w:oddHBand="0" w:evenHBand="0" w:firstRowFirstColumn="0" w:firstRowLastColumn="0" w:lastRowFirstColumn="0" w:lastRowLastColumn="0"/>
              <w:rPr>
                <w:b/>
              </w:rPr>
            </w:pPr>
          </w:p>
        </w:tc>
      </w:tr>
    </w:tbl>
    <w:p w14:paraId="782EF096" w14:textId="3ACE7B7A" w:rsidR="00A4745E" w:rsidRDefault="00A4745E">
      <w:pPr>
        <w:sectPr w:rsidR="00A4745E" w:rsidSect="00382253">
          <w:type w:val="continuous"/>
          <w:pgSz w:w="11906" w:h="16838"/>
          <w:pgMar w:top="1418" w:right="1418" w:bottom="1418" w:left="1418" w:header="709" w:footer="709" w:gutter="0"/>
          <w:cols w:space="708"/>
          <w:titlePg/>
          <w:docGrid w:linePitch="360"/>
        </w:sectPr>
      </w:pPr>
    </w:p>
    <w:p w14:paraId="06E9FF5D" w14:textId="408C5106" w:rsidR="005111B7" w:rsidRDefault="0064001F" w:rsidP="00582C98">
      <w:pPr>
        <w:pStyle w:val="Heading4"/>
      </w:pPr>
      <w:r>
        <w:lastRenderedPageBreak/>
        <w:t xml:space="preserve">Option 2: </w:t>
      </w:r>
      <w:r w:rsidR="003753A3">
        <w:t>Regulatory cost assumption tables</w:t>
      </w:r>
    </w:p>
    <w:p w14:paraId="573E6528" w14:textId="0D3DD6A1" w:rsidR="00A9109E" w:rsidRPr="00A9109E" w:rsidRDefault="00F758BA" w:rsidP="00F758BA">
      <w:pPr>
        <w:pStyle w:val="Heading8"/>
      </w:pPr>
      <w:r>
        <w:t xml:space="preserve">Table </w:t>
      </w:r>
      <w:fldSimple w:instr=" SEQ Table \* ARABIC ">
        <w:r w:rsidR="00CD5D0D">
          <w:rPr>
            <w:noProof/>
          </w:rPr>
          <w:t>25</w:t>
        </w:r>
      </w:fldSimple>
      <w:r>
        <w:t xml:space="preserve"> – </w:t>
      </w:r>
      <w:r w:rsidR="00D21A48">
        <w:t xml:space="preserve">Option 2 - </w:t>
      </w:r>
      <w:r>
        <w:t xml:space="preserve">Banking sector </w:t>
      </w:r>
      <w:r w:rsidR="0011472A">
        <w:t xml:space="preserve">annual </w:t>
      </w:r>
      <w:r>
        <w:t>r</w:t>
      </w:r>
      <w:r w:rsidR="00A9109E">
        <w:t>egulatory cost assumptions by entity type</w:t>
      </w:r>
      <w:r w:rsidR="00333EBE">
        <w:t xml:space="preserve"> (medium sized entity)</w:t>
      </w:r>
    </w:p>
    <w:tbl>
      <w:tblPr>
        <w:tblStyle w:val="GridTable4-Accent1"/>
        <w:tblW w:w="14014" w:type="dxa"/>
        <w:tblInd w:w="-5" w:type="dxa"/>
        <w:tblLook w:val="0480" w:firstRow="0" w:lastRow="0" w:firstColumn="1" w:lastColumn="0" w:noHBand="0" w:noVBand="1"/>
      </w:tblPr>
      <w:tblGrid>
        <w:gridCol w:w="1206"/>
        <w:gridCol w:w="2099"/>
        <w:gridCol w:w="3304"/>
        <w:gridCol w:w="3449"/>
        <w:gridCol w:w="861"/>
        <w:gridCol w:w="1007"/>
        <w:gridCol w:w="1005"/>
        <w:gridCol w:w="1083"/>
      </w:tblGrid>
      <w:tr w:rsidR="006A233F" w:rsidRPr="00056FAD" w14:paraId="48E13821" w14:textId="77777777" w:rsidTr="00860226">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3305" w:type="dxa"/>
            <w:gridSpan w:val="2"/>
            <w:noWrap/>
            <w:hideMark/>
          </w:tcPr>
          <w:p w14:paraId="49552F2E" w14:textId="77777777" w:rsidR="009F6291" w:rsidRPr="00132EAB" w:rsidRDefault="009F6291">
            <w:pPr>
              <w:spacing w:before="0" w:after="0"/>
              <w:rPr>
                <w:rFonts w:ascii="Times New Roman" w:hAnsi="Times New Roman"/>
                <w:sz w:val="16"/>
                <w:szCs w:val="16"/>
              </w:rPr>
            </w:pPr>
          </w:p>
        </w:tc>
        <w:tc>
          <w:tcPr>
            <w:tcW w:w="6753" w:type="dxa"/>
            <w:gridSpan w:val="2"/>
            <w:noWrap/>
            <w:hideMark/>
          </w:tcPr>
          <w:p w14:paraId="63FFD645" w14:textId="77777777" w:rsidR="009F6291" w:rsidRPr="00132EAB" w:rsidRDefault="009F6291">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DE682A">
              <w:rPr>
                <w:rFonts w:asciiTheme="minorHAnsi" w:hAnsiTheme="minorHAnsi" w:cstheme="minorHAnsi"/>
                <w:b/>
                <w:bCs/>
                <w:sz w:val="16"/>
                <w:szCs w:val="16"/>
              </w:rPr>
              <w:t>Description of impacts</w:t>
            </w:r>
          </w:p>
        </w:tc>
        <w:tc>
          <w:tcPr>
            <w:tcW w:w="1868" w:type="dxa"/>
            <w:gridSpan w:val="2"/>
            <w:hideMark/>
          </w:tcPr>
          <w:p w14:paraId="68CBF7BF" w14:textId="7F39EC2B" w:rsidR="009F6291" w:rsidRPr="00132EAB" w:rsidRDefault="00010734">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Pr>
                <w:rFonts w:ascii="Calibri" w:hAnsi="Calibri" w:cs="Calibri"/>
                <w:b/>
                <w:bCs/>
                <w:color w:val="000000"/>
                <w:sz w:val="16"/>
                <w:szCs w:val="16"/>
              </w:rPr>
              <w:t xml:space="preserve">Technology </w:t>
            </w:r>
            <w:r w:rsidR="009F6291" w:rsidRPr="00132EAB">
              <w:rPr>
                <w:rFonts w:ascii="Calibri" w:hAnsi="Calibri" w:cs="Calibri"/>
                <w:b/>
                <w:bCs/>
                <w:color w:val="000000"/>
                <w:sz w:val="16"/>
                <w:szCs w:val="16"/>
              </w:rPr>
              <w:t>($m)</w:t>
            </w:r>
          </w:p>
        </w:tc>
        <w:tc>
          <w:tcPr>
            <w:tcW w:w="2088" w:type="dxa"/>
            <w:gridSpan w:val="2"/>
            <w:noWrap/>
            <w:hideMark/>
          </w:tcPr>
          <w:p w14:paraId="73EC3CB1" w14:textId="6C261C4A" w:rsidR="009F6291" w:rsidRPr="00132EAB" w:rsidRDefault="00587803">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Pr>
                <w:rFonts w:ascii="Calibri" w:hAnsi="Calibri" w:cs="Calibri"/>
                <w:b/>
                <w:bCs/>
                <w:color w:val="000000"/>
                <w:sz w:val="16"/>
                <w:szCs w:val="16"/>
              </w:rPr>
              <w:t xml:space="preserve"> </w:t>
            </w:r>
            <w:r w:rsidR="00010734">
              <w:rPr>
                <w:rFonts w:ascii="Calibri" w:hAnsi="Calibri" w:cs="Calibri"/>
                <w:b/>
                <w:bCs/>
                <w:color w:val="000000"/>
                <w:sz w:val="16"/>
                <w:szCs w:val="16"/>
              </w:rPr>
              <w:t xml:space="preserve">Administration </w:t>
            </w:r>
            <w:r>
              <w:rPr>
                <w:rFonts w:ascii="Calibri" w:hAnsi="Calibri" w:cs="Calibri"/>
                <w:b/>
                <w:bCs/>
                <w:color w:val="000000"/>
                <w:sz w:val="16"/>
                <w:szCs w:val="16"/>
              </w:rPr>
              <w:t>($m)</w:t>
            </w:r>
          </w:p>
        </w:tc>
      </w:tr>
      <w:tr w:rsidR="006F5192" w:rsidRPr="00056FAD" w14:paraId="4F313065" w14:textId="77777777" w:rsidTr="00860226">
        <w:trPr>
          <w:trHeight w:val="134"/>
        </w:trPr>
        <w:tc>
          <w:tcPr>
            <w:cnfStyle w:val="001000000000" w:firstRow="0" w:lastRow="0" w:firstColumn="1" w:lastColumn="0" w:oddVBand="0" w:evenVBand="0" w:oddHBand="0" w:evenHBand="0" w:firstRowFirstColumn="0" w:firstRowLastColumn="0" w:lastRowFirstColumn="0" w:lastRowLastColumn="0"/>
            <w:tcW w:w="1206" w:type="dxa"/>
            <w:tcBorders>
              <w:bottom w:val="single" w:sz="18" w:space="0" w:color="auto"/>
            </w:tcBorders>
            <w:noWrap/>
            <w:hideMark/>
          </w:tcPr>
          <w:p w14:paraId="03331E23" w14:textId="77777777" w:rsidR="009F6291" w:rsidRPr="00132EAB" w:rsidRDefault="009F6291">
            <w:pPr>
              <w:spacing w:before="0" w:after="0"/>
              <w:rPr>
                <w:rFonts w:ascii="Calibri" w:hAnsi="Calibri" w:cs="Calibri"/>
                <w:color w:val="000000"/>
                <w:sz w:val="16"/>
                <w:szCs w:val="16"/>
              </w:rPr>
            </w:pPr>
            <w:r w:rsidRPr="00132EAB">
              <w:rPr>
                <w:rFonts w:ascii="Calibri" w:hAnsi="Calibri" w:cs="Calibri"/>
                <w:color w:val="000000"/>
                <w:sz w:val="16"/>
                <w:szCs w:val="16"/>
              </w:rPr>
              <w:t>Obligation</w:t>
            </w:r>
          </w:p>
        </w:tc>
        <w:tc>
          <w:tcPr>
            <w:tcW w:w="2099" w:type="dxa"/>
            <w:tcBorders>
              <w:bottom w:val="single" w:sz="18" w:space="0" w:color="auto"/>
            </w:tcBorders>
            <w:noWrap/>
            <w:hideMark/>
          </w:tcPr>
          <w:p w14:paraId="5B17D784" w14:textId="77777777" w:rsidR="009F6291" w:rsidRPr="00132EAB" w:rsidRDefault="009F629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Entity type</w:t>
            </w:r>
          </w:p>
        </w:tc>
        <w:tc>
          <w:tcPr>
            <w:tcW w:w="3304" w:type="dxa"/>
            <w:tcBorders>
              <w:bottom w:val="single" w:sz="18" w:space="0" w:color="auto"/>
            </w:tcBorders>
            <w:hideMark/>
          </w:tcPr>
          <w:p w14:paraId="3CB3C2A4" w14:textId="77777777" w:rsidR="009F6291" w:rsidRPr="00132EAB" w:rsidRDefault="009F629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 xml:space="preserve">Current </w:t>
            </w:r>
            <w:r w:rsidRPr="00056FAD">
              <w:rPr>
                <w:rFonts w:ascii="Calibri" w:hAnsi="Calibri" w:cs="Calibri"/>
                <w:b/>
                <w:bCs/>
                <w:color w:val="000000"/>
                <w:sz w:val="16"/>
                <w:szCs w:val="16"/>
              </w:rPr>
              <w:t>actions</w:t>
            </w:r>
          </w:p>
        </w:tc>
        <w:tc>
          <w:tcPr>
            <w:tcW w:w="3448" w:type="dxa"/>
            <w:tcBorders>
              <w:bottom w:val="single" w:sz="18" w:space="0" w:color="auto"/>
            </w:tcBorders>
            <w:hideMark/>
          </w:tcPr>
          <w:p w14:paraId="573ED655" w14:textId="77777777" w:rsidR="009F6291" w:rsidRPr="00132EAB" w:rsidRDefault="009F629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Uplift required</w:t>
            </w:r>
          </w:p>
        </w:tc>
        <w:tc>
          <w:tcPr>
            <w:tcW w:w="861" w:type="dxa"/>
            <w:tcBorders>
              <w:bottom w:val="single" w:sz="18" w:space="0" w:color="auto"/>
            </w:tcBorders>
            <w:noWrap/>
            <w:hideMark/>
          </w:tcPr>
          <w:p w14:paraId="20B16308" w14:textId="77777777" w:rsidR="009F6291" w:rsidRPr="00132EAB" w:rsidRDefault="009F6291" w:rsidP="00BE17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056FAD">
              <w:rPr>
                <w:rFonts w:ascii="Calibri" w:hAnsi="Calibri" w:cs="Calibri"/>
                <w:b/>
                <w:bCs/>
                <w:color w:val="000000"/>
                <w:sz w:val="16"/>
                <w:szCs w:val="16"/>
              </w:rPr>
              <w:t>Initial</w:t>
            </w:r>
          </w:p>
        </w:tc>
        <w:tc>
          <w:tcPr>
            <w:tcW w:w="1006" w:type="dxa"/>
            <w:tcBorders>
              <w:bottom w:val="single" w:sz="18" w:space="0" w:color="auto"/>
            </w:tcBorders>
            <w:noWrap/>
            <w:hideMark/>
          </w:tcPr>
          <w:p w14:paraId="5030EFD0" w14:textId="77777777" w:rsidR="009F6291" w:rsidRPr="00132EAB" w:rsidRDefault="009F6291" w:rsidP="00BE17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Ongoing</w:t>
            </w:r>
          </w:p>
        </w:tc>
        <w:tc>
          <w:tcPr>
            <w:tcW w:w="1005" w:type="dxa"/>
            <w:tcBorders>
              <w:bottom w:val="single" w:sz="18" w:space="0" w:color="auto"/>
            </w:tcBorders>
            <w:noWrap/>
            <w:hideMark/>
          </w:tcPr>
          <w:p w14:paraId="006CEA77" w14:textId="77777777" w:rsidR="009F6291" w:rsidRPr="00132EAB" w:rsidRDefault="009F6291" w:rsidP="00BE17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056FAD">
              <w:rPr>
                <w:rFonts w:ascii="Calibri" w:hAnsi="Calibri" w:cs="Calibri"/>
                <w:b/>
                <w:bCs/>
                <w:color w:val="000000"/>
                <w:sz w:val="16"/>
                <w:szCs w:val="16"/>
              </w:rPr>
              <w:t>Initial</w:t>
            </w:r>
          </w:p>
        </w:tc>
        <w:tc>
          <w:tcPr>
            <w:tcW w:w="1082" w:type="dxa"/>
            <w:tcBorders>
              <w:bottom w:val="single" w:sz="18" w:space="0" w:color="auto"/>
            </w:tcBorders>
            <w:noWrap/>
            <w:hideMark/>
          </w:tcPr>
          <w:p w14:paraId="6D6B79EB" w14:textId="77777777" w:rsidR="009F6291" w:rsidRPr="00132EAB" w:rsidRDefault="009F6291" w:rsidP="00BE17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Ongoing</w:t>
            </w:r>
          </w:p>
        </w:tc>
      </w:tr>
      <w:tr w:rsidR="00D93F2E" w:rsidRPr="00056FAD" w14:paraId="794D7045" w14:textId="77777777" w:rsidTr="00860226">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206" w:type="dxa"/>
            <w:vMerge w:val="restart"/>
            <w:tcBorders>
              <w:top w:val="single" w:sz="18" w:space="0" w:color="auto"/>
            </w:tcBorders>
            <w:vAlign w:val="center"/>
            <w:hideMark/>
          </w:tcPr>
          <w:p w14:paraId="2D1A7A05" w14:textId="0D1827AA" w:rsidR="00A908B0" w:rsidRPr="00132EAB" w:rsidRDefault="00A908B0" w:rsidP="00A908B0">
            <w:pPr>
              <w:spacing w:before="0" w:after="0"/>
              <w:rPr>
                <w:rFonts w:ascii="Calibri" w:hAnsi="Calibri" w:cs="Calibri"/>
                <w:color w:val="000000"/>
                <w:sz w:val="16"/>
                <w:szCs w:val="16"/>
              </w:rPr>
            </w:pPr>
            <w:r>
              <w:rPr>
                <w:rFonts w:ascii="Calibri" w:hAnsi="Calibri" w:cs="Calibri"/>
                <w:color w:val="000000"/>
                <w:sz w:val="16"/>
                <w:szCs w:val="16"/>
              </w:rPr>
              <w:t xml:space="preserve">Anti-scam </w:t>
            </w:r>
            <w:r w:rsidR="00E905E2">
              <w:rPr>
                <w:rFonts w:ascii="Calibri" w:hAnsi="Calibri" w:cs="Calibri"/>
                <w:color w:val="000000"/>
                <w:sz w:val="16"/>
                <w:szCs w:val="16"/>
              </w:rPr>
              <w:t>activity</w:t>
            </w:r>
          </w:p>
        </w:tc>
        <w:tc>
          <w:tcPr>
            <w:tcW w:w="2099" w:type="dxa"/>
            <w:tcBorders>
              <w:top w:val="single" w:sz="18" w:space="0" w:color="auto"/>
            </w:tcBorders>
            <w:vAlign w:val="center"/>
            <w:hideMark/>
          </w:tcPr>
          <w:p w14:paraId="6BC7D7CC" w14:textId="5D098476" w:rsidR="00A908B0" w:rsidRPr="00132EAB" w:rsidRDefault="00A908B0" w:rsidP="00A908B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Major banks</w:t>
            </w:r>
          </w:p>
        </w:tc>
        <w:tc>
          <w:tcPr>
            <w:tcW w:w="3304" w:type="dxa"/>
            <w:tcBorders>
              <w:top w:val="single" w:sz="18" w:space="0" w:color="auto"/>
            </w:tcBorders>
            <w:vAlign w:val="bottom"/>
            <w:hideMark/>
          </w:tcPr>
          <w:p w14:paraId="6CAE9FF9" w14:textId="7130BF64" w:rsidR="00A908B0" w:rsidRPr="00132EAB" w:rsidRDefault="00A908B0" w:rsidP="00A908B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Scam</w:t>
            </w:r>
            <w:r w:rsidR="004A19F4">
              <w:rPr>
                <w:rFonts w:ascii="Calibri" w:hAnsi="Calibri" w:cs="Calibri"/>
                <w:color w:val="000000"/>
                <w:sz w:val="16"/>
                <w:szCs w:val="16"/>
              </w:rPr>
              <w:t>-</w:t>
            </w:r>
            <w:r>
              <w:rPr>
                <w:rFonts w:ascii="Calibri" w:hAnsi="Calibri" w:cs="Calibri"/>
                <w:color w:val="000000"/>
                <w:sz w:val="16"/>
                <w:szCs w:val="16"/>
              </w:rPr>
              <w:t xml:space="preserve"> Safe Accord standards</w:t>
            </w:r>
          </w:p>
        </w:tc>
        <w:tc>
          <w:tcPr>
            <w:tcW w:w="3448" w:type="dxa"/>
            <w:tcBorders>
              <w:top w:val="single" w:sz="18" w:space="0" w:color="auto"/>
            </w:tcBorders>
            <w:vAlign w:val="bottom"/>
            <w:hideMark/>
          </w:tcPr>
          <w:p w14:paraId="023BFED5" w14:textId="2700519C" w:rsidR="00A908B0" w:rsidRPr="00132EAB" w:rsidRDefault="00A908B0" w:rsidP="00A908B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Minor anti-scam activity improvements, Governance operations</w:t>
            </w:r>
          </w:p>
        </w:tc>
        <w:tc>
          <w:tcPr>
            <w:tcW w:w="861" w:type="dxa"/>
            <w:tcBorders>
              <w:top w:val="single" w:sz="18" w:space="0" w:color="auto"/>
            </w:tcBorders>
            <w:vAlign w:val="bottom"/>
            <w:hideMark/>
          </w:tcPr>
          <w:p w14:paraId="52ABF018" w14:textId="72B66412" w:rsidR="00A908B0" w:rsidRPr="00132EAB" w:rsidRDefault="00D66F82" w:rsidP="00A908B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1.12</w:t>
            </w:r>
          </w:p>
        </w:tc>
        <w:tc>
          <w:tcPr>
            <w:tcW w:w="1006" w:type="dxa"/>
            <w:tcBorders>
              <w:top w:val="single" w:sz="18" w:space="0" w:color="auto"/>
            </w:tcBorders>
            <w:vAlign w:val="bottom"/>
            <w:hideMark/>
          </w:tcPr>
          <w:p w14:paraId="2926A3D6" w14:textId="5A29F309" w:rsidR="00A908B0" w:rsidRPr="00132EAB" w:rsidRDefault="00D66F82" w:rsidP="00A908B0">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0.00</w:t>
            </w:r>
          </w:p>
        </w:tc>
        <w:tc>
          <w:tcPr>
            <w:tcW w:w="1005" w:type="dxa"/>
            <w:tcBorders>
              <w:top w:val="single" w:sz="18" w:space="0" w:color="auto"/>
            </w:tcBorders>
            <w:vAlign w:val="bottom"/>
            <w:hideMark/>
          </w:tcPr>
          <w:p w14:paraId="4A680E6D" w14:textId="4A4A0263" w:rsidR="00A908B0" w:rsidRPr="00132EAB" w:rsidRDefault="00A908B0" w:rsidP="00A908B0">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0.21</w:t>
            </w:r>
          </w:p>
        </w:tc>
        <w:tc>
          <w:tcPr>
            <w:tcW w:w="1082" w:type="dxa"/>
            <w:tcBorders>
              <w:top w:val="single" w:sz="18" w:space="0" w:color="auto"/>
            </w:tcBorders>
            <w:vAlign w:val="bottom"/>
            <w:hideMark/>
          </w:tcPr>
          <w:p w14:paraId="14FE4298" w14:textId="0511DDCA" w:rsidR="00A908B0" w:rsidRPr="00132EAB" w:rsidRDefault="00A908B0" w:rsidP="00A908B0">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0.05</w:t>
            </w:r>
          </w:p>
        </w:tc>
      </w:tr>
      <w:tr w:rsidR="006F5192" w:rsidRPr="00056FAD" w14:paraId="1F6863FC" w14:textId="77777777" w:rsidTr="00860226">
        <w:trPr>
          <w:trHeight w:val="228"/>
        </w:trPr>
        <w:tc>
          <w:tcPr>
            <w:cnfStyle w:val="001000000000" w:firstRow="0" w:lastRow="0" w:firstColumn="1" w:lastColumn="0" w:oddVBand="0" w:evenVBand="0" w:oddHBand="0" w:evenHBand="0" w:firstRowFirstColumn="0" w:firstRowLastColumn="0" w:lastRowFirstColumn="0" w:lastRowLastColumn="0"/>
            <w:tcW w:w="1206" w:type="dxa"/>
            <w:vMerge/>
            <w:vAlign w:val="center"/>
            <w:hideMark/>
          </w:tcPr>
          <w:p w14:paraId="2AD909F8" w14:textId="77777777" w:rsidR="00A908B0" w:rsidRPr="00132EAB" w:rsidRDefault="00A908B0" w:rsidP="00A908B0">
            <w:pPr>
              <w:spacing w:before="0" w:after="0"/>
              <w:rPr>
                <w:rFonts w:ascii="Calibri" w:hAnsi="Calibri" w:cs="Calibri"/>
                <w:color w:val="000000"/>
                <w:sz w:val="16"/>
                <w:szCs w:val="16"/>
              </w:rPr>
            </w:pPr>
          </w:p>
        </w:tc>
        <w:tc>
          <w:tcPr>
            <w:tcW w:w="2099" w:type="dxa"/>
            <w:vAlign w:val="center"/>
            <w:hideMark/>
          </w:tcPr>
          <w:p w14:paraId="63602F28" w14:textId="06EDAEDB" w:rsidR="00A908B0" w:rsidRPr="00132EAB" w:rsidRDefault="00A908B0" w:rsidP="00A908B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Other ABA/COBA</w:t>
            </w:r>
          </w:p>
        </w:tc>
        <w:tc>
          <w:tcPr>
            <w:tcW w:w="3304" w:type="dxa"/>
            <w:vAlign w:val="bottom"/>
            <w:hideMark/>
          </w:tcPr>
          <w:p w14:paraId="7BFDF6FB" w14:textId="70B8DB9E" w:rsidR="00A908B0" w:rsidRPr="00132EAB" w:rsidRDefault="00A908B0" w:rsidP="00A908B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Scam</w:t>
            </w:r>
            <w:r w:rsidR="004A19F4">
              <w:rPr>
                <w:rFonts w:ascii="Calibri" w:hAnsi="Calibri" w:cs="Calibri"/>
                <w:color w:val="000000"/>
                <w:sz w:val="16"/>
                <w:szCs w:val="16"/>
              </w:rPr>
              <w:t>-</w:t>
            </w:r>
            <w:r>
              <w:rPr>
                <w:rFonts w:ascii="Calibri" w:hAnsi="Calibri" w:cs="Calibri"/>
                <w:color w:val="000000"/>
                <w:sz w:val="16"/>
                <w:szCs w:val="16"/>
              </w:rPr>
              <w:t>Safe Accord standards</w:t>
            </w:r>
          </w:p>
        </w:tc>
        <w:tc>
          <w:tcPr>
            <w:tcW w:w="3448" w:type="dxa"/>
            <w:vAlign w:val="bottom"/>
            <w:hideMark/>
          </w:tcPr>
          <w:p w14:paraId="58F8F923" w14:textId="41FE3D8B" w:rsidR="00A908B0" w:rsidRPr="00132EAB" w:rsidRDefault="00A908B0" w:rsidP="00A908B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Minor anti-scam activity improvements, Governance operations</w:t>
            </w:r>
          </w:p>
        </w:tc>
        <w:tc>
          <w:tcPr>
            <w:tcW w:w="861" w:type="dxa"/>
            <w:vAlign w:val="bottom"/>
            <w:hideMark/>
          </w:tcPr>
          <w:p w14:paraId="627A9A97" w14:textId="165D7AB6" w:rsidR="00A908B0" w:rsidRPr="00132EAB" w:rsidRDefault="00D66F82" w:rsidP="00A908B0">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0.22</w:t>
            </w:r>
          </w:p>
        </w:tc>
        <w:tc>
          <w:tcPr>
            <w:tcW w:w="1006" w:type="dxa"/>
            <w:vAlign w:val="bottom"/>
            <w:hideMark/>
          </w:tcPr>
          <w:p w14:paraId="14897BC2" w14:textId="1B3954D0" w:rsidR="00A908B0" w:rsidRPr="00132EAB" w:rsidRDefault="00D66F82" w:rsidP="00A908B0">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0.00</w:t>
            </w:r>
          </w:p>
        </w:tc>
        <w:tc>
          <w:tcPr>
            <w:tcW w:w="1005" w:type="dxa"/>
            <w:vAlign w:val="bottom"/>
            <w:hideMark/>
          </w:tcPr>
          <w:p w14:paraId="795D8057" w14:textId="68002FA5" w:rsidR="00A908B0" w:rsidRPr="00132EAB" w:rsidRDefault="00A908B0" w:rsidP="00A908B0">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0.04</w:t>
            </w:r>
          </w:p>
        </w:tc>
        <w:tc>
          <w:tcPr>
            <w:tcW w:w="1082" w:type="dxa"/>
            <w:vAlign w:val="bottom"/>
            <w:hideMark/>
          </w:tcPr>
          <w:p w14:paraId="131172A8" w14:textId="6A6676B3" w:rsidR="00A908B0" w:rsidRPr="00132EAB" w:rsidRDefault="00A908B0" w:rsidP="00A908B0">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0.01</w:t>
            </w:r>
          </w:p>
        </w:tc>
      </w:tr>
      <w:tr w:rsidR="005263E6" w:rsidRPr="00056FAD" w14:paraId="13D1C9EE" w14:textId="77777777" w:rsidTr="00860226">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206" w:type="dxa"/>
            <w:vMerge/>
            <w:vAlign w:val="center"/>
          </w:tcPr>
          <w:p w14:paraId="00AE4F8F" w14:textId="77777777" w:rsidR="00A908B0" w:rsidRPr="00132EAB" w:rsidRDefault="00A908B0" w:rsidP="00A908B0">
            <w:pPr>
              <w:spacing w:before="0" w:after="0"/>
              <w:rPr>
                <w:rFonts w:ascii="Calibri" w:hAnsi="Calibri" w:cs="Calibri"/>
                <w:color w:val="000000"/>
                <w:sz w:val="16"/>
                <w:szCs w:val="16"/>
              </w:rPr>
            </w:pPr>
          </w:p>
        </w:tc>
        <w:tc>
          <w:tcPr>
            <w:tcW w:w="2099" w:type="dxa"/>
            <w:vAlign w:val="center"/>
          </w:tcPr>
          <w:p w14:paraId="3A2ECD9B" w14:textId="44384CBC" w:rsidR="00A908B0" w:rsidRDefault="00A908B0" w:rsidP="00A908B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Non-affiliated/AFCA</w:t>
            </w:r>
          </w:p>
        </w:tc>
        <w:tc>
          <w:tcPr>
            <w:tcW w:w="3304" w:type="dxa"/>
            <w:vAlign w:val="bottom"/>
          </w:tcPr>
          <w:p w14:paraId="3092970A" w14:textId="65971A17" w:rsidR="00A908B0" w:rsidRDefault="00A908B0" w:rsidP="00A908B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No identifiable consistent standards </w:t>
            </w:r>
          </w:p>
        </w:tc>
        <w:tc>
          <w:tcPr>
            <w:tcW w:w="3448" w:type="dxa"/>
            <w:vAlign w:val="bottom"/>
          </w:tcPr>
          <w:p w14:paraId="02B936E0" w14:textId="47FD9CDE" w:rsidR="00A908B0" w:rsidRDefault="009A7AF2" w:rsidP="00A908B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Material </w:t>
            </w:r>
            <w:r w:rsidR="00A908B0">
              <w:rPr>
                <w:rFonts w:ascii="Calibri" w:hAnsi="Calibri" w:cs="Calibri"/>
                <w:color w:val="000000"/>
                <w:sz w:val="16"/>
                <w:szCs w:val="16"/>
              </w:rPr>
              <w:t>anti-scam activit</w:t>
            </w:r>
            <w:r>
              <w:rPr>
                <w:rFonts w:ascii="Calibri" w:hAnsi="Calibri" w:cs="Calibri"/>
                <w:color w:val="000000"/>
                <w:sz w:val="16"/>
                <w:szCs w:val="16"/>
              </w:rPr>
              <w:t>y improvements</w:t>
            </w:r>
            <w:r w:rsidR="00A908B0">
              <w:rPr>
                <w:rFonts w:ascii="Calibri" w:hAnsi="Calibri" w:cs="Calibri"/>
                <w:color w:val="000000"/>
                <w:sz w:val="16"/>
                <w:szCs w:val="16"/>
              </w:rPr>
              <w:t>, Governance operations</w:t>
            </w:r>
          </w:p>
        </w:tc>
        <w:tc>
          <w:tcPr>
            <w:tcW w:w="861" w:type="dxa"/>
            <w:vAlign w:val="bottom"/>
          </w:tcPr>
          <w:p w14:paraId="167AD37E" w14:textId="017767FD" w:rsidR="00A908B0" w:rsidRDefault="00D66F82" w:rsidP="00A908B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0.67</w:t>
            </w:r>
          </w:p>
        </w:tc>
        <w:tc>
          <w:tcPr>
            <w:tcW w:w="1006" w:type="dxa"/>
            <w:vAlign w:val="bottom"/>
          </w:tcPr>
          <w:p w14:paraId="01105163" w14:textId="5CDCFFC5" w:rsidR="00A908B0" w:rsidRDefault="00D66F82" w:rsidP="00A908B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0.22</w:t>
            </w:r>
          </w:p>
        </w:tc>
        <w:tc>
          <w:tcPr>
            <w:tcW w:w="1005" w:type="dxa"/>
            <w:vAlign w:val="bottom"/>
          </w:tcPr>
          <w:p w14:paraId="6A0EE774" w14:textId="1BC6323A" w:rsidR="00A908B0" w:rsidRDefault="00A908B0" w:rsidP="00A908B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0.44</w:t>
            </w:r>
          </w:p>
        </w:tc>
        <w:tc>
          <w:tcPr>
            <w:tcW w:w="1082" w:type="dxa"/>
            <w:vAlign w:val="bottom"/>
          </w:tcPr>
          <w:p w14:paraId="58D23896" w14:textId="12AD2FD7" w:rsidR="00A908B0" w:rsidRDefault="00A908B0" w:rsidP="00A908B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0.22</w:t>
            </w:r>
          </w:p>
        </w:tc>
      </w:tr>
      <w:tr w:rsidR="006F5192" w:rsidRPr="00056FAD" w14:paraId="425D71F8" w14:textId="77777777" w:rsidTr="00860226">
        <w:trPr>
          <w:trHeight w:val="228"/>
        </w:trPr>
        <w:tc>
          <w:tcPr>
            <w:cnfStyle w:val="001000000000" w:firstRow="0" w:lastRow="0" w:firstColumn="1" w:lastColumn="0" w:oddVBand="0" w:evenVBand="0" w:oddHBand="0" w:evenHBand="0" w:firstRowFirstColumn="0" w:firstRowLastColumn="0" w:lastRowFirstColumn="0" w:lastRowLastColumn="0"/>
            <w:tcW w:w="1206" w:type="dxa"/>
            <w:vMerge/>
            <w:vAlign w:val="center"/>
            <w:hideMark/>
          </w:tcPr>
          <w:p w14:paraId="723C7777" w14:textId="77777777" w:rsidR="00A908B0" w:rsidRPr="00132EAB" w:rsidRDefault="00A908B0" w:rsidP="00A908B0">
            <w:pPr>
              <w:spacing w:before="0" w:after="0"/>
              <w:rPr>
                <w:rFonts w:ascii="Calibri" w:hAnsi="Calibri" w:cs="Calibri"/>
                <w:color w:val="000000"/>
                <w:sz w:val="16"/>
                <w:szCs w:val="16"/>
              </w:rPr>
            </w:pPr>
          </w:p>
        </w:tc>
        <w:tc>
          <w:tcPr>
            <w:tcW w:w="2099" w:type="dxa"/>
            <w:vAlign w:val="center"/>
            <w:hideMark/>
          </w:tcPr>
          <w:p w14:paraId="14BFFF6D" w14:textId="5B283122" w:rsidR="00A908B0" w:rsidRPr="00132EAB" w:rsidRDefault="00A908B0" w:rsidP="00A908B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Non-affiliated/non-AFCA</w:t>
            </w:r>
          </w:p>
        </w:tc>
        <w:tc>
          <w:tcPr>
            <w:tcW w:w="3304" w:type="dxa"/>
            <w:vAlign w:val="bottom"/>
            <w:hideMark/>
          </w:tcPr>
          <w:p w14:paraId="24B6C15B" w14:textId="6A79B2DD" w:rsidR="00A908B0" w:rsidRPr="00132EAB" w:rsidRDefault="00A908B0" w:rsidP="00A908B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No identifiable consistent standards </w:t>
            </w:r>
          </w:p>
        </w:tc>
        <w:tc>
          <w:tcPr>
            <w:tcW w:w="3448" w:type="dxa"/>
            <w:vAlign w:val="bottom"/>
            <w:hideMark/>
          </w:tcPr>
          <w:p w14:paraId="122481D9" w14:textId="7B8E58D6" w:rsidR="00A908B0" w:rsidRPr="00132EAB" w:rsidRDefault="009A7AF2" w:rsidP="00A908B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Material </w:t>
            </w:r>
            <w:r w:rsidR="00A908B0">
              <w:rPr>
                <w:rFonts w:ascii="Calibri" w:hAnsi="Calibri" w:cs="Calibri"/>
                <w:color w:val="000000"/>
                <w:sz w:val="16"/>
                <w:szCs w:val="16"/>
              </w:rPr>
              <w:t>anti-scam activit</w:t>
            </w:r>
            <w:r>
              <w:rPr>
                <w:rFonts w:ascii="Calibri" w:hAnsi="Calibri" w:cs="Calibri"/>
                <w:color w:val="000000"/>
                <w:sz w:val="16"/>
                <w:szCs w:val="16"/>
              </w:rPr>
              <w:t>y improvements</w:t>
            </w:r>
            <w:r w:rsidR="00A908B0">
              <w:rPr>
                <w:rFonts w:ascii="Calibri" w:hAnsi="Calibri" w:cs="Calibri"/>
                <w:color w:val="000000"/>
                <w:sz w:val="16"/>
                <w:szCs w:val="16"/>
              </w:rPr>
              <w:t>, Governance operations</w:t>
            </w:r>
          </w:p>
        </w:tc>
        <w:tc>
          <w:tcPr>
            <w:tcW w:w="861" w:type="dxa"/>
            <w:vAlign w:val="bottom"/>
            <w:hideMark/>
          </w:tcPr>
          <w:p w14:paraId="1D9627BE" w14:textId="254CFE83" w:rsidR="00A908B0" w:rsidRPr="00132EAB" w:rsidRDefault="00D66F82" w:rsidP="00A908B0">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0.67</w:t>
            </w:r>
          </w:p>
        </w:tc>
        <w:tc>
          <w:tcPr>
            <w:tcW w:w="1006" w:type="dxa"/>
            <w:vAlign w:val="bottom"/>
            <w:hideMark/>
          </w:tcPr>
          <w:p w14:paraId="247F698F" w14:textId="15CCB3A5" w:rsidR="00A908B0" w:rsidRPr="00132EAB" w:rsidRDefault="00D66F82" w:rsidP="00A908B0">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0.22</w:t>
            </w:r>
          </w:p>
        </w:tc>
        <w:tc>
          <w:tcPr>
            <w:tcW w:w="1005" w:type="dxa"/>
            <w:vAlign w:val="bottom"/>
            <w:hideMark/>
          </w:tcPr>
          <w:p w14:paraId="47015C01" w14:textId="3B5133D2" w:rsidR="00A908B0" w:rsidRPr="00132EAB" w:rsidRDefault="00A908B0" w:rsidP="00A908B0">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0.44</w:t>
            </w:r>
          </w:p>
        </w:tc>
        <w:tc>
          <w:tcPr>
            <w:tcW w:w="1082" w:type="dxa"/>
            <w:vAlign w:val="bottom"/>
            <w:hideMark/>
          </w:tcPr>
          <w:p w14:paraId="1A337007" w14:textId="1EBA2FF1" w:rsidR="00A908B0" w:rsidRPr="00132EAB" w:rsidRDefault="00A908B0" w:rsidP="00A908B0">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0.22</w:t>
            </w:r>
          </w:p>
        </w:tc>
      </w:tr>
      <w:tr w:rsidR="005263E6" w:rsidRPr="00056FAD" w14:paraId="258AC37B" w14:textId="77777777" w:rsidTr="00860226">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206" w:type="dxa"/>
            <w:vMerge w:val="restart"/>
            <w:vAlign w:val="center"/>
            <w:hideMark/>
          </w:tcPr>
          <w:p w14:paraId="15E9FE21" w14:textId="337A6F87" w:rsidR="003B7BD1" w:rsidRPr="00132EAB" w:rsidRDefault="003B7BD1" w:rsidP="003B7BD1">
            <w:pPr>
              <w:spacing w:before="0" w:after="0"/>
              <w:rPr>
                <w:rFonts w:ascii="Calibri" w:hAnsi="Calibri" w:cs="Calibri"/>
                <w:color w:val="000000"/>
                <w:sz w:val="16"/>
                <w:szCs w:val="16"/>
              </w:rPr>
            </w:pPr>
            <w:r>
              <w:rPr>
                <w:rFonts w:ascii="Calibri" w:hAnsi="Calibri" w:cs="Calibri"/>
                <w:color w:val="000000"/>
                <w:sz w:val="16"/>
                <w:szCs w:val="16"/>
              </w:rPr>
              <w:t>Info sharing &amp; reporting</w:t>
            </w:r>
          </w:p>
        </w:tc>
        <w:tc>
          <w:tcPr>
            <w:tcW w:w="2099" w:type="dxa"/>
            <w:vAlign w:val="center"/>
            <w:hideMark/>
          </w:tcPr>
          <w:p w14:paraId="4CC6F2F5" w14:textId="622486BB" w:rsidR="003B7BD1" w:rsidRPr="00132EAB" w:rsidRDefault="003B7BD1" w:rsidP="003B7BD1">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Major banks</w:t>
            </w:r>
          </w:p>
        </w:tc>
        <w:tc>
          <w:tcPr>
            <w:tcW w:w="3304" w:type="dxa"/>
            <w:vAlign w:val="bottom"/>
            <w:hideMark/>
          </w:tcPr>
          <w:p w14:paraId="076378F9" w14:textId="09AD371F" w:rsidR="003B7BD1" w:rsidRPr="00132EAB" w:rsidRDefault="003B7BD1" w:rsidP="003B7BD1">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AFCX intel loop participation</w:t>
            </w:r>
          </w:p>
        </w:tc>
        <w:tc>
          <w:tcPr>
            <w:tcW w:w="3448" w:type="dxa"/>
            <w:noWrap/>
            <w:vAlign w:val="bottom"/>
            <w:hideMark/>
          </w:tcPr>
          <w:p w14:paraId="0E24A561" w14:textId="09886FA9" w:rsidR="003B7BD1" w:rsidRPr="00132EAB" w:rsidRDefault="003B7BD1" w:rsidP="003B7BD1">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Minor investment in info sharing</w:t>
            </w:r>
          </w:p>
        </w:tc>
        <w:tc>
          <w:tcPr>
            <w:tcW w:w="861" w:type="dxa"/>
            <w:noWrap/>
            <w:vAlign w:val="bottom"/>
            <w:hideMark/>
          </w:tcPr>
          <w:p w14:paraId="2EE92134" w14:textId="29818A58"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0.04</w:t>
            </w:r>
          </w:p>
        </w:tc>
        <w:tc>
          <w:tcPr>
            <w:tcW w:w="1006" w:type="dxa"/>
            <w:noWrap/>
            <w:vAlign w:val="bottom"/>
            <w:hideMark/>
          </w:tcPr>
          <w:p w14:paraId="40AB8CC0" w14:textId="47BBE51C"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0.02</w:t>
            </w:r>
          </w:p>
        </w:tc>
        <w:tc>
          <w:tcPr>
            <w:tcW w:w="1005" w:type="dxa"/>
            <w:noWrap/>
            <w:vAlign w:val="bottom"/>
            <w:hideMark/>
          </w:tcPr>
          <w:p w14:paraId="104378D2" w14:textId="77777777"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1082" w:type="dxa"/>
            <w:noWrap/>
            <w:vAlign w:val="bottom"/>
            <w:hideMark/>
          </w:tcPr>
          <w:p w14:paraId="077EC651" w14:textId="77777777"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r>
      <w:tr w:rsidR="006F5192" w:rsidRPr="00056FAD" w14:paraId="190CB758" w14:textId="77777777" w:rsidTr="00860226">
        <w:trPr>
          <w:trHeight w:val="228"/>
        </w:trPr>
        <w:tc>
          <w:tcPr>
            <w:cnfStyle w:val="001000000000" w:firstRow="0" w:lastRow="0" w:firstColumn="1" w:lastColumn="0" w:oddVBand="0" w:evenVBand="0" w:oddHBand="0" w:evenHBand="0" w:firstRowFirstColumn="0" w:firstRowLastColumn="0" w:lastRowFirstColumn="0" w:lastRowLastColumn="0"/>
            <w:tcW w:w="1206" w:type="dxa"/>
            <w:vMerge/>
            <w:vAlign w:val="center"/>
          </w:tcPr>
          <w:p w14:paraId="577A060C" w14:textId="77777777" w:rsidR="003B7BD1" w:rsidRPr="00132EAB" w:rsidRDefault="003B7BD1" w:rsidP="003B7BD1">
            <w:pPr>
              <w:spacing w:before="0" w:after="0"/>
              <w:rPr>
                <w:rFonts w:ascii="Calibri" w:hAnsi="Calibri" w:cs="Calibri"/>
                <w:color w:val="000000"/>
                <w:sz w:val="16"/>
                <w:szCs w:val="16"/>
              </w:rPr>
            </w:pPr>
          </w:p>
        </w:tc>
        <w:tc>
          <w:tcPr>
            <w:tcW w:w="2099" w:type="dxa"/>
            <w:vAlign w:val="center"/>
          </w:tcPr>
          <w:p w14:paraId="7F46D552" w14:textId="2AB0EC75" w:rsidR="003B7BD1" w:rsidRDefault="003B7BD1" w:rsidP="003B7BD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Other ABA/COBA</w:t>
            </w:r>
          </w:p>
        </w:tc>
        <w:tc>
          <w:tcPr>
            <w:tcW w:w="3304" w:type="dxa"/>
            <w:vAlign w:val="bottom"/>
          </w:tcPr>
          <w:p w14:paraId="5B729842" w14:textId="2A235DB3" w:rsidR="003B7BD1" w:rsidRDefault="003B7BD1" w:rsidP="003B7BD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AFCX intel loop participation</w:t>
            </w:r>
          </w:p>
        </w:tc>
        <w:tc>
          <w:tcPr>
            <w:tcW w:w="3448" w:type="dxa"/>
            <w:noWrap/>
            <w:vAlign w:val="bottom"/>
          </w:tcPr>
          <w:p w14:paraId="5648045A" w14:textId="6FEB9E8F" w:rsidR="003B7BD1" w:rsidRDefault="003B7BD1" w:rsidP="003B7BD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Minor investment in info sharing</w:t>
            </w:r>
          </w:p>
        </w:tc>
        <w:tc>
          <w:tcPr>
            <w:tcW w:w="861" w:type="dxa"/>
            <w:noWrap/>
            <w:vAlign w:val="bottom"/>
          </w:tcPr>
          <w:p w14:paraId="23DBCB83" w14:textId="30337F89" w:rsidR="003B7BD1"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0.04</w:t>
            </w:r>
          </w:p>
        </w:tc>
        <w:tc>
          <w:tcPr>
            <w:tcW w:w="1006" w:type="dxa"/>
            <w:noWrap/>
            <w:vAlign w:val="bottom"/>
          </w:tcPr>
          <w:p w14:paraId="421B19C3" w14:textId="2F3F2317" w:rsidR="003B7BD1"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0.02</w:t>
            </w:r>
          </w:p>
        </w:tc>
        <w:tc>
          <w:tcPr>
            <w:tcW w:w="1005" w:type="dxa"/>
            <w:noWrap/>
            <w:vAlign w:val="bottom"/>
          </w:tcPr>
          <w:p w14:paraId="24B81805" w14:textId="77777777" w:rsidR="003B7BD1" w:rsidRPr="00132EAB"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082" w:type="dxa"/>
            <w:noWrap/>
            <w:vAlign w:val="bottom"/>
          </w:tcPr>
          <w:p w14:paraId="457E4AE9" w14:textId="77777777" w:rsidR="003B7BD1" w:rsidRPr="00132EAB"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5263E6" w:rsidRPr="00056FAD" w14:paraId="52090128" w14:textId="77777777" w:rsidTr="00860226">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206" w:type="dxa"/>
            <w:vMerge/>
            <w:vAlign w:val="center"/>
            <w:hideMark/>
          </w:tcPr>
          <w:p w14:paraId="169C8215" w14:textId="77777777" w:rsidR="003B7BD1" w:rsidRPr="00132EAB" w:rsidRDefault="003B7BD1" w:rsidP="003B7BD1">
            <w:pPr>
              <w:spacing w:before="0" w:after="0"/>
              <w:rPr>
                <w:rFonts w:ascii="Calibri" w:hAnsi="Calibri" w:cs="Calibri"/>
                <w:color w:val="000000"/>
                <w:sz w:val="16"/>
                <w:szCs w:val="16"/>
              </w:rPr>
            </w:pPr>
          </w:p>
        </w:tc>
        <w:tc>
          <w:tcPr>
            <w:tcW w:w="2099" w:type="dxa"/>
            <w:vAlign w:val="center"/>
            <w:hideMark/>
          </w:tcPr>
          <w:p w14:paraId="0D370FA9" w14:textId="16725E4B" w:rsidR="003B7BD1" w:rsidRPr="00132EAB" w:rsidRDefault="003B7BD1" w:rsidP="003B7BD1">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Non-affiliated/AFCA</w:t>
            </w:r>
          </w:p>
        </w:tc>
        <w:tc>
          <w:tcPr>
            <w:tcW w:w="3304" w:type="dxa"/>
            <w:vAlign w:val="bottom"/>
            <w:hideMark/>
          </w:tcPr>
          <w:p w14:paraId="14608A6F" w14:textId="35F3B79B" w:rsidR="003B7BD1" w:rsidRPr="00132EAB" w:rsidRDefault="003B7BD1" w:rsidP="003B7BD1">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None</w:t>
            </w:r>
          </w:p>
        </w:tc>
        <w:tc>
          <w:tcPr>
            <w:tcW w:w="3448" w:type="dxa"/>
            <w:noWrap/>
            <w:vAlign w:val="bottom"/>
            <w:hideMark/>
          </w:tcPr>
          <w:p w14:paraId="56AB751A" w14:textId="25F49278" w:rsidR="003B7BD1" w:rsidRPr="00132EAB" w:rsidRDefault="003B7BD1" w:rsidP="003B7BD1">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Likely significant investment</w:t>
            </w:r>
          </w:p>
        </w:tc>
        <w:tc>
          <w:tcPr>
            <w:tcW w:w="861" w:type="dxa"/>
            <w:noWrap/>
            <w:vAlign w:val="bottom"/>
            <w:hideMark/>
          </w:tcPr>
          <w:p w14:paraId="0AB849CE" w14:textId="0890DF12"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0.17</w:t>
            </w:r>
          </w:p>
        </w:tc>
        <w:tc>
          <w:tcPr>
            <w:tcW w:w="1006" w:type="dxa"/>
            <w:noWrap/>
            <w:vAlign w:val="bottom"/>
            <w:hideMark/>
          </w:tcPr>
          <w:p w14:paraId="5AF411C4" w14:textId="31658326"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0.06</w:t>
            </w:r>
          </w:p>
        </w:tc>
        <w:tc>
          <w:tcPr>
            <w:tcW w:w="1005" w:type="dxa"/>
            <w:noWrap/>
            <w:vAlign w:val="bottom"/>
            <w:hideMark/>
          </w:tcPr>
          <w:p w14:paraId="605A734E" w14:textId="77777777"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1082" w:type="dxa"/>
            <w:noWrap/>
            <w:vAlign w:val="bottom"/>
            <w:hideMark/>
          </w:tcPr>
          <w:p w14:paraId="09064EC8" w14:textId="77777777"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r>
      <w:tr w:rsidR="006F5192" w:rsidRPr="00056FAD" w14:paraId="06980CF9" w14:textId="77777777" w:rsidTr="00860226">
        <w:trPr>
          <w:trHeight w:val="228"/>
        </w:trPr>
        <w:tc>
          <w:tcPr>
            <w:cnfStyle w:val="001000000000" w:firstRow="0" w:lastRow="0" w:firstColumn="1" w:lastColumn="0" w:oddVBand="0" w:evenVBand="0" w:oddHBand="0" w:evenHBand="0" w:firstRowFirstColumn="0" w:firstRowLastColumn="0" w:lastRowFirstColumn="0" w:lastRowLastColumn="0"/>
            <w:tcW w:w="1206" w:type="dxa"/>
            <w:vMerge/>
            <w:vAlign w:val="center"/>
            <w:hideMark/>
          </w:tcPr>
          <w:p w14:paraId="3E7E45B4" w14:textId="77777777" w:rsidR="003B7BD1" w:rsidRPr="00132EAB" w:rsidRDefault="003B7BD1" w:rsidP="003B7BD1">
            <w:pPr>
              <w:spacing w:before="0" w:after="0"/>
              <w:rPr>
                <w:rFonts w:ascii="Calibri" w:hAnsi="Calibri" w:cs="Calibri"/>
                <w:color w:val="000000"/>
                <w:sz w:val="16"/>
                <w:szCs w:val="16"/>
              </w:rPr>
            </w:pPr>
          </w:p>
        </w:tc>
        <w:tc>
          <w:tcPr>
            <w:tcW w:w="2099" w:type="dxa"/>
            <w:vAlign w:val="center"/>
            <w:hideMark/>
          </w:tcPr>
          <w:p w14:paraId="0D44F2FE" w14:textId="25B19624" w:rsidR="003B7BD1" w:rsidRPr="00132EAB" w:rsidRDefault="003B7BD1" w:rsidP="003B7BD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Non-affiliated/non-AFCA</w:t>
            </w:r>
          </w:p>
        </w:tc>
        <w:tc>
          <w:tcPr>
            <w:tcW w:w="3304" w:type="dxa"/>
            <w:vAlign w:val="bottom"/>
            <w:hideMark/>
          </w:tcPr>
          <w:p w14:paraId="292AC3A1" w14:textId="42206CD7" w:rsidR="003B7BD1" w:rsidRPr="00132EAB" w:rsidRDefault="003B7BD1" w:rsidP="003B7BD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None</w:t>
            </w:r>
          </w:p>
        </w:tc>
        <w:tc>
          <w:tcPr>
            <w:tcW w:w="3448" w:type="dxa"/>
            <w:vAlign w:val="bottom"/>
            <w:hideMark/>
          </w:tcPr>
          <w:p w14:paraId="689FCAA8" w14:textId="18DCDEE2" w:rsidR="003B7BD1" w:rsidRPr="00132EAB" w:rsidRDefault="003B7BD1" w:rsidP="003B7BD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Likely significant investment</w:t>
            </w:r>
          </w:p>
        </w:tc>
        <w:tc>
          <w:tcPr>
            <w:tcW w:w="861" w:type="dxa"/>
            <w:noWrap/>
            <w:vAlign w:val="bottom"/>
            <w:hideMark/>
          </w:tcPr>
          <w:p w14:paraId="552E80B2" w14:textId="1022E66C" w:rsidR="003B7BD1" w:rsidRPr="00132EAB"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0.17</w:t>
            </w:r>
          </w:p>
        </w:tc>
        <w:tc>
          <w:tcPr>
            <w:tcW w:w="1006" w:type="dxa"/>
            <w:noWrap/>
            <w:vAlign w:val="bottom"/>
            <w:hideMark/>
          </w:tcPr>
          <w:p w14:paraId="740C1B8E" w14:textId="19297F89" w:rsidR="003B7BD1" w:rsidRPr="00132EAB"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0.06</w:t>
            </w:r>
          </w:p>
        </w:tc>
        <w:tc>
          <w:tcPr>
            <w:tcW w:w="1005" w:type="dxa"/>
            <w:noWrap/>
            <w:vAlign w:val="bottom"/>
            <w:hideMark/>
          </w:tcPr>
          <w:p w14:paraId="0F8A1033" w14:textId="77777777" w:rsidR="003B7BD1" w:rsidRPr="00132EAB"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082" w:type="dxa"/>
            <w:noWrap/>
            <w:vAlign w:val="bottom"/>
            <w:hideMark/>
          </w:tcPr>
          <w:p w14:paraId="3E9C2083" w14:textId="77777777" w:rsidR="003B7BD1" w:rsidRPr="00132EAB"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5263E6" w:rsidRPr="00056FAD" w14:paraId="6C31E1A1" w14:textId="77777777" w:rsidTr="00860226">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06" w:type="dxa"/>
            <w:vMerge w:val="restart"/>
            <w:vAlign w:val="center"/>
            <w:hideMark/>
          </w:tcPr>
          <w:p w14:paraId="12365599" w14:textId="393ADA04" w:rsidR="003B7BD1" w:rsidRPr="00132EAB" w:rsidRDefault="003B7BD1" w:rsidP="003B7BD1">
            <w:pPr>
              <w:spacing w:before="0" w:after="0"/>
              <w:rPr>
                <w:rFonts w:ascii="Calibri" w:hAnsi="Calibri" w:cs="Calibri"/>
                <w:color w:val="000000"/>
                <w:sz w:val="16"/>
                <w:szCs w:val="16"/>
              </w:rPr>
            </w:pPr>
            <w:r>
              <w:rPr>
                <w:rFonts w:ascii="Calibri" w:hAnsi="Calibri" w:cs="Calibri"/>
                <w:color w:val="000000"/>
                <w:sz w:val="16"/>
                <w:szCs w:val="16"/>
              </w:rPr>
              <w:t>EDR</w:t>
            </w:r>
          </w:p>
        </w:tc>
        <w:tc>
          <w:tcPr>
            <w:tcW w:w="2099" w:type="dxa"/>
            <w:vAlign w:val="center"/>
            <w:hideMark/>
          </w:tcPr>
          <w:p w14:paraId="497E7758" w14:textId="4A91C45A" w:rsidR="003B7BD1" w:rsidRPr="00132EAB" w:rsidRDefault="003B7BD1" w:rsidP="003B7BD1">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Major banks</w:t>
            </w:r>
          </w:p>
        </w:tc>
        <w:tc>
          <w:tcPr>
            <w:tcW w:w="3304" w:type="dxa"/>
            <w:vAlign w:val="bottom"/>
            <w:hideMark/>
          </w:tcPr>
          <w:p w14:paraId="13B53D9E" w14:textId="431BF5C0" w:rsidR="003B7BD1" w:rsidRPr="00132EAB" w:rsidRDefault="003B7BD1" w:rsidP="003B7BD1">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AFCA members</w:t>
            </w:r>
          </w:p>
        </w:tc>
        <w:tc>
          <w:tcPr>
            <w:tcW w:w="3448" w:type="dxa"/>
            <w:noWrap/>
            <w:vAlign w:val="bottom"/>
            <w:hideMark/>
          </w:tcPr>
          <w:p w14:paraId="2B09974A" w14:textId="4831C133" w:rsidR="003B7BD1" w:rsidRPr="00132EAB" w:rsidRDefault="003B7BD1" w:rsidP="003B7BD1">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10% increase in complaints</w:t>
            </w:r>
          </w:p>
        </w:tc>
        <w:tc>
          <w:tcPr>
            <w:tcW w:w="861" w:type="dxa"/>
            <w:noWrap/>
            <w:vAlign w:val="bottom"/>
            <w:hideMark/>
          </w:tcPr>
          <w:p w14:paraId="29FDB0E6" w14:textId="77777777"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1006" w:type="dxa"/>
            <w:noWrap/>
            <w:vAlign w:val="bottom"/>
            <w:hideMark/>
          </w:tcPr>
          <w:p w14:paraId="0478382E" w14:textId="77777777"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005" w:type="dxa"/>
            <w:noWrap/>
            <w:vAlign w:val="bottom"/>
            <w:hideMark/>
          </w:tcPr>
          <w:p w14:paraId="13100146" w14:textId="34AD12D7"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0.18</w:t>
            </w:r>
          </w:p>
        </w:tc>
        <w:tc>
          <w:tcPr>
            <w:tcW w:w="1082" w:type="dxa"/>
            <w:noWrap/>
            <w:vAlign w:val="bottom"/>
            <w:hideMark/>
          </w:tcPr>
          <w:p w14:paraId="680D959F" w14:textId="1B9679EB"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0.18</w:t>
            </w:r>
          </w:p>
        </w:tc>
      </w:tr>
      <w:tr w:rsidR="006F5192" w:rsidRPr="00056FAD" w14:paraId="3594F084" w14:textId="77777777" w:rsidTr="00860226">
        <w:trPr>
          <w:trHeight w:val="228"/>
        </w:trPr>
        <w:tc>
          <w:tcPr>
            <w:cnfStyle w:val="001000000000" w:firstRow="0" w:lastRow="0" w:firstColumn="1" w:lastColumn="0" w:oddVBand="0" w:evenVBand="0" w:oddHBand="0" w:evenHBand="0" w:firstRowFirstColumn="0" w:firstRowLastColumn="0" w:lastRowFirstColumn="0" w:lastRowLastColumn="0"/>
            <w:tcW w:w="1206" w:type="dxa"/>
            <w:vMerge/>
            <w:vAlign w:val="center"/>
          </w:tcPr>
          <w:p w14:paraId="50A9DAC5" w14:textId="77777777" w:rsidR="003B7BD1" w:rsidRPr="00132EAB" w:rsidRDefault="003B7BD1" w:rsidP="003B7BD1">
            <w:pPr>
              <w:spacing w:before="0" w:after="0"/>
              <w:rPr>
                <w:rFonts w:ascii="Calibri" w:hAnsi="Calibri" w:cs="Calibri"/>
                <w:color w:val="000000"/>
                <w:sz w:val="16"/>
                <w:szCs w:val="16"/>
              </w:rPr>
            </w:pPr>
          </w:p>
        </w:tc>
        <w:tc>
          <w:tcPr>
            <w:tcW w:w="2099" w:type="dxa"/>
            <w:vAlign w:val="center"/>
          </w:tcPr>
          <w:p w14:paraId="1F3A8605" w14:textId="299B767D" w:rsidR="003B7BD1" w:rsidRDefault="003B7BD1" w:rsidP="003B7BD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Other ABA/COBA</w:t>
            </w:r>
          </w:p>
        </w:tc>
        <w:tc>
          <w:tcPr>
            <w:tcW w:w="3304" w:type="dxa"/>
            <w:vAlign w:val="bottom"/>
          </w:tcPr>
          <w:p w14:paraId="2334281D" w14:textId="21092DDB" w:rsidR="003B7BD1" w:rsidRDefault="003B7BD1" w:rsidP="003B7BD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AFCA members</w:t>
            </w:r>
          </w:p>
        </w:tc>
        <w:tc>
          <w:tcPr>
            <w:tcW w:w="3448" w:type="dxa"/>
            <w:noWrap/>
            <w:vAlign w:val="bottom"/>
          </w:tcPr>
          <w:p w14:paraId="22F3A027" w14:textId="074F7F19" w:rsidR="003B7BD1" w:rsidRDefault="003B7BD1" w:rsidP="003B7BD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10% increase in complaints</w:t>
            </w:r>
          </w:p>
        </w:tc>
        <w:tc>
          <w:tcPr>
            <w:tcW w:w="861" w:type="dxa"/>
            <w:noWrap/>
            <w:vAlign w:val="bottom"/>
          </w:tcPr>
          <w:p w14:paraId="7753B3CF" w14:textId="77777777" w:rsidR="003B7BD1" w:rsidRPr="00132EAB"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006" w:type="dxa"/>
            <w:noWrap/>
            <w:vAlign w:val="bottom"/>
          </w:tcPr>
          <w:p w14:paraId="6125FC84" w14:textId="77777777" w:rsidR="003B7BD1" w:rsidRPr="00132EAB"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005" w:type="dxa"/>
            <w:noWrap/>
            <w:vAlign w:val="bottom"/>
          </w:tcPr>
          <w:p w14:paraId="09553896" w14:textId="096432E2" w:rsidR="003B7BD1"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0.01</w:t>
            </w:r>
          </w:p>
        </w:tc>
        <w:tc>
          <w:tcPr>
            <w:tcW w:w="1082" w:type="dxa"/>
            <w:noWrap/>
            <w:vAlign w:val="bottom"/>
          </w:tcPr>
          <w:p w14:paraId="256883CC" w14:textId="3D44ECA1" w:rsidR="003B7BD1"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0.01</w:t>
            </w:r>
          </w:p>
        </w:tc>
      </w:tr>
      <w:tr w:rsidR="005263E6" w:rsidRPr="00056FAD" w14:paraId="32F110F7" w14:textId="77777777" w:rsidTr="00860226">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206" w:type="dxa"/>
            <w:vMerge/>
            <w:vAlign w:val="center"/>
            <w:hideMark/>
          </w:tcPr>
          <w:p w14:paraId="5AEAA4A4" w14:textId="77777777" w:rsidR="003B7BD1" w:rsidRPr="00132EAB" w:rsidRDefault="003B7BD1" w:rsidP="003B7BD1">
            <w:pPr>
              <w:spacing w:before="0" w:after="0"/>
              <w:rPr>
                <w:rFonts w:ascii="Calibri" w:hAnsi="Calibri" w:cs="Calibri"/>
                <w:color w:val="000000"/>
                <w:sz w:val="16"/>
                <w:szCs w:val="16"/>
              </w:rPr>
            </w:pPr>
          </w:p>
        </w:tc>
        <w:tc>
          <w:tcPr>
            <w:tcW w:w="2099" w:type="dxa"/>
            <w:vAlign w:val="center"/>
            <w:hideMark/>
          </w:tcPr>
          <w:p w14:paraId="76BB095B" w14:textId="366A6289" w:rsidR="003B7BD1" w:rsidRPr="00132EAB" w:rsidRDefault="003B7BD1" w:rsidP="003B7BD1">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Non-affiliated/AFCA</w:t>
            </w:r>
          </w:p>
        </w:tc>
        <w:tc>
          <w:tcPr>
            <w:tcW w:w="3304" w:type="dxa"/>
            <w:vAlign w:val="bottom"/>
            <w:hideMark/>
          </w:tcPr>
          <w:p w14:paraId="0062E9D7" w14:textId="4875106B" w:rsidR="003B7BD1" w:rsidRPr="00132EAB" w:rsidRDefault="003B7BD1" w:rsidP="003B7BD1">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AFCA members</w:t>
            </w:r>
          </w:p>
        </w:tc>
        <w:tc>
          <w:tcPr>
            <w:tcW w:w="3448" w:type="dxa"/>
            <w:noWrap/>
            <w:vAlign w:val="bottom"/>
            <w:hideMark/>
          </w:tcPr>
          <w:p w14:paraId="6DB1814B" w14:textId="7F6FFBD6" w:rsidR="003B7BD1" w:rsidRPr="00132EAB" w:rsidRDefault="003B7BD1" w:rsidP="003B7BD1">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10% increase in complaints</w:t>
            </w:r>
          </w:p>
        </w:tc>
        <w:tc>
          <w:tcPr>
            <w:tcW w:w="861" w:type="dxa"/>
            <w:noWrap/>
            <w:vAlign w:val="bottom"/>
            <w:hideMark/>
          </w:tcPr>
          <w:p w14:paraId="4DBA102F" w14:textId="77777777"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1006" w:type="dxa"/>
            <w:noWrap/>
            <w:vAlign w:val="bottom"/>
            <w:hideMark/>
          </w:tcPr>
          <w:p w14:paraId="760BBF8D" w14:textId="77777777"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005" w:type="dxa"/>
            <w:noWrap/>
            <w:vAlign w:val="bottom"/>
            <w:hideMark/>
          </w:tcPr>
          <w:p w14:paraId="3BC07451" w14:textId="6B7CF932"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0.00</w:t>
            </w:r>
          </w:p>
        </w:tc>
        <w:tc>
          <w:tcPr>
            <w:tcW w:w="1082" w:type="dxa"/>
            <w:noWrap/>
            <w:vAlign w:val="bottom"/>
            <w:hideMark/>
          </w:tcPr>
          <w:p w14:paraId="613B1713" w14:textId="65F84D45" w:rsidR="003B7BD1" w:rsidRPr="00132EAB" w:rsidRDefault="003B7BD1" w:rsidP="003B7BD1">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0.00</w:t>
            </w:r>
          </w:p>
        </w:tc>
      </w:tr>
      <w:tr w:rsidR="006F5192" w:rsidRPr="00056FAD" w14:paraId="74D1E1A1" w14:textId="77777777" w:rsidTr="00860226">
        <w:trPr>
          <w:trHeight w:val="228"/>
        </w:trPr>
        <w:tc>
          <w:tcPr>
            <w:cnfStyle w:val="001000000000" w:firstRow="0" w:lastRow="0" w:firstColumn="1" w:lastColumn="0" w:oddVBand="0" w:evenVBand="0" w:oddHBand="0" w:evenHBand="0" w:firstRowFirstColumn="0" w:firstRowLastColumn="0" w:lastRowFirstColumn="0" w:lastRowLastColumn="0"/>
            <w:tcW w:w="1206" w:type="dxa"/>
            <w:vMerge/>
            <w:vAlign w:val="center"/>
            <w:hideMark/>
          </w:tcPr>
          <w:p w14:paraId="65249E22" w14:textId="77777777" w:rsidR="003B7BD1" w:rsidRPr="00132EAB" w:rsidRDefault="003B7BD1" w:rsidP="003B7BD1">
            <w:pPr>
              <w:spacing w:before="0" w:after="0"/>
              <w:rPr>
                <w:rFonts w:ascii="Calibri" w:hAnsi="Calibri" w:cs="Calibri"/>
                <w:color w:val="000000"/>
                <w:sz w:val="16"/>
                <w:szCs w:val="16"/>
              </w:rPr>
            </w:pPr>
          </w:p>
        </w:tc>
        <w:tc>
          <w:tcPr>
            <w:tcW w:w="2099" w:type="dxa"/>
            <w:vAlign w:val="center"/>
            <w:hideMark/>
          </w:tcPr>
          <w:p w14:paraId="48D3665A" w14:textId="68D5EA2A" w:rsidR="003B7BD1" w:rsidRPr="00132EAB" w:rsidRDefault="003B7BD1" w:rsidP="003B7BD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Non-affiliated/non-AFCA</w:t>
            </w:r>
          </w:p>
        </w:tc>
        <w:tc>
          <w:tcPr>
            <w:tcW w:w="3304" w:type="dxa"/>
            <w:vAlign w:val="bottom"/>
            <w:hideMark/>
          </w:tcPr>
          <w:p w14:paraId="710A6907" w14:textId="20EE2592" w:rsidR="003B7BD1" w:rsidRPr="00132EAB" w:rsidRDefault="003B7BD1" w:rsidP="003B7BD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None</w:t>
            </w:r>
          </w:p>
        </w:tc>
        <w:tc>
          <w:tcPr>
            <w:tcW w:w="3448" w:type="dxa"/>
            <w:noWrap/>
            <w:vAlign w:val="bottom"/>
            <w:hideMark/>
          </w:tcPr>
          <w:p w14:paraId="376C25AF" w14:textId="5FD7ABEB" w:rsidR="003B7BD1" w:rsidRPr="00056FAD" w:rsidRDefault="003B7BD1" w:rsidP="003B7BD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EDR for complaints with AFCA</w:t>
            </w:r>
          </w:p>
        </w:tc>
        <w:tc>
          <w:tcPr>
            <w:tcW w:w="861" w:type="dxa"/>
            <w:vAlign w:val="bottom"/>
          </w:tcPr>
          <w:p w14:paraId="4AEE7308" w14:textId="6F6A328A" w:rsidR="003B7BD1" w:rsidRPr="00132EAB"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w:t>
            </w:r>
          </w:p>
        </w:tc>
        <w:tc>
          <w:tcPr>
            <w:tcW w:w="1006" w:type="dxa"/>
            <w:noWrap/>
            <w:vAlign w:val="bottom"/>
            <w:hideMark/>
          </w:tcPr>
          <w:p w14:paraId="38BFC62F" w14:textId="601A64B9" w:rsidR="003B7BD1" w:rsidRPr="00132EAB"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w:t>
            </w:r>
          </w:p>
        </w:tc>
        <w:tc>
          <w:tcPr>
            <w:tcW w:w="1005" w:type="dxa"/>
            <w:noWrap/>
            <w:vAlign w:val="bottom"/>
            <w:hideMark/>
          </w:tcPr>
          <w:p w14:paraId="3022CF78" w14:textId="7D220251" w:rsidR="003B7BD1" w:rsidRPr="00132EAB"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0.01</w:t>
            </w:r>
          </w:p>
        </w:tc>
        <w:tc>
          <w:tcPr>
            <w:tcW w:w="1082" w:type="dxa"/>
            <w:noWrap/>
            <w:vAlign w:val="bottom"/>
            <w:hideMark/>
          </w:tcPr>
          <w:p w14:paraId="427DF2A1" w14:textId="3A13E4AC" w:rsidR="003B7BD1" w:rsidRPr="00132EAB" w:rsidRDefault="003B7BD1" w:rsidP="003B7B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0.01</w:t>
            </w:r>
          </w:p>
        </w:tc>
      </w:tr>
    </w:tbl>
    <w:p w14:paraId="3167C101" w14:textId="1EF2F737" w:rsidR="00407008" w:rsidRPr="00A9109E" w:rsidRDefault="00407008" w:rsidP="00407008">
      <w:pPr>
        <w:pStyle w:val="Heading8"/>
      </w:pPr>
      <w:r>
        <w:t xml:space="preserve">Table </w:t>
      </w:r>
      <w:fldSimple w:instr=" SEQ Table \* ARABIC ">
        <w:r w:rsidR="00333EBE">
          <w:rPr>
            <w:noProof/>
          </w:rPr>
          <w:t>26</w:t>
        </w:r>
      </w:fldSimple>
      <w:r>
        <w:t xml:space="preserve"> – </w:t>
      </w:r>
      <w:r w:rsidR="00D21A48">
        <w:t xml:space="preserve">Option 2 - </w:t>
      </w:r>
      <w:r>
        <w:t>Telecommunications sector</w:t>
      </w:r>
      <w:r w:rsidR="009A00E1" w:rsidRPr="009A00E1">
        <w:t xml:space="preserve"> </w:t>
      </w:r>
      <w:r w:rsidR="009A00E1">
        <w:t>annual</w:t>
      </w:r>
      <w:r>
        <w:t xml:space="preserve"> regulatory cost assumptions by entity type</w:t>
      </w:r>
      <w:r w:rsidR="00333EBE">
        <w:t xml:space="preserve"> (medium sized entity)</w:t>
      </w:r>
    </w:p>
    <w:tbl>
      <w:tblPr>
        <w:tblStyle w:val="GridTable4-Accent1"/>
        <w:tblW w:w="14023" w:type="dxa"/>
        <w:tblInd w:w="-5" w:type="dxa"/>
        <w:tblLook w:val="0480" w:firstRow="0" w:lastRow="0" w:firstColumn="1" w:lastColumn="0" w:noHBand="0" w:noVBand="1"/>
      </w:tblPr>
      <w:tblGrid>
        <w:gridCol w:w="1155"/>
        <w:gridCol w:w="2170"/>
        <w:gridCol w:w="3283"/>
        <w:gridCol w:w="3501"/>
        <w:gridCol w:w="882"/>
        <w:gridCol w:w="1011"/>
        <w:gridCol w:w="1010"/>
        <w:gridCol w:w="1011"/>
      </w:tblGrid>
      <w:tr w:rsidR="006A233F" w:rsidRPr="00056FAD" w14:paraId="3C7E275C" w14:textId="77777777" w:rsidTr="0086022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3325" w:type="dxa"/>
            <w:gridSpan w:val="2"/>
            <w:noWrap/>
            <w:hideMark/>
          </w:tcPr>
          <w:p w14:paraId="09878ACE" w14:textId="77777777" w:rsidR="00AB242C" w:rsidRPr="00132EAB" w:rsidRDefault="00AB242C">
            <w:pPr>
              <w:spacing w:before="0" w:after="0"/>
              <w:rPr>
                <w:rFonts w:ascii="Times New Roman" w:hAnsi="Times New Roman"/>
                <w:sz w:val="16"/>
                <w:szCs w:val="16"/>
              </w:rPr>
            </w:pPr>
          </w:p>
        </w:tc>
        <w:tc>
          <w:tcPr>
            <w:tcW w:w="6784" w:type="dxa"/>
            <w:gridSpan w:val="2"/>
            <w:noWrap/>
            <w:hideMark/>
          </w:tcPr>
          <w:p w14:paraId="2FE4C266" w14:textId="77777777" w:rsidR="00AB242C" w:rsidRPr="00132EAB" w:rsidRDefault="00AB242C">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DE682A">
              <w:rPr>
                <w:rFonts w:asciiTheme="minorHAnsi" w:hAnsiTheme="minorHAnsi" w:cstheme="minorHAnsi"/>
                <w:b/>
                <w:bCs/>
                <w:sz w:val="16"/>
                <w:szCs w:val="16"/>
              </w:rPr>
              <w:t>Description of impacts</w:t>
            </w:r>
          </w:p>
        </w:tc>
        <w:tc>
          <w:tcPr>
            <w:tcW w:w="1893" w:type="dxa"/>
            <w:gridSpan w:val="2"/>
            <w:hideMark/>
          </w:tcPr>
          <w:p w14:paraId="76029A6B" w14:textId="6914826D" w:rsidR="00AB242C" w:rsidRPr="00132EAB" w:rsidRDefault="00C236E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Pr>
                <w:rFonts w:ascii="Calibri" w:hAnsi="Calibri" w:cs="Calibri"/>
                <w:b/>
                <w:bCs/>
                <w:color w:val="000000"/>
                <w:sz w:val="16"/>
                <w:szCs w:val="16"/>
              </w:rPr>
              <w:t xml:space="preserve">Technology </w:t>
            </w:r>
            <w:r w:rsidR="00AB242C" w:rsidRPr="00132EAB">
              <w:rPr>
                <w:rFonts w:ascii="Calibri" w:hAnsi="Calibri" w:cs="Calibri"/>
                <w:b/>
                <w:bCs/>
                <w:color w:val="000000"/>
                <w:sz w:val="16"/>
                <w:szCs w:val="16"/>
              </w:rPr>
              <w:t>($m)</w:t>
            </w:r>
          </w:p>
        </w:tc>
        <w:tc>
          <w:tcPr>
            <w:tcW w:w="2021" w:type="dxa"/>
            <w:gridSpan w:val="2"/>
            <w:noWrap/>
            <w:hideMark/>
          </w:tcPr>
          <w:p w14:paraId="5CEAF321" w14:textId="52DC865C" w:rsidR="00AB242C" w:rsidRPr="00132EAB" w:rsidRDefault="00BE4FD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Pr>
                <w:rFonts w:ascii="Calibri" w:hAnsi="Calibri" w:cs="Calibri"/>
                <w:b/>
                <w:bCs/>
                <w:color w:val="000000"/>
                <w:sz w:val="16"/>
                <w:szCs w:val="16"/>
              </w:rPr>
              <w:t xml:space="preserve"> </w:t>
            </w:r>
            <w:r w:rsidR="007848E2">
              <w:rPr>
                <w:rFonts w:ascii="Calibri" w:hAnsi="Calibri" w:cs="Calibri"/>
                <w:b/>
                <w:bCs/>
                <w:color w:val="000000"/>
                <w:sz w:val="16"/>
                <w:szCs w:val="16"/>
              </w:rPr>
              <w:t>Administration</w:t>
            </w:r>
            <w:r>
              <w:rPr>
                <w:rFonts w:ascii="Calibri" w:hAnsi="Calibri" w:cs="Calibri"/>
                <w:b/>
                <w:bCs/>
                <w:color w:val="000000"/>
                <w:sz w:val="16"/>
                <w:szCs w:val="16"/>
              </w:rPr>
              <w:t xml:space="preserve"> ($m)</w:t>
            </w:r>
          </w:p>
        </w:tc>
      </w:tr>
      <w:tr w:rsidR="006F5192" w:rsidRPr="00056FAD" w14:paraId="20256807" w14:textId="77777777" w:rsidTr="00860226">
        <w:trPr>
          <w:trHeight w:val="144"/>
        </w:trPr>
        <w:tc>
          <w:tcPr>
            <w:cnfStyle w:val="001000000000" w:firstRow="0" w:lastRow="0" w:firstColumn="1" w:lastColumn="0" w:oddVBand="0" w:evenVBand="0" w:oddHBand="0" w:evenHBand="0" w:firstRowFirstColumn="0" w:firstRowLastColumn="0" w:lastRowFirstColumn="0" w:lastRowLastColumn="0"/>
            <w:tcW w:w="1155" w:type="dxa"/>
            <w:tcBorders>
              <w:bottom w:val="single" w:sz="18" w:space="0" w:color="auto"/>
            </w:tcBorders>
            <w:noWrap/>
            <w:hideMark/>
          </w:tcPr>
          <w:p w14:paraId="4EB8BD40" w14:textId="77777777" w:rsidR="00AB242C" w:rsidRPr="00132EAB" w:rsidRDefault="00AB242C">
            <w:pPr>
              <w:spacing w:before="0" w:after="0"/>
              <w:rPr>
                <w:rFonts w:ascii="Calibri" w:hAnsi="Calibri" w:cs="Calibri"/>
                <w:color w:val="000000"/>
                <w:sz w:val="16"/>
                <w:szCs w:val="16"/>
              </w:rPr>
            </w:pPr>
            <w:r w:rsidRPr="00132EAB">
              <w:rPr>
                <w:rFonts w:ascii="Calibri" w:hAnsi="Calibri" w:cs="Calibri"/>
                <w:color w:val="000000"/>
                <w:sz w:val="16"/>
                <w:szCs w:val="16"/>
              </w:rPr>
              <w:t>Obligation</w:t>
            </w:r>
          </w:p>
        </w:tc>
        <w:tc>
          <w:tcPr>
            <w:tcW w:w="2170" w:type="dxa"/>
            <w:tcBorders>
              <w:bottom w:val="single" w:sz="18" w:space="0" w:color="auto"/>
            </w:tcBorders>
            <w:noWrap/>
            <w:hideMark/>
          </w:tcPr>
          <w:p w14:paraId="20412F5F" w14:textId="77777777" w:rsidR="00AB242C" w:rsidRPr="00132EAB" w:rsidRDefault="00AB242C">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Entity type</w:t>
            </w:r>
          </w:p>
        </w:tc>
        <w:tc>
          <w:tcPr>
            <w:tcW w:w="3283" w:type="dxa"/>
            <w:tcBorders>
              <w:bottom w:val="single" w:sz="18" w:space="0" w:color="auto"/>
            </w:tcBorders>
            <w:hideMark/>
          </w:tcPr>
          <w:p w14:paraId="7FC3114C" w14:textId="77777777" w:rsidR="00AB242C" w:rsidRPr="00132EAB" w:rsidRDefault="00AB242C">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 xml:space="preserve">Current </w:t>
            </w:r>
            <w:r w:rsidRPr="00056FAD">
              <w:rPr>
                <w:rFonts w:ascii="Calibri" w:hAnsi="Calibri" w:cs="Calibri"/>
                <w:b/>
                <w:bCs/>
                <w:color w:val="000000"/>
                <w:sz w:val="16"/>
                <w:szCs w:val="16"/>
              </w:rPr>
              <w:t>actions</w:t>
            </w:r>
          </w:p>
        </w:tc>
        <w:tc>
          <w:tcPr>
            <w:tcW w:w="3500" w:type="dxa"/>
            <w:tcBorders>
              <w:bottom w:val="single" w:sz="18" w:space="0" w:color="auto"/>
            </w:tcBorders>
            <w:hideMark/>
          </w:tcPr>
          <w:p w14:paraId="797B7CE1" w14:textId="77777777" w:rsidR="00AB242C" w:rsidRPr="00132EAB" w:rsidRDefault="00AB242C">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Uplift required</w:t>
            </w:r>
          </w:p>
        </w:tc>
        <w:tc>
          <w:tcPr>
            <w:tcW w:w="882" w:type="dxa"/>
            <w:tcBorders>
              <w:bottom w:val="single" w:sz="18" w:space="0" w:color="auto"/>
            </w:tcBorders>
            <w:noWrap/>
            <w:hideMark/>
          </w:tcPr>
          <w:p w14:paraId="1172AFB7" w14:textId="77777777" w:rsidR="00AB242C" w:rsidRPr="00132EAB" w:rsidRDefault="00AB242C" w:rsidP="00BE17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056FAD">
              <w:rPr>
                <w:rFonts w:ascii="Calibri" w:hAnsi="Calibri" w:cs="Calibri"/>
                <w:b/>
                <w:bCs/>
                <w:color w:val="000000"/>
                <w:sz w:val="16"/>
                <w:szCs w:val="16"/>
              </w:rPr>
              <w:t>Initial</w:t>
            </w:r>
          </w:p>
        </w:tc>
        <w:tc>
          <w:tcPr>
            <w:tcW w:w="1011" w:type="dxa"/>
            <w:tcBorders>
              <w:bottom w:val="single" w:sz="18" w:space="0" w:color="auto"/>
            </w:tcBorders>
            <w:noWrap/>
            <w:hideMark/>
          </w:tcPr>
          <w:p w14:paraId="77CBA936" w14:textId="77777777" w:rsidR="00AB242C" w:rsidRPr="00132EAB" w:rsidRDefault="00AB242C" w:rsidP="00BE17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Ongoing</w:t>
            </w:r>
          </w:p>
        </w:tc>
        <w:tc>
          <w:tcPr>
            <w:tcW w:w="1010" w:type="dxa"/>
            <w:tcBorders>
              <w:bottom w:val="single" w:sz="18" w:space="0" w:color="auto"/>
            </w:tcBorders>
            <w:noWrap/>
            <w:hideMark/>
          </w:tcPr>
          <w:p w14:paraId="5B27837D" w14:textId="77777777" w:rsidR="00AB242C" w:rsidRPr="00132EAB" w:rsidRDefault="00AB242C" w:rsidP="00BE17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056FAD">
              <w:rPr>
                <w:rFonts w:ascii="Calibri" w:hAnsi="Calibri" w:cs="Calibri"/>
                <w:b/>
                <w:bCs/>
                <w:color w:val="000000"/>
                <w:sz w:val="16"/>
                <w:szCs w:val="16"/>
              </w:rPr>
              <w:t>Initial</w:t>
            </w:r>
          </w:p>
        </w:tc>
        <w:tc>
          <w:tcPr>
            <w:tcW w:w="1010" w:type="dxa"/>
            <w:tcBorders>
              <w:bottom w:val="single" w:sz="18" w:space="0" w:color="auto"/>
            </w:tcBorders>
            <w:noWrap/>
            <w:hideMark/>
          </w:tcPr>
          <w:p w14:paraId="15EC2A74" w14:textId="77777777" w:rsidR="00AB242C" w:rsidRPr="00132EAB" w:rsidRDefault="00AB242C" w:rsidP="00BE17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Ongoing</w:t>
            </w:r>
          </w:p>
        </w:tc>
      </w:tr>
      <w:tr w:rsidR="005263E6" w:rsidRPr="00056FAD" w14:paraId="2A181BD9" w14:textId="77777777" w:rsidTr="00860226">
        <w:trPr>
          <w:cnfStyle w:val="000000100000" w:firstRow="0" w:lastRow="0" w:firstColumn="0" w:lastColumn="0" w:oddVBand="0" w:evenVBand="0" w:oddHBand="1" w:evenHBand="0" w:firstRowFirstColumn="0" w:firstRowLastColumn="0" w:lastRowFirstColumn="0" w:lastRowLastColumn="0"/>
          <w:trHeight w:val="29"/>
        </w:trPr>
        <w:tc>
          <w:tcPr>
            <w:cnfStyle w:val="001000000000" w:firstRow="0" w:lastRow="0" w:firstColumn="1" w:lastColumn="0" w:oddVBand="0" w:evenVBand="0" w:oddHBand="0" w:evenHBand="0" w:firstRowFirstColumn="0" w:firstRowLastColumn="0" w:lastRowFirstColumn="0" w:lastRowLastColumn="0"/>
            <w:tcW w:w="1155" w:type="dxa"/>
            <w:vMerge w:val="restart"/>
            <w:tcBorders>
              <w:top w:val="single" w:sz="18" w:space="0" w:color="auto"/>
            </w:tcBorders>
            <w:vAlign w:val="center"/>
            <w:hideMark/>
          </w:tcPr>
          <w:p w14:paraId="56149DBF" w14:textId="711B4D70" w:rsidR="00EE72D5" w:rsidRPr="00884BB4" w:rsidRDefault="00EE72D5" w:rsidP="00EE72D5">
            <w:pPr>
              <w:spacing w:before="0" w:after="0"/>
              <w:rPr>
                <w:rFonts w:ascii="Calibri" w:hAnsi="Calibri" w:cs="Calibri"/>
                <w:b w:val="0"/>
                <w:bCs w:val="0"/>
                <w:color w:val="000000"/>
                <w:sz w:val="16"/>
                <w:szCs w:val="16"/>
              </w:rPr>
            </w:pPr>
            <w:r>
              <w:rPr>
                <w:rFonts w:ascii="Calibri" w:hAnsi="Calibri" w:cs="Calibri"/>
                <w:color w:val="000000"/>
                <w:sz w:val="16"/>
                <w:szCs w:val="16"/>
              </w:rPr>
              <w:t xml:space="preserve">Anti-scam </w:t>
            </w:r>
            <w:r w:rsidR="00E905E2">
              <w:rPr>
                <w:rFonts w:ascii="Calibri" w:hAnsi="Calibri" w:cs="Calibri"/>
                <w:color w:val="000000"/>
                <w:sz w:val="16"/>
                <w:szCs w:val="16"/>
              </w:rPr>
              <w:t>activity</w:t>
            </w:r>
          </w:p>
        </w:tc>
        <w:tc>
          <w:tcPr>
            <w:tcW w:w="2170" w:type="dxa"/>
            <w:tcBorders>
              <w:top w:val="single" w:sz="18" w:space="0" w:color="auto"/>
            </w:tcBorders>
            <w:vAlign w:val="bottom"/>
            <w:hideMark/>
          </w:tcPr>
          <w:p w14:paraId="6FF493FB" w14:textId="29A13DF4" w:rsidR="00EE72D5" w:rsidRPr="00132EAB" w:rsidRDefault="00EE72D5" w:rsidP="00EE72D5">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Major telcos</w:t>
            </w:r>
          </w:p>
        </w:tc>
        <w:tc>
          <w:tcPr>
            <w:tcW w:w="3283" w:type="dxa"/>
            <w:tcBorders>
              <w:top w:val="single" w:sz="18" w:space="0" w:color="auto"/>
            </w:tcBorders>
            <w:vAlign w:val="bottom"/>
            <w:hideMark/>
          </w:tcPr>
          <w:p w14:paraId="14DDFE18" w14:textId="081D0525" w:rsidR="00EE72D5" w:rsidRPr="00132EAB" w:rsidRDefault="00593A80" w:rsidP="00EE72D5">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Reducing Scam Calls and Scam SMS code </w:t>
            </w:r>
          </w:p>
        </w:tc>
        <w:tc>
          <w:tcPr>
            <w:tcW w:w="3500" w:type="dxa"/>
            <w:tcBorders>
              <w:top w:val="single" w:sz="18" w:space="0" w:color="auto"/>
            </w:tcBorders>
            <w:vAlign w:val="bottom"/>
            <w:hideMark/>
          </w:tcPr>
          <w:p w14:paraId="2369A694" w14:textId="51B95BC9" w:rsidR="00EE72D5" w:rsidRPr="00132EAB" w:rsidRDefault="00EE72D5" w:rsidP="00EE72D5">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Governance operations</w:t>
            </w:r>
          </w:p>
        </w:tc>
        <w:tc>
          <w:tcPr>
            <w:tcW w:w="882" w:type="dxa"/>
            <w:tcBorders>
              <w:top w:val="single" w:sz="18" w:space="0" w:color="auto"/>
            </w:tcBorders>
            <w:vAlign w:val="bottom"/>
            <w:hideMark/>
          </w:tcPr>
          <w:p w14:paraId="272836A9" w14:textId="3B3AC50F" w:rsidR="00EE72D5" w:rsidRPr="00132EAB" w:rsidRDefault="00EE72D5"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0.00</w:t>
            </w:r>
          </w:p>
        </w:tc>
        <w:tc>
          <w:tcPr>
            <w:tcW w:w="1011" w:type="dxa"/>
            <w:tcBorders>
              <w:top w:val="single" w:sz="18" w:space="0" w:color="auto"/>
            </w:tcBorders>
            <w:vAlign w:val="bottom"/>
            <w:hideMark/>
          </w:tcPr>
          <w:p w14:paraId="4CC5C264" w14:textId="4161A92A" w:rsidR="00EE72D5" w:rsidRPr="00132EAB" w:rsidRDefault="00EE72D5"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0.00</w:t>
            </w:r>
          </w:p>
        </w:tc>
        <w:tc>
          <w:tcPr>
            <w:tcW w:w="1010" w:type="dxa"/>
            <w:tcBorders>
              <w:top w:val="single" w:sz="18" w:space="0" w:color="auto"/>
            </w:tcBorders>
            <w:vAlign w:val="bottom"/>
            <w:hideMark/>
          </w:tcPr>
          <w:p w14:paraId="59BF5DBA" w14:textId="2FC8B4A1" w:rsidR="00EE72D5" w:rsidRPr="00132EAB" w:rsidRDefault="00EE72D5"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0.10</w:t>
            </w:r>
          </w:p>
        </w:tc>
        <w:tc>
          <w:tcPr>
            <w:tcW w:w="1010" w:type="dxa"/>
            <w:tcBorders>
              <w:top w:val="single" w:sz="18" w:space="0" w:color="auto"/>
            </w:tcBorders>
            <w:vAlign w:val="bottom"/>
            <w:hideMark/>
          </w:tcPr>
          <w:p w14:paraId="1D7B9BE3" w14:textId="6DB6C0E1" w:rsidR="00EE72D5" w:rsidRPr="00132EAB" w:rsidRDefault="00EE72D5"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0.05</w:t>
            </w:r>
          </w:p>
        </w:tc>
      </w:tr>
      <w:tr w:rsidR="006F5192" w:rsidRPr="00056FAD" w14:paraId="3E9FA8FE" w14:textId="77777777" w:rsidTr="00860226">
        <w:trPr>
          <w:trHeight w:val="107"/>
        </w:trPr>
        <w:tc>
          <w:tcPr>
            <w:cnfStyle w:val="001000000000" w:firstRow="0" w:lastRow="0" w:firstColumn="1" w:lastColumn="0" w:oddVBand="0" w:evenVBand="0" w:oddHBand="0" w:evenHBand="0" w:firstRowFirstColumn="0" w:firstRowLastColumn="0" w:lastRowFirstColumn="0" w:lastRowLastColumn="0"/>
            <w:tcW w:w="1155" w:type="dxa"/>
            <w:vMerge/>
            <w:vAlign w:val="center"/>
            <w:hideMark/>
          </w:tcPr>
          <w:p w14:paraId="79F11923" w14:textId="77777777" w:rsidR="00EE72D5" w:rsidRPr="00132EAB" w:rsidRDefault="00EE72D5" w:rsidP="00EE72D5">
            <w:pPr>
              <w:spacing w:before="0" w:after="0"/>
              <w:rPr>
                <w:rFonts w:ascii="Calibri" w:hAnsi="Calibri" w:cs="Calibri"/>
                <w:color w:val="000000"/>
                <w:sz w:val="16"/>
                <w:szCs w:val="16"/>
              </w:rPr>
            </w:pPr>
          </w:p>
        </w:tc>
        <w:tc>
          <w:tcPr>
            <w:tcW w:w="2170" w:type="dxa"/>
            <w:vAlign w:val="bottom"/>
            <w:hideMark/>
          </w:tcPr>
          <w:p w14:paraId="315E5498" w14:textId="2B39582C" w:rsidR="00EE72D5" w:rsidRPr="00132EAB" w:rsidRDefault="00EE72D5" w:rsidP="00EE72D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Medium CSPs</w:t>
            </w:r>
          </w:p>
        </w:tc>
        <w:tc>
          <w:tcPr>
            <w:tcW w:w="3283" w:type="dxa"/>
            <w:vAlign w:val="bottom"/>
            <w:hideMark/>
          </w:tcPr>
          <w:p w14:paraId="0AE00EE2" w14:textId="63C40AB4" w:rsidR="00EE72D5" w:rsidRPr="00132EAB" w:rsidRDefault="00593A80" w:rsidP="00EE72D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Reducing Scam Calls and Scam SMS code </w:t>
            </w:r>
          </w:p>
        </w:tc>
        <w:tc>
          <w:tcPr>
            <w:tcW w:w="3500" w:type="dxa"/>
            <w:vAlign w:val="bottom"/>
            <w:hideMark/>
          </w:tcPr>
          <w:p w14:paraId="50A7A867" w14:textId="67693292" w:rsidR="00EE72D5" w:rsidRPr="00132EAB" w:rsidRDefault="00EE72D5" w:rsidP="00EE72D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Governance operations</w:t>
            </w:r>
          </w:p>
        </w:tc>
        <w:tc>
          <w:tcPr>
            <w:tcW w:w="882" w:type="dxa"/>
            <w:vAlign w:val="bottom"/>
            <w:hideMark/>
          </w:tcPr>
          <w:p w14:paraId="4AF44904" w14:textId="7D83909B" w:rsidR="00EE72D5" w:rsidRPr="00132EAB" w:rsidRDefault="00EE72D5"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0.00</w:t>
            </w:r>
          </w:p>
        </w:tc>
        <w:tc>
          <w:tcPr>
            <w:tcW w:w="1011" w:type="dxa"/>
            <w:vAlign w:val="bottom"/>
            <w:hideMark/>
          </w:tcPr>
          <w:p w14:paraId="18A1F0E1" w14:textId="7022E8B5" w:rsidR="00EE72D5" w:rsidRPr="00132EAB" w:rsidRDefault="00EE72D5"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0.00</w:t>
            </w:r>
          </w:p>
        </w:tc>
        <w:tc>
          <w:tcPr>
            <w:tcW w:w="1010" w:type="dxa"/>
            <w:vAlign w:val="bottom"/>
            <w:hideMark/>
          </w:tcPr>
          <w:p w14:paraId="17A293B9" w14:textId="3B1FE3D5" w:rsidR="00EE72D5" w:rsidRPr="00132EAB" w:rsidRDefault="00EE72D5"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0.02</w:t>
            </w:r>
          </w:p>
        </w:tc>
        <w:tc>
          <w:tcPr>
            <w:tcW w:w="1010" w:type="dxa"/>
            <w:vAlign w:val="bottom"/>
            <w:hideMark/>
          </w:tcPr>
          <w:p w14:paraId="5309EB96" w14:textId="720EEF55" w:rsidR="00EE72D5" w:rsidRPr="00132EAB" w:rsidRDefault="00EE72D5"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0.01</w:t>
            </w:r>
          </w:p>
        </w:tc>
      </w:tr>
      <w:tr w:rsidR="005263E6" w:rsidRPr="00056FAD" w14:paraId="4F8AE82F" w14:textId="77777777" w:rsidTr="0086022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155" w:type="dxa"/>
            <w:vMerge/>
            <w:vAlign w:val="center"/>
          </w:tcPr>
          <w:p w14:paraId="7D0199E4" w14:textId="77777777" w:rsidR="00EE72D5" w:rsidRPr="00132EAB" w:rsidRDefault="00EE72D5" w:rsidP="00EE72D5">
            <w:pPr>
              <w:spacing w:before="0" w:after="0"/>
              <w:rPr>
                <w:rFonts w:ascii="Calibri" w:hAnsi="Calibri" w:cs="Calibri"/>
                <w:color w:val="000000"/>
                <w:sz w:val="16"/>
                <w:szCs w:val="16"/>
              </w:rPr>
            </w:pPr>
          </w:p>
        </w:tc>
        <w:tc>
          <w:tcPr>
            <w:tcW w:w="2170" w:type="dxa"/>
            <w:vAlign w:val="bottom"/>
          </w:tcPr>
          <w:p w14:paraId="4179BFF5" w14:textId="51F84D20" w:rsidR="00EE72D5" w:rsidRDefault="00EE72D5" w:rsidP="00EE72D5">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Small CSPs</w:t>
            </w:r>
          </w:p>
        </w:tc>
        <w:tc>
          <w:tcPr>
            <w:tcW w:w="3283" w:type="dxa"/>
            <w:vAlign w:val="bottom"/>
          </w:tcPr>
          <w:p w14:paraId="76C5E4DB" w14:textId="63856F59" w:rsidR="00EE72D5" w:rsidRDefault="00593A80" w:rsidP="00EE72D5">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Reducing Scam Calls and Scam SMS code </w:t>
            </w:r>
          </w:p>
        </w:tc>
        <w:tc>
          <w:tcPr>
            <w:tcW w:w="3500" w:type="dxa"/>
            <w:vAlign w:val="bottom"/>
          </w:tcPr>
          <w:p w14:paraId="20E99102" w14:textId="34BB005F" w:rsidR="00EE72D5" w:rsidRDefault="00EE72D5" w:rsidP="00EE72D5">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Governance operations</w:t>
            </w:r>
          </w:p>
        </w:tc>
        <w:tc>
          <w:tcPr>
            <w:tcW w:w="882" w:type="dxa"/>
            <w:vAlign w:val="bottom"/>
          </w:tcPr>
          <w:p w14:paraId="3B6CBF7C" w14:textId="11B1E122" w:rsidR="00EE72D5" w:rsidRDefault="00EE72D5"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0.00</w:t>
            </w:r>
          </w:p>
        </w:tc>
        <w:tc>
          <w:tcPr>
            <w:tcW w:w="1011" w:type="dxa"/>
            <w:vAlign w:val="bottom"/>
          </w:tcPr>
          <w:p w14:paraId="55FAD602" w14:textId="28A04A04" w:rsidR="00EE72D5" w:rsidRDefault="00EE72D5"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0.00</w:t>
            </w:r>
          </w:p>
        </w:tc>
        <w:tc>
          <w:tcPr>
            <w:tcW w:w="1010" w:type="dxa"/>
            <w:vAlign w:val="bottom"/>
          </w:tcPr>
          <w:p w14:paraId="12F0DC07" w14:textId="2AF1E3F6" w:rsidR="00EE72D5" w:rsidRDefault="00EE72D5"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0.01</w:t>
            </w:r>
          </w:p>
        </w:tc>
        <w:tc>
          <w:tcPr>
            <w:tcW w:w="1010" w:type="dxa"/>
            <w:vAlign w:val="bottom"/>
          </w:tcPr>
          <w:p w14:paraId="3D35AF17" w14:textId="03A8BD45" w:rsidR="00EE72D5" w:rsidRDefault="00EE72D5"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0.01</w:t>
            </w:r>
          </w:p>
        </w:tc>
      </w:tr>
      <w:tr w:rsidR="006F5192" w:rsidRPr="00056FAD" w14:paraId="34FBAFF6" w14:textId="77777777" w:rsidTr="00860226">
        <w:trPr>
          <w:trHeight w:val="64"/>
        </w:trPr>
        <w:tc>
          <w:tcPr>
            <w:cnfStyle w:val="001000000000" w:firstRow="0" w:lastRow="0" w:firstColumn="1" w:lastColumn="0" w:oddVBand="0" w:evenVBand="0" w:oddHBand="0" w:evenHBand="0" w:firstRowFirstColumn="0" w:firstRowLastColumn="0" w:lastRowFirstColumn="0" w:lastRowLastColumn="0"/>
            <w:tcW w:w="1155" w:type="dxa"/>
            <w:vMerge/>
            <w:vAlign w:val="center"/>
          </w:tcPr>
          <w:p w14:paraId="5A031F6B" w14:textId="77777777" w:rsidR="00EE72D5" w:rsidRPr="00132EAB" w:rsidRDefault="00EE72D5" w:rsidP="00EE72D5">
            <w:pPr>
              <w:spacing w:before="0" w:after="0"/>
              <w:rPr>
                <w:rFonts w:ascii="Calibri" w:hAnsi="Calibri" w:cs="Calibri"/>
                <w:color w:val="000000"/>
                <w:sz w:val="16"/>
                <w:szCs w:val="16"/>
              </w:rPr>
            </w:pPr>
          </w:p>
        </w:tc>
        <w:tc>
          <w:tcPr>
            <w:tcW w:w="2170" w:type="dxa"/>
            <w:vAlign w:val="bottom"/>
          </w:tcPr>
          <w:p w14:paraId="44D9415C" w14:textId="3DB3A6DB" w:rsidR="00EE72D5" w:rsidRDefault="00EE72D5" w:rsidP="00EE72D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Very small </w:t>
            </w:r>
            <w:r w:rsidDel="00E36CE7">
              <w:rPr>
                <w:rFonts w:ascii="Calibri" w:hAnsi="Calibri" w:cs="Calibri"/>
                <w:color w:val="000000"/>
                <w:sz w:val="16"/>
                <w:szCs w:val="16"/>
              </w:rPr>
              <w:t>CSPs</w:t>
            </w:r>
          </w:p>
        </w:tc>
        <w:tc>
          <w:tcPr>
            <w:tcW w:w="3283" w:type="dxa"/>
            <w:vAlign w:val="bottom"/>
          </w:tcPr>
          <w:p w14:paraId="5DAD3911" w14:textId="15463F40" w:rsidR="00EE72D5" w:rsidRDefault="00593A80" w:rsidP="00EE72D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Reducing Scam Calls and Scam SMS code </w:t>
            </w:r>
          </w:p>
        </w:tc>
        <w:tc>
          <w:tcPr>
            <w:tcW w:w="3500" w:type="dxa"/>
            <w:vAlign w:val="bottom"/>
          </w:tcPr>
          <w:p w14:paraId="5973286D" w14:textId="6DC37531" w:rsidR="00EE72D5" w:rsidRDefault="00EE72D5" w:rsidP="00EE72D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Governance operations</w:t>
            </w:r>
          </w:p>
        </w:tc>
        <w:tc>
          <w:tcPr>
            <w:tcW w:w="882" w:type="dxa"/>
            <w:vAlign w:val="bottom"/>
          </w:tcPr>
          <w:p w14:paraId="31E2C2FA" w14:textId="679E14DA" w:rsidR="00EE72D5" w:rsidRDefault="00EE72D5"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0.00</w:t>
            </w:r>
          </w:p>
        </w:tc>
        <w:tc>
          <w:tcPr>
            <w:tcW w:w="1011" w:type="dxa"/>
            <w:vAlign w:val="bottom"/>
          </w:tcPr>
          <w:p w14:paraId="635EC171" w14:textId="68934574" w:rsidR="00EE72D5" w:rsidRDefault="00EE72D5"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0.00</w:t>
            </w:r>
          </w:p>
        </w:tc>
        <w:tc>
          <w:tcPr>
            <w:tcW w:w="1010" w:type="dxa"/>
            <w:vAlign w:val="bottom"/>
          </w:tcPr>
          <w:p w14:paraId="452FF6F9" w14:textId="550181A8" w:rsidR="00EE72D5" w:rsidRDefault="00EE72D5"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0.01</w:t>
            </w:r>
          </w:p>
        </w:tc>
        <w:tc>
          <w:tcPr>
            <w:tcW w:w="1010" w:type="dxa"/>
            <w:vAlign w:val="bottom"/>
          </w:tcPr>
          <w:p w14:paraId="5C229003" w14:textId="38C6173C" w:rsidR="00EE72D5" w:rsidRDefault="00EE72D5"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0.01</w:t>
            </w:r>
          </w:p>
        </w:tc>
      </w:tr>
      <w:tr w:rsidR="005263E6" w:rsidRPr="00056FAD" w14:paraId="78E90988" w14:textId="77777777" w:rsidTr="0086022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155" w:type="dxa"/>
            <w:vMerge/>
            <w:vAlign w:val="center"/>
            <w:hideMark/>
          </w:tcPr>
          <w:p w14:paraId="0E22E767" w14:textId="77777777" w:rsidR="00D82648" w:rsidRPr="00132EAB" w:rsidRDefault="00D82648" w:rsidP="00D82648">
            <w:pPr>
              <w:spacing w:before="0" w:after="0"/>
              <w:rPr>
                <w:rFonts w:ascii="Calibri" w:hAnsi="Calibri" w:cs="Calibri"/>
                <w:color w:val="000000"/>
                <w:sz w:val="16"/>
                <w:szCs w:val="16"/>
              </w:rPr>
            </w:pPr>
          </w:p>
        </w:tc>
        <w:tc>
          <w:tcPr>
            <w:tcW w:w="2170" w:type="dxa"/>
            <w:vAlign w:val="bottom"/>
            <w:hideMark/>
          </w:tcPr>
          <w:p w14:paraId="6C1406B3" w14:textId="0B9F0D36" w:rsidR="00D82648" w:rsidRPr="00132EAB" w:rsidRDefault="00D82648" w:rsidP="00D82648">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Transit </w:t>
            </w:r>
            <w:r w:rsidR="001608A0">
              <w:rPr>
                <w:rFonts w:ascii="Calibri" w:hAnsi="Calibri" w:cs="Calibri"/>
                <w:color w:val="000000"/>
                <w:sz w:val="16"/>
                <w:szCs w:val="16"/>
              </w:rPr>
              <w:t>carriers/</w:t>
            </w:r>
            <w:r>
              <w:rPr>
                <w:rFonts w:ascii="Calibri" w:hAnsi="Calibri" w:cs="Calibri"/>
                <w:color w:val="000000"/>
                <w:sz w:val="16"/>
                <w:szCs w:val="16"/>
              </w:rPr>
              <w:t>CSPs</w:t>
            </w:r>
          </w:p>
        </w:tc>
        <w:tc>
          <w:tcPr>
            <w:tcW w:w="3283" w:type="dxa"/>
            <w:vAlign w:val="bottom"/>
            <w:hideMark/>
          </w:tcPr>
          <w:p w14:paraId="5751E847" w14:textId="349FD126" w:rsidR="00D82648" w:rsidRPr="00132EAB" w:rsidRDefault="00593A80" w:rsidP="00D82648">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Reducing Scam Calls and Scam SMS code </w:t>
            </w:r>
          </w:p>
        </w:tc>
        <w:tc>
          <w:tcPr>
            <w:tcW w:w="3500" w:type="dxa"/>
            <w:vAlign w:val="bottom"/>
            <w:hideMark/>
          </w:tcPr>
          <w:p w14:paraId="7C48D151" w14:textId="1AAA3FE6" w:rsidR="00D82648" w:rsidRPr="00132EAB" w:rsidRDefault="00D82648" w:rsidP="00D82648">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Governance operations</w:t>
            </w:r>
          </w:p>
        </w:tc>
        <w:tc>
          <w:tcPr>
            <w:tcW w:w="882" w:type="dxa"/>
            <w:vAlign w:val="bottom"/>
            <w:hideMark/>
          </w:tcPr>
          <w:p w14:paraId="1093155A" w14:textId="2030B302" w:rsidR="00D82648" w:rsidRPr="00132EAB" w:rsidRDefault="00D82648" w:rsidP="00D82648">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lang w:eastAsia="en-US"/>
              </w:rPr>
              <w:t>0.0</w:t>
            </w:r>
            <w:r w:rsidR="00CC743E">
              <w:rPr>
                <w:rFonts w:ascii="Calibri" w:hAnsi="Calibri" w:cs="Calibri"/>
                <w:color w:val="000000"/>
                <w:sz w:val="16"/>
                <w:szCs w:val="16"/>
                <w:lang w:eastAsia="en-US"/>
              </w:rPr>
              <w:t>0</w:t>
            </w:r>
          </w:p>
        </w:tc>
        <w:tc>
          <w:tcPr>
            <w:tcW w:w="1011" w:type="dxa"/>
            <w:vAlign w:val="bottom"/>
            <w:hideMark/>
          </w:tcPr>
          <w:p w14:paraId="75A6DA29" w14:textId="07500BB4" w:rsidR="00D82648" w:rsidRPr="00132EAB" w:rsidRDefault="00D82648" w:rsidP="00D82648">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lang w:eastAsia="en-US"/>
              </w:rPr>
              <w:t>0.00</w:t>
            </w:r>
          </w:p>
        </w:tc>
        <w:tc>
          <w:tcPr>
            <w:tcW w:w="1010" w:type="dxa"/>
            <w:vAlign w:val="bottom"/>
            <w:hideMark/>
          </w:tcPr>
          <w:p w14:paraId="1D0C4724" w14:textId="24DD9FCE" w:rsidR="00D82648" w:rsidRPr="00132EAB" w:rsidRDefault="00D82648" w:rsidP="00D82648">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lang w:eastAsia="en-US"/>
              </w:rPr>
              <w:t>0.01</w:t>
            </w:r>
          </w:p>
        </w:tc>
        <w:tc>
          <w:tcPr>
            <w:tcW w:w="1010" w:type="dxa"/>
            <w:vAlign w:val="bottom"/>
            <w:hideMark/>
          </w:tcPr>
          <w:p w14:paraId="7B11E772" w14:textId="65486A24" w:rsidR="00D82648" w:rsidRPr="00132EAB" w:rsidRDefault="00D82648" w:rsidP="00D82648">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lang w:eastAsia="en-US"/>
              </w:rPr>
              <w:t>0.011</w:t>
            </w:r>
          </w:p>
        </w:tc>
      </w:tr>
      <w:tr w:rsidR="006F5192" w:rsidRPr="00056FAD" w14:paraId="6280F6FD" w14:textId="77777777" w:rsidTr="00860226">
        <w:trPr>
          <w:trHeight w:val="133"/>
        </w:trPr>
        <w:tc>
          <w:tcPr>
            <w:cnfStyle w:val="001000000000" w:firstRow="0" w:lastRow="0" w:firstColumn="1" w:lastColumn="0" w:oddVBand="0" w:evenVBand="0" w:oddHBand="0" w:evenHBand="0" w:firstRowFirstColumn="0" w:firstRowLastColumn="0" w:lastRowFirstColumn="0" w:lastRowLastColumn="0"/>
            <w:tcW w:w="1155" w:type="dxa"/>
            <w:vMerge w:val="restart"/>
            <w:vAlign w:val="center"/>
            <w:hideMark/>
          </w:tcPr>
          <w:p w14:paraId="7A72FA42" w14:textId="764E03C4" w:rsidR="004B72E0" w:rsidRPr="00132EAB" w:rsidRDefault="004B72E0" w:rsidP="004B72E0">
            <w:pPr>
              <w:spacing w:before="0" w:after="0"/>
              <w:rPr>
                <w:rFonts w:ascii="Calibri" w:hAnsi="Calibri" w:cs="Calibri"/>
                <w:b w:val="0"/>
                <w:bCs w:val="0"/>
                <w:color w:val="000000"/>
                <w:sz w:val="16"/>
                <w:szCs w:val="16"/>
              </w:rPr>
            </w:pPr>
            <w:r>
              <w:rPr>
                <w:rFonts w:ascii="Calibri" w:hAnsi="Calibri" w:cs="Calibri"/>
                <w:color w:val="000000"/>
                <w:sz w:val="16"/>
                <w:szCs w:val="16"/>
              </w:rPr>
              <w:t>Info sharing &amp; reporting</w:t>
            </w:r>
          </w:p>
          <w:p w14:paraId="1F1F8FD5" w14:textId="37DA8C6A" w:rsidR="004B72E0" w:rsidRPr="00132EAB" w:rsidRDefault="004B72E0" w:rsidP="004B72E0">
            <w:pPr>
              <w:spacing w:before="0" w:after="0"/>
              <w:rPr>
                <w:rFonts w:ascii="Calibri" w:hAnsi="Calibri" w:cs="Calibri"/>
                <w:color w:val="000000"/>
                <w:sz w:val="16"/>
                <w:szCs w:val="16"/>
              </w:rPr>
            </w:pPr>
          </w:p>
        </w:tc>
        <w:tc>
          <w:tcPr>
            <w:tcW w:w="2170" w:type="dxa"/>
            <w:vAlign w:val="bottom"/>
            <w:hideMark/>
          </w:tcPr>
          <w:p w14:paraId="18DDA7BD" w14:textId="3ABDF738" w:rsidR="004B72E0" w:rsidRPr="00132EAB" w:rsidRDefault="004B72E0" w:rsidP="004B72E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Major telcos</w:t>
            </w:r>
          </w:p>
        </w:tc>
        <w:tc>
          <w:tcPr>
            <w:tcW w:w="3283" w:type="dxa"/>
            <w:vAlign w:val="bottom"/>
            <w:hideMark/>
          </w:tcPr>
          <w:p w14:paraId="0A78AA79" w14:textId="33F8C84A" w:rsidR="004B72E0" w:rsidRPr="00132EAB" w:rsidRDefault="00593A80" w:rsidP="004B72E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Reducing Scam Calls and Scam SMS code </w:t>
            </w:r>
          </w:p>
        </w:tc>
        <w:tc>
          <w:tcPr>
            <w:tcW w:w="3500" w:type="dxa"/>
            <w:noWrap/>
            <w:vAlign w:val="bottom"/>
            <w:hideMark/>
          </w:tcPr>
          <w:p w14:paraId="523088E5" w14:textId="12EB4E1B" w:rsidR="004B72E0" w:rsidRPr="00132EAB" w:rsidRDefault="004B72E0" w:rsidP="004B72E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Minor investment in capabilities</w:t>
            </w:r>
          </w:p>
        </w:tc>
        <w:tc>
          <w:tcPr>
            <w:tcW w:w="882" w:type="dxa"/>
            <w:noWrap/>
            <w:vAlign w:val="bottom"/>
            <w:hideMark/>
          </w:tcPr>
          <w:p w14:paraId="2B00A816" w14:textId="1C93E8E3" w:rsidR="004B72E0" w:rsidRPr="00132EAB"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0.25 </w:t>
            </w:r>
          </w:p>
        </w:tc>
        <w:tc>
          <w:tcPr>
            <w:tcW w:w="1011" w:type="dxa"/>
            <w:noWrap/>
            <w:vAlign w:val="bottom"/>
            <w:hideMark/>
          </w:tcPr>
          <w:p w14:paraId="533D273D" w14:textId="180A3F43" w:rsidR="004B72E0" w:rsidRPr="00132EAB"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0.07 </w:t>
            </w:r>
          </w:p>
        </w:tc>
        <w:tc>
          <w:tcPr>
            <w:tcW w:w="1010" w:type="dxa"/>
            <w:noWrap/>
            <w:vAlign w:val="bottom"/>
            <w:hideMark/>
          </w:tcPr>
          <w:p w14:paraId="6C17216E" w14:textId="77777777" w:rsidR="004B72E0" w:rsidRPr="00132EAB"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010" w:type="dxa"/>
            <w:noWrap/>
            <w:vAlign w:val="bottom"/>
            <w:hideMark/>
          </w:tcPr>
          <w:p w14:paraId="4E6A63BC" w14:textId="77777777" w:rsidR="004B72E0" w:rsidRPr="00132EAB"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5263E6" w:rsidRPr="00056FAD" w14:paraId="584DF55F" w14:textId="77777777" w:rsidTr="0086022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55" w:type="dxa"/>
            <w:vMerge/>
            <w:vAlign w:val="center"/>
          </w:tcPr>
          <w:p w14:paraId="07D8020E" w14:textId="77777777" w:rsidR="004B72E0" w:rsidRPr="00132EAB" w:rsidRDefault="004B72E0" w:rsidP="004B72E0">
            <w:pPr>
              <w:spacing w:before="0" w:after="0"/>
              <w:rPr>
                <w:rFonts w:ascii="Calibri" w:hAnsi="Calibri" w:cs="Calibri"/>
                <w:color w:val="000000"/>
                <w:sz w:val="16"/>
                <w:szCs w:val="16"/>
              </w:rPr>
            </w:pPr>
          </w:p>
        </w:tc>
        <w:tc>
          <w:tcPr>
            <w:tcW w:w="2170" w:type="dxa"/>
            <w:vAlign w:val="bottom"/>
          </w:tcPr>
          <w:p w14:paraId="04D3837E" w14:textId="3014FE6B" w:rsidR="004B72E0" w:rsidRDefault="004B72E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Medium CSPs</w:t>
            </w:r>
          </w:p>
        </w:tc>
        <w:tc>
          <w:tcPr>
            <w:tcW w:w="3283" w:type="dxa"/>
            <w:vAlign w:val="bottom"/>
          </w:tcPr>
          <w:p w14:paraId="41683949" w14:textId="3503E277" w:rsidR="004B72E0" w:rsidRDefault="00593A8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Reducing Scam Calls and Scam SMS code </w:t>
            </w:r>
          </w:p>
        </w:tc>
        <w:tc>
          <w:tcPr>
            <w:tcW w:w="3500" w:type="dxa"/>
            <w:noWrap/>
            <w:vAlign w:val="bottom"/>
          </w:tcPr>
          <w:p w14:paraId="566A8E6B" w14:textId="69399662" w:rsidR="004B72E0" w:rsidRDefault="004B72E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Minor investment in capabilities</w:t>
            </w:r>
          </w:p>
        </w:tc>
        <w:tc>
          <w:tcPr>
            <w:tcW w:w="882" w:type="dxa"/>
            <w:noWrap/>
            <w:vAlign w:val="bottom"/>
          </w:tcPr>
          <w:p w14:paraId="50E68419" w14:textId="4CC92F7A" w:rsidR="004B72E0"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0.02 </w:t>
            </w:r>
          </w:p>
        </w:tc>
        <w:tc>
          <w:tcPr>
            <w:tcW w:w="1011" w:type="dxa"/>
            <w:noWrap/>
            <w:vAlign w:val="bottom"/>
          </w:tcPr>
          <w:p w14:paraId="36669C22" w14:textId="2AE43718" w:rsidR="004B72E0"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0.01 </w:t>
            </w:r>
          </w:p>
        </w:tc>
        <w:tc>
          <w:tcPr>
            <w:tcW w:w="1010" w:type="dxa"/>
            <w:noWrap/>
            <w:vAlign w:val="bottom"/>
          </w:tcPr>
          <w:p w14:paraId="19809128" w14:textId="77777777"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1010" w:type="dxa"/>
            <w:noWrap/>
            <w:vAlign w:val="bottom"/>
          </w:tcPr>
          <w:p w14:paraId="744D65F9" w14:textId="77777777"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r>
      <w:tr w:rsidR="006F5192" w:rsidRPr="00056FAD" w14:paraId="2BE460F9" w14:textId="77777777" w:rsidTr="00860226">
        <w:trPr>
          <w:trHeight w:val="183"/>
        </w:trPr>
        <w:tc>
          <w:tcPr>
            <w:cnfStyle w:val="001000000000" w:firstRow="0" w:lastRow="0" w:firstColumn="1" w:lastColumn="0" w:oddVBand="0" w:evenVBand="0" w:oddHBand="0" w:evenHBand="0" w:firstRowFirstColumn="0" w:firstRowLastColumn="0" w:lastRowFirstColumn="0" w:lastRowLastColumn="0"/>
            <w:tcW w:w="1155" w:type="dxa"/>
            <w:vMerge/>
            <w:vAlign w:val="center"/>
          </w:tcPr>
          <w:p w14:paraId="41FDD4F1" w14:textId="77777777" w:rsidR="004B72E0" w:rsidRPr="00132EAB" w:rsidRDefault="004B72E0" w:rsidP="004B72E0">
            <w:pPr>
              <w:spacing w:before="0" w:after="0"/>
              <w:rPr>
                <w:rFonts w:ascii="Calibri" w:hAnsi="Calibri" w:cs="Calibri"/>
                <w:color w:val="000000"/>
                <w:sz w:val="16"/>
                <w:szCs w:val="16"/>
              </w:rPr>
            </w:pPr>
          </w:p>
        </w:tc>
        <w:tc>
          <w:tcPr>
            <w:tcW w:w="2170" w:type="dxa"/>
            <w:vAlign w:val="bottom"/>
          </w:tcPr>
          <w:p w14:paraId="41DF067B" w14:textId="30712710" w:rsidR="004B72E0" w:rsidRDefault="004B72E0" w:rsidP="004B72E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Small CSPs</w:t>
            </w:r>
          </w:p>
        </w:tc>
        <w:tc>
          <w:tcPr>
            <w:tcW w:w="3283" w:type="dxa"/>
            <w:vAlign w:val="bottom"/>
          </w:tcPr>
          <w:p w14:paraId="240869DD" w14:textId="0BA3E177" w:rsidR="004B72E0" w:rsidRDefault="00593A80" w:rsidP="004B72E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Reducing Scam Calls and Scam SMS code </w:t>
            </w:r>
          </w:p>
        </w:tc>
        <w:tc>
          <w:tcPr>
            <w:tcW w:w="3500" w:type="dxa"/>
            <w:noWrap/>
            <w:vAlign w:val="bottom"/>
          </w:tcPr>
          <w:p w14:paraId="71D1FA34" w14:textId="7A8A2832" w:rsidR="004B72E0" w:rsidRDefault="004B72E0" w:rsidP="004B72E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Minor investment in capabilities</w:t>
            </w:r>
          </w:p>
        </w:tc>
        <w:tc>
          <w:tcPr>
            <w:tcW w:w="882" w:type="dxa"/>
            <w:noWrap/>
            <w:vAlign w:val="bottom"/>
          </w:tcPr>
          <w:p w14:paraId="1F78A291" w14:textId="6AE48867" w:rsidR="004B72E0"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0.02 </w:t>
            </w:r>
          </w:p>
        </w:tc>
        <w:tc>
          <w:tcPr>
            <w:tcW w:w="1011" w:type="dxa"/>
            <w:noWrap/>
            <w:vAlign w:val="bottom"/>
          </w:tcPr>
          <w:p w14:paraId="720149F2" w14:textId="42E96AC2" w:rsidR="004B72E0"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0.01 </w:t>
            </w:r>
          </w:p>
        </w:tc>
        <w:tc>
          <w:tcPr>
            <w:tcW w:w="1010" w:type="dxa"/>
            <w:noWrap/>
            <w:vAlign w:val="bottom"/>
          </w:tcPr>
          <w:p w14:paraId="367ECEBD" w14:textId="77777777" w:rsidR="004B72E0" w:rsidRPr="00132EAB"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010" w:type="dxa"/>
            <w:noWrap/>
            <w:vAlign w:val="bottom"/>
          </w:tcPr>
          <w:p w14:paraId="39CDEC05" w14:textId="77777777" w:rsidR="004B72E0" w:rsidRPr="00132EAB"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5263E6" w:rsidRPr="00056FAD" w14:paraId="66C037C8" w14:textId="77777777" w:rsidTr="0086022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55" w:type="dxa"/>
            <w:vMerge/>
            <w:vAlign w:val="center"/>
            <w:hideMark/>
          </w:tcPr>
          <w:p w14:paraId="089043FF" w14:textId="77777777" w:rsidR="004B72E0" w:rsidRPr="00132EAB" w:rsidRDefault="004B72E0" w:rsidP="004B72E0">
            <w:pPr>
              <w:spacing w:before="0" w:after="0"/>
              <w:rPr>
                <w:rFonts w:ascii="Calibri" w:hAnsi="Calibri" w:cs="Calibri"/>
                <w:color w:val="000000"/>
                <w:sz w:val="16"/>
                <w:szCs w:val="16"/>
              </w:rPr>
            </w:pPr>
          </w:p>
        </w:tc>
        <w:tc>
          <w:tcPr>
            <w:tcW w:w="2170" w:type="dxa"/>
            <w:vAlign w:val="bottom"/>
            <w:hideMark/>
          </w:tcPr>
          <w:p w14:paraId="218D3952" w14:textId="7FF462A1" w:rsidR="004B72E0" w:rsidRPr="00132EAB" w:rsidRDefault="004B72E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Very small </w:t>
            </w:r>
            <w:r w:rsidDel="005043ED">
              <w:rPr>
                <w:rFonts w:ascii="Calibri" w:hAnsi="Calibri" w:cs="Calibri"/>
                <w:color w:val="000000"/>
                <w:sz w:val="16"/>
                <w:szCs w:val="16"/>
              </w:rPr>
              <w:t>CSPs</w:t>
            </w:r>
          </w:p>
        </w:tc>
        <w:tc>
          <w:tcPr>
            <w:tcW w:w="3283" w:type="dxa"/>
            <w:vAlign w:val="bottom"/>
            <w:hideMark/>
          </w:tcPr>
          <w:p w14:paraId="41DCD4A8" w14:textId="43E54391" w:rsidR="004B72E0" w:rsidRPr="00132EAB" w:rsidRDefault="00593A8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Reducing Scam Calls and Scam SMS code </w:t>
            </w:r>
          </w:p>
        </w:tc>
        <w:tc>
          <w:tcPr>
            <w:tcW w:w="3500" w:type="dxa"/>
            <w:noWrap/>
            <w:vAlign w:val="bottom"/>
            <w:hideMark/>
          </w:tcPr>
          <w:p w14:paraId="4FD71104" w14:textId="5635E91C" w:rsidR="004B72E0" w:rsidRPr="00132EAB" w:rsidRDefault="004B72E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Minor investment in capabilities</w:t>
            </w:r>
          </w:p>
        </w:tc>
        <w:tc>
          <w:tcPr>
            <w:tcW w:w="882" w:type="dxa"/>
            <w:noWrap/>
            <w:vAlign w:val="bottom"/>
            <w:hideMark/>
          </w:tcPr>
          <w:p w14:paraId="08B49415" w14:textId="68D47C87"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0.02 </w:t>
            </w:r>
          </w:p>
        </w:tc>
        <w:tc>
          <w:tcPr>
            <w:tcW w:w="1011" w:type="dxa"/>
            <w:noWrap/>
            <w:vAlign w:val="bottom"/>
            <w:hideMark/>
          </w:tcPr>
          <w:p w14:paraId="12A1A400" w14:textId="74A38669"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0.01 </w:t>
            </w:r>
          </w:p>
        </w:tc>
        <w:tc>
          <w:tcPr>
            <w:tcW w:w="1010" w:type="dxa"/>
            <w:noWrap/>
            <w:vAlign w:val="bottom"/>
            <w:hideMark/>
          </w:tcPr>
          <w:p w14:paraId="5E1D5A95" w14:textId="77777777"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1010" w:type="dxa"/>
            <w:noWrap/>
            <w:vAlign w:val="bottom"/>
            <w:hideMark/>
          </w:tcPr>
          <w:p w14:paraId="2728E404" w14:textId="77777777"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r>
      <w:tr w:rsidR="006F5192" w:rsidRPr="00056FAD" w14:paraId="7FA41919" w14:textId="77777777" w:rsidTr="00860226">
        <w:trPr>
          <w:trHeight w:val="203"/>
        </w:trPr>
        <w:tc>
          <w:tcPr>
            <w:cnfStyle w:val="001000000000" w:firstRow="0" w:lastRow="0" w:firstColumn="1" w:lastColumn="0" w:oddVBand="0" w:evenVBand="0" w:oddHBand="0" w:evenHBand="0" w:firstRowFirstColumn="0" w:firstRowLastColumn="0" w:lastRowFirstColumn="0" w:lastRowLastColumn="0"/>
            <w:tcW w:w="1155" w:type="dxa"/>
            <w:vMerge/>
            <w:vAlign w:val="center"/>
            <w:hideMark/>
          </w:tcPr>
          <w:p w14:paraId="7728D4AF" w14:textId="77777777" w:rsidR="00896D55" w:rsidRPr="00132EAB" w:rsidRDefault="00896D55" w:rsidP="00896D55">
            <w:pPr>
              <w:spacing w:before="0" w:after="0"/>
              <w:rPr>
                <w:rFonts w:ascii="Calibri" w:hAnsi="Calibri" w:cs="Calibri"/>
                <w:color w:val="000000"/>
                <w:sz w:val="16"/>
                <w:szCs w:val="16"/>
              </w:rPr>
            </w:pPr>
          </w:p>
        </w:tc>
        <w:tc>
          <w:tcPr>
            <w:tcW w:w="2170" w:type="dxa"/>
            <w:vAlign w:val="bottom"/>
            <w:hideMark/>
          </w:tcPr>
          <w:p w14:paraId="74744664" w14:textId="444179B4" w:rsidR="00896D55" w:rsidRPr="00132EAB" w:rsidRDefault="00896D55" w:rsidP="00896D5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Transit </w:t>
            </w:r>
            <w:r w:rsidR="001608A0">
              <w:rPr>
                <w:rFonts w:ascii="Calibri" w:hAnsi="Calibri" w:cs="Calibri"/>
                <w:color w:val="000000"/>
                <w:sz w:val="16"/>
                <w:szCs w:val="16"/>
              </w:rPr>
              <w:t>carriers/</w:t>
            </w:r>
            <w:r>
              <w:rPr>
                <w:rFonts w:ascii="Calibri" w:hAnsi="Calibri" w:cs="Calibri"/>
                <w:color w:val="000000"/>
                <w:sz w:val="16"/>
                <w:szCs w:val="16"/>
              </w:rPr>
              <w:t>CSPs</w:t>
            </w:r>
          </w:p>
        </w:tc>
        <w:tc>
          <w:tcPr>
            <w:tcW w:w="3283" w:type="dxa"/>
            <w:vAlign w:val="bottom"/>
            <w:hideMark/>
          </w:tcPr>
          <w:p w14:paraId="2BBD5E3E" w14:textId="1E746D10" w:rsidR="00896D55" w:rsidRPr="00132EAB" w:rsidRDefault="00593A80" w:rsidP="00896D5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Reducing Scam Calls and Scam SMS code </w:t>
            </w:r>
          </w:p>
        </w:tc>
        <w:tc>
          <w:tcPr>
            <w:tcW w:w="3500" w:type="dxa"/>
            <w:vAlign w:val="bottom"/>
            <w:hideMark/>
          </w:tcPr>
          <w:p w14:paraId="1AD54A5D" w14:textId="67C831A0" w:rsidR="00896D55" w:rsidRPr="00132EAB" w:rsidRDefault="00896D55" w:rsidP="00896D5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lang w:eastAsia="en-US"/>
              </w:rPr>
              <w:t>Minor investment in capabilities</w:t>
            </w:r>
          </w:p>
        </w:tc>
        <w:tc>
          <w:tcPr>
            <w:tcW w:w="882" w:type="dxa"/>
            <w:noWrap/>
            <w:vAlign w:val="bottom"/>
            <w:hideMark/>
          </w:tcPr>
          <w:p w14:paraId="0392A376" w14:textId="0624B07A" w:rsidR="00896D55" w:rsidRPr="00132EAB" w:rsidRDefault="00896D55" w:rsidP="00896D55">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lang w:eastAsia="en-US"/>
              </w:rPr>
              <w:t xml:space="preserve">      0.02 </w:t>
            </w:r>
          </w:p>
        </w:tc>
        <w:tc>
          <w:tcPr>
            <w:tcW w:w="1011" w:type="dxa"/>
            <w:noWrap/>
            <w:vAlign w:val="bottom"/>
            <w:hideMark/>
          </w:tcPr>
          <w:p w14:paraId="2B9598E5" w14:textId="4892FAA2" w:rsidR="00896D55" w:rsidRPr="00132EAB" w:rsidRDefault="00896D55" w:rsidP="00896D55">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lang w:eastAsia="en-US"/>
              </w:rPr>
              <w:t xml:space="preserve">      0.01  </w:t>
            </w:r>
          </w:p>
        </w:tc>
        <w:tc>
          <w:tcPr>
            <w:tcW w:w="1010" w:type="dxa"/>
            <w:noWrap/>
            <w:vAlign w:val="bottom"/>
            <w:hideMark/>
          </w:tcPr>
          <w:p w14:paraId="2517576B" w14:textId="77777777" w:rsidR="00896D55" w:rsidRPr="00132EAB" w:rsidRDefault="00896D55" w:rsidP="00896D55">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010" w:type="dxa"/>
            <w:noWrap/>
            <w:vAlign w:val="bottom"/>
            <w:hideMark/>
          </w:tcPr>
          <w:p w14:paraId="0B816FA1" w14:textId="77777777" w:rsidR="00896D55" w:rsidRPr="00132EAB" w:rsidRDefault="00896D55" w:rsidP="00896D55">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5263E6" w:rsidRPr="00056FAD" w14:paraId="2CC45625" w14:textId="77777777" w:rsidTr="0086022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55" w:type="dxa"/>
            <w:vMerge w:val="restart"/>
            <w:vAlign w:val="center"/>
            <w:hideMark/>
          </w:tcPr>
          <w:p w14:paraId="5563DB54" w14:textId="19B96A59" w:rsidR="004B72E0" w:rsidRPr="00132EAB" w:rsidRDefault="004B72E0" w:rsidP="004B72E0">
            <w:pPr>
              <w:spacing w:before="0" w:after="0"/>
              <w:rPr>
                <w:rFonts w:ascii="Calibri" w:hAnsi="Calibri" w:cs="Calibri"/>
                <w:color w:val="000000"/>
                <w:sz w:val="16"/>
                <w:szCs w:val="16"/>
              </w:rPr>
            </w:pPr>
            <w:r>
              <w:rPr>
                <w:rFonts w:ascii="Calibri" w:hAnsi="Calibri" w:cs="Calibri"/>
                <w:color w:val="000000"/>
                <w:sz w:val="16"/>
                <w:szCs w:val="16"/>
              </w:rPr>
              <w:t>EDR</w:t>
            </w:r>
          </w:p>
        </w:tc>
        <w:tc>
          <w:tcPr>
            <w:tcW w:w="2170" w:type="dxa"/>
            <w:vAlign w:val="bottom"/>
            <w:hideMark/>
          </w:tcPr>
          <w:p w14:paraId="72E1FA1B" w14:textId="039F0A2A" w:rsidR="004B72E0" w:rsidRPr="00132EAB" w:rsidRDefault="004B72E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Major telcos</w:t>
            </w:r>
          </w:p>
        </w:tc>
        <w:tc>
          <w:tcPr>
            <w:tcW w:w="3283" w:type="dxa"/>
            <w:vAlign w:val="bottom"/>
            <w:hideMark/>
          </w:tcPr>
          <w:p w14:paraId="6244E0C8" w14:textId="7A0A0938" w:rsidR="004B72E0" w:rsidRPr="00132EAB" w:rsidRDefault="004B72E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TIO members</w:t>
            </w:r>
          </w:p>
        </w:tc>
        <w:tc>
          <w:tcPr>
            <w:tcW w:w="3500" w:type="dxa"/>
            <w:noWrap/>
            <w:vAlign w:val="bottom"/>
            <w:hideMark/>
          </w:tcPr>
          <w:p w14:paraId="077045FB" w14:textId="58657BBD" w:rsidR="004B72E0" w:rsidRPr="00132EAB" w:rsidRDefault="004B72E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AFCA fee level, </w:t>
            </w:r>
            <w:r w:rsidR="006C05CE">
              <w:rPr>
                <w:rFonts w:ascii="Calibri" w:hAnsi="Calibri" w:cs="Calibri"/>
                <w:color w:val="000000"/>
                <w:sz w:val="16"/>
                <w:szCs w:val="16"/>
              </w:rPr>
              <w:t xml:space="preserve">10% </w:t>
            </w:r>
            <w:r>
              <w:rPr>
                <w:rFonts w:ascii="Calibri" w:hAnsi="Calibri" w:cs="Calibri"/>
                <w:color w:val="000000"/>
                <w:sz w:val="16"/>
                <w:szCs w:val="16"/>
              </w:rPr>
              <w:t>increase in complaints</w:t>
            </w:r>
          </w:p>
        </w:tc>
        <w:tc>
          <w:tcPr>
            <w:tcW w:w="882" w:type="dxa"/>
            <w:noWrap/>
            <w:vAlign w:val="bottom"/>
            <w:hideMark/>
          </w:tcPr>
          <w:p w14:paraId="7939622E" w14:textId="77777777"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1011" w:type="dxa"/>
            <w:noWrap/>
            <w:vAlign w:val="bottom"/>
            <w:hideMark/>
          </w:tcPr>
          <w:p w14:paraId="2978812A" w14:textId="77777777"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010" w:type="dxa"/>
            <w:noWrap/>
            <w:vAlign w:val="bottom"/>
            <w:hideMark/>
          </w:tcPr>
          <w:p w14:paraId="0EFFE4E1" w14:textId="50009A84"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 xml:space="preserve">      1.00 </w:t>
            </w:r>
          </w:p>
        </w:tc>
        <w:tc>
          <w:tcPr>
            <w:tcW w:w="1010" w:type="dxa"/>
            <w:noWrap/>
            <w:vAlign w:val="bottom"/>
            <w:hideMark/>
          </w:tcPr>
          <w:p w14:paraId="09FC3D32" w14:textId="631335F3"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 xml:space="preserve">      1.00 </w:t>
            </w:r>
          </w:p>
        </w:tc>
      </w:tr>
      <w:tr w:rsidR="006F5192" w:rsidRPr="00056FAD" w14:paraId="2DDDB734" w14:textId="77777777" w:rsidTr="00860226">
        <w:trPr>
          <w:trHeight w:val="246"/>
        </w:trPr>
        <w:tc>
          <w:tcPr>
            <w:cnfStyle w:val="001000000000" w:firstRow="0" w:lastRow="0" w:firstColumn="1" w:lastColumn="0" w:oddVBand="0" w:evenVBand="0" w:oddHBand="0" w:evenHBand="0" w:firstRowFirstColumn="0" w:firstRowLastColumn="0" w:lastRowFirstColumn="0" w:lastRowLastColumn="0"/>
            <w:tcW w:w="1155" w:type="dxa"/>
            <w:vMerge/>
            <w:vAlign w:val="center"/>
          </w:tcPr>
          <w:p w14:paraId="0AD2F44D" w14:textId="77777777" w:rsidR="004B72E0" w:rsidRPr="00132EAB" w:rsidRDefault="004B72E0" w:rsidP="004B72E0">
            <w:pPr>
              <w:spacing w:before="0" w:after="0"/>
              <w:rPr>
                <w:rFonts w:ascii="Calibri" w:hAnsi="Calibri" w:cs="Calibri"/>
                <w:color w:val="000000"/>
                <w:sz w:val="16"/>
                <w:szCs w:val="16"/>
              </w:rPr>
            </w:pPr>
          </w:p>
        </w:tc>
        <w:tc>
          <w:tcPr>
            <w:tcW w:w="2170" w:type="dxa"/>
            <w:vAlign w:val="bottom"/>
          </w:tcPr>
          <w:p w14:paraId="59F2EC03" w14:textId="5D78C82D" w:rsidR="004B72E0" w:rsidRDefault="004B72E0" w:rsidP="004B72E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Medium CSPs</w:t>
            </w:r>
          </w:p>
        </w:tc>
        <w:tc>
          <w:tcPr>
            <w:tcW w:w="3283" w:type="dxa"/>
            <w:vAlign w:val="bottom"/>
          </w:tcPr>
          <w:p w14:paraId="57551837" w14:textId="7A4EB653" w:rsidR="004B72E0" w:rsidRDefault="004B72E0" w:rsidP="004B72E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TIO members</w:t>
            </w:r>
          </w:p>
        </w:tc>
        <w:tc>
          <w:tcPr>
            <w:tcW w:w="3500" w:type="dxa"/>
            <w:noWrap/>
            <w:vAlign w:val="bottom"/>
          </w:tcPr>
          <w:p w14:paraId="768EC9BF" w14:textId="56FE0D26" w:rsidR="004B72E0" w:rsidRDefault="004B72E0" w:rsidP="004B72E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AFCA fee level, </w:t>
            </w:r>
            <w:r w:rsidR="00EB2DBB">
              <w:rPr>
                <w:rFonts w:ascii="Calibri" w:hAnsi="Calibri" w:cs="Calibri"/>
                <w:color w:val="000000"/>
                <w:sz w:val="16"/>
                <w:szCs w:val="16"/>
              </w:rPr>
              <w:t xml:space="preserve">10% </w:t>
            </w:r>
            <w:r>
              <w:rPr>
                <w:rFonts w:ascii="Calibri" w:hAnsi="Calibri" w:cs="Calibri"/>
                <w:color w:val="000000"/>
                <w:sz w:val="16"/>
                <w:szCs w:val="16"/>
              </w:rPr>
              <w:t>increase in complaints</w:t>
            </w:r>
          </w:p>
        </w:tc>
        <w:tc>
          <w:tcPr>
            <w:tcW w:w="882" w:type="dxa"/>
            <w:noWrap/>
            <w:vAlign w:val="bottom"/>
          </w:tcPr>
          <w:p w14:paraId="5EDEA76F" w14:textId="77777777" w:rsidR="004B72E0" w:rsidRPr="00132EAB"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011" w:type="dxa"/>
            <w:noWrap/>
            <w:vAlign w:val="bottom"/>
          </w:tcPr>
          <w:p w14:paraId="1ECA41B1" w14:textId="77777777" w:rsidR="004B72E0" w:rsidRPr="00132EAB"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010" w:type="dxa"/>
            <w:noWrap/>
            <w:vAlign w:val="bottom"/>
          </w:tcPr>
          <w:p w14:paraId="5046DA26" w14:textId="263C96F5" w:rsidR="004B72E0"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0.06 </w:t>
            </w:r>
          </w:p>
        </w:tc>
        <w:tc>
          <w:tcPr>
            <w:tcW w:w="1010" w:type="dxa"/>
            <w:noWrap/>
            <w:vAlign w:val="bottom"/>
          </w:tcPr>
          <w:p w14:paraId="492BBC25" w14:textId="6A662C3C" w:rsidR="004B72E0"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0.06 </w:t>
            </w:r>
          </w:p>
        </w:tc>
      </w:tr>
      <w:tr w:rsidR="005263E6" w:rsidRPr="00056FAD" w14:paraId="4D38336B" w14:textId="77777777" w:rsidTr="0086022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55" w:type="dxa"/>
            <w:vMerge/>
            <w:vAlign w:val="center"/>
          </w:tcPr>
          <w:p w14:paraId="2EC26407" w14:textId="77777777" w:rsidR="004B72E0" w:rsidRPr="00132EAB" w:rsidRDefault="004B72E0" w:rsidP="004B72E0">
            <w:pPr>
              <w:spacing w:before="0" w:after="0"/>
              <w:rPr>
                <w:rFonts w:ascii="Calibri" w:hAnsi="Calibri" w:cs="Calibri"/>
                <w:color w:val="000000"/>
                <w:sz w:val="16"/>
                <w:szCs w:val="16"/>
              </w:rPr>
            </w:pPr>
          </w:p>
        </w:tc>
        <w:tc>
          <w:tcPr>
            <w:tcW w:w="2170" w:type="dxa"/>
            <w:vAlign w:val="bottom"/>
          </w:tcPr>
          <w:p w14:paraId="72842B9F" w14:textId="7DA452C4" w:rsidR="004B72E0" w:rsidRDefault="004B72E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Small CSPs</w:t>
            </w:r>
          </w:p>
        </w:tc>
        <w:tc>
          <w:tcPr>
            <w:tcW w:w="3283" w:type="dxa"/>
            <w:vAlign w:val="bottom"/>
          </w:tcPr>
          <w:p w14:paraId="538A63C1" w14:textId="3E674715" w:rsidR="004B72E0" w:rsidRDefault="004B72E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TIO members</w:t>
            </w:r>
          </w:p>
        </w:tc>
        <w:tc>
          <w:tcPr>
            <w:tcW w:w="3500" w:type="dxa"/>
            <w:noWrap/>
            <w:vAlign w:val="bottom"/>
          </w:tcPr>
          <w:p w14:paraId="7F21B9A7" w14:textId="4981735B" w:rsidR="004B72E0" w:rsidRDefault="004B72E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AFCA fee level, </w:t>
            </w:r>
            <w:r w:rsidR="00EB2DBB">
              <w:rPr>
                <w:rFonts w:ascii="Calibri" w:hAnsi="Calibri" w:cs="Calibri"/>
                <w:color w:val="000000"/>
                <w:sz w:val="16"/>
                <w:szCs w:val="16"/>
              </w:rPr>
              <w:t xml:space="preserve">10% </w:t>
            </w:r>
            <w:r>
              <w:rPr>
                <w:rFonts w:ascii="Calibri" w:hAnsi="Calibri" w:cs="Calibri"/>
                <w:color w:val="000000"/>
                <w:sz w:val="16"/>
                <w:szCs w:val="16"/>
              </w:rPr>
              <w:t>increase in complaints</w:t>
            </w:r>
          </w:p>
        </w:tc>
        <w:tc>
          <w:tcPr>
            <w:tcW w:w="882" w:type="dxa"/>
            <w:noWrap/>
            <w:vAlign w:val="bottom"/>
          </w:tcPr>
          <w:p w14:paraId="4BDC3401" w14:textId="77777777"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1011" w:type="dxa"/>
            <w:noWrap/>
            <w:vAlign w:val="bottom"/>
          </w:tcPr>
          <w:p w14:paraId="59C3D969" w14:textId="77777777"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010" w:type="dxa"/>
            <w:noWrap/>
            <w:vAlign w:val="bottom"/>
          </w:tcPr>
          <w:p w14:paraId="4978832F" w14:textId="10EAD3D9" w:rsidR="004B72E0"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0.00 </w:t>
            </w:r>
          </w:p>
        </w:tc>
        <w:tc>
          <w:tcPr>
            <w:tcW w:w="1010" w:type="dxa"/>
            <w:noWrap/>
            <w:vAlign w:val="bottom"/>
          </w:tcPr>
          <w:p w14:paraId="2F4D8D73" w14:textId="7AEBBFAE" w:rsidR="004B72E0"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0.00 </w:t>
            </w:r>
          </w:p>
        </w:tc>
      </w:tr>
      <w:tr w:rsidR="006F5192" w:rsidRPr="00056FAD" w14:paraId="3760896A" w14:textId="77777777" w:rsidTr="00860226">
        <w:trPr>
          <w:trHeight w:val="246"/>
        </w:trPr>
        <w:tc>
          <w:tcPr>
            <w:cnfStyle w:val="001000000000" w:firstRow="0" w:lastRow="0" w:firstColumn="1" w:lastColumn="0" w:oddVBand="0" w:evenVBand="0" w:oddHBand="0" w:evenHBand="0" w:firstRowFirstColumn="0" w:firstRowLastColumn="0" w:lastRowFirstColumn="0" w:lastRowLastColumn="0"/>
            <w:tcW w:w="1155" w:type="dxa"/>
            <w:vMerge/>
            <w:vAlign w:val="center"/>
            <w:hideMark/>
          </w:tcPr>
          <w:p w14:paraId="03299F03" w14:textId="77777777" w:rsidR="004B72E0" w:rsidRPr="00132EAB" w:rsidRDefault="004B72E0" w:rsidP="004B72E0">
            <w:pPr>
              <w:spacing w:before="0" w:after="0"/>
              <w:rPr>
                <w:rFonts w:ascii="Calibri" w:hAnsi="Calibri" w:cs="Calibri"/>
                <w:color w:val="000000"/>
                <w:sz w:val="16"/>
                <w:szCs w:val="16"/>
              </w:rPr>
            </w:pPr>
          </w:p>
        </w:tc>
        <w:tc>
          <w:tcPr>
            <w:tcW w:w="2170" w:type="dxa"/>
            <w:vAlign w:val="bottom"/>
            <w:hideMark/>
          </w:tcPr>
          <w:p w14:paraId="6EC5FA32" w14:textId="2408230A" w:rsidR="004B72E0" w:rsidRPr="00132EAB" w:rsidRDefault="004B72E0" w:rsidP="004B72E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Very small </w:t>
            </w:r>
            <w:r w:rsidDel="009D5E92">
              <w:rPr>
                <w:rFonts w:ascii="Calibri" w:hAnsi="Calibri" w:cs="Calibri"/>
                <w:color w:val="000000"/>
                <w:sz w:val="16"/>
                <w:szCs w:val="16"/>
              </w:rPr>
              <w:t>CSPs</w:t>
            </w:r>
          </w:p>
        </w:tc>
        <w:tc>
          <w:tcPr>
            <w:tcW w:w="3283" w:type="dxa"/>
            <w:vAlign w:val="bottom"/>
            <w:hideMark/>
          </w:tcPr>
          <w:p w14:paraId="3C1C54A4" w14:textId="39482530" w:rsidR="004B72E0" w:rsidRPr="00132EAB" w:rsidRDefault="004B72E0" w:rsidP="004B72E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TIO members</w:t>
            </w:r>
          </w:p>
        </w:tc>
        <w:tc>
          <w:tcPr>
            <w:tcW w:w="3500" w:type="dxa"/>
            <w:noWrap/>
            <w:vAlign w:val="bottom"/>
            <w:hideMark/>
          </w:tcPr>
          <w:p w14:paraId="25E7E787" w14:textId="23C5DE49" w:rsidR="004B72E0" w:rsidRPr="00132EAB" w:rsidRDefault="004B72E0" w:rsidP="004B72E0">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AFCA fee level, </w:t>
            </w:r>
            <w:r w:rsidR="00EB2DBB">
              <w:rPr>
                <w:rFonts w:ascii="Calibri" w:hAnsi="Calibri" w:cs="Calibri"/>
                <w:color w:val="000000"/>
                <w:sz w:val="16"/>
                <w:szCs w:val="16"/>
              </w:rPr>
              <w:t xml:space="preserve">10% </w:t>
            </w:r>
            <w:r>
              <w:rPr>
                <w:rFonts w:ascii="Calibri" w:hAnsi="Calibri" w:cs="Calibri"/>
                <w:color w:val="000000"/>
                <w:sz w:val="16"/>
                <w:szCs w:val="16"/>
              </w:rPr>
              <w:t>increase in complaints</w:t>
            </w:r>
          </w:p>
        </w:tc>
        <w:tc>
          <w:tcPr>
            <w:tcW w:w="882" w:type="dxa"/>
            <w:noWrap/>
            <w:vAlign w:val="bottom"/>
            <w:hideMark/>
          </w:tcPr>
          <w:p w14:paraId="4CA9F89D" w14:textId="77777777" w:rsidR="004B72E0" w:rsidRPr="00132EAB"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011" w:type="dxa"/>
            <w:noWrap/>
            <w:vAlign w:val="bottom"/>
            <w:hideMark/>
          </w:tcPr>
          <w:p w14:paraId="2FB37F52" w14:textId="77777777" w:rsidR="004B72E0" w:rsidRPr="00132EAB"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010" w:type="dxa"/>
            <w:noWrap/>
            <w:vAlign w:val="bottom"/>
            <w:hideMark/>
          </w:tcPr>
          <w:p w14:paraId="14282FEE" w14:textId="12278491" w:rsidR="004B72E0" w:rsidRPr="00132EAB"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 xml:space="preserve">      0.00 </w:t>
            </w:r>
          </w:p>
        </w:tc>
        <w:tc>
          <w:tcPr>
            <w:tcW w:w="1010" w:type="dxa"/>
            <w:noWrap/>
            <w:vAlign w:val="bottom"/>
            <w:hideMark/>
          </w:tcPr>
          <w:p w14:paraId="64C36758" w14:textId="06765DD4" w:rsidR="004B72E0" w:rsidRPr="00132EAB" w:rsidRDefault="004B72E0" w:rsidP="004B72E0">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 xml:space="preserve">      0.00 </w:t>
            </w:r>
          </w:p>
        </w:tc>
      </w:tr>
      <w:tr w:rsidR="005263E6" w:rsidRPr="00056FAD" w14:paraId="39D3EC7D" w14:textId="77777777" w:rsidTr="0086022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55" w:type="dxa"/>
            <w:vMerge/>
            <w:vAlign w:val="center"/>
            <w:hideMark/>
          </w:tcPr>
          <w:p w14:paraId="0D84774F" w14:textId="77777777" w:rsidR="004B72E0" w:rsidRPr="00132EAB" w:rsidRDefault="004B72E0" w:rsidP="004B72E0">
            <w:pPr>
              <w:spacing w:before="0" w:after="0"/>
              <w:rPr>
                <w:rFonts w:ascii="Calibri" w:hAnsi="Calibri" w:cs="Calibri"/>
                <w:color w:val="000000"/>
                <w:sz w:val="16"/>
                <w:szCs w:val="16"/>
              </w:rPr>
            </w:pPr>
          </w:p>
        </w:tc>
        <w:tc>
          <w:tcPr>
            <w:tcW w:w="2170" w:type="dxa"/>
            <w:vAlign w:val="bottom"/>
            <w:hideMark/>
          </w:tcPr>
          <w:p w14:paraId="2DE1D656" w14:textId="54793983" w:rsidR="004B72E0" w:rsidRPr="00132EAB" w:rsidRDefault="004B72E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Transit </w:t>
            </w:r>
            <w:r w:rsidR="001608A0">
              <w:rPr>
                <w:rFonts w:ascii="Calibri" w:hAnsi="Calibri" w:cs="Calibri"/>
                <w:color w:val="000000"/>
                <w:sz w:val="16"/>
                <w:szCs w:val="16"/>
              </w:rPr>
              <w:t>carriers/</w:t>
            </w:r>
            <w:r>
              <w:rPr>
                <w:rFonts w:ascii="Calibri" w:hAnsi="Calibri" w:cs="Calibri"/>
                <w:color w:val="000000"/>
                <w:sz w:val="16"/>
                <w:szCs w:val="16"/>
              </w:rPr>
              <w:t>CSPs</w:t>
            </w:r>
          </w:p>
        </w:tc>
        <w:tc>
          <w:tcPr>
            <w:tcW w:w="3283" w:type="dxa"/>
            <w:vAlign w:val="bottom"/>
            <w:hideMark/>
          </w:tcPr>
          <w:p w14:paraId="4BE86367" w14:textId="6A2DA991" w:rsidR="004B72E0" w:rsidRPr="00132EAB" w:rsidRDefault="004B72E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 current EDR scheme</w:t>
            </w:r>
          </w:p>
        </w:tc>
        <w:tc>
          <w:tcPr>
            <w:tcW w:w="3500" w:type="dxa"/>
            <w:noWrap/>
            <w:vAlign w:val="bottom"/>
            <w:hideMark/>
          </w:tcPr>
          <w:p w14:paraId="2D3A4F2B" w14:textId="4820D6C2" w:rsidR="004B72E0" w:rsidRPr="00056FAD" w:rsidRDefault="004B72E0" w:rsidP="004B72E0">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EDR for complaints with AFCA</w:t>
            </w:r>
          </w:p>
        </w:tc>
        <w:tc>
          <w:tcPr>
            <w:tcW w:w="882" w:type="dxa"/>
            <w:vAlign w:val="bottom"/>
          </w:tcPr>
          <w:p w14:paraId="30FBFBEA" w14:textId="7AC35AE4"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w:t>
            </w:r>
          </w:p>
        </w:tc>
        <w:tc>
          <w:tcPr>
            <w:tcW w:w="1011" w:type="dxa"/>
            <w:noWrap/>
            <w:vAlign w:val="bottom"/>
            <w:hideMark/>
          </w:tcPr>
          <w:p w14:paraId="4DFC0AF0" w14:textId="3DF614BD"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w:t>
            </w:r>
          </w:p>
        </w:tc>
        <w:tc>
          <w:tcPr>
            <w:tcW w:w="1010" w:type="dxa"/>
            <w:noWrap/>
            <w:vAlign w:val="bottom"/>
            <w:hideMark/>
          </w:tcPr>
          <w:p w14:paraId="593C653D" w14:textId="3CFD62FC"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0.01 </w:t>
            </w:r>
          </w:p>
        </w:tc>
        <w:tc>
          <w:tcPr>
            <w:tcW w:w="1010" w:type="dxa"/>
            <w:noWrap/>
            <w:vAlign w:val="bottom"/>
            <w:hideMark/>
          </w:tcPr>
          <w:p w14:paraId="7D04BD02" w14:textId="2D74EE91" w:rsidR="004B72E0" w:rsidRPr="00132EAB" w:rsidRDefault="004B72E0" w:rsidP="004B72E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0.01 </w:t>
            </w:r>
          </w:p>
        </w:tc>
      </w:tr>
    </w:tbl>
    <w:p w14:paraId="7DD16FE8" w14:textId="0B8A1CE1" w:rsidR="00407008" w:rsidRPr="00A9109E" w:rsidRDefault="00407008" w:rsidP="00407008">
      <w:pPr>
        <w:pStyle w:val="Heading8"/>
      </w:pPr>
      <w:r>
        <w:lastRenderedPageBreak/>
        <w:t xml:space="preserve">Table </w:t>
      </w:r>
      <w:fldSimple w:instr=" SEQ Table \* ARABIC ">
        <w:r w:rsidR="00BE17D1">
          <w:rPr>
            <w:noProof/>
          </w:rPr>
          <w:t>27</w:t>
        </w:r>
      </w:fldSimple>
      <w:r>
        <w:t xml:space="preserve"> – </w:t>
      </w:r>
      <w:r w:rsidR="00D21A48">
        <w:t xml:space="preserve">Option 2 - </w:t>
      </w:r>
      <w:r>
        <w:t>Digital platforms sector regulatory cost assumptions by entity type</w:t>
      </w:r>
      <w:r w:rsidR="00333EBE">
        <w:t xml:space="preserve"> (medium sized entity)</w:t>
      </w:r>
    </w:p>
    <w:tbl>
      <w:tblPr>
        <w:tblStyle w:val="GridTable4-Accent1"/>
        <w:tblW w:w="14019" w:type="dxa"/>
        <w:tblInd w:w="-5" w:type="dxa"/>
        <w:tblLook w:val="0480" w:firstRow="0" w:lastRow="0" w:firstColumn="1" w:lastColumn="0" w:noHBand="0" w:noVBand="1"/>
      </w:tblPr>
      <w:tblGrid>
        <w:gridCol w:w="1155"/>
        <w:gridCol w:w="2434"/>
        <w:gridCol w:w="3061"/>
        <w:gridCol w:w="3399"/>
        <w:gridCol w:w="860"/>
        <w:gridCol w:w="1006"/>
        <w:gridCol w:w="1092"/>
        <w:gridCol w:w="1012"/>
      </w:tblGrid>
      <w:tr w:rsidR="006A233F" w:rsidRPr="00056FAD" w14:paraId="5C17A5CF" w14:textId="77777777" w:rsidTr="00860226">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3589" w:type="dxa"/>
            <w:gridSpan w:val="2"/>
            <w:noWrap/>
            <w:hideMark/>
          </w:tcPr>
          <w:p w14:paraId="234EB03D" w14:textId="77777777" w:rsidR="005D5A38" w:rsidRPr="00132EAB" w:rsidRDefault="005D5A38">
            <w:pPr>
              <w:spacing w:before="0" w:after="0"/>
              <w:rPr>
                <w:rFonts w:ascii="Times New Roman" w:hAnsi="Times New Roman"/>
                <w:sz w:val="16"/>
                <w:szCs w:val="16"/>
              </w:rPr>
            </w:pPr>
          </w:p>
        </w:tc>
        <w:tc>
          <w:tcPr>
            <w:tcW w:w="6460" w:type="dxa"/>
            <w:gridSpan w:val="2"/>
            <w:noWrap/>
            <w:hideMark/>
          </w:tcPr>
          <w:p w14:paraId="1CCBDE44" w14:textId="1F8422F3" w:rsidR="005D5A38" w:rsidRPr="00132EAB" w:rsidRDefault="00DE682A" w:rsidP="00DE682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DE682A">
              <w:rPr>
                <w:rFonts w:asciiTheme="minorHAnsi" w:hAnsiTheme="minorHAnsi" w:cstheme="minorHAnsi"/>
                <w:b/>
                <w:bCs/>
                <w:sz w:val="16"/>
                <w:szCs w:val="16"/>
              </w:rPr>
              <w:t>Description of impacts</w:t>
            </w:r>
          </w:p>
        </w:tc>
        <w:tc>
          <w:tcPr>
            <w:tcW w:w="1866" w:type="dxa"/>
            <w:gridSpan w:val="2"/>
            <w:hideMark/>
          </w:tcPr>
          <w:p w14:paraId="541AA2D4" w14:textId="49A5E92D" w:rsidR="005D5A38" w:rsidRPr="00132EAB" w:rsidRDefault="00C236E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Pr>
                <w:rFonts w:ascii="Calibri" w:hAnsi="Calibri" w:cs="Calibri"/>
                <w:b/>
                <w:bCs/>
                <w:color w:val="000000"/>
                <w:sz w:val="16"/>
                <w:szCs w:val="16"/>
              </w:rPr>
              <w:t xml:space="preserve">Technology </w:t>
            </w:r>
            <w:r w:rsidR="005D5A38" w:rsidRPr="00132EAB">
              <w:rPr>
                <w:rFonts w:ascii="Calibri" w:hAnsi="Calibri" w:cs="Calibri"/>
                <w:b/>
                <w:bCs/>
                <w:color w:val="000000"/>
                <w:sz w:val="16"/>
                <w:szCs w:val="16"/>
              </w:rPr>
              <w:t>($m)</w:t>
            </w:r>
          </w:p>
        </w:tc>
        <w:tc>
          <w:tcPr>
            <w:tcW w:w="2104" w:type="dxa"/>
            <w:gridSpan w:val="2"/>
            <w:noWrap/>
            <w:hideMark/>
          </w:tcPr>
          <w:p w14:paraId="1CE58DD6" w14:textId="7CEF3265" w:rsidR="005D5A38" w:rsidRPr="00132EAB" w:rsidRDefault="00C236E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6"/>
                <w:szCs w:val="16"/>
              </w:rPr>
            </w:pPr>
            <w:r>
              <w:rPr>
                <w:rFonts w:ascii="Calibri" w:hAnsi="Calibri" w:cs="Calibri"/>
                <w:b/>
                <w:bCs/>
                <w:color w:val="000000"/>
                <w:sz w:val="16"/>
                <w:szCs w:val="16"/>
              </w:rPr>
              <w:t xml:space="preserve">Administration </w:t>
            </w:r>
            <w:r w:rsidR="00BE4FD1">
              <w:rPr>
                <w:rFonts w:ascii="Calibri" w:hAnsi="Calibri" w:cs="Calibri"/>
                <w:b/>
                <w:bCs/>
                <w:color w:val="000000"/>
                <w:sz w:val="16"/>
                <w:szCs w:val="16"/>
              </w:rPr>
              <w:t>($m)</w:t>
            </w:r>
          </w:p>
        </w:tc>
      </w:tr>
      <w:tr w:rsidR="006F5192" w:rsidRPr="00056FAD" w14:paraId="64D6E2C4" w14:textId="77777777" w:rsidTr="00860226">
        <w:trPr>
          <w:trHeight w:val="144"/>
        </w:trPr>
        <w:tc>
          <w:tcPr>
            <w:cnfStyle w:val="001000000000" w:firstRow="0" w:lastRow="0" w:firstColumn="1" w:lastColumn="0" w:oddVBand="0" w:evenVBand="0" w:oddHBand="0" w:evenHBand="0" w:firstRowFirstColumn="0" w:firstRowLastColumn="0" w:lastRowFirstColumn="0" w:lastRowLastColumn="0"/>
            <w:tcW w:w="1155" w:type="dxa"/>
            <w:tcBorders>
              <w:bottom w:val="single" w:sz="18" w:space="0" w:color="auto"/>
            </w:tcBorders>
            <w:noWrap/>
            <w:hideMark/>
          </w:tcPr>
          <w:p w14:paraId="1240D98F" w14:textId="77777777" w:rsidR="005D5A38" w:rsidRPr="00132EAB" w:rsidRDefault="005D5A38">
            <w:pPr>
              <w:spacing w:before="0" w:after="0"/>
              <w:rPr>
                <w:rFonts w:ascii="Calibri" w:hAnsi="Calibri" w:cs="Calibri"/>
                <w:color w:val="000000"/>
                <w:sz w:val="16"/>
                <w:szCs w:val="16"/>
              </w:rPr>
            </w:pPr>
            <w:r w:rsidRPr="00132EAB">
              <w:rPr>
                <w:rFonts w:ascii="Calibri" w:hAnsi="Calibri" w:cs="Calibri"/>
                <w:color w:val="000000"/>
                <w:sz w:val="16"/>
                <w:szCs w:val="16"/>
              </w:rPr>
              <w:t>Obligation</w:t>
            </w:r>
          </w:p>
        </w:tc>
        <w:tc>
          <w:tcPr>
            <w:tcW w:w="2433" w:type="dxa"/>
            <w:tcBorders>
              <w:bottom w:val="single" w:sz="18" w:space="0" w:color="auto"/>
            </w:tcBorders>
            <w:noWrap/>
            <w:hideMark/>
          </w:tcPr>
          <w:p w14:paraId="5CE6F0E1" w14:textId="77777777" w:rsidR="005D5A38" w:rsidRPr="00132EAB" w:rsidRDefault="005D5A38">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Entity type</w:t>
            </w:r>
          </w:p>
        </w:tc>
        <w:tc>
          <w:tcPr>
            <w:tcW w:w="3061" w:type="dxa"/>
            <w:tcBorders>
              <w:bottom w:val="single" w:sz="18" w:space="0" w:color="auto"/>
            </w:tcBorders>
            <w:hideMark/>
          </w:tcPr>
          <w:p w14:paraId="22B3CED7" w14:textId="77777777" w:rsidR="005D5A38" w:rsidRPr="00132EAB" w:rsidRDefault="005D5A38">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 xml:space="preserve">Current </w:t>
            </w:r>
            <w:r w:rsidRPr="00056FAD">
              <w:rPr>
                <w:rFonts w:ascii="Calibri" w:hAnsi="Calibri" w:cs="Calibri"/>
                <w:b/>
                <w:bCs/>
                <w:color w:val="000000"/>
                <w:sz w:val="16"/>
                <w:szCs w:val="16"/>
              </w:rPr>
              <w:t>actions</w:t>
            </w:r>
          </w:p>
        </w:tc>
        <w:tc>
          <w:tcPr>
            <w:tcW w:w="3398" w:type="dxa"/>
            <w:tcBorders>
              <w:bottom w:val="single" w:sz="18" w:space="0" w:color="auto"/>
            </w:tcBorders>
            <w:hideMark/>
          </w:tcPr>
          <w:p w14:paraId="6712E58B" w14:textId="77777777" w:rsidR="005D5A38" w:rsidRPr="00132EAB" w:rsidRDefault="005D5A38">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Uplift required</w:t>
            </w:r>
          </w:p>
        </w:tc>
        <w:tc>
          <w:tcPr>
            <w:tcW w:w="860" w:type="dxa"/>
            <w:tcBorders>
              <w:bottom w:val="single" w:sz="18" w:space="0" w:color="auto"/>
            </w:tcBorders>
            <w:noWrap/>
            <w:hideMark/>
          </w:tcPr>
          <w:p w14:paraId="5AFD04B9" w14:textId="77777777" w:rsidR="005D5A38" w:rsidRPr="00132EAB" w:rsidRDefault="005D5A38" w:rsidP="00BE17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056FAD">
              <w:rPr>
                <w:rFonts w:ascii="Calibri" w:hAnsi="Calibri" w:cs="Calibri"/>
                <w:b/>
                <w:bCs/>
                <w:color w:val="000000"/>
                <w:sz w:val="16"/>
                <w:szCs w:val="16"/>
              </w:rPr>
              <w:t>Initial</w:t>
            </w:r>
          </w:p>
        </w:tc>
        <w:tc>
          <w:tcPr>
            <w:tcW w:w="1005" w:type="dxa"/>
            <w:tcBorders>
              <w:bottom w:val="single" w:sz="18" w:space="0" w:color="auto"/>
            </w:tcBorders>
            <w:noWrap/>
            <w:hideMark/>
          </w:tcPr>
          <w:p w14:paraId="37AB1762" w14:textId="77777777" w:rsidR="005D5A38" w:rsidRPr="00132EAB" w:rsidRDefault="005D5A38" w:rsidP="00BE17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Ongoing</w:t>
            </w:r>
          </w:p>
        </w:tc>
        <w:tc>
          <w:tcPr>
            <w:tcW w:w="1092" w:type="dxa"/>
            <w:tcBorders>
              <w:bottom w:val="single" w:sz="18" w:space="0" w:color="auto"/>
            </w:tcBorders>
            <w:noWrap/>
            <w:hideMark/>
          </w:tcPr>
          <w:p w14:paraId="39ACCCD7" w14:textId="77777777" w:rsidR="005D5A38" w:rsidRPr="00132EAB" w:rsidRDefault="005D5A38" w:rsidP="00BE17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056FAD">
              <w:rPr>
                <w:rFonts w:ascii="Calibri" w:hAnsi="Calibri" w:cs="Calibri"/>
                <w:b/>
                <w:bCs/>
                <w:color w:val="000000"/>
                <w:sz w:val="16"/>
                <w:szCs w:val="16"/>
              </w:rPr>
              <w:t>Initial</w:t>
            </w:r>
          </w:p>
        </w:tc>
        <w:tc>
          <w:tcPr>
            <w:tcW w:w="1011" w:type="dxa"/>
            <w:tcBorders>
              <w:bottom w:val="single" w:sz="18" w:space="0" w:color="auto"/>
            </w:tcBorders>
            <w:noWrap/>
            <w:hideMark/>
          </w:tcPr>
          <w:p w14:paraId="353B1D76" w14:textId="77777777" w:rsidR="005D5A38" w:rsidRPr="00132EAB" w:rsidRDefault="005D5A38" w:rsidP="00BE17D1">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132EAB">
              <w:rPr>
                <w:rFonts w:ascii="Calibri" w:hAnsi="Calibri" w:cs="Calibri"/>
                <w:b/>
                <w:bCs/>
                <w:color w:val="000000"/>
                <w:sz w:val="16"/>
                <w:szCs w:val="16"/>
              </w:rPr>
              <w:t>Ongoing</w:t>
            </w:r>
          </w:p>
        </w:tc>
      </w:tr>
      <w:tr w:rsidR="00D93F2E" w:rsidRPr="00056FAD" w14:paraId="4DB3262C" w14:textId="77777777" w:rsidTr="0086022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55" w:type="dxa"/>
            <w:vMerge w:val="restart"/>
            <w:tcBorders>
              <w:top w:val="single" w:sz="18" w:space="0" w:color="auto"/>
            </w:tcBorders>
            <w:vAlign w:val="center"/>
            <w:hideMark/>
          </w:tcPr>
          <w:p w14:paraId="22C66F11" w14:textId="7F6D3EBB" w:rsidR="00EE72D5" w:rsidRPr="00132EAB" w:rsidRDefault="00EE72D5" w:rsidP="00EE72D5">
            <w:pPr>
              <w:spacing w:before="0" w:after="0"/>
              <w:rPr>
                <w:rFonts w:ascii="Calibri" w:hAnsi="Calibri" w:cs="Calibri"/>
                <w:color w:val="000000"/>
                <w:sz w:val="16"/>
                <w:szCs w:val="16"/>
              </w:rPr>
            </w:pPr>
            <w:r>
              <w:rPr>
                <w:rFonts w:ascii="Calibri" w:hAnsi="Calibri" w:cs="Calibri"/>
                <w:color w:val="000000"/>
                <w:sz w:val="16"/>
                <w:szCs w:val="16"/>
              </w:rPr>
              <w:t xml:space="preserve">Anti-scam </w:t>
            </w:r>
            <w:r w:rsidR="00E905E2">
              <w:rPr>
                <w:rFonts w:ascii="Calibri" w:hAnsi="Calibri" w:cs="Calibri"/>
                <w:color w:val="000000"/>
                <w:sz w:val="16"/>
                <w:szCs w:val="16"/>
              </w:rPr>
              <w:t>activity</w:t>
            </w:r>
          </w:p>
        </w:tc>
        <w:tc>
          <w:tcPr>
            <w:tcW w:w="2433" w:type="dxa"/>
            <w:tcBorders>
              <w:top w:val="single" w:sz="18" w:space="0" w:color="auto"/>
            </w:tcBorders>
            <w:vAlign w:val="bottom"/>
            <w:hideMark/>
          </w:tcPr>
          <w:p w14:paraId="319FAE4D" w14:textId="1218269E" w:rsidR="00EE72D5" w:rsidRPr="00132EAB" w:rsidRDefault="00EE72D5" w:rsidP="00EE72D5">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Major platforms - AOSC</w:t>
            </w:r>
          </w:p>
        </w:tc>
        <w:tc>
          <w:tcPr>
            <w:tcW w:w="3061" w:type="dxa"/>
            <w:tcBorders>
              <w:top w:val="single" w:sz="18" w:space="0" w:color="auto"/>
            </w:tcBorders>
            <w:vAlign w:val="bottom"/>
            <w:hideMark/>
          </w:tcPr>
          <w:p w14:paraId="55EE929E" w14:textId="4138D295" w:rsidR="00EE72D5" w:rsidRPr="00132EAB" w:rsidRDefault="00EE72D5" w:rsidP="00EE72D5">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Aus Online Scams Code</w:t>
            </w:r>
          </w:p>
        </w:tc>
        <w:tc>
          <w:tcPr>
            <w:tcW w:w="3398" w:type="dxa"/>
            <w:tcBorders>
              <w:top w:val="single" w:sz="18" w:space="0" w:color="auto"/>
            </w:tcBorders>
            <w:vAlign w:val="bottom"/>
            <w:hideMark/>
          </w:tcPr>
          <w:p w14:paraId="3C7B9EA6" w14:textId="4E0062F4" w:rsidR="00EE72D5" w:rsidRPr="00132EAB" w:rsidRDefault="00EE72D5" w:rsidP="00EE72D5">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Moderate anti-scam activity improvements, Governance operations, IDR processes</w:t>
            </w:r>
          </w:p>
        </w:tc>
        <w:tc>
          <w:tcPr>
            <w:tcW w:w="860" w:type="dxa"/>
            <w:tcBorders>
              <w:top w:val="single" w:sz="18" w:space="0" w:color="auto"/>
            </w:tcBorders>
            <w:vAlign w:val="bottom"/>
            <w:hideMark/>
          </w:tcPr>
          <w:p w14:paraId="6D822BAE" w14:textId="1D0C7775" w:rsidR="00EE72D5" w:rsidRPr="00132EAB" w:rsidRDefault="00F85673"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2.25</w:t>
            </w:r>
          </w:p>
        </w:tc>
        <w:tc>
          <w:tcPr>
            <w:tcW w:w="1005" w:type="dxa"/>
            <w:tcBorders>
              <w:top w:val="single" w:sz="18" w:space="0" w:color="auto"/>
            </w:tcBorders>
            <w:vAlign w:val="bottom"/>
            <w:hideMark/>
          </w:tcPr>
          <w:p w14:paraId="35D2A933" w14:textId="024F9029" w:rsidR="00EE72D5" w:rsidRPr="00132EAB" w:rsidRDefault="00F85673"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0.22</w:t>
            </w:r>
          </w:p>
        </w:tc>
        <w:tc>
          <w:tcPr>
            <w:tcW w:w="1092" w:type="dxa"/>
            <w:tcBorders>
              <w:top w:val="single" w:sz="18" w:space="0" w:color="auto"/>
            </w:tcBorders>
            <w:vAlign w:val="bottom"/>
            <w:hideMark/>
          </w:tcPr>
          <w:p w14:paraId="6DB1CE16" w14:textId="4284F46D" w:rsidR="00EE72D5" w:rsidRPr="00132EAB" w:rsidRDefault="00EE72D5"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5.31</w:t>
            </w:r>
          </w:p>
        </w:tc>
        <w:tc>
          <w:tcPr>
            <w:tcW w:w="1011" w:type="dxa"/>
            <w:tcBorders>
              <w:top w:val="single" w:sz="18" w:space="0" w:color="auto"/>
            </w:tcBorders>
            <w:vAlign w:val="bottom"/>
            <w:hideMark/>
          </w:tcPr>
          <w:p w14:paraId="593C038C" w14:textId="3A5FB8A2" w:rsidR="00EE72D5" w:rsidRPr="00132EAB" w:rsidRDefault="00EE72D5"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2.65</w:t>
            </w:r>
          </w:p>
        </w:tc>
      </w:tr>
      <w:tr w:rsidR="006F5192" w:rsidRPr="00056FAD" w14:paraId="2F0BA398" w14:textId="77777777" w:rsidTr="00860226">
        <w:trPr>
          <w:trHeight w:val="245"/>
        </w:trPr>
        <w:tc>
          <w:tcPr>
            <w:cnfStyle w:val="001000000000" w:firstRow="0" w:lastRow="0" w:firstColumn="1" w:lastColumn="0" w:oddVBand="0" w:evenVBand="0" w:oddHBand="0" w:evenHBand="0" w:firstRowFirstColumn="0" w:firstRowLastColumn="0" w:lastRowFirstColumn="0" w:lastRowLastColumn="0"/>
            <w:tcW w:w="1155" w:type="dxa"/>
            <w:vMerge/>
            <w:vAlign w:val="center"/>
          </w:tcPr>
          <w:p w14:paraId="00F9412E" w14:textId="77777777" w:rsidR="00EE72D5" w:rsidRPr="00132EAB" w:rsidRDefault="00EE72D5" w:rsidP="00EE72D5">
            <w:pPr>
              <w:spacing w:before="0" w:after="0"/>
              <w:rPr>
                <w:rFonts w:ascii="Calibri" w:hAnsi="Calibri" w:cs="Calibri"/>
                <w:color w:val="000000"/>
                <w:sz w:val="16"/>
                <w:szCs w:val="16"/>
              </w:rPr>
            </w:pPr>
          </w:p>
        </w:tc>
        <w:tc>
          <w:tcPr>
            <w:tcW w:w="2433" w:type="dxa"/>
            <w:vAlign w:val="bottom"/>
          </w:tcPr>
          <w:p w14:paraId="75464358" w14:textId="0E4FC25B" w:rsidR="00EE72D5" w:rsidRDefault="00EE72D5" w:rsidP="00EE72D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Major platforms - non-AOSC</w:t>
            </w:r>
          </w:p>
        </w:tc>
        <w:tc>
          <w:tcPr>
            <w:tcW w:w="3061" w:type="dxa"/>
            <w:vAlign w:val="bottom"/>
          </w:tcPr>
          <w:p w14:paraId="23928BAC" w14:textId="24DFD003" w:rsidR="00EE72D5" w:rsidRDefault="00EE72D5" w:rsidP="00EE72D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None</w:t>
            </w:r>
          </w:p>
        </w:tc>
        <w:tc>
          <w:tcPr>
            <w:tcW w:w="3398" w:type="dxa"/>
            <w:vAlign w:val="bottom"/>
          </w:tcPr>
          <w:p w14:paraId="4804F883" w14:textId="42803D2C" w:rsidR="00EE72D5" w:rsidRDefault="009A7AF2" w:rsidP="00EE72D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Material </w:t>
            </w:r>
            <w:r w:rsidR="00EE72D5">
              <w:rPr>
                <w:rFonts w:ascii="Calibri" w:hAnsi="Calibri" w:cs="Calibri"/>
                <w:color w:val="000000"/>
                <w:sz w:val="16"/>
                <w:szCs w:val="16"/>
              </w:rPr>
              <w:t>anti-scam activity improvements, Governance operations, IDR processes</w:t>
            </w:r>
          </w:p>
        </w:tc>
        <w:tc>
          <w:tcPr>
            <w:tcW w:w="860" w:type="dxa"/>
            <w:vAlign w:val="bottom"/>
          </w:tcPr>
          <w:p w14:paraId="01BE87D2" w14:textId="415A2167" w:rsidR="00EE72D5" w:rsidRDefault="00F85673"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3.37</w:t>
            </w:r>
          </w:p>
        </w:tc>
        <w:tc>
          <w:tcPr>
            <w:tcW w:w="1005" w:type="dxa"/>
            <w:vAlign w:val="bottom"/>
          </w:tcPr>
          <w:p w14:paraId="056D28AF" w14:textId="39C04237" w:rsidR="00EE72D5" w:rsidRDefault="00F85673"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1.12</w:t>
            </w:r>
          </w:p>
        </w:tc>
        <w:tc>
          <w:tcPr>
            <w:tcW w:w="1092" w:type="dxa"/>
            <w:vAlign w:val="bottom"/>
          </w:tcPr>
          <w:p w14:paraId="47BE6731" w14:textId="2E5DE7D9" w:rsidR="00EE72D5" w:rsidRDefault="00EE72D5"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6.35</w:t>
            </w:r>
          </w:p>
        </w:tc>
        <w:tc>
          <w:tcPr>
            <w:tcW w:w="1011" w:type="dxa"/>
            <w:vAlign w:val="bottom"/>
          </w:tcPr>
          <w:p w14:paraId="6E899450" w14:textId="49908C07" w:rsidR="00EE72D5" w:rsidRDefault="00EE72D5"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3.17</w:t>
            </w:r>
          </w:p>
        </w:tc>
      </w:tr>
      <w:tr w:rsidR="005263E6" w:rsidRPr="00056FAD" w14:paraId="746431A8" w14:textId="77777777" w:rsidTr="0086022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55" w:type="dxa"/>
            <w:vMerge/>
            <w:vAlign w:val="center"/>
            <w:hideMark/>
          </w:tcPr>
          <w:p w14:paraId="6CCC5301" w14:textId="77777777" w:rsidR="00EE72D5" w:rsidRPr="00132EAB" w:rsidRDefault="00EE72D5" w:rsidP="00EE72D5">
            <w:pPr>
              <w:spacing w:before="0" w:after="0"/>
              <w:rPr>
                <w:rFonts w:ascii="Calibri" w:hAnsi="Calibri" w:cs="Calibri"/>
                <w:color w:val="000000"/>
                <w:sz w:val="16"/>
                <w:szCs w:val="16"/>
              </w:rPr>
            </w:pPr>
          </w:p>
        </w:tc>
        <w:tc>
          <w:tcPr>
            <w:tcW w:w="2433" w:type="dxa"/>
            <w:vAlign w:val="bottom"/>
            <w:hideMark/>
          </w:tcPr>
          <w:p w14:paraId="75993237" w14:textId="19B8D52F" w:rsidR="00EE72D5" w:rsidRPr="00132EAB" w:rsidRDefault="00EE72D5" w:rsidP="00EE72D5">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Medium platforms - AOSC</w:t>
            </w:r>
          </w:p>
        </w:tc>
        <w:tc>
          <w:tcPr>
            <w:tcW w:w="3061" w:type="dxa"/>
            <w:vAlign w:val="bottom"/>
            <w:hideMark/>
          </w:tcPr>
          <w:p w14:paraId="112854B4" w14:textId="75D8E83D" w:rsidR="00EE72D5" w:rsidRPr="00132EAB" w:rsidRDefault="00EE72D5" w:rsidP="00EE72D5">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Aus Online Scams Code</w:t>
            </w:r>
          </w:p>
        </w:tc>
        <w:tc>
          <w:tcPr>
            <w:tcW w:w="3398" w:type="dxa"/>
            <w:vAlign w:val="bottom"/>
            <w:hideMark/>
          </w:tcPr>
          <w:p w14:paraId="53464672" w14:textId="075C9EDF" w:rsidR="00EE72D5" w:rsidRPr="00132EAB" w:rsidRDefault="00EE72D5" w:rsidP="00EE72D5">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Moderate anti-scam activity improvements, Governance operations, IDR processes</w:t>
            </w:r>
          </w:p>
        </w:tc>
        <w:tc>
          <w:tcPr>
            <w:tcW w:w="860" w:type="dxa"/>
            <w:vAlign w:val="bottom"/>
            <w:hideMark/>
          </w:tcPr>
          <w:p w14:paraId="4A096113" w14:textId="1FB901A3" w:rsidR="00EE72D5" w:rsidRPr="00132EAB" w:rsidRDefault="00F85673"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0.45</w:t>
            </w:r>
          </w:p>
        </w:tc>
        <w:tc>
          <w:tcPr>
            <w:tcW w:w="1005" w:type="dxa"/>
            <w:vAlign w:val="bottom"/>
            <w:hideMark/>
          </w:tcPr>
          <w:p w14:paraId="64DDF1B0" w14:textId="178092E6" w:rsidR="00EE72D5" w:rsidRPr="00132EAB" w:rsidRDefault="00F85673"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0.04</w:t>
            </w:r>
          </w:p>
        </w:tc>
        <w:tc>
          <w:tcPr>
            <w:tcW w:w="1092" w:type="dxa"/>
            <w:vAlign w:val="bottom"/>
            <w:hideMark/>
          </w:tcPr>
          <w:p w14:paraId="318DDA56" w14:textId="71CB9E5B" w:rsidR="00EE72D5" w:rsidRPr="00132EAB" w:rsidRDefault="00EE72D5"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1.06</w:t>
            </w:r>
          </w:p>
        </w:tc>
        <w:tc>
          <w:tcPr>
            <w:tcW w:w="1011" w:type="dxa"/>
            <w:vAlign w:val="bottom"/>
            <w:hideMark/>
          </w:tcPr>
          <w:p w14:paraId="29FDD036" w14:textId="74EE72EE" w:rsidR="00EE72D5" w:rsidRPr="00132EAB" w:rsidRDefault="00EE72D5" w:rsidP="00EE72D5">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0.53</w:t>
            </w:r>
          </w:p>
        </w:tc>
      </w:tr>
      <w:tr w:rsidR="006F5192" w:rsidRPr="00056FAD" w14:paraId="213D6798" w14:textId="77777777" w:rsidTr="00860226">
        <w:trPr>
          <w:trHeight w:val="245"/>
        </w:trPr>
        <w:tc>
          <w:tcPr>
            <w:cnfStyle w:val="001000000000" w:firstRow="0" w:lastRow="0" w:firstColumn="1" w:lastColumn="0" w:oddVBand="0" w:evenVBand="0" w:oddHBand="0" w:evenHBand="0" w:firstRowFirstColumn="0" w:firstRowLastColumn="0" w:lastRowFirstColumn="0" w:lastRowLastColumn="0"/>
            <w:tcW w:w="1155" w:type="dxa"/>
            <w:vMerge/>
            <w:vAlign w:val="center"/>
            <w:hideMark/>
          </w:tcPr>
          <w:p w14:paraId="1222306A" w14:textId="77777777" w:rsidR="00EE72D5" w:rsidRPr="00132EAB" w:rsidRDefault="00EE72D5" w:rsidP="00EE72D5">
            <w:pPr>
              <w:spacing w:before="0" w:after="0"/>
              <w:rPr>
                <w:rFonts w:ascii="Calibri" w:hAnsi="Calibri" w:cs="Calibri"/>
                <w:color w:val="000000"/>
                <w:sz w:val="16"/>
                <w:szCs w:val="16"/>
              </w:rPr>
            </w:pPr>
          </w:p>
        </w:tc>
        <w:tc>
          <w:tcPr>
            <w:tcW w:w="2433" w:type="dxa"/>
            <w:vAlign w:val="bottom"/>
            <w:hideMark/>
          </w:tcPr>
          <w:p w14:paraId="44A80A68" w14:textId="16CE9C6E" w:rsidR="00EE72D5" w:rsidRPr="00132EAB" w:rsidRDefault="00EE72D5" w:rsidP="00EE72D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Medium platforms - non-AOSC</w:t>
            </w:r>
          </w:p>
        </w:tc>
        <w:tc>
          <w:tcPr>
            <w:tcW w:w="3061" w:type="dxa"/>
            <w:vAlign w:val="bottom"/>
            <w:hideMark/>
          </w:tcPr>
          <w:p w14:paraId="7DA3FE96" w14:textId="21A58BE0" w:rsidR="00EE72D5" w:rsidRPr="00132EAB" w:rsidRDefault="00EE72D5" w:rsidP="00EE72D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None</w:t>
            </w:r>
          </w:p>
        </w:tc>
        <w:tc>
          <w:tcPr>
            <w:tcW w:w="3398" w:type="dxa"/>
            <w:vAlign w:val="bottom"/>
            <w:hideMark/>
          </w:tcPr>
          <w:p w14:paraId="176AB349" w14:textId="4CB78DA3" w:rsidR="00EE72D5" w:rsidRPr="00132EAB" w:rsidRDefault="009A7AF2" w:rsidP="00EE72D5">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Material </w:t>
            </w:r>
            <w:r w:rsidR="00EE72D5">
              <w:rPr>
                <w:rFonts w:ascii="Calibri" w:hAnsi="Calibri" w:cs="Calibri"/>
                <w:color w:val="000000"/>
                <w:sz w:val="16"/>
                <w:szCs w:val="16"/>
              </w:rPr>
              <w:t>anti-scam activity improvements, Governance operations, IDR processes</w:t>
            </w:r>
          </w:p>
        </w:tc>
        <w:tc>
          <w:tcPr>
            <w:tcW w:w="860" w:type="dxa"/>
            <w:vAlign w:val="bottom"/>
            <w:hideMark/>
          </w:tcPr>
          <w:p w14:paraId="736CB57B" w14:textId="3A903C60" w:rsidR="00EE72D5" w:rsidRPr="00132EAB" w:rsidRDefault="00F85673"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0.67</w:t>
            </w:r>
          </w:p>
        </w:tc>
        <w:tc>
          <w:tcPr>
            <w:tcW w:w="1005" w:type="dxa"/>
            <w:vAlign w:val="bottom"/>
            <w:hideMark/>
          </w:tcPr>
          <w:p w14:paraId="2C7B3834" w14:textId="4A68F8E7" w:rsidR="00EE72D5" w:rsidRPr="00132EAB" w:rsidRDefault="00F85673"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0.22</w:t>
            </w:r>
          </w:p>
        </w:tc>
        <w:tc>
          <w:tcPr>
            <w:tcW w:w="1092" w:type="dxa"/>
            <w:vAlign w:val="bottom"/>
            <w:hideMark/>
          </w:tcPr>
          <w:p w14:paraId="0E27FAEF" w14:textId="7C4D815E" w:rsidR="00EE72D5" w:rsidRPr="00132EAB" w:rsidRDefault="00EE72D5"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1.27</w:t>
            </w:r>
          </w:p>
        </w:tc>
        <w:tc>
          <w:tcPr>
            <w:tcW w:w="1011" w:type="dxa"/>
            <w:vAlign w:val="bottom"/>
            <w:hideMark/>
          </w:tcPr>
          <w:p w14:paraId="2ED266B6" w14:textId="0B2E0FD2" w:rsidR="00EE72D5" w:rsidRPr="00132EAB" w:rsidRDefault="00EE72D5" w:rsidP="00EE72D5">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0.63</w:t>
            </w:r>
          </w:p>
        </w:tc>
      </w:tr>
      <w:tr w:rsidR="005263E6" w:rsidRPr="00056FAD" w14:paraId="376738E3" w14:textId="77777777" w:rsidTr="0086022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55" w:type="dxa"/>
            <w:vMerge w:val="restart"/>
            <w:vAlign w:val="center"/>
            <w:hideMark/>
          </w:tcPr>
          <w:p w14:paraId="4BBBF2E2" w14:textId="5DEB238E" w:rsidR="00884BB4" w:rsidRPr="00132EAB" w:rsidRDefault="00884BB4" w:rsidP="00884BB4">
            <w:pPr>
              <w:spacing w:before="0" w:after="0"/>
              <w:rPr>
                <w:rFonts w:ascii="Calibri" w:hAnsi="Calibri" w:cs="Calibri"/>
                <w:color w:val="000000"/>
                <w:sz w:val="16"/>
                <w:szCs w:val="16"/>
              </w:rPr>
            </w:pPr>
            <w:r>
              <w:rPr>
                <w:rFonts w:ascii="Calibri" w:hAnsi="Calibri" w:cs="Calibri"/>
                <w:color w:val="000000"/>
                <w:sz w:val="16"/>
                <w:szCs w:val="16"/>
              </w:rPr>
              <w:t>Info sharing &amp; reporting</w:t>
            </w:r>
          </w:p>
        </w:tc>
        <w:tc>
          <w:tcPr>
            <w:tcW w:w="2433" w:type="dxa"/>
            <w:vAlign w:val="bottom"/>
            <w:hideMark/>
          </w:tcPr>
          <w:p w14:paraId="04619894" w14:textId="062C0FAA" w:rsidR="00884BB4" w:rsidRPr="00132EAB" w:rsidRDefault="00884BB4" w:rsidP="00884BB4">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Major platforms - AOSC</w:t>
            </w:r>
          </w:p>
        </w:tc>
        <w:tc>
          <w:tcPr>
            <w:tcW w:w="3061" w:type="dxa"/>
            <w:vAlign w:val="bottom"/>
            <w:hideMark/>
          </w:tcPr>
          <w:p w14:paraId="2F271C64" w14:textId="32DFB462" w:rsidR="00884BB4" w:rsidRPr="00132EAB" w:rsidRDefault="00884BB4" w:rsidP="00884BB4">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 current arrangements</w:t>
            </w:r>
          </w:p>
        </w:tc>
        <w:tc>
          <w:tcPr>
            <w:tcW w:w="3398" w:type="dxa"/>
            <w:noWrap/>
            <w:vAlign w:val="bottom"/>
            <w:hideMark/>
          </w:tcPr>
          <w:p w14:paraId="0A78EBC4" w14:textId="63F84464" w:rsidR="00884BB4" w:rsidRPr="00132EAB" w:rsidRDefault="003426A9" w:rsidP="00884BB4">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L</w:t>
            </w:r>
            <w:r w:rsidR="00884BB4">
              <w:rPr>
                <w:rFonts w:ascii="Calibri" w:hAnsi="Calibri" w:cs="Calibri"/>
                <w:color w:val="000000"/>
                <w:sz w:val="16"/>
                <w:szCs w:val="16"/>
              </w:rPr>
              <w:t xml:space="preserve">ikely significant investment </w:t>
            </w:r>
          </w:p>
        </w:tc>
        <w:tc>
          <w:tcPr>
            <w:tcW w:w="860" w:type="dxa"/>
            <w:noWrap/>
            <w:vAlign w:val="bottom"/>
            <w:hideMark/>
          </w:tcPr>
          <w:p w14:paraId="5BF983F6" w14:textId="76036E2E" w:rsidR="00884BB4" w:rsidRPr="00132EAB" w:rsidRDefault="00884BB4" w:rsidP="00884BB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1.00 </w:t>
            </w:r>
          </w:p>
        </w:tc>
        <w:tc>
          <w:tcPr>
            <w:tcW w:w="1005" w:type="dxa"/>
            <w:noWrap/>
            <w:vAlign w:val="bottom"/>
            <w:hideMark/>
          </w:tcPr>
          <w:p w14:paraId="0E485255" w14:textId="25579524" w:rsidR="00884BB4" w:rsidRPr="00132EAB" w:rsidRDefault="00884BB4" w:rsidP="00884BB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0.30 </w:t>
            </w:r>
          </w:p>
        </w:tc>
        <w:tc>
          <w:tcPr>
            <w:tcW w:w="1092" w:type="dxa"/>
            <w:noWrap/>
            <w:vAlign w:val="bottom"/>
            <w:hideMark/>
          </w:tcPr>
          <w:p w14:paraId="078B31D1" w14:textId="77777777" w:rsidR="00884BB4" w:rsidRPr="00132EAB" w:rsidRDefault="00884BB4" w:rsidP="00884BB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1011" w:type="dxa"/>
            <w:noWrap/>
            <w:vAlign w:val="bottom"/>
            <w:hideMark/>
          </w:tcPr>
          <w:p w14:paraId="0202D57A" w14:textId="77777777" w:rsidR="00884BB4" w:rsidRPr="00132EAB" w:rsidRDefault="00884BB4" w:rsidP="00884BB4">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r>
      <w:tr w:rsidR="006F5192" w:rsidRPr="00056FAD" w14:paraId="278268AF" w14:textId="77777777" w:rsidTr="00860226">
        <w:trPr>
          <w:trHeight w:val="245"/>
        </w:trPr>
        <w:tc>
          <w:tcPr>
            <w:cnfStyle w:val="001000000000" w:firstRow="0" w:lastRow="0" w:firstColumn="1" w:lastColumn="0" w:oddVBand="0" w:evenVBand="0" w:oddHBand="0" w:evenHBand="0" w:firstRowFirstColumn="0" w:firstRowLastColumn="0" w:lastRowFirstColumn="0" w:lastRowLastColumn="0"/>
            <w:tcW w:w="1155" w:type="dxa"/>
            <w:vMerge/>
            <w:vAlign w:val="center"/>
          </w:tcPr>
          <w:p w14:paraId="63B41002" w14:textId="77777777" w:rsidR="00884BB4" w:rsidRPr="00132EAB" w:rsidRDefault="00884BB4" w:rsidP="00884BB4">
            <w:pPr>
              <w:spacing w:before="0" w:after="0"/>
              <w:rPr>
                <w:rFonts w:ascii="Calibri" w:hAnsi="Calibri" w:cs="Calibri"/>
                <w:color w:val="000000"/>
                <w:sz w:val="16"/>
                <w:szCs w:val="16"/>
              </w:rPr>
            </w:pPr>
          </w:p>
        </w:tc>
        <w:tc>
          <w:tcPr>
            <w:tcW w:w="2433" w:type="dxa"/>
            <w:vAlign w:val="bottom"/>
          </w:tcPr>
          <w:p w14:paraId="0DD701A9" w14:textId="2C015E1F" w:rsidR="00884BB4" w:rsidRDefault="00884BB4" w:rsidP="00884BB4">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Major platforms - non-AOSC</w:t>
            </w:r>
          </w:p>
        </w:tc>
        <w:tc>
          <w:tcPr>
            <w:tcW w:w="3061" w:type="dxa"/>
            <w:vAlign w:val="bottom"/>
          </w:tcPr>
          <w:p w14:paraId="0C675736" w14:textId="4B848F25" w:rsidR="00884BB4" w:rsidRDefault="00884BB4" w:rsidP="00884BB4">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 current arrangements</w:t>
            </w:r>
          </w:p>
        </w:tc>
        <w:tc>
          <w:tcPr>
            <w:tcW w:w="3398" w:type="dxa"/>
            <w:noWrap/>
            <w:vAlign w:val="bottom"/>
          </w:tcPr>
          <w:p w14:paraId="73896989" w14:textId="46648A51" w:rsidR="00884BB4" w:rsidRDefault="00884BB4" w:rsidP="00884BB4">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Likely significant investment </w:t>
            </w:r>
          </w:p>
        </w:tc>
        <w:tc>
          <w:tcPr>
            <w:tcW w:w="860" w:type="dxa"/>
            <w:noWrap/>
            <w:vAlign w:val="bottom"/>
          </w:tcPr>
          <w:p w14:paraId="79A2B270" w14:textId="08AD2E54" w:rsidR="00884BB4" w:rsidRDefault="00884BB4" w:rsidP="00884BB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1.00 </w:t>
            </w:r>
          </w:p>
        </w:tc>
        <w:tc>
          <w:tcPr>
            <w:tcW w:w="1005" w:type="dxa"/>
            <w:noWrap/>
            <w:vAlign w:val="bottom"/>
          </w:tcPr>
          <w:p w14:paraId="71A474AF" w14:textId="76D6F9B2" w:rsidR="00884BB4" w:rsidRDefault="00884BB4" w:rsidP="00884BB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0.30 </w:t>
            </w:r>
          </w:p>
        </w:tc>
        <w:tc>
          <w:tcPr>
            <w:tcW w:w="1092" w:type="dxa"/>
            <w:noWrap/>
            <w:vAlign w:val="bottom"/>
          </w:tcPr>
          <w:p w14:paraId="4D1D6378" w14:textId="77777777" w:rsidR="00884BB4" w:rsidRPr="00132EAB" w:rsidRDefault="00884BB4" w:rsidP="00884BB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011" w:type="dxa"/>
            <w:noWrap/>
            <w:vAlign w:val="bottom"/>
          </w:tcPr>
          <w:p w14:paraId="7B7DE335" w14:textId="77777777" w:rsidR="00884BB4" w:rsidRPr="00132EAB" w:rsidRDefault="00884BB4" w:rsidP="00884BB4">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5263E6" w:rsidRPr="00056FAD" w14:paraId="14A2A3B9" w14:textId="77777777" w:rsidTr="0086022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55" w:type="dxa"/>
            <w:vMerge/>
            <w:vAlign w:val="center"/>
            <w:hideMark/>
          </w:tcPr>
          <w:p w14:paraId="0DFE30FD" w14:textId="77777777" w:rsidR="00884BB4" w:rsidRPr="00132EAB" w:rsidRDefault="00884BB4" w:rsidP="00884BB4">
            <w:pPr>
              <w:spacing w:before="0" w:after="0"/>
              <w:rPr>
                <w:rFonts w:ascii="Calibri" w:hAnsi="Calibri" w:cs="Calibri"/>
                <w:color w:val="000000"/>
                <w:sz w:val="16"/>
                <w:szCs w:val="16"/>
              </w:rPr>
            </w:pPr>
          </w:p>
        </w:tc>
        <w:tc>
          <w:tcPr>
            <w:tcW w:w="2433" w:type="dxa"/>
            <w:vAlign w:val="bottom"/>
            <w:hideMark/>
          </w:tcPr>
          <w:p w14:paraId="6BAA0930" w14:textId="250952A4" w:rsidR="00884BB4" w:rsidRPr="00132EAB" w:rsidRDefault="00884BB4" w:rsidP="00884BB4">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Medium platforms - AOSC</w:t>
            </w:r>
          </w:p>
        </w:tc>
        <w:tc>
          <w:tcPr>
            <w:tcW w:w="3061" w:type="dxa"/>
            <w:vAlign w:val="bottom"/>
            <w:hideMark/>
          </w:tcPr>
          <w:p w14:paraId="752F67E0" w14:textId="2560A7DA" w:rsidR="00884BB4" w:rsidRPr="00132EAB" w:rsidRDefault="00884BB4" w:rsidP="00884BB4">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 current arrangements</w:t>
            </w:r>
          </w:p>
        </w:tc>
        <w:tc>
          <w:tcPr>
            <w:tcW w:w="3398" w:type="dxa"/>
            <w:noWrap/>
            <w:vAlign w:val="bottom"/>
            <w:hideMark/>
          </w:tcPr>
          <w:p w14:paraId="36B0FCE1" w14:textId="2E1F26D9" w:rsidR="00884BB4" w:rsidRPr="00132EAB" w:rsidRDefault="003426A9" w:rsidP="00884BB4">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L</w:t>
            </w:r>
            <w:r w:rsidR="00884BB4">
              <w:rPr>
                <w:rFonts w:ascii="Calibri" w:hAnsi="Calibri" w:cs="Calibri"/>
                <w:color w:val="000000"/>
                <w:sz w:val="16"/>
                <w:szCs w:val="16"/>
              </w:rPr>
              <w:t xml:space="preserve">ikely significant investment </w:t>
            </w:r>
          </w:p>
        </w:tc>
        <w:tc>
          <w:tcPr>
            <w:tcW w:w="860" w:type="dxa"/>
            <w:noWrap/>
            <w:vAlign w:val="bottom"/>
            <w:hideMark/>
          </w:tcPr>
          <w:p w14:paraId="3EE20AFF" w14:textId="4F887CA9" w:rsidR="00884BB4" w:rsidRPr="00132EAB" w:rsidRDefault="00884BB4" w:rsidP="00884BB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1.00 </w:t>
            </w:r>
          </w:p>
        </w:tc>
        <w:tc>
          <w:tcPr>
            <w:tcW w:w="1005" w:type="dxa"/>
            <w:noWrap/>
            <w:vAlign w:val="bottom"/>
            <w:hideMark/>
          </w:tcPr>
          <w:p w14:paraId="00CCA884" w14:textId="5CECFDBE" w:rsidR="00884BB4" w:rsidRPr="00132EAB" w:rsidRDefault="00884BB4" w:rsidP="00884BB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0.30 </w:t>
            </w:r>
          </w:p>
        </w:tc>
        <w:tc>
          <w:tcPr>
            <w:tcW w:w="1092" w:type="dxa"/>
            <w:noWrap/>
            <w:vAlign w:val="bottom"/>
            <w:hideMark/>
          </w:tcPr>
          <w:p w14:paraId="46697531" w14:textId="77777777" w:rsidR="00884BB4" w:rsidRPr="00132EAB" w:rsidRDefault="00884BB4" w:rsidP="00884BB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1011" w:type="dxa"/>
            <w:noWrap/>
            <w:vAlign w:val="bottom"/>
            <w:hideMark/>
          </w:tcPr>
          <w:p w14:paraId="56C1BD34" w14:textId="77777777" w:rsidR="00884BB4" w:rsidRPr="00132EAB" w:rsidRDefault="00884BB4" w:rsidP="00884BB4">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r>
      <w:tr w:rsidR="006F5192" w:rsidRPr="00056FAD" w14:paraId="679A3D69" w14:textId="77777777" w:rsidTr="00860226">
        <w:trPr>
          <w:trHeight w:val="245"/>
        </w:trPr>
        <w:tc>
          <w:tcPr>
            <w:cnfStyle w:val="001000000000" w:firstRow="0" w:lastRow="0" w:firstColumn="1" w:lastColumn="0" w:oddVBand="0" w:evenVBand="0" w:oddHBand="0" w:evenHBand="0" w:firstRowFirstColumn="0" w:firstRowLastColumn="0" w:lastRowFirstColumn="0" w:lastRowLastColumn="0"/>
            <w:tcW w:w="1155" w:type="dxa"/>
            <w:vMerge/>
            <w:vAlign w:val="center"/>
            <w:hideMark/>
          </w:tcPr>
          <w:p w14:paraId="428AB1DB" w14:textId="77777777" w:rsidR="00884BB4" w:rsidRPr="00132EAB" w:rsidRDefault="00884BB4" w:rsidP="00884BB4">
            <w:pPr>
              <w:spacing w:before="0" w:after="0"/>
              <w:rPr>
                <w:rFonts w:ascii="Calibri" w:hAnsi="Calibri" w:cs="Calibri"/>
                <w:color w:val="000000"/>
                <w:sz w:val="16"/>
                <w:szCs w:val="16"/>
              </w:rPr>
            </w:pPr>
          </w:p>
        </w:tc>
        <w:tc>
          <w:tcPr>
            <w:tcW w:w="2433" w:type="dxa"/>
            <w:vAlign w:val="bottom"/>
            <w:hideMark/>
          </w:tcPr>
          <w:p w14:paraId="5DD5F03B" w14:textId="4D888451" w:rsidR="00884BB4" w:rsidRPr="00132EAB" w:rsidRDefault="00884BB4" w:rsidP="00884BB4">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Medium platforms - non-AOSC</w:t>
            </w:r>
          </w:p>
        </w:tc>
        <w:tc>
          <w:tcPr>
            <w:tcW w:w="3061" w:type="dxa"/>
            <w:vAlign w:val="bottom"/>
            <w:hideMark/>
          </w:tcPr>
          <w:p w14:paraId="736DE0D2" w14:textId="4D8D98B0" w:rsidR="00884BB4" w:rsidRPr="00132EAB" w:rsidRDefault="00884BB4" w:rsidP="00884BB4">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 current arrangements</w:t>
            </w:r>
          </w:p>
        </w:tc>
        <w:tc>
          <w:tcPr>
            <w:tcW w:w="3398" w:type="dxa"/>
            <w:vAlign w:val="bottom"/>
            <w:hideMark/>
          </w:tcPr>
          <w:p w14:paraId="5956CCE0" w14:textId="7C22178A" w:rsidR="00884BB4" w:rsidRPr="00132EAB" w:rsidRDefault="00884BB4" w:rsidP="00884BB4">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Likely significant investment </w:t>
            </w:r>
          </w:p>
        </w:tc>
        <w:tc>
          <w:tcPr>
            <w:tcW w:w="860" w:type="dxa"/>
            <w:noWrap/>
            <w:vAlign w:val="bottom"/>
            <w:hideMark/>
          </w:tcPr>
          <w:p w14:paraId="71FE9F7D" w14:textId="6A866FB1" w:rsidR="00884BB4" w:rsidRPr="00132EAB" w:rsidRDefault="00884BB4" w:rsidP="00884BB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1.00 </w:t>
            </w:r>
          </w:p>
        </w:tc>
        <w:tc>
          <w:tcPr>
            <w:tcW w:w="1005" w:type="dxa"/>
            <w:noWrap/>
            <w:vAlign w:val="bottom"/>
            <w:hideMark/>
          </w:tcPr>
          <w:p w14:paraId="503970C0" w14:textId="08F75186" w:rsidR="00884BB4" w:rsidRPr="00132EAB" w:rsidRDefault="00884BB4" w:rsidP="00884BB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0.30 </w:t>
            </w:r>
          </w:p>
        </w:tc>
        <w:tc>
          <w:tcPr>
            <w:tcW w:w="1092" w:type="dxa"/>
            <w:noWrap/>
            <w:vAlign w:val="bottom"/>
            <w:hideMark/>
          </w:tcPr>
          <w:p w14:paraId="46A756C8" w14:textId="77777777" w:rsidR="00884BB4" w:rsidRPr="00132EAB" w:rsidRDefault="00884BB4" w:rsidP="00884BB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011" w:type="dxa"/>
            <w:noWrap/>
            <w:vAlign w:val="bottom"/>
            <w:hideMark/>
          </w:tcPr>
          <w:p w14:paraId="1CB9191D" w14:textId="77777777" w:rsidR="00884BB4" w:rsidRPr="00132EAB" w:rsidRDefault="00884BB4" w:rsidP="00884BB4">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5263E6" w:rsidRPr="00056FAD" w14:paraId="454898ED" w14:textId="77777777" w:rsidTr="0086022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55" w:type="dxa"/>
            <w:vMerge w:val="restart"/>
            <w:vAlign w:val="center"/>
            <w:hideMark/>
          </w:tcPr>
          <w:p w14:paraId="2332DF48" w14:textId="7FCF665D" w:rsidR="00884BB4" w:rsidRPr="00132EAB" w:rsidRDefault="00884BB4" w:rsidP="00884BB4">
            <w:pPr>
              <w:spacing w:before="0" w:after="0"/>
              <w:rPr>
                <w:rFonts w:ascii="Calibri" w:hAnsi="Calibri" w:cs="Calibri"/>
                <w:color w:val="000000"/>
                <w:sz w:val="16"/>
                <w:szCs w:val="16"/>
              </w:rPr>
            </w:pPr>
            <w:r>
              <w:rPr>
                <w:rFonts w:ascii="Calibri" w:hAnsi="Calibri" w:cs="Calibri"/>
                <w:color w:val="000000"/>
                <w:sz w:val="16"/>
                <w:szCs w:val="16"/>
              </w:rPr>
              <w:t>EDR</w:t>
            </w:r>
          </w:p>
        </w:tc>
        <w:tc>
          <w:tcPr>
            <w:tcW w:w="2433" w:type="dxa"/>
            <w:vAlign w:val="bottom"/>
            <w:hideMark/>
          </w:tcPr>
          <w:p w14:paraId="71AC837A" w14:textId="651700A6" w:rsidR="00884BB4" w:rsidRPr="00132EAB" w:rsidRDefault="00884BB4" w:rsidP="00884BB4">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Major platforms - AOSC</w:t>
            </w:r>
          </w:p>
        </w:tc>
        <w:tc>
          <w:tcPr>
            <w:tcW w:w="3061" w:type="dxa"/>
            <w:vAlign w:val="bottom"/>
            <w:hideMark/>
          </w:tcPr>
          <w:p w14:paraId="023CD39D" w14:textId="6CD09F55" w:rsidR="00884BB4" w:rsidRPr="00132EAB" w:rsidRDefault="00884BB4" w:rsidP="00884BB4">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None</w:t>
            </w:r>
          </w:p>
        </w:tc>
        <w:tc>
          <w:tcPr>
            <w:tcW w:w="3398" w:type="dxa"/>
            <w:noWrap/>
            <w:vAlign w:val="bottom"/>
            <w:hideMark/>
          </w:tcPr>
          <w:p w14:paraId="728EDDE9" w14:textId="5AFAFF22" w:rsidR="00884BB4" w:rsidRPr="00132EAB" w:rsidRDefault="00884BB4" w:rsidP="00884BB4">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AFCA membership</w:t>
            </w:r>
          </w:p>
        </w:tc>
        <w:tc>
          <w:tcPr>
            <w:tcW w:w="860" w:type="dxa"/>
            <w:noWrap/>
            <w:vAlign w:val="bottom"/>
            <w:hideMark/>
          </w:tcPr>
          <w:p w14:paraId="6DE43678" w14:textId="77777777" w:rsidR="00884BB4" w:rsidRPr="00132EAB" w:rsidRDefault="00884BB4" w:rsidP="00884BB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1005" w:type="dxa"/>
            <w:noWrap/>
            <w:vAlign w:val="bottom"/>
            <w:hideMark/>
          </w:tcPr>
          <w:p w14:paraId="670A900E" w14:textId="77777777" w:rsidR="00884BB4" w:rsidRPr="00132EAB" w:rsidRDefault="00884BB4" w:rsidP="00884BB4">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092" w:type="dxa"/>
            <w:noWrap/>
            <w:vAlign w:val="bottom"/>
            <w:hideMark/>
          </w:tcPr>
          <w:p w14:paraId="1B4549AC" w14:textId="1C63C1BD" w:rsidR="00884BB4" w:rsidRPr="00132EAB" w:rsidRDefault="00884BB4" w:rsidP="00884BB4">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 xml:space="preserve">        0.18 </w:t>
            </w:r>
          </w:p>
        </w:tc>
        <w:tc>
          <w:tcPr>
            <w:tcW w:w="1011" w:type="dxa"/>
            <w:noWrap/>
            <w:vAlign w:val="bottom"/>
            <w:hideMark/>
          </w:tcPr>
          <w:p w14:paraId="4C280421" w14:textId="7F8A1D6D" w:rsidR="00884BB4" w:rsidRPr="00132EAB" w:rsidRDefault="00884BB4" w:rsidP="00884BB4">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 xml:space="preserve">        0.18 </w:t>
            </w:r>
          </w:p>
        </w:tc>
      </w:tr>
      <w:tr w:rsidR="006F5192" w:rsidRPr="00056FAD" w14:paraId="27CABE85" w14:textId="77777777" w:rsidTr="00860226">
        <w:trPr>
          <w:trHeight w:val="245"/>
        </w:trPr>
        <w:tc>
          <w:tcPr>
            <w:cnfStyle w:val="001000000000" w:firstRow="0" w:lastRow="0" w:firstColumn="1" w:lastColumn="0" w:oddVBand="0" w:evenVBand="0" w:oddHBand="0" w:evenHBand="0" w:firstRowFirstColumn="0" w:firstRowLastColumn="0" w:lastRowFirstColumn="0" w:lastRowLastColumn="0"/>
            <w:tcW w:w="1155" w:type="dxa"/>
            <w:vMerge/>
            <w:vAlign w:val="center"/>
          </w:tcPr>
          <w:p w14:paraId="73167367" w14:textId="77777777" w:rsidR="00514BDF" w:rsidRPr="00132EAB" w:rsidRDefault="00514BDF" w:rsidP="00514BDF">
            <w:pPr>
              <w:spacing w:before="0" w:after="0"/>
              <w:rPr>
                <w:rFonts w:ascii="Calibri" w:hAnsi="Calibri" w:cs="Calibri"/>
                <w:color w:val="000000"/>
                <w:sz w:val="16"/>
                <w:szCs w:val="16"/>
              </w:rPr>
            </w:pPr>
          </w:p>
        </w:tc>
        <w:tc>
          <w:tcPr>
            <w:tcW w:w="2433" w:type="dxa"/>
            <w:vAlign w:val="bottom"/>
          </w:tcPr>
          <w:p w14:paraId="3F56223D" w14:textId="7097D3EF" w:rsidR="00514BDF" w:rsidRDefault="00514BDF" w:rsidP="00514BDF">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Major platforms - non-AOSC</w:t>
            </w:r>
          </w:p>
        </w:tc>
        <w:tc>
          <w:tcPr>
            <w:tcW w:w="3061" w:type="dxa"/>
            <w:vAlign w:val="bottom"/>
          </w:tcPr>
          <w:p w14:paraId="666C66AF" w14:textId="0BAA630D" w:rsidR="00514BDF" w:rsidRDefault="00514BDF" w:rsidP="00514BDF">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None</w:t>
            </w:r>
          </w:p>
        </w:tc>
        <w:tc>
          <w:tcPr>
            <w:tcW w:w="3398" w:type="dxa"/>
            <w:noWrap/>
            <w:vAlign w:val="bottom"/>
          </w:tcPr>
          <w:p w14:paraId="67AC3052" w14:textId="22A69A81" w:rsidR="00514BDF" w:rsidRDefault="00514BDF" w:rsidP="00514BDF">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AFCA membership</w:t>
            </w:r>
          </w:p>
        </w:tc>
        <w:tc>
          <w:tcPr>
            <w:tcW w:w="860" w:type="dxa"/>
            <w:noWrap/>
            <w:vAlign w:val="bottom"/>
          </w:tcPr>
          <w:p w14:paraId="53C6B771" w14:textId="77777777" w:rsidR="00514BDF" w:rsidRPr="00132EAB" w:rsidRDefault="00514BDF" w:rsidP="00514BD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005" w:type="dxa"/>
            <w:noWrap/>
            <w:vAlign w:val="bottom"/>
          </w:tcPr>
          <w:p w14:paraId="09785B59" w14:textId="77777777" w:rsidR="00514BDF" w:rsidRPr="00132EAB" w:rsidRDefault="00514BDF" w:rsidP="00514BDF">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092" w:type="dxa"/>
            <w:noWrap/>
            <w:vAlign w:val="bottom"/>
          </w:tcPr>
          <w:p w14:paraId="69550B05" w14:textId="6C8203DA" w:rsidR="00514BDF" w:rsidRDefault="00514BDF" w:rsidP="00514BD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0.18 </w:t>
            </w:r>
          </w:p>
        </w:tc>
        <w:tc>
          <w:tcPr>
            <w:tcW w:w="1011" w:type="dxa"/>
            <w:noWrap/>
            <w:vAlign w:val="bottom"/>
          </w:tcPr>
          <w:p w14:paraId="7E94A6AA" w14:textId="52DABCDA" w:rsidR="00514BDF" w:rsidRDefault="00514BDF" w:rsidP="00514BD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0.18 </w:t>
            </w:r>
          </w:p>
        </w:tc>
      </w:tr>
      <w:tr w:rsidR="005263E6" w:rsidRPr="00056FAD" w14:paraId="2DF1051A" w14:textId="77777777" w:rsidTr="0086022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55" w:type="dxa"/>
            <w:vMerge/>
            <w:vAlign w:val="center"/>
            <w:hideMark/>
          </w:tcPr>
          <w:p w14:paraId="0D1F9D49" w14:textId="77777777" w:rsidR="009A1D5C" w:rsidRPr="00132EAB" w:rsidRDefault="009A1D5C" w:rsidP="009A1D5C">
            <w:pPr>
              <w:spacing w:before="0" w:after="0"/>
              <w:rPr>
                <w:rFonts w:ascii="Calibri" w:hAnsi="Calibri" w:cs="Calibri"/>
                <w:color w:val="000000"/>
                <w:sz w:val="16"/>
                <w:szCs w:val="16"/>
              </w:rPr>
            </w:pPr>
          </w:p>
        </w:tc>
        <w:tc>
          <w:tcPr>
            <w:tcW w:w="2433" w:type="dxa"/>
            <w:vAlign w:val="bottom"/>
            <w:hideMark/>
          </w:tcPr>
          <w:p w14:paraId="10E1B431" w14:textId="0CDEC0ED" w:rsidR="009A1D5C" w:rsidRPr="00132EAB" w:rsidRDefault="009A1D5C" w:rsidP="009A1D5C">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Medium platforms - </w:t>
            </w:r>
            <w:r w:rsidR="00514BDF">
              <w:rPr>
                <w:rFonts w:ascii="Calibri" w:hAnsi="Calibri" w:cs="Calibri"/>
                <w:color w:val="000000"/>
                <w:sz w:val="16"/>
                <w:szCs w:val="16"/>
              </w:rPr>
              <w:t>AOSC</w:t>
            </w:r>
          </w:p>
        </w:tc>
        <w:tc>
          <w:tcPr>
            <w:tcW w:w="3061" w:type="dxa"/>
            <w:vAlign w:val="bottom"/>
            <w:hideMark/>
          </w:tcPr>
          <w:p w14:paraId="3DCA77E5" w14:textId="71B21CDE" w:rsidR="009A1D5C" w:rsidRPr="00132EAB" w:rsidRDefault="009A1D5C" w:rsidP="009A1D5C">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None</w:t>
            </w:r>
          </w:p>
        </w:tc>
        <w:tc>
          <w:tcPr>
            <w:tcW w:w="3398" w:type="dxa"/>
            <w:noWrap/>
            <w:vAlign w:val="bottom"/>
            <w:hideMark/>
          </w:tcPr>
          <w:p w14:paraId="1B665998" w14:textId="7C879BC1" w:rsidR="009A1D5C" w:rsidRPr="00132EAB" w:rsidRDefault="009A1D5C" w:rsidP="009A1D5C">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AFCA membership</w:t>
            </w:r>
          </w:p>
        </w:tc>
        <w:tc>
          <w:tcPr>
            <w:tcW w:w="860" w:type="dxa"/>
            <w:noWrap/>
            <w:vAlign w:val="bottom"/>
            <w:hideMark/>
          </w:tcPr>
          <w:p w14:paraId="4087E80C" w14:textId="77777777" w:rsidR="009A1D5C" w:rsidRPr="00132EAB" w:rsidRDefault="009A1D5C" w:rsidP="009A1D5C">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1005" w:type="dxa"/>
            <w:noWrap/>
            <w:vAlign w:val="bottom"/>
            <w:hideMark/>
          </w:tcPr>
          <w:p w14:paraId="38DDE74E" w14:textId="77777777" w:rsidR="009A1D5C" w:rsidRPr="00132EAB" w:rsidRDefault="009A1D5C" w:rsidP="009A1D5C">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092" w:type="dxa"/>
            <w:noWrap/>
            <w:vAlign w:val="bottom"/>
            <w:hideMark/>
          </w:tcPr>
          <w:p w14:paraId="33FF7819" w14:textId="3B96C059" w:rsidR="009A1D5C" w:rsidRPr="00132EAB" w:rsidRDefault="009A1D5C" w:rsidP="009A1D5C">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 xml:space="preserve">        0.01 </w:t>
            </w:r>
          </w:p>
        </w:tc>
        <w:tc>
          <w:tcPr>
            <w:tcW w:w="1011" w:type="dxa"/>
            <w:noWrap/>
            <w:vAlign w:val="bottom"/>
            <w:hideMark/>
          </w:tcPr>
          <w:p w14:paraId="6AAF2BF9" w14:textId="2B1BA1EF" w:rsidR="009A1D5C" w:rsidRPr="00132EAB" w:rsidRDefault="009A1D5C" w:rsidP="009A1D5C">
            <w:pPr>
              <w:spacing w:before="0"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Calibri" w:hAnsi="Calibri" w:cs="Calibri"/>
                <w:color w:val="000000"/>
                <w:sz w:val="16"/>
                <w:szCs w:val="16"/>
              </w:rPr>
              <w:t xml:space="preserve">        0.01 </w:t>
            </w:r>
          </w:p>
        </w:tc>
      </w:tr>
      <w:tr w:rsidR="006F5192" w:rsidRPr="00056FAD" w14:paraId="6946343B" w14:textId="77777777" w:rsidTr="00860226">
        <w:trPr>
          <w:trHeight w:val="245"/>
        </w:trPr>
        <w:tc>
          <w:tcPr>
            <w:cnfStyle w:val="001000000000" w:firstRow="0" w:lastRow="0" w:firstColumn="1" w:lastColumn="0" w:oddVBand="0" w:evenVBand="0" w:oddHBand="0" w:evenHBand="0" w:firstRowFirstColumn="0" w:firstRowLastColumn="0" w:lastRowFirstColumn="0" w:lastRowLastColumn="0"/>
            <w:tcW w:w="1155" w:type="dxa"/>
            <w:vMerge/>
            <w:vAlign w:val="center"/>
            <w:hideMark/>
          </w:tcPr>
          <w:p w14:paraId="2E69BCC2" w14:textId="77777777" w:rsidR="009A1D5C" w:rsidRPr="00132EAB" w:rsidRDefault="009A1D5C" w:rsidP="009A1D5C">
            <w:pPr>
              <w:spacing w:before="0" w:after="0"/>
              <w:rPr>
                <w:rFonts w:ascii="Calibri" w:hAnsi="Calibri" w:cs="Calibri"/>
                <w:color w:val="000000"/>
                <w:sz w:val="16"/>
                <w:szCs w:val="16"/>
              </w:rPr>
            </w:pPr>
          </w:p>
        </w:tc>
        <w:tc>
          <w:tcPr>
            <w:tcW w:w="2433" w:type="dxa"/>
            <w:vAlign w:val="bottom"/>
            <w:hideMark/>
          </w:tcPr>
          <w:p w14:paraId="297B1CD2" w14:textId="11D53F7C" w:rsidR="009A1D5C" w:rsidRPr="00132EAB" w:rsidRDefault="009A1D5C" w:rsidP="009A1D5C">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Medium platforms - non-</w:t>
            </w:r>
            <w:r w:rsidR="00514BDF">
              <w:rPr>
                <w:rFonts w:ascii="Calibri" w:hAnsi="Calibri" w:cs="Calibri"/>
                <w:color w:val="000000"/>
                <w:sz w:val="16"/>
                <w:szCs w:val="16"/>
              </w:rPr>
              <w:t>AOSC</w:t>
            </w:r>
          </w:p>
        </w:tc>
        <w:tc>
          <w:tcPr>
            <w:tcW w:w="3061" w:type="dxa"/>
            <w:vAlign w:val="bottom"/>
            <w:hideMark/>
          </w:tcPr>
          <w:p w14:paraId="730D5C8F" w14:textId="0E0AE3BB" w:rsidR="009A1D5C" w:rsidRPr="00132EAB" w:rsidRDefault="009A1D5C" w:rsidP="009A1D5C">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None</w:t>
            </w:r>
          </w:p>
        </w:tc>
        <w:tc>
          <w:tcPr>
            <w:tcW w:w="3398" w:type="dxa"/>
            <w:noWrap/>
            <w:vAlign w:val="bottom"/>
            <w:hideMark/>
          </w:tcPr>
          <w:p w14:paraId="62A4C399" w14:textId="71D739EF" w:rsidR="009A1D5C" w:rsidRPr="00056FAD" w:rsidRDefault="009A1D5C" w:rsidP="009A1D5C">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AFCA membership</w:t>
            </w:r>
          </w:p>
        </w:tc>
        <w:tc>
          <w:tcPr>
            <w:tcW w:w="860" w:type="dxa"/>
            <w:vAlign w:val="bottom"/>
          </w:tcPr>
          <w:p w14:paraId="65F0A2EA" w14:textId="2EFD0D31" w:rsidR="009A1D5C" w:rsidRPr="00132EAB" w:rsidRDefault="009A1D5C" w:rsidP="009A1D5C">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005" w:type="dxa"/>
            <w:noWrap/>
            <w:vAlign w:val="bottom"/>
            <w:hideMark/>
          </w:tcPr>
          <w:p w14:paraId="5BA6DF25" w14:textId="3CEFD36A" w:rsidR="009A1D5C" w:rsidRPr="00132EAB" w:rsidRDefault="009A1D5C" w:rsidP="009A1D5C">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092" w:type="dxa"/>
            <w:noWrap/>
            <w:vAlign w:val="bottom"/>
            <w:hideMark/>
          </w:tcPr>
          <w:p w14:paraId="2BCB7D1D" w14:textId="07879BD0" w:rsidR="009A1D5C" w:rsidRPr="00132EAB" w:rsidRDefault="009A1D5C" w:rsidP="009A1D5C">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0.01 </w:t>
            </w:r>
          </w:p>
        </w:tc>
        <w:tc>
          <w:tcPr>
            <w:tcW w:w="1011" w:type="dxa"/>
            <w:noWrap/>
            <w:vAlign w:val="bottom"/>
            <w:hideMark/>
          </w:tcPr>
          <w:p w14:paraId="388B7FE0" w14:textId="2959234C" w:rsidR="009A1D5C" w:rsidRPr="00132EAB" w:rsidRDefault="009A1D5C" w:rsidP="009A1D5C">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        0.01 </w:t>
            </w:r>
          </w:p>
        </w:tc>
      </w:tr>
    </w:tbl>
    <w:p w14:paraId="6737A8DB" w14:textId="77777777" w:rsidR="002430E3" w:rsidRPr="002430E3" w:rsidRDefault="002430E3" w:rsidP="002430E3">
      <w:pPr>
        <w:sectPr w:rsidR="002430E3" w:rsidRPr="002430E3" w:rsidSect="00382253">
          <w:pgSz w:w="16838" w:h="11906" w:orient="landscape"/>
          <w:pgMar w:top="1418" w:right="1418" w:bottom="1418" w:left="1418" w:header="709" w:footer="709" w:gutter="0"/>
          <w:cols w:space="708"/>
          <w:titlePg/>
          <w:docGrid w:linePitch="360"/>
        </w:sectPr>
      </w:pPr>
    </w:p>
    <w:p w14:paraId="73D07A0F" w14:textId="13D4A5B3" w:rsidR="00A62B34" w:rsidRPr="00A62B34" w:rsidRDefault="00605CB3" w:rsidP="00BE17D1">
      <w:pPr>
        <w:pStyle w:val="Heading3"/>
      </w:pPr>
      <w:bookmarkStart w:id="95" w:name="_Toc179556421"/>
      <w:r>
        <w:lastRenderedPageBreak/>
        <w:t xml:space="preserve">Appendix </w:t>
      </w:r>
      <w:fldSimple w:instr=" SEQ Appendix \* ARABIC ">
        <w:r>
          <w:rPr>
            <w:noProof/>
          </w:rPr>
          <w:t>3</w:t>
        </w:r>
      </w:fldSimple>
      <w:r w:rsidR="005D7763">
        <w:t xml:space="preserve"> </w:t>
      </w:r>
      <w:r w:rsidR="00396445">
        <w:t>–</w:t>
      </w:r>
      <w:r w:rsidR="005D7763">
        <w:t xml:space="preserve"> </w:t>
      </w:r>
      <w:r w:rsidR="00396445">
        <w:t>Outcomes and evaluation matrix</w:t>
      </w:r>
      <w:bookmarkEnd w:id="95"/>
    </w:p>
    <w:tbl>
      <w:tblPr>
        <w:tblStyle w:val="Custom1"/>
        <w:tblpPr w:leftFromText="180" w:rightFromText="180" w:vertAnchor="text" w:tblpX="-851" w:tblpY="1"/>
        <w:tblOverlap w:val="never"/>
        <w:tblW w:w="15647" w:type="dxa"/>
        <w:tblInd w:w="0" w:type="dxa"/>
        <w:tblLook w:val="04A0" w:firstRow="1" w:lastRow="0" w:firstColumn="1" w:lastColumn="0" w:noHBand="0" w:noVBand="1"/>
      </w:tblPr>
      <w:tblGrid>
        <w:gridCol w:w="2090"/>
        <w:gridCol w:w="1174"/>
        <w:gridCol w:w="1981"/>
        <w:gridCol w:w="3260"/>
        <w:gridCol w:w="3711"/>
        <w:gridCol w:w="3431"/>
      </w:tblGrid>
      <w:tr w:rsidR="003F419E" w:rsidRPr="007333E8" w14:paraId="124F12B8" w14:textId="23CD2BB0" w:rsidTr="00647982">
        <w:trPr>
          <w:cnfStyle w:val="100000000000" w:firstRow="1" w:lastRow="0" w:firstColumn="0" w:lastColumn="0" w:oddVBand="0" w:evenVBand="0" w:oddHBand="0" w:evenHBand="0" w:firstRowFirstColumn="0" w:firstRowLastColumn="0" w:lastRowFirstColumn="0" w:lastRowLastColumn="0"/>
          <w:trHeight w:val="228"/>
          <w:tblHeader/>
        </w:trPr>
        <w:tc>
          <w:tcPr>
            <w:tcW w:w="2090" w:type="dxa"/>
          </w:tcPr>
          <w:p w14:paraId="2BE5BDF9" w14:textId="382A27C8" w:rsidR="00826141" w:rsidRPr="007333E8" w:rsidRDefault="00826141" w:rsidP="00BE17D1">
            <w:pPr>
              <w:tabs>
                <w:tab w:val="right" w:pos="2564"/>
              </w:tabs>
              <w:rPr>
                <w:rFonts w:asciiTheme="minorHAnsi" w:hAnsiTheme="minorHAnsi" w:cstheme="minorHAnsi"/>
                <w:bCs/>
                <w:szCs w:val="18"/>
              </w:rPr>
            </w:pPr>
            <w:r w:rsidRPr="007333E8">
              <w:rPr>
                <w:rFonts w:asciiTheme="minorHAnsi" w:hAnsiTheme="minorHAnsi" w:cstheme="minorHAnsi"/>
                <w:bCs/>
                <w:szCs w:val="18"/>
              </w:rPr>
              <w:t>Outcomes</w:t>
            </w:r>
            <w:r w:rsidR="00190566">
              <w:rPr>
                <w:rFonts w:asciiTheme="minorHAnsi" w:hAnsiTheme="minorHAnsi" w:cstheme="minorHAnsi"/>
                <w:bCs/>
                <w:szCs w:val="18"/>
              </w:rPr>
              <w:tab/>
            </w:r>
          </w:p>
        </w:tc>
        <w:tc>
          <w:tcPr>
            <w:tcW w:w="1174" w:type="dxa"/>
          </w:tcPr>
          <w:p w14:paraId="3AF804C4" w14:textId="60E8ABD7" w:rsidR="00826141" w:rsidRPr="007333E8" w:rsidRDefault="00826141" w:rsidP="00BE17D1">
            <w:pPr>
              <w:rPr>
                <w:rFonts w:asciiTheme="minorHAnsi" w:hAnsiTheme="minorHAnsi" w:cstheme="minorHAnsi"/>
                <w:bCs/>
                <w:szCs w:val="18"/>
              </w:rPr>
            </w:pPr>
            <w:r w:rsidRPr="007333E8">
              <w:rPr>
                <w:rFonts w:asciiTheme="minorHAnsi" w:hAnsiTheme="minorHAnsi" w:cstheme="minorHAnsi"/>
                <w:bCs/>
                <w:szCs w:val="18"/>
              </w:rPr>
              <w:t>Measure type</w:t>
            </w:r>
          </w:p>
        </w:tc>
        <w:tc>
          <w:tcPr>
            <w:tcW w:w="1981" w:type="dxa"/>
          </w:tcPr>
          <w:p w14:paraId="329C6899" w14:textId="6E712204" w:rsidR="00826141" w:rsidRPr="007333E8" w:rsidRDefault="00826141">
            <w:pPr>
              <w:rPr>
                <w:rFonts w:asciiTheme="minorHAnsi" w:hAnsiTheme="minorHAnsi" w:cstheme="minorHAnsi"/>
                <w:bCs/>
                <w:szCs w:val="18"/>
              </w:rPr>
            </w:pPr>
            <w:r>
              <w:rPr>
                <w:rFonts w:asciiTheme="minorHAnsi" w:hAnsiTheme="minorHAnsi" w:cstheme="minorHAnsi"/>
                <w:bCs/>
                <w:szCs w:val="18"/>
              </w:rPr>
              <w:t>Past e</w:t>
            </w:r>
            <w:r w:rsidRPr="007333E8">
              <w:rPr>
                <w:rFonts w:asciiTheme="minorHAnsi" w:hAnsiTheme="minorHAnsi" w:cstheme="minorHAnsi"/>
                <w:bCs/>
                <w:szCs w:val="18"/>
              </w:rPr>
              <w:t>vidence base</w:t>
            </w:r>
          </w:p>
        </w:tc>
        <w:tc>
          <w:tcPr>
            <w:tcW w:w="3260" w:type="dxa"/>
          </w:tcPr>
          <w:p w14:paraId="5EDA1EBD" w14:textId="77777777" w:rsidR="00826141" w:rsidRPr="007333E8" w:rsidRDefault="00826141">
            <w:pPr>
              <w:rPr>
                <w:rFonts w:asciiTheme="minorHAnsi" w:hAnsiTheme="minorHAnsi" w:cstheme="minorHAnsi"/>
                <w:b w:val="0"/>
                <w:bCs/>
                <w:szCs w:val="18"/>
              </w:rPr>
            </w:pPr>
            <w:r w:rsidRPr="007333E8">
              <w:rPr>
                <w:rFonts w:asciiTheme="minorHAnsi" w:hAnsiTheme="minorHAnsi" w:cstheme="minorHAnsi"/>
                <w:bCs/>
                <w:szCs w:val="18"/>
              </w:rPr>
              <w:t xml:space="preserve">Status quo </w:t>
            </w:r>
          </w:p>
        </w:tc>
        <w:tc>
          <w:tcPr>
            <w:tcW w:w="3711" w:type="dxa"/>
          </w:tcPr>
          <w:p w14:paraId="70DA15F2" w14:textId="77777777" w:rsidR="00826141" w:rsidRPr="007333E8" w:rsidRDefault="00826141">
            <w:pPr>
              <w:rPr>
                <w:rFonts w:asciiTheme="minorHAnsi" w:hAnsiTheme="minorHAnsi" w:cstheme="minorHAnsi"/>
                <w:b w:val="0"/>
                <w:bCs/>
                <w:szCs w:val="18"/>
              </w:rPr>
            </w:pPr>
            <w:r w:rsidRPr="007333E8">
              <w:rPr>
                <w:rFonts w:asciiTheme="minorHAnsi" w:hAnsiTheme="minorHAnsi" w:cstheme="minorHAnsi"/>
                <w:bCs/>
                <w:szCs w:val="18"/>
              </w:rPr>
              <w:t>Expected impacts</w:t>
            </w:r>
          </w:p>
        </w:tc>
        <w:tc>
          <w:tcPr>
            <w:tcW w:w="3431" w:type="dxa"/>
          </w:tcPr>
          <w:p w14:paraId="7988DB39" w14:textId="691BCDF4" w:rsidR="00826141" w:rsidRPr="007333E8" w:rsidRDefault="00655972">
            <w:pPr>
              <w:rPr>
                <w:rFonts w:asciiTheme="minorHAnsi" w:hAnsiTheme="minorHAnsi" w:cstheme="minorHAnsi"/>
                <w:b w:val="0"/>
                <w:bCs/>
                <w:szCs w:val="18"/>
              </w:rPr>
            </w:pPr>
            <w:r w:rsidRPr="007333E8">
              <w:rPr>
                <w:rFonts w:asciiTheme="minorHAnsi" w:hAnsiTheme="minorHAnsi" w:cstheme="minorHAnsi"/>
                <w:bCs/>
                <w:szCs w:val="18"/>
              </w:rPr>
              <w:t xml:space="preserve">Caveats </w:t>
            </w:r>
          </w:p>
        </w:tc>
      </w:tr>
      <w:tr w:rsidR="003F419E" w:rsidRPr="007333E8" w14:paraId="7861FE3A" w14:textId="59DB745A" w:rsidTr="00647982">
        <w:trPr>
          <w:cnfStyle w:val="000000100000" w:firstRow="0" w:lastRow="0" w:firstColumn="0" w:lastColumn="0" w:oddVBand="0" w:evenVBand="0" w:oddHBand="1" w:evenHBand="0" w:firstRowFirstColumn="0" w:firstRowLastColumn="0" w:lastRowFirstColumn="0" w:lastRowLastColumn="0"/>
          <w:trHeight w:val="723"/>
        </w:trPr>
        <w:tc>
          <w:tcPr>
            <w:tcW w:w="2090" w:type="dxa"/>
          </w:tcPr>
          <w:p w14:paraId="76F68170" w14:textId="71F6AE09" w:rsidR="00B70519" w:rsidRPr="007333E8" w:rsidRDefault="00B70519">
            <w:pPr>
              <w:rPr>
                <w:rFonts w:asciiTheme="minorHAnsi" w:hAnsiTheme="minorHAnsi" w:cstheme="minorHAnsi"/>
                <w:b/>
                <w:bCs/>
                <w:szCs w:val="18"/>
              </w:rPr>
            </w:pPr>
            <w:r w:rsidRPr="007333E8">
              <w:rPr>
                <w:rFonts w:asciiTheme="minorHAnsi" w:hAnsiTheme="minorHAnsi" w:cstheme="minorHAnsi"/>
                <w:b/>
                <w:bCs/>
                <w:szCs w:val="18"/>
              </w:rPr>
              <w:t xml:space="preserve">Reduced demographic rates of exposure and victimisation of consumers to scams </w:t>
            </w:r>
          </w:p>
        </w:tc>
        <w:tc>
          <w:tcPr>
            <w:tcW w:w="1174" w:type="dxa"/>
            <w:vMerge w:val="restart"/>
          </w:tcPr>
          <w:p w14:paraId="1D34A164" w14:textId="59153A02" w:rsidR="00B70519" w:rsidRPr="007333E8" w:rsidRDefault="00B70519">
            <w:pPr>
              <w:rPr>
                <w:rFonts w:asciiTheme="minorHAnsi" w:hAnsiTheme="minorHAnsi" w:cstheme="minorHAnsi"/>
                <w:szCs w:val="18"/>
              </w:rPr>
            </w:pPr>
            <w:r w:rsidRPr="007333E8">
              <w:rPr>
                <w:rFonts w:asciiTheme="minorHAnsi" w:hAnsiTheme="minorHAnsi" w:cstheme="minorHAnsi"/>
                <w:szCs w:val="18"/>
              </w:rPr>
              <w:t>Quantitative</w:t>
            </w:r>
          </w:p>
        </w:tc>
        <w:tc>
          <w:tcPr>
            <w:tcW w:w="1981" w:type="dxa"/>
          </w:tcPr>
          <w:p w14:paraId="0532DB4F" w14:textId="77777777" w:rsidR="00B70519" w:rsidRDefault="00B70519">
            <w:pPr>
              <w:rPr>
                <w:rFonts w:asciiTheme="minorHAnsi" w:hAnsiTheme="minorHAnsi" w:cstheme="minorHAnsi"/>
                <w:i/>
                <w:iCs/>
                <w:szCs w:val="18"/>
              </w:rPr>
            </w:pPr>
            <w:r w:rsidRPr="007333E8">
              <w:rPr>
                <w:rFonts w:asciiTheme="minorHAnsi" w:hAnsiTheme="minorHAnsi" w:cstheme="minorHAnsi"/>
                <w:szCs w:val="18"/>
              </w:rPr>
              <w:t xml:space="preserve">ABS, </w:t>
            </w:r>
            <w:hyperlink r:id="rId44" w:history="1">
              <w:r w:rsidRPr="007333E8">
                <w:rPr>
                  <w:rStyle w:val="Hyperlink"/>
                  <w:rFonts w:asciiTheme="minorHAnsi" w:hAnsiTheme="minorHAnsi" w:cstheme="minorHAnsi"/>
                  <w:i/>
                  <w:iCs/>
                  <w:szCs w:val="18"/>
                </w:rPr>
                <w:t>Personal Fraud</w:t>
              </w:r>
            </w:hyperlink>
            <w:r w:rsidRPr="007333E8">
              <w:rPr>
                <w:rFonts w:asciiTheme="minorHAnsi" w:hAnsiTheme="minorHAnsi" w:cstheme="minorHAnsi"/>
                <w:i/>
                <w:iCs/>
                <w:szCs w:val="18"/>
              </w:rPr>
              <w:t xml:space="preserve"> </w:t>
            </w:r>
          </w:p>
          <w:p w14:paraId="1DA5EC5A" w14:textId="0B140FE3" w:rsidR="00B70519" w:rsidRPr="007333E8" w:rsidRDefault="00B70519">
            <w:pPr>
              <w:rPr>
                <w:rFonts w:asciiTheme="minorHAnsi" w:hAnsiTheme="minorHAnsi" w:cstheme="minorHAnsi"/>
                <w:szCs w:val="18"/>
              </w:rPr>
            </w:pPr>
            <w:r w:rsidRPr="007333E8">
              <w:rPr>
                <w:rFonts w:asciiTheme="minorHAnsi" w:hAnsiTheme="minorHAnsi" w:cstheme="minorHAnsi"/>
                <w:szCs w:val="18"/>
              </w:rPr>
              <w:t xml:space="preserve">AIC, </w:t>
            </w:r>
            <w:hyperlink r:id="rId45" w:history="1">
              <w:r w:rsidRPr="007333E8">
                <w:rPr>
                  <w:rStyle w:val="Hyperlink"/>
                  <w:rFonts w:asciiTheme="minorHAnsi" w:hAnsiTheme="minorHAnsi" w:cstheme="minorHAnsi"/>
                  <w:i/>
                  <w:iCs/>
                  <w:szCs w:val="18"/>
                </w:rPr>
                <w:t>Cybercrime in Australia</w:t>
              </w:r>
              <w:r>
                <w:br/>
                <w:t>T</w:t>
              </w:r>
              <w:r w:rsidRPr="007333E8">
                <w:rPr>
                  <w:rFonts w:asciiTheme="minorHAnsi" w:hAnsiTheme="minorHAnsi" w:cstheme="minorHAnsi"/>
                  <w:szCs w:val="18"/>
                </w:rPr>
                <w:t xml:space="preserve">reasury, </w:t>
              </w:r>
              <w:hyperlink r:id="rId46" w:history="1">
                <w:r w:rsidRPr="007333E8">
                  <w:rPr>
                    <w:rStyle w:val="Hyperlink"/>
                    <w:rFonts w:asciiTheme="minorHAnsi" w:hAnsiTheme="minorHAnsi" w:cstheme="minorHAnsi"/>
                    <w:i/>
                    <w:iCs/>
                    <w:szCs w:val="18"/>
                  </w:rPr>
                  <w:t>Australian Consumer Survey</w:t>
                </w:r>
              </w:hyperlink>
              <w:r w:rsidRPr="007333E8">
                <w:rPr>
                  <w:rStyle w:val="Hyperlink"/>
                  <w:rFonts w:asciiTheme="minorHAnsi" w:hAnsiTheme="minorHAnsi" w:cstheme="minorHAnsi"/>
                  <w:szCs w:val="18"/>
                </w:rPr>
                <w:t xml:space="preserve"> </w:t>
              </w:r>
            </w:hyperlink>
            <w:r w:rsidRPr="007333E8">
              <w:rPr>
                <w:rFonts w:asciiTheme="minorHAnsi" w:hAnsiTheme="minorHAnsi" w:cstheme="minorHAnsi"/>
                <w:i/>
                <w:iCs/>
                <w:szCs w:val="18"/>
              </w:rPr>
              <w:t xml:space="preserve"> </w:t>
            </w:r>
          </w:p>
        </w:tc>
        <w:tc>
          <w:tcPr>
            <w:tcW w:w="3260" w:type="dxa"/>
          </w:tcPr>
          <w:p w14:paraId="042C3952" w14:textId="77777777" w:rsidR="00B70519" w:rsidRPr="007333E8" w:rsidRDefault="00B70519">
            <w:pPr>
              <w:rPr>
                <w:rFonts w:asciiTheme="minorHAnsi" w:hAnsiTheme="minorHAnsi" w:cstheme="minorHAnsi"/>
                <w:szCs w:val="18"/>
              </w:rPr>
            </w:pPr>
            <w:r w:rsidRPr="007333E8">
              <w:rPr>
                <w:rFonts w:asciiTheme="minorHAnsi" w:hAnsiTheme="minorHAnsi" w:cstheme="minorHAnsi"/>
                <w:szCs w:val="18"/>
              </w:rPr>
              <w:t>Consumer surveys in Australia have found that scam exposure is widespread. Estimates of exposure to scam attempts sit around 65% of the population, with victimisation between 2% to 3%.</w:t>
            </w:r>
          </w:p>
        </w:tc>
        <w:tc>
          <w:tcPr>
            <w:tcW w:w="3711" w:type="dxa"/>
            <w:vMerge w:val="restart"/>
          </w:tcPr>
          <w:p w14:paraId="1D24C544" w14:textId="77777777" w:rsidR="00B70519" w:rsidRPr="007333E8" w:rsidRDefault="00B70519">
            <w:pPr>
              <w:rPr>
                <w:rFonts w:asciiTheme="minorHAnsi" w:hAnsiTheme="minorHAnsi" w:cstheme="minorHAnsi"/>
                <w:szCs w:val="18"/>
              </w:rPr>
            </w:pPr>
            <w:r w:rsidRPr="007333E8">
              <w:rPr>
                <w:rFonts w:asciiTheme="minorHAnsi" w:hAnsiTheme="minorHAnsi" w:cstheme="minorHAnsi"/>
                <w:szCs w:val="18"/>
              </w:rPr>
              <w:t xml:space="preserve">Greater business anti-scam measures, particularly prevention and disruption measures, will contribute to lower rates of exposure and victimisation to scams. </w:t>
            </w:r>
          </w:p>
          <w:p w14:paraId="374E4DD0" w14:textId="0AF1D4C6" w:rsidR="00B70519" w:rsidRPr="007333E8" w:rsidRDefault="00B70519">
            <w:pPr>
              <w:rPr>
                <w:rFonts w:asciiTheme="minorHAnsi" w:hAnsiTheme="minorHAnsi" w:cstheme="minorHAnsi"/>
                <w:szCs w:val="18"/>
              </w:rPr>
            </w:pPr>
            <w:r w:rsidRPr="007333E8">
              <w:rPr>
                <w:rFonts w:asciiTheme="minorHAnsi" w:hAnsiTheme="minorHAnsi" w:cstheme="minorHAnsi"/>
                <w:szCs w:val="18"/>
              </w:rPr>
              <w:t xml:space="preserve">Increasing avenues for consumer redress may lead to a decline in average losses as the impacts of scams become less ruinous for the consumer. </w:t>
            </w:r>
          </w:p>
        </w:tc>
        <w:tc>
          <w:tcPr>
            <w:tcW w:w="3431" w:type="dxa"/>
          </w:tcPr>
          <w:p w14:paraId="7FC309F5" w14:textId="34F44E4C" w:rsidR="00B70519" w:rsidRPr="007333E8" w:rsidRDefault="00B70519">
            <w:pPr>
              <w:rPr>
                <w:rFonts w:asciiTheme="minorHAnsi" w:hAnsiTheme="minorHAnsi" w:cstheme="minorHAnsi"/>
                <w:szCs w:val="18"/>
              </w:rPr>
            </w:pPr>
            <w:r w:rsidRPr="007333E8">
              <w:rPr>
                <w:rFonts w:asciiTheme="minorHAnsi" w:hAnsiTheme="minorHAnsi" w:cstheme="minorHAnsi"/>
                <w:szCs w:val="18"/>
              </w:rPr>
              <w:t xml:space="preserve">Due to the nature </w:t>
            </w:r>
            <w:r w:rsidR="006C02D6">
              <w:rPr>
                <w:rFonts w:asciiTheme="minorHAnsi" w:hAnsiTheme="minorHAnsi" w:cstheme="minorHAnsi"/>
                <w:szCs w:val="18"/>
              </w:rPr>
              <w:t>and increasing prevalence</w:t>
            </w:r>
            <w:r w:rsidRPr="007333E8">
              <w:rPr>
                <w:rFonts w:asciiTheme="minorHAnsi" w:hAnsiTheme="minorHAnsi" w:cstheme="minorHAnsi"/>
                <w:szCs w:val="18"/>
              </w:rPr>
              <w:t xml:space="preserve"> of scam activity, it is impossible to eradicate overall exposure to scams. Figures relating to victimisation are more accurate assessments of the degree to which scam attempts ‘break through’ and impact Australians. </w:t>
            </w:r>
            <w:r w:rsidR="006C02D6">
              <w:rPr>
                <w:rFonts w:asciiTheme="minorHAnsi" w:hAnsiTheme="minorHAnsi" w:cstheme="minorHAnsi"/>
                <w:szCs w:val="18"/>
              </w:rPr>
              <w:t xml:space="preserve">Improvements should be </w:t>
            </w:r>
            <w:r w:rsidR="00E50EA6">
              <w:rPr>
                <w:rFonts w:asciiTheme="minorHAnsi" w:hAnsiTheme="minorHAnsi" w:cstheme="minorHAnsi"/>
                <w:szCs w:val="18"/>
              </w:rPr>
              <w:t>analysed in context to short-term trends whilst accounting for the fact that scam activity can fluctuate</w:t>
            </w:r>
            <w:r w:rsidR="009C5100">
              <w:rPr>
                <w:rFonts w:asciiTheme="minorHAnsi" w:hAnsiTheme="minorHAnsi" w:cstheme="minorHAnsi"/>
                <w:szCs w:val="18"/>
              </w:rPr>
              <w:t>, which the ACCC is well equipped to identify and account for.</w:t>
            </w:r>
            <w:r w:rsidR="008D768B">
              <w:rPr>
                <w:rFonts w:asciiTheme="minorHAnsi" w:hAnsiTheme="minorHAnsi" w:cstheme="minorHAnsi"/>
                <w:szCs w:val="18"/>
              </w:rPr>
              <w:t xml:space="preserve"> </w:t>
            </w:r>
          </w:p>
        </w:tc>
      </w:tr>
      <w:tr w:rsidR="003F419E" w:rsidRPr="007333E8" w14:paraId="00B5CCCE" w14:textId="47045457" w:rsidTr="00647982">
        <w:trPr>
          <w:trHeight w:val="702"/>
        </w:trPr>
        <w:tc>
          <w:tcPr>
            <w:tcW w:w="2090" w:type="dxa"/>
          </w:tcPr>
          <w:p w14:paraId="07F49E5B" w14:textId="77777777" w:rsidR="00B70519" w:rsidRPr="007333E8" w:rsidRDefault="00B70519">
            <w:pPr>
              <w:rPr>
                <w:rFonts w:asciiTheme="minorHAnsi" w:hAnsiTheme="minorHAnsi" w:cstheme="minorHAnsi"/>
                <w:b/>
                <w:bCs/>
                <w:szCs w:val="18"/>
              </w:rPr>
            </w:pPr>
            <w:r w:rsidRPr="007333E8">
              <w:rPr>
                <w:rFonts w:asciiTheme="minorHAnsi" w:hAnsiTheme="minorHAnsi" w:cstheme="minorHAnsi"/>
                <w:b/>
                <w:bCs/>
                <w:szCs w:val="18"/>
              </w:rPr>
              <w:t>Reduced consumer losses to scams reported to regulators</w:t>
            </w:r>
          </w:p>
        </w:tc>
        <w:tc>
          <w:tcPr>
            <w:tcW w:w="1174" w:type="dxa"/>
            <w:vMerge/>
          </w:tcPr>
          <w:p w14:paraId="4FA7A59D" w14:textId="77777777" w:rsidR="00B70519" w:rsidRPr="007333E8" w:rsidRDefault="00B70519">
            <w:pPr>
              <w:rPr>
                <w:rFonts w:asciiTheme="minorHAnsi" w:hAnsiTheme="minorHAnsi" w:cstheme="minorHAnsi"/>
                <w:szCs w:val="18"/>
              </w:rPr>
            </w:pPr>
          </w:p>
        </w:tc>
        <w:tc>
          <w:tcPr>
            <w:tcW w:w="1981" w:type="dxa"/>
          </w:tcPr>
          <w:p w14:paraId="6B6E40CA" w14:textId="1BB2350F" w:rsidR="00B70519" w:rsidRPr="007333E8" w:rsidRDefault="00B70519">
            <w:pPr>
              <w:rPr>
                <w:rFonts w:asciiTheme="minorHAnsi" w:hAnsiTheme="minorHAnsi" w:cstheme="minorHAnsi"/>
                <w:szCs w:val="18"/>
              </w:rPr>
            </w:pPr>
            <w:r w:rsidRPr="007333E8">
              <w:rPr>
                <w:rFonts w:asciiTheme="minorHAnsi" w:hAnsiTheme="minorHAnsi" w:cstheme="minorHAnsi"/>
                <w:szCs w:val="18"/>
              </w:rPr>
              <w:t xml:space="preserve">ACCC, </w:t>
            </w:r>
            <w:hyperlink r:id="rId47" w:history="1">
              <w:r w:rsidRPr="007333E8">
                <w:rPr>
                  <w:rStyle w:val="Hyperlink"/>
                  <w:rFonts w:asciiTheme="minorHAnsi" w:hAnsiTheme="minorHAnsi" w:cstheme="minorHAnsi"/>
                  <w:i/>
                  <w:iCs/>
                  <w:szCs w:val="18"/>
                </w:rPr>
                <w:t>Targeting Scams</w:t>
              </w:r>
            </w:hyperlink>
            <w:r w:rsidRPr="007333E8">
              <w:rPr>
                <w:rFonts w:asciiTheme="minorHAnsi" w:hAnsiTheme="minorHAnsi" w:cstheme="minorHAnsi"/>
                <w:i/>
                <w:iCs/>
                <w:szCs w:val="18"/>
              </w:rPr>
              <w:t xml:space="preserve">, </w:t>
            </w:r>
            <w:hyperlink r:id="rId48" w:history="1">
              <w:proofErr w:type="spellStart"/>
              <w:r w:rsidRPr="007333E8">
                <w:rPr>
                  <w:rStyle w:val="Hyperlink"/>
                  <w:rFonts w:asciiTheme="minorHAnsi" w:hAnsiTheme="minorHAnsi" w:cstheme="minorHAnsi"/>
                  <w:i/>
                  <w:iCs/>
                  <w:szCs w:val="18"/>
                </w:rPr>
                <w:t>Scamwatch</w:t>
              </w:r>
              <w:proofErr w:type="spellEnd"/>
              <w:r w:rsidRPr="007333E8">
                <w:rPr>
                  <w:rStyle w:val="Hyperlink"/>
                  <w:rFonts w:asciiTheme="minorHAnsi" w:hAnsiTheme="minorHAnsi" w:cstheme="minorHAnsi"/>
                  <w:i/>
                  <w:iCs/>
                  <w:szCs w:val="18"/>
                </w:rPr>
                <w:t xml:space="preserve"> Dashboard</w:t>
              </w:r>
            </w:hyperlink>
            <w:r>
              <w:rPr>
                <w:rFonts w:asciiTheme="minorHAnsi" w:hAnsiTheme="minorHAnsi" w:cstheme="minorHAnsi"/>
                <w:i/>
                <w:iCs/>
                <w:szCs w:val="18"/>
              </w:rPr>
              <w:br/>
            </w:r>
            <w:r w:rsidRPr="007333E8">
              <w:rPr>
                <w:rFonts w:asciiTheme="minorHAnsi" w:hAnsiTheme="minorHAnsi" w:cstheme="minorHAnsi"/>
                <w:szCs w:val="18"/>
              </w:rPr>
              <w:t xml:space="preserve">Treasury, </w:t>
            </w:r>
            <w:hyperlink r:id="rId49" w:history="1">
              <w:r w:rsidRPr="007333E8">
                <w:rPr>
                  <w:rStyle w:val="Hyperlink"/>
                  <w:rFonts w:asciiTheme="minorHAnsi" w:hAnsiTheme="minorHAnsi" w:cstheme="minorHAnsi"/>
                  <w:i/>
                  <w:iCs/>
                  <w:szCs w:val="18"/>
                </w:rPr>
                <w:t>Australian Consumer Survey</w:t>
              </w:r>
            </w:hyperlink>
            <w:r w:rsidRPr="007333E8">
              <w:rPr>
                <w:rFonts w:asciiTheme="minorHAnsi" w:hAnsiTheme="minorHAnsi" w:cstheme="minorHAnsi"/>
                <w:i/>
                <w:iCs/>
                <w:szCs w:val="18"/>
              </w:rPr>
              <w:t xml:space="preserve"> </w:t>
            </w:r>
          </w:p>
        </w:tc>
        <w:tc>
          <w:tcPr>
            <w:tcW w:w="3260" w:type="dxa"/>
          </w:tcPr>
          <w:p w14:paraId="0CE4704D" w14:textId="1B6C9673" w:rsidR="00B70519" w:rsidRPr="007333E8" w:rsidRDefault="00B70519">
            <w:pPr>
              <w:rPr>
                <w:rFonts w:asciiTheme="minorHAnsi" w:hAnsiTheme="minorHAnsi" w:cstheme="minorHAnsi"/>
                <w:szCs w:val="18"/>
              </w:rPr>
            </w:pPr>
            <w:r w:rsidRPr="007333E8">
              <w:rPr>
                <w:rFonts w:asciiTheme="minorHAnsi" w:hAnsiTheme="minorHAnsi" w:cstheme="minorHAnsi"/>
                <w:szCs w:val="18"/>
              </w:rPr>
              <w:t>Consumers and businesses reported $3.1</w:t>
            </w:r>
            <w:r w:rsidR="00037E60">
              <w:rPr>
                <w:rFonts w:asciiTheme="minorHAnsi" w:hAnsiTheme="minorHAnsi" w:cstheme="minorHAnsi"/>
                <w:szCs w:val="18"/>
              </w:rPr>
              <w:t> </w:t>
            </w:r>
            <w:r w:rsidRPr="007333E8">
              <w:rPr>
                <w:rFonts w:asciiTheme="minorHAnsi" w:hAnsiTheme="minorHAnsi" w:cstheme="minorHAnsi"/>
                <w:szCs w:val="18"/>
              </w:rPr>
              <w:t xml:space="preserve">billion in losses to scams in 2022, an increase of 80% from 2021. On average, a victim to a scam loses $20,000. There is evidence of recent Government and industry efforts leading to this figure to peak, but losses remain much higher than pre-pandemic levels.  </w:t>
            </w:r>
          </w:p>
        </w:tc>
        <w:tc>
          <w:tcPr>
            <w:tcW w:w="3711" w:type="dxa"/>
            <w:vMerge/>
          </w:tcPr>
          <w:p w14:paraId="32B4FBE9" w14:textId="77777777" w:rsidR="00B70519" w:rsidRPr="007333E8" w:rsidRDefault="00B70519">
            <w:pPr>
              <w:rPr>
                <w:rFonts w:asciiTheme="minorHAnsi" w:hAnsiTheme="minorHAnsi" w:cstheme="minorHAnsi"/>
                <w:szCs w:val="18"/>
              </w:rPr>
            </w:pPr>
          </w:p>
        </w:tc>
        <w:tc>
          <w:tcPr>
            <w:tcW w:w="3431" w:type="dxa"/>
          </w:tcPr>
          <w:p w14:paraId="43892DFB" w14:textId="03BDC4CC" w:rsidR="00B70519" w:rsidRPr="007333E8" w:rsidRDefault="00B70519">
            <w:pPr>
              <w:rPr>
                <w:rFonts w:asciiTheme="minorHAnsi" w:hAnsiTheme="minorHAnsi" w:cstheme="minorHAnsi"/>
                <w:szCs w:val="18"/>
              </w:rPr>
            </w:pPr>
            <w:r w:rsidRPr="007333E8">
              <w:rPr>
                <w:rFonts w:asciiTheme="minorHAnsi" w:hAnsiTheme="minorHAnsi" w:cstheme="minorHAnsi"/>
                <w:szCs w:val="18"/>
              </w:rPr>
              <w:t xml:space="preserve">Changes in average losses should be considered with caution as they may reflect changing patterns to overarching scam methods, such as low-yield shopping scams or high-yield investment scams, rather than a reduced overall </w:t>
            </w:r>
            <w:r w:rsidR="0047579A">
              <w:rPr>
                <w:rFonts w:asciiTheme="minorHAnsi" w:hAnsiTheme="minorHAnsi" w:cstheme="minorHAnsi"/>
                <w:szCs w:val="18"/>
              </w:rPr>
              <w:t>prevalence</w:t>
            </w:r>
            <w:r w:rsidR="0047579A" w:rsidRPr="007333E8">
              <w:rPr>
                <w:rFonts w:asciiTheme="minorHAnsi" w:hAnsiTheme="minorHAnsi" w:cstheme="minorHAnsi"/>
                <w:szCs w:val="18"/>
              </w:rPr>
              <w:t xml:space="preserve"> </w:t>
            </w:r>
            <w:r w:rsidRPr="007333E8">
              <w:rPr>
                <w:rFonts w:asciiTheme="minorHAnsi" w:hAnsiTheme="minorHAnsi" w:cstheme="minorHAnsi"/>
                <w:szCs w:val="18"/>
              </w:rPr>
              <w:t>of scams.</w:t>
            </w:r>
            <w:r w:rsidR="0047579A">
              <w:rPr>
                <w:rFonts w:asciiTheme="minorHAnsi" w:hAnsiTheme="minorHAnsi" w:cstheme="minorHAnsi"/>
                <w:szCs w:val="18"/>
              </w:rPr>
              <w:t xml:space="preserve"> The ACCC records other figures, including recording median losses, and disaggregates reports and losses by scam type, which can corroborate evidence of improvements.  </w:t>
            </w:r>
          </w:p>
        </w:tc>
      </w:tr>
      <w:tr w:rsidR="003F419E" w:rsidRPr="007333E8" w14:paraId="0C4CB822" w14:textId="2D1C0188" w:rsidTr="00647982">
        <w:trPr>
          <w:cnfStyle w:val="000000100000" w:firstRow="0" w:lastRow="0" w:firstColumn="0" w:lastColumn="0" w:oddVBand="0" w:evenVBand="0" w:oddHBand="1" w:evenHBand="0" w:firstRowFirstColumn="0" w:firstRowLastColumn="0" w:lastRowFirstColumn="0" w:lastRowLastColumn="0"/>
          <w:trHeight w:val="81"/>
        </w:trPr>
        <w:tc>
          <w:tcPr>
            <w:tcW w:w="2090" w:type="dxa"/>
          </w:tcPr>
          <w:p w14:paraId="135F8E77" w14:textId="4388E83F" w:rsidR="00826141" w:rsidRPr="007333E8" w:rsidRDefault="00826141">
            <w:pPr>
              <w:rPr>
                <w:rFonts w:asciiTheme="minorHAnsi" w:hAnsiTheme="minorHAnsi" w:cstheme="minorHAnsi"/>
                <w:b/>
                <w:bCs/>
                <w:szCs w:val="18"/>
              </w:rPr>
            </w:pPr>
            <w:r w:rsidRPr="007333E8">
              <w:rPr>
                <w:rFonts w:asciiTheme="minorHAnsi" w:hAnsiTheme="minorHAnsi" w:cstheme="minorHAnsi"/>
                <w:b/>
                <w:bCs/>
                <w:szCs w:val="18"/>
              </w:rPr>
              <w:t xml:space="preserve">Improved reporting and information sharing on scam cases affecting consumers </w:t>
            </w:r>
          </w:p>
        </w:tc>
        <w:tc>
          <w:tcPr>
            <w:tcW w:w="1174" w:type="dxa"/>
          </w:tcPr>
          <w:p w14:paraId="7D34DFD9" w14:textId="1E5F55F1" w:rsidR="00826141" w:rsidRPr="007333E8" w:rsidRDefault="00826141">
            <w:pPr>
              <w:rPr>
                <w:rFonts w:asciiTheme="minorHAnsi" w:hAnsiTheme="minorHAnsi" w:cstheme="minorHAnsi"/>
                <w:szCs w:val="18"/>
              </w:rPr>
            </w:pPr>
            <w:r w:rsidRPr="007333E8">
              <w:rPr>
                <w:rFonts w:asciiTheme="minorHAnsi" w:hAnsiTheme="minorHAnsi" w:cstheme="minorHAnsi"/>
                <w:szCs w:val="18"/>
              </w:rPr>
              <w:t>Quantitative and qualitative</w:t>
            </w:r>
          </w:p>
        </w:tc>
        <w:tc>
          <w:tcPr>
            <w:tcW w:w="1981" w:type="dxa"/>
          </w:tcPr>
          <w:p w14:paraId="4E12C25A" w14:textId="1EAA3FC4"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ACCC, </w:t>
            </w:r>
            <w:hyperlink r:id="rId50" w:history="1">
              <w:r w:rsidRPr="007333E8">
                <w:rPr>
                  <w:rStyle w:val="Hyperlink"/>
                  <w:rFonts w:asciiTheme="minorHAnsi" w:hAnsiTheme="minorHAnsi" w:cstheme="minorHAnsi"/>
                  <w:i/>
                  <w:iCs/>
                  <w:szCs w:val="18"/>
                </w:rPr>
                <w:t>Targeting Scams</w:t>
              </w:r>
            </w:hyperlink>
            <w:r w:rsidRPr="007333E8">
              <w:rPr>
                <w:rFonts w:asciiTheme="minorHAnsi" w:hAnsiTheme="minorHAnsi" w:cstheme="minorHAnsi"/>
                <w:i/>
                <w:iCs/>
                <w:szCs w:val="18"/>
              </w:rPr>
              <w:t xml:space="preserve">, </w:t>
            </w:r>
            <w:hyperlink r:id="rId51" w:history="1">
              <w:proofErr w:type="spellStart"/>
              <w:r w:rsidRPr="007333E8">
                <w:rPr>
                  <w:rStyle w:val="Hyperlink"/>
                  <w:rFonts w:asciiTheme="minorHAnsi" w:hAnsiTheme="minorHAnsi" w:cstheme="minorHAnsi"/>
                  <w:i/>
                  <w:iCs/>
                  <w:szCs w:val="18"/>
                </w:rPr>
                <w:t>Scamwatch</w:t>
              </w:r>
              <w:proofErr w:type="spellEnd"/>
              <w:r w:rsidRPr="007333E8">
                <w:rPr>
                  <w:rStyle w:val="Hyperlink"/>
                  <w:rFonts w:asciiTheme="minorHAnsi" w:hAnsiTheme="minorHAnsi" w:cstheme="minorHAnsi"/>
                  <w:i/>
                  <w:iCs/>
                  <w:szCs w:val="18"/>
                </w:rPr>
                <w:t xml:space="preserve"> Dashboard</w:t>
              </w:r>
            </w:hyperlink>
            <w:r>
              <w:rPr>
                <w:rFonts w:asciiTheme="minorHAnsi" w:hAnsiTheme="minorHAnsi" w:cstheme="minorHAnsi"/>
                <w:i/>
                <w:iCs/>
                <w:szCs w:val="18"/>
              </w:rPr>
              <w:br/>
            </w:r>
            <w:r w:rsidRPr="007333E8">
              <w:rPr>
                <w:rFonts w:asciiTheme="minorHAnsi" w:hAnsiTheme="minorHAnsi" w:cstheme="minorHAnsi"/>
                <w:szCs w:val="18"/>
              </w:rPr>
              <w:t xml:space="preserve">ATO, </w:t>
            </w:r>
            <w:hyperlink r:id="rId52" w:history="1">
              <w:r w:rsidRPr="007333E8">
                <w:rPr>
                  <w:rStyle w:val="Hyperlink"/>
                  <w:rFonts w:asciiTheme="minorHAnsi" w:hAnsiTheme="minorHAnsi" w:cstheme="minorHAnsi"/>
                  <w:i/>
                  <w:iCs/>
                  <w:szCs w:val="18"/>
                </w:rPr>
                <w:t>Scam Data</w:t>
              </w:r>
            </w:hyperlink>
            <w:r w:rsidRPr="007333E8">
              <w:rPr>
                <w:rFonts w:asciiTheme="minorHAnsi" w:hAnsiTheme="minorHAnsi" w:cstheme="minorHAnsi"/>
                <w:i/>
                <w:iCs/>
                <w:szCs w:val="18"/>
              </w:rPr>
              <w:t xml:space="preserve"> </w:t>
            </w:r>
          </w:p>
        </w:tc>
        <w:tc>
          <w:tcPr>
            <w:tcW w:w="3260" w:type="dxa"/>
          </w:tcPr>
          <w:p w14:paraId="46233594" w14:textId="22337CF6"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Consumer reports to regulators remain high. In 2023, Australians made over 300,000 reports to </w:t>
            </w:r>
            <w:proofErr w:type="spellStart"/>
            <w:r w:rsidRPr="007333E8">
              <w:rPr>
                <w:rFonts w:asciiTheme="minorHAnsi" w:hAnsiTheme="minorHAnsi" w:cstheme="minorHAnsi"/>
                <w:szCs w:val="18"/>
              </w:rPr>
              <w:t>Scamwatch</w:t>
            </w:r>
            <w:proofErr w:type="spellEnd"/>
            <w:r w:rsidRPr="007333E8">
              <w:rPr>
                <w:rFonts w:asciiTheme="minorHAnsi" w:hAnsiTheme="minorHAnsi" w:cstheme="minorHAnsi"/>
                <w:szCs w:val="18"/>
              </w:rPr>
              <w:t xml:space="preserve">, an increase of 26% from 2022. Reporting and information sharing arrangements to regulators under the NASC are currently voluntary or limited due to the scope of privacy or tipping-off provisions. </w:t>
            </w:r>
          </w:p>
        </w:tc>
        <w:tc>
          <w:tcPr>
            <w:tcW w:w="3711" w:type="dxa"/>
          </w:tcPr>
          <w:p w14:paraId="43292571" w14:textId="0006FB80"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Increased access to complaints handling and reporting measures may increase the level of consumer reports being made to regulators from consumers. More reports can be leveraged by information-sharing infrastructure of the </w:t>
            </w:r>
            <w:r w:rsidR="00474910">
              <w:t>SPF</w:t>
            </w:r>
            <w:r w:rsidR="009C5100">
              <w:t xml:space="preserve"> </w:t>
            </w:r>
            <w:r w:rsidRPr="007333E8">
              <w:rPr>
                <w:rFonts w:asciiTheme="minorHAnsi" w:hAnsiTheme="minorHAnsi" w:cstheme="minorHAnsi"/>
                <w:szCs w:val="18"/>
              </w:rPr>
              <w:t xml:space="preserve">and NASC. </w:t>
            </w:r>
          </w:p>
        </w:tc>
        <w:tc>
          <w:tcPr>
            <w:tcW w:w="3431" w:type="dxa"/>
          </w:tcPr>
          <w:p w14:paraId="798F5F6C" w14:textId="167F9C68"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Increases or decreases in reporting do not necessarily reflect a desirable outcome. Although fewer consumer reports may reflect less scam activity, increased reporting may reflect improved accessibility to and quality of reporting measures. </w:t>
            </w:r>
          </w:p>
        </w:tc>
      </w:tr>
      <w:tr w:rsidR="003F419E" w:rsidRPr="007333E8" w14:paraId="3EE32A24" w14:textId="24CB6307" w:rsidTr="00647982">
        <w:trPr>
          <w:trHeight w:val="81"/>
        </w:trPr>
        <w:tc>
          <w:tcPr>
            <w:tcW w:w="2090" w:type="dxa"/>
          </w:tcPr>
          <w:p w14:paraId="3A52713D" w14:textId="55CDE95C" w:rsidR="00826141" w:rsidRPr="007333E8" w:rsidRDefault="00826141">
            <w:pPr>
              <w:rPr>
                <w:rFonts w:asciiTheme="minorHAnsi" w:hAnsiTheme="minorHAnsi" w:cstheme="minorHAnsi"/>
                <w:b/>
                <w:bCs/>
                <w:szCs w:val="18"/>
              </w:rPr>
            </w:pPr>
            <w:r w:rsidRPr="007333E8">
              <w:rPr>
                <w:rFonts w:asciiTheme="minorHAnsi" w:hAnsiTheme="minorHAnsi" w:cstheme="minorHAnsi"/>
                <w:b/>
                <w:bCs/>
                <w:szCs w:val="18"/>
              </w:rPr>
              <w:lastRenderedPageBreak/>
              <w:t>Increased rate of detection and disruption activities undertaken by the private sector</w:t>
            </w:r>
          </w:p>
        </w:tc>
        <w:tc>
          <w:tcPr>
            <w:tcW w:w="1174" w:type="dxa"/>
          </w:tcPr>
          <w:p w14:paraId="0FF92226" w14:textId="4A70B1A7" w:rsidR="00826141" w:rsidRPr="007333E8" w:rsidRDefault="00826141">
            <w:pPr>
              <w:rPr>
                <w:rFonts w:asciiTheme="minorHAnsi" w:hAnsiTheme="minorHAnsi" w:cstheme="minorHAnsi"/>
                <w:szCs w:val="18"/>
              </w:rPr>
            </w:pPr>
            <w:r w:rsidRPr="007333E8">
              <w:rPr>
                <w:rFonts w:asciiTheme="minorHAnsi" w:hAnsiTheme="minorHAnsi" w:cstheme="minorHAnsi"/>
                <w:szCs w:val="18"/>
              </w:rPr>
              <w:t>Quantitative and qualitative</w:t>
            </w:r>
          </w:p>
        </w:tc>
        <w:tc>
          <w:tcPr>
            <w:tcW w:w="1981" w:type="dxa"/>
          </w:tcPr>
          <w:p w14:paraId="045D0857" w14:textId="77777777" w:rsidR="00826141" w:rsidRDefault="00826141">
            <w:pPr>
              <w:rPr>
                <w:rFonts w:asciiTheme="minorHAnsi" w:hAnsiTheme="minorHAnsi" w:cstheme="minorHAnsi"/>
                <w:i/>
                <w:iCs/>
                <w:szCs w:val="18"/>
              </w:rPr>
            </w:pPr>
            <w:r w:rsidRPr="007333E8">
              <w:rPr>
                <w:rFonts w:asciiTheme="minorHAnsi" w:hAnsiTheme="minorHAnsi" w:cstheme="minorHAnsi"/>
                <w:szCs w:val="18"/>
              </w:rPr>
              <w:t xml:space="preserve">ACCC, </w:t>
            </w:r>
            <w:r w:rsidRPr="007333E8">
              <w:rPr>
                <w:rFonts w:asciiTheme="minorHAnsi" w:hAnsiTheme="minorHAnsi" w:cstheme="minorHAnsi"/>
                <w:i/>
                <w:iCs/>
                <w:szCs w:val="18"/>
              </w:rPr>
              <w:t xml:space="preserve">Quarterly Report </w:t>
            </w:r>
          </w:p>
          <w:p w14:paraId="0F80B437" w14:textId="0015A5AF"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ACMA, </w:t>
            </w:r>
            <w:hyperlink r:id="rId53" w:history="1">
              <w:r w:rsidRPr="007333E8">
                <w:rPr>
                  <w:rStyle w:val="Hyperlink"/>
                  <w:rFonts w:asciiTheme="minorHAnsi" w:hAnsiTheme="minorHAnsi" w:cstheme="minorHAnsi"/>
                  <w:i/>
                  <w:iCs/>
                  <w:szCs w:val="18"/>
                </w:rPr>
                <w:t>Action on Scams, Spam and Telemarketing</w:t>
              </w:r>
            </w:hyperlink>
          </w:p>
        </w:tc>
        <w:tc>
          <w:tcPr>
            <w:tcW w:w="3260" w:type="dxa"/>
          </w:tcPr>
          <w:p w14:paraId="1135E850" w14:textId="77777777"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Outside of existing regulatory regimes including ACMA codes, there is little centralised evidence for sector-wide activities to address scams.  </w:t>
            </w:r>
          </w:p>
        </w:tc>
        <w:tc>
          <w:tcPr>
            <w:tcW w:w="3711" w:type="dxa"/>
          </w:tcPr>
          <w:p w14:paraId="4DAFB5AD" w14:textId="34C58F82"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Potential monitoring of business action by regulators and subsequent reporting under the </w:t>
            </w:r>
            <w:r w:rsidR="00474910">
              <w:t>SPF</w:t>
            </w:r>
            <w:r w:rsidRPr="007333E8">
              <w:rPr>
                <w:rFonts w:asciiTheme="minorHAnsi" w:hAnsiTheme="minorHAnsi" w:cstheme="minorHAnsi"/>
                <w:szCs w:val="18"/>
              </w:rPr>
              <w:t xml:space="preserve"> will provide Government with clearer evidence on the extent of industry action on scams and in turn opportunities to identify regulatory gaps, effective actions, and ongoing trends. </w:t>
            </w:r>
          </w:p>
        </w:tc>
        <w:tc>
          <w:tcPr>
            <w:tcW w:w="3431" w:type="dxa"/>
          </w:tcPr>
          <w:p w14:paraId="7C009F10" w14:textId="198F4CA3"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Scam threats wax and wane over time. Quantitative information on industry action must be interpreted in the context of these trends; for instance, increases or decreases in blocked calls or numbers or account closures. </w:t>
            </w:r>
          </w:p>
        </w:tc>
      </w:tr>
      <w:tr w:rsidR="003F419E" w:rsidRPr="007333E8" w14:paraId="578FE7CD" w14:textId="299D3B91" w:rsidTr="00647982">
        <w:trPr>
          <w:cnfStyle w:val="000000100000" w:firstRow="0" w:lastRow="0" w:firstColumn="0" w:lastColumn="0" w:oddVBand="0" w:evenVBand="0" w:oddHBand="1" w:evenHBand="0" w:firstRowFirstColumn="0" w:firstRowLastColumn="0" w:lastRowFirstColumn="0" w:lastRowLastColumn="0"/>
          <w:trHeight w:val="410"/>
        </w:trPr>
        <w:tc>
          <w:tcPr>
            <w:tcW w:w="2090" w:type="dxa"/>
          </w:tcPr>
          <w:p w14:paraId="17BF780C" w14:textId="6E97B67C" w:rsidR="00826141" w:rsidRPr="007333E8" w:rsidRDefault="00826141">
            <w:pPr>
              <w:rPr>
                <w:rFonts w:asciiTheme="minorHAnsi" w:hAnsiTheme="minorHAnsi" w:cstheme="minorHAnsi"/>
                <w:b/>
                <w:bCs/>
                <w:szCs w:val="18"/>
              </w:rPr>
            </w:pPr>
            <w:r w:rsidRPr="007333E8">
              <w:rPr>
                <w:rFonts w:asciiTheme="minorHAnsi" w:hAnsiTheme="minorHAnsi" w:cstheme="minorHAnsi"/>
                <w:b/>
                <w:bCs/>
                <w:szCs w:val="18"/>
              </w:rPr>
              <w:t xml:space="preserve">Increased assessment of quality in business anti-scam policies and procedures </w:t>
            </w:r>
          </w:p>
        </w:tc>
        <w:tc>
          <w:tcPr>
            <w:tcW w:w="1174" w:type="dxa"/>
          </w:tcPr>
          <w:p w14:paraId="1BDD1EF5" w14:textId="605C28DC" w:rsidR="00826141" w:rsidRPr="007333E8" w:rsidRDefault="00826141">
            <w:pPr>
              <w:rPr>
                <w:rFonts w:asciiTheme="minorHAnsi" w:hAnsiTheme="minorHAnsi" w:cstheme="minorHAnsi"/>
                <w:szCs w:val="18"/>
              </w:rPr>
            </w:pPr>
            <w:r w:rsidRPr="007333E8">
              <w:rPr>
                <w:rFonts w:asciiTheme="minorHAnsi" w:hAnsiTheme="minorHAnsi" w:cstheme="minorHAnsi"/>
                <w:szCs w:val="18"/>
              </w:rPr>
              <w:t>Qualitative</w:t>
            </w:r>
          </w:p>
        </w:tc>
        <w:tc>
          <w:tcPr>
            <w:tcW w:w="1981" w:type="dxa"/>
          </w:tcPr>
          <w:p w14:paraId="44F110FF" w14:textId="5981E744"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ACCC, </w:t>
            </w:r>
            <w:hyperlink r:id="rId54" w:history="1">
              <w:r w:rsidRPr="007333E8">
                <w:rPr>
                  <w:rStyle w:val="Hyperlink"/>
                  <w:rFonts w:asciiTheme="minorHAnsi" w:hAnsiTheme="minorHAnsi" w:cstheme="minorHAnsi"/>
                  <w:i/>
                  <w:iCs/>
                  <w:szCs w:val="18"/>
                </w:rPr>
                <w:t>Digital Platform Services Inquiry</w:t>
              </w:r>
            </w:hyperlink>
            <w:r>
              <w:rPr>
                <w:rStyle w:val="Hyperlink"/>
                <w:rFonts w:asciiTheme="minorHAnsi" w:hAnsiTheme="minorHAnsi" w:cstheme="minorHAnsi"/>
                <w:i/>
                <w:iCs/>
                <w:szCs w:val="18"/>
              </w:rPr>
              <w:br/>
            </w:r>
            <w:r w:rsidRPr="007333E8">
              <w:rPr>
                <w:rFonts w:asciiTheme="minorHAnsi" w:hAnsiTheme="minorHAnsi" w:cstheme="minorHAnsi"/>
                <w:szCs w:val="18"/>
              </w:rPr>
              <w:t xml:space="preserve">ASIC, </w:t>
            </w:r>
            <w:hyperlink r:id="rId55" w:history="1">
              <w:r w:rsidRPr="007333E8">
                <w:rPr>
                  <w:rStyle w:val="Hyperlink"/>
                  <w:rFonts w:asciiTheme="minorHAnsi" w:hAnsiTheme="minorHAnsi" w:cstheme="minorHAnsi"/>
                  <w:i/>
                  <w:iCs/>
                  <w:szCs w:val="18"/>
                </w:rPr>
                <w:t>Scam Prevention, Detection and Response</w:t>
              </w:r>
            </w:hyperlink>
            <w:r w:rsidRPr="007333E8">
              <w:rPr>
                <w:rFonts w:asciiTheme="minorHAnsi" w:hAnsiTheme="minorHAnsi" w:cstheme="minorHAnsi"/>
                <w:i/>
                <w:iCs/>
                <w:szCs w:val="18"/>
              </w:rPr>
              <w:t xml:space="preserve"> </w:t>
            </w:r>
          </w:p>
        </w:tc>
        <w:tc>
          <w:tcPr>
            <w:tcW w:w="3260" w:type="dxa"/>
          </w:tcPr>
          <w:p w14:paraId="03D55F97" w14:textId="054FAA90"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Regulators have identified significant levels of variation in the quality of business anti-scam practices and procedures. Whilst some voluntary industry efforts such as the Scam-Safe Accord are in place, there will remain gaps in the voluntary framework for outsider participants. </w:t>
            </w:r>
          </w:p>
        </w:tc>
        <w:tc>
          <w:tcPr>
            <w:tcW w:w="3711" w:type="dxa"/>
          </w:tcPr>
          <w:p w14:paraId="1D9F05BF" w14:textId="77777777" w:rsidR="00826141" w:rsidRPr="007333E8" w:rsidRDefault="00826141">
            <w:pPr>
              <w:rPr>
                <w:rFonts w:asciiTheme="minorHAnsi" w:hAnsiTheme="minorHAnsi" w:cstheme="minorHAnsi"/>
                <w:szCs w:val="18"/>
              </w:rPr>
            </w:pPr>
            <w:r w:rsidRPr="007333E8">
              <w:rPr>
                <w:rFonts w:asciiTheme="minorHAnsi" w:hAnsiTheme="minorHAnsi" w:cstheme="minorHAnsi"/>
                <w:szCs w:val="18"/>
              </w:rPr>
              <w:t>Uplift of quality of anti-scam policies and procedures in the business sector, which will in term limit regulatory gaps and contribute to other improved outcomes.</w:t>
            </w:r>
          </w:p>
        </w:tc>
        <w:tc>
          <w:tcPr>
            <w:tcW w:w="3431" w:type="dxa"/>
          </w:tcPr>
          <w:p w14:paraId="013E8C10" w14:textId="1CC191E6"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This measure depends on future regulatory review and reporting mechanisms which remain unconfirmed. </w:t>
            </w:r>
          </w:p>
        </w:tc>
      </w:tr>
      <w:tr w:rsidR="003F419E" w:rsidRPr="007333E8" w14:paraId="45B06E83" w14:textId="53BBF1F8" w:rsidTr="00647982">
        <w:trPr>
          <w:trHeight w:val="81"/>
        </w:trPr>
        <w:tc>
          <w:tcPr>
            <w:tcW w:w="2090" w:type="dxa"/>
          </w:tcPr>
          <w:p w14:paraId="57AC3DC2" w14:textId="2D480DE6" w:rsidR="00B70519" w:rsidRPr="007333E8" w:rsidRDefault="00B70519">
            <w:pPr>
              <w:rPr>
                <w:rFonts w:asciiTheme="minorHAnsi" w:hAnsiTheme="minorHAnsi" w:cstheme="minorHAnsi"/>
                <w:b/>
                <w:bCs/>
                <w:szCs w:val="18"/>
              </w:rPr>
            </w:pPr>
            <w:r w:rsidRPr="007333E8">
              <w:rPr>
                <w:rFonts w:asciiTheme="minorHAnsi" w:hAnsiTheme="minorHAnsi" w:cstheme="minorHAnsi"/>
                <w:b/>
                <w:bCs/>
                <w:szCs w:val="18"/>
              </w:rPr>
              <w:t>Increased levels of consumer satisfaction with business policies and procedures relating to scams</w:t>
            </w:r>
          </w:p>
        </w:tc>
        <w:tc>
          <w:tcPr>
            <w:tcW w:w="1174" w:type="dxa"/>
            <w:vMerge w:val="restart"/>
          </w:tcPr>
          <w:p w14:paraId="73AA2478" w14:textId="4A986DEB" w:rsidR="00B70519" w:rsidRPr="007333E8" w:rsidRDefault="00B70519">
            <w:pPr>
              <w:rPr>
                <w:rFonts w:asciiTheme="minorHAnsi" w:hAnsiTheme="minorHAnsi" w:cstheme="minorHAnsi"/>
                <w:szCs w:val="18"/>
              </w:rPr>
            </w:pPr>
            <w:r w:rsidRPr="007333E8">
              <w:rPr>
                <w:rFonts w:asciiTheme="minorHAnsi" w:hAnsiTheme="minorHAnsi" w:cstheme="minorHAnsi"/>
                <w:szCs w:val="18"/>
              </w:rPr>
              <w:t>Qualitative</w:t>
            </w:r>
          </w:p>
        </w:tc>
        <w:tc>
          <w:tcPr>
            <w:tcW w:w="1981" w:type="dxa"/>
          </w:tcPr>
          <w:p w14:paraId="3C188424" w14:textId="6791FA7D" w:rsidR="00B70519" w:rsidRPr="007333E8" w:rsidRDefault="00B70519">
            <w:pPr>
              <w:rPr>
                <w:rFonts w:asciiTheme="minorHAnsi" w:hAnsiTheme="minorHAnsi" w:cstheme="minorHAnsi"/>
                <w:szCs w:val="18"/>
              </w:rPr>
            </w:pPr>
            <w:r>
              <w:rPr>
                <w:rFonts w:asciiTheme="minorHAnsi" w:hAnsiTheme="minorHAnsi" w:cstheme="minorHAnsi"/>
                <w:szCs w:val="18"/>
              </w:rPr>
              <w:t>Treasury</w:t>
            </w:r>
            <w:r w:rsidRPr="007333E8">
              <w:rPr>
                <w:rFonts w:asciiTheme="minorHAnsi" w:hAnsiTheme="minorHAnsi" w:cstheme="minorHAnsi"/>
                <w:szCs w:val="18"/>
              </w:rPr>
              <w:t xml:space="preserve">, </w:t>
            </w:r>
            <w:r w:rsidRPr="007333E8">
              <w:rPr>
                <w:rFonts w:asciiTheme="minorHAnsi" w:hAnsiTheme="minorHAnsi" w:cstheme="minorHAnsi"/>
                <w:i/>
                <w:iCs/>
                <w:szCs w:val="18"/>
              </w:rPr>
              <w:t>Scams Consumer Survey</w:t>
            </w:r>
          </w:p>
        </w:tc>
        <w:tc>
          <w:tcPr>
            <w:tcW w:w="3260" w:type="dxa"/>
          </w:tcPr>
          <w:p w14:paraId="0A8DB48D" w14:textId="77777777" w:rsidR="00B70519" w:rsidRPr="007333E8" w:rsidRDefault="00B70519">
            <w:pPr>
              <w:rPr>
                <w:rFonts w:asciiTheme="minorHAnsi" w:hAnsiTheme="minorHAnsi" w:cstheme="minorHAnsi"/>
                <w:szCs w:val="18"/>
              </w:rPr>
            </w:pPr>
            <w:r w:rsidRPr="007333E8">
              <w:rPr>
                <w:rFonts w:asciiTheme="minorHAnsi" w:hAnsiTheme="minorHAnsi" w:cstheme="minorHAnsi"/>
                <w:szCs w:val="18"/>
              </w:rPr>
              <w:t xml:space="preserve">Consumer advocacy bodies have expressed dissatisfaction with current business policies and procedures relating to scams. </w:t>
            </w:r>
          </w:p>
          <w:p w14:paraId="61FF3E4A" w14:textId="4F6FD5C3" w:rsidR="00B70519" w:rsidRPr="007333E8" w:rsidRDefault="00B70519">
            <w:pPr>
              <w:rPr>
                <w:rFonts w:asciiTheme="minorHAnsi" w:hAnsiTheme="minorHAnsi" w:cstheme="minorHAnsi"/>
                <w:szCs w:val="18"/>
              </w:rPr>
            </w:pPr>
            <w:r w:rsidRPr="007333E8">
              <w:rPr>
                <w:rFonts w:asciiTheme="minorHAnsi" w:hAnsiTheme="minorHAnsi" w:cstheme="minorHAnsi"/>
                <w:szCs w:val="18"/>
              </w:rPr>
              <w:t xml:space="preserve">The widespread impact of scams is anecdotally leading consumers to be more risk-averse and distrustful of everyday business functions, including communications, notifications and transactions relied on by businesses. </w:t>
            </w:r>
          </w:p>
        </w:tc>
        <w:tc>
          <w:tcPr>
            <w:tcW w:w="3711" w:type="dxa"/>
          </w:tcPr>
          <w:p w14:paraId="282C2067" w14:textId="77777777" w:rsidR="00B70519" w:rsidRPr="007333E8" w:rsidRDefault="00B70519">
            <w:pPr>
              <w:rPr>
                <w:rFonts w:asciiTheme="minorHAnsi" w:hAnsiTheme="minorHAnsi" w:cstheme="minorHAnsi"/>
                <w:szCs w:val="18"/>
              </w:rPr>
            </w:pPr>
            <w:r w:rsidRPr="007333E8">
              <w:rPr>
                <w:rFonts w:asciiTheme="minorHAnsi" w:hAnsiTheme="minorHAnsi" w:cstheme="minorHAnsi"/>
                <w:szCs w:val="18"/>
              </w:rPr>
              <w:t xml:space="preserve">Improved consumer protections will increase consumer satisfaction and trust in their communications and transactions with industry entities. </w:t>
            </w:r>
          </w:p>
        </w:tc>
        <w:tc>
          <w:tcPr>
            <w:tcW w:w="3431" w:type="dxa"/>
          </w:tcPr>
          <w:p w14:paraId="21D224AE" w14:textId="7C303E50" w:rsidR="00B70519" w:rsidRPr="007333E8" w:rsidRDefault="00B70519">
            <w:pPr>
              <w:rPr>
                <w:rFonts w:asciiTheme="minorHAnsi" w:hAnsiTheme="minorHAnsi" w:cstheme="minorHAnsi"/>
                <w:szCs w:val="18"/>
              </w:rPr>
            </w:pPr>
            <w:r w:rsidRPr="007333E8">
              <w:rPr>
                <w:rFonts w:asciiTheme="minorHAnsi" w:hAnsiTheme="minorHAnsi" w:cstheme="minorHAnsi"/>
                <w:szCs w:val="18"/>
              </w:rPr>
              <w:t xml:space="preserve">This metric is difficult to measure. </w:t>
            </w:r>
          </w:p>
          <w:p w14:paraId="0B4DE0A9" w14:textId="3A0C1265" w:rsidR="00B70519" w:rsidRPr="007333E8" w:rsidRDefault="00B70519">
            <w:pPr>
              <w:rPr>
                <w:rFonts w:asciiTheme="minorHAnsi" w:hAnsiTheme="minorHAnsi" w:cstheme="minorHAnsi"/>
                <w:szCs w:val="18"/>
              </w:rPr>
            </w:pPr>
            <w:r w:rsidRPr="007333E8">
              <w:rPr>
                <w:rFonts w:asciiTheme="minorHAnsi" w:hAnsiTheme="minorHAnsi" w:cstheme="minorHAnsi"/>
                <w:szCs w:val="18"/>
              </w:rPr>
              <w:t>Consumer satisfaction with business anti-scam policies and procedures are oriented towards positive resolution and redress of consumer disputes. An improvement in consumer satisfaction may not reflect the state of the overarching ecosystem and business impacts.</w:t>
            </w:r>
          </w:p>
        </w:tc>
      </w:tr>
      <w:tr w:rsidR="003F419E" w:rsidRPr="007333E8" w14:paraId="765AD703" w14:textId="6069B56D" w:rsidTr="00647982">
        <w:trPr>
          <w:cnfStyle w:val="000000100000" w:firstRow="0" w:lastRow="0" w:firstColumn="0" w:lastColumn="0" w:oddVBand="0" w:evenVBand="0" w:oddHBand="1" w:evenHBand="0" w:firstRowFirstColumn="0" w:firstRowLastColumn="0" w:lastRowFirstColumn="0" w:lastRowLastColumn="0"/>
          <w:trHeight w:val="81"/>
        </w:trPr>
        <w:tc>
          <w:tcPr>
            <w:tcW w:w="2090" w:type="dxa"/>
          </w:tcPr>
          <w:p w14:paraId="11326AA4" w14:textId="5F14CCD7" w:rsidR="00B70519" w:rsidRPr="007333E8" w:rsidRDefault="00B70519">
            <w:pPr>
              <w:rPr>
                <w:rFonts w:asciiTheme="minorHAnsi" w:hAnsiTheme="minorHAnsi" w:cstheme="minorHAnsi"/>
                <w:b/>
                <w:bCs/>
                <w:szCs w:val="18"/>
              </w:rPr>
            </w:pPr>
            <w:r w:rsidRPr="007333E8">
              <w:rPr>
                <w:rFonts w:asciiTheme="minorHAnsi" w:hAnsiTheme="minorHAnsi" w:cstheme="minorHAnsi"/>
                <w:b/>
                <w:bCs/>
                <w:szCs w:val="18"/>
              </w:rPr>
              <w:t xml:space="preserve">Consumer trust in the payments and communications system </w:t>
            </w:r>
          </w:p>
        </w:tc>
        <w:tc>
          <w:tcPr>
            <w:tcW w:w="1174" w:type="dxa"/>
            <w:vMerge/>
          </w:tcPr>
          <w:p w14:paraId="1FF8F985" w14:textId="77777777" w:rsidR="00B70519" w:rsidRPr="007333E8" w:rsidRDefault="00B70519">
            <w:pPr>
              <w:rPr>
                <w:rFonts w:asciiTheme="minorHAnsi" w:hAnsiTheme="minorHAnsi" w:cstheme="minorHAnsi"/>
                <w:szCs w:val="18"/>
              </w:rPr>
            </w:pPr>
          </w:p>
        </w:tc>
        <w:tc>
          <w:tcPr>
            <w:tcW w:w="1981" w:type="dxa"/>
          </w:tcPr>
          <w:p w14:paraId="4E9D70F0" w14:textId="66436C44" w:rsidR="00B70519" w:rsidRPr="007333E8" w:rsidRDefault="00B70519">
            <w:pPr>
              <w:rPr>
                <w:rFonts w:asciiTheme="minorHAnsi" w:hAnsiTheme="minorHAnsi" w:cstheme="minorHAnsi"/>
                <w:szCs w:val="18"/>
              </w:rPr>
            </w:pPr>
            <w:r>
              <w:rPr>
                <w:rFonts w:asciiTheme="minorHAnsi" w:hAnsiTheme="minorHAnsi" w:cstheme="minorHAnsi"/>
                <w:szCs w:val="18"/>
              </w:rPr>
              <w:t>Treasury</w:t>
            </w:r>
            <w:r w:rsidRPr="007333E8">
              <w:rPr>
                <w:rFonts w:asciiTheme="minorHAnsi" w:hAnsiTheme="minorHAnsi" w:cstheme="minorHAnsi"/>
                <w:szCs w:val="18"/>
              </w:rPr>
              <w:t xml:space="preserve">, </w:t>
            </w:r>
            <w:r w:rsidRPr="007333E8">
              <w:rPr>
                <w:rFonts w:asciiTheme="minorHAnsi" w:hAnsiTheme="minorHAnsi" w:cstheme="minorHAnsi"/>
                <w:i/>
                <w:iCs/>
                <w:szCs w:val="18"/>
              </w:rPr>
              <w:t xml:space="preserve">Scams Consumer Survey </w:t>
            </w:r>
          </w:p>
        </w:tc>
        <w:tc>
          <w:tcPr>
            <w:tcW w:w="3260" w:type="dxa"/>
          </w:tcPr>
          <w:p w14:paraId="75C32FCB" w14:textId="14F3A33C" w:rsidR="00B70519" w:rsidRPr="007333E8" w:rsidRDefault="00B70519">
            <w:pPr>
              <w:rPr>
                <w:rFonts w:asciiTheme="minorHAnsi" w:hAnsiTheme="minorHAnsi" w:cstheme="minorHAnsi"/>
                <w:szCs w:val="18"/>
              </w:rPr>
            </w:pPr>
            <w:r w:rsidRPr="007333E8">
              <w:rPr>
                <w:rFonts w:asciiTheme="minorHAnsi" w:hAnsiTheme="minorHAnsi" w:cstheme="minorHAnsi"/>
                <w:szCs w:val="18"/>
              </w:rPr>
              <w:t xml:space="preserve">The widespread impact of scams is anecdotally leading consumers to be more risk-averse and distrustful of everyday business functions, including communications, notifications and transactions relied on by businesses. </w:t>
            </w:r>
          </w:p>
        </w:tc>
        <w:tc>
          <w:tcPr>
            <w:tcW w:w="3711" w:type="dxa"/>
          </w:tcPr>
          <w:p w14:paraId="0B1CD56D" w14:textId="77777777" w:rsidR="00B70519" w:rsidRPr="007333E8" w:rsidRDefault="00B70519">
            <w:pPr>
              <w:rPr>
                <w:rFonts w:asciiTheme="minorHAnsi" w:hAnsiTheme="minorHAnsi" w:cstheme="minorHAnsi"/>
                <w:szCs w:val="18"/>
              </w:rPr>
            </w:pPr>
            <w:r w:rsidRPr="007333E8">
              <w:rPr>
                <w:rFonts w:asciiTheme="minorHAnsi" w:hAnsiTheme="minorHAnsi" w:cstheme="minorHAnsi"/>
                <w:szCs w:val="18"/>
              </w:rPr>
              <w:t xml:space="preserve">Improved consumer protections will increase consumer trust in their communications and transactions with the business sector. </w:t>
            </w:r>
          </w:p>
        </w:tc>
        <w:tc>
          <w:tcPr>
            <w:tcW w:w="3431" w:type="dxa"/>
          </w:tcPr>
          <w:p w14:paraId="3376F9D3" w14:textId="4444792A" w:rsidR="00B70519" w:rsidRPr="007333E8" w:rsidRDefault="00B70519">
            <w:pPr>
              <w:rPr>
                <w:rFonts w:asciiTheme="minorHAnsi" w:hAnsiTheme="minorHAnsi" w:cstheme="minorHAnsi"/>
                <w:szCs w:val="18"/>
              </w:rPr>
            </w:pPr>
            <w:r w:rsidRPr="007333E8">
              <w:rPr>
                <w:rFonts w:asciiTheme="minorHAnsi" w:hAnsiTheme="minorHAnsi" w:cstheme="minorHAnsi"/>
                <w:szCs w:val="18"/>
              </w:rPr>
              <w:t xml:space="preserve">This metric is difficult to measure. Some business sector participants believe increased consumer trust is a moral hazard in which risks are offset to be borne by the business sector. </w:t>
            </w:r>
          </w:p>
        </w:tc>
      </w:tr>
      <w:tr w:rsidR="003F419E" w:rsidRPr="007333E8" w14:paraId="0CAF238D" w14:textId="06CFA69A" w:rsidTr="00647982">
        <w:trPr>
          <w:trHeight w:val="803"/>
        </w:trPr>
        <w:tc>
          <w:tcPr>
            <w:tcW w:w="2090" w:type="dxa"/>
          </w:tcPr>
          <w:p w14:paraId="2CEE55A6" w14:textId="21C0D542" w:rsidR="00826141" w:rsidRPr="007333E8" w:rsidRDefault="00826141">
            <w:pPr>
              <w:rPr>
                <w:rFonts w:asciiTheme="minorHAnsi" w:hAnsiTheme="minorHAnsi" w:cstheme="minorHAnsi"/>
                <w:b/>
                <w:bCs/>
                <w:szCs w:val="18"/>
              </w:rPr>
            </w:pPr>
            <w:r w:rsidRPr="007333E8">
              <w:rPr>
                <w:rFonts w:asciiTheme="minorHAnsi" w:hAnsiTheme="minorHAnsi" w:cstheme="minorHAnsi"/>
                <w:b/>
                <w:bCs/>
                <w:szCs w:val="18"/>
              </w:rPr>
              <w:lastRenderedPageBreak/>
              <w:t xml:space="preserve">Decreased levels of consumer complaints to external dispute resolution systems </w:t>
            </w:r>
          </w:p>
        </w:tc>
        <w:tc>
          <w:tcPr>
            <w:tcW w:w="1174" w:type="dxa"/>
          </w:tcPr>
          <w:p w14:paraId="1C17143A" w14:textId="54BD9CB9" w:rsidR="00826141" w:rsidRPr="007333E8" w:rsidRDefault="00826141">
            <w:pPr>
              <w:rPr>
                <w:rFonts w:asciiTheme="minorHAnsi" w:hAnsiTheme="minorHAnsi" w:cstheme="minorHAnsi"/>
                <w:szCs w:val="18"/>
              </w:rPr>
            </w:pPr>
            <w:r w:rsidRPr="007333E8">
              <w:rPr>
                <w:rFonts w:asciiTheme="minorHAnsi" w:hAnsiTheme="minorHAnsi" w:cstheme="minorHAnsi"/>
                <w:szCs w:val="18"/>
              </w:rPr>
              <w:t>Quantitative and qualitative</w:t>
            </w:r>
          </w:p>
        </w:tc>
        <w:tc>
          <w:tcPr>
            <w:tcW w:w="1981" w:type="dxa"/>
          </w:tcPr>
          <w:p w14:paraId="151A184C" w14:textId="439D6B42"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AFCA, </w:t>
            </w:r>
            <w:hyperlink r:id="rId56" w:history="1">
              <w:r w:rsidRPr="007333E8">
                <w:rPr>
                  <w:rStyle w:val="Hyperlink"/>
                  <w:rFonts w:asciiTheme="minorHAnsi" w:hAnsiTheme="minorHAnsi" w:cstheme="minorHAnsi"/>
                  <w:i/>
                  <w:iCs/>
                  <w:szCs w:val="18"/>
                </w:rPr>
                <w:t>Annual Review</w:t>
              </w:r>
            </w:hyperlink>
            <w:r w:rsidRPr="007333E8">
              <w:rPr>
                <w:rFonts w:asciiTheme="minorHAnsi" w:hAnsiTheme="minorHAnsi" w:cstheme="minorHAnsi"/>
                <w:i/>
                <w:iCs/>
                <w:szCs w:val="18"/>
              </w:rPr>
              <w:t xml:space="preserve"> </w:t>
            </w:r>
          </w:p>
        </w:tc>
        <w:tc>
          <w:tcPr>
            <w:tcW w:w="3260" w:type="dxa"/>
          </w:tcPr>
          <w:p w14:paraId="55210E2D" w14:textId="2C4D9B59" w:rsidR="00826141" w:rsidRPr="007333E8" w:rsidRDefault="00826141">
            <w:pPr>
              <w:rPr>
                <w:rFonts w:asciiTheme="minorHAnsi" w:hAnsiTheme="minorHAnsi" w:cstheme="minorHAnsi"/>
                <w:szCs w:val="18"/>
              </w:rPr>
            </w:pPr>
            <w:r w:rsidRPr="007333E8">
              <w:rPr>
                <w:rFonts w:asciiTheme="minorHAnsi" w:hAnsiTheme="minorHAnsi" w:cstheme="minorHAnsi"/>
                <w:szCs w:val="18"/>
              </w:rPr>
              <w:t>AFCA has noted increased pressure of consumer scam-related complaints on the financial dispute resolution system, affecting the efficiency of complaints resolution. In 2022-23, AFCA received over 6,000 scam-related complaints, an increase of 46% from 2021-22.</w:t>
            </w:r>
          </w:p>
        </w:tc>
        <w:tc>
          <w:tcPr>
            <w:tcW w:w="3711" w:type="dxa"/>
          </w:tcPr>
          <w:p w14:paraId="4B116846" w14:textId="30CB0C4B"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Prevention of scams and improved business complaints handling processes will contribute to a decreased level of consumer complaints and greater level of internal resolution, leading to a decrease in external dispute resolution complaints over time. </w:t>
            </w:r>
          </w:p>
        </w:tc>
        <w:tc>
          <w:tcPr>
            <w:tcW w:w="3431" w:type="dxa"/>
          </w:tcPr>
          <w:p w14:paraId="4C810524" w14:textId="427CB9FA"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Increased or decreased reporting may not indicate positive outcomes or broader trends in the scams ecosystem, as addressed in other sections in this column.  </w:t>
            </w:r>
          </w:p>
        </w:tc>
      </w:tr>
      <w:tr w:rsidR="003F419E" w:rsidRPr="007333E8" w14:paraId="2C937D9F" w14:textId="69FD52E9" w:rsidTr="00647982">
        <w:trPr>
          <w:cnfStyle w:val="000000100000" w:firstRow="0" w:lastRow="0" w:firstColumn="0" w:lastColumn="0" w:oddVBand="0" w:evenVBand="0" w:oddHBand="1" w:evenHBand="0" w:firstRowFirstColumn="0" w:firstRowLastColumn="0" w:lastRowFirstColumn="0" w:lastRowLastColumn="0"/>
          <w:trHeight w:val="481"/>
        </w:trPr>
        <w:tc>
          <w:tcPr>
            <w:tcW w:w="2090" w:type="dxa"/>
          </w:tcPr>
          <w:p w14:paraId="2E24453B" w14:textId="4651D702" w:rsidR="00826141" w:rsidRPr="007333E8" w:rsidRDefault="00826141">
            <w:pPr>
              <w:rPr>
                <w:rFonts w:asciiTheme="minorHAnsi" w:hAnsiTheme="minorHAnsi" w:cstheme="minorHAnsi"/>
                <w:b/>
                <w:bCs/>
                <w:szCs w:val="18"/>
              </w:rPr>
            </w:pPr>
            <w:r w:rsidRPr="007333E8">
              <w:rPr>
                <w:rFonts w:asciiTheme="minorHAnsi" w:hAnsiTheme="minorHAnsi" w:cstheme="minorHAnsi"/>
                <w:b/>
                <w:bCs/>
                <w:szCs w:val="18"/>
              </w:rPr>
              <w:t xml:space="preserve">Increased consumer access to reporting outlets and support networks </w:t>
            </w:r>
          </w:p>
        </w:tc>
        <w:tc>
          <w:tcPr>
            <w:tcW w:w="1174" w:type="dxa"/>
          </w:tcPr>
          <w:p w14:paraId="5B27988C" w14:textId="09324292" w:rsidR="00826141" w:rsidRPr="007333E8" w:rsidRDefault="00826141">
            <w:pPr>
              <w:rPr>
                <w:rFonts w:asciiTheme="minorHAnsi" w:hAnsiTheme="minorHAnsi" w:cstheme="minorHAnsi"/>
                <w:szCs w:val="18"/>
              </w:rPr>
            </w:pPr>
            <w:r w:rsidRPr="007333E8">
              <w:rPr>
                <w:rFonts w:asciiTheme="minorHAnsi" w:hAnsiTheme="minorHAnsi" w:cstheme="minorHAnsi"/>
                <w:szCs w:val="18"/>
              </w:rPr>
              <w:t>Quantitative and qualitative</w:t>
            </w:r>
          </w:p>
        </w:tc>
        <w:tc>
          <w:tcPr>
            <w:tcW w:w="1981" w:type="dxa"/>
          </w:tcPr>
          <w:p w14:paraId="092894CD" w14:textId="77777777"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AIC, </w:t>
            </w:r>
            <w:hyperlink r:id="rId57" w:history="1">
              <w:r w:rsidRPr="007333E8">
                <w:rPr>
                  <w:rStyle w:val="Hyperlink"/>
                  <w:rFonts w:asciiTheme="minorHAnsi" w:hAnsiTheme="minorHAnsi" w:cstheme="minorHAnsi"/>
                  <w:i/>
                  <w:iCs/>
                  <w:szCs w:val="18"/>
                </w:rPr>
                <w:t>Cybercrime in Australia</w:t>
              </w:r>
            </w:hyperlink>
          </w:p>
          <w:p w14:paraId="15A9D849" w14:textId="74E13D6F"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Treasury, </w:t>
            </w:r>
            <w:r w:rsidRPr="007333E8">
              <w:rPr>
                <w:rFonts w:asciiTheme="minorHAnsi" w:hAnsiTheme="minorHAnsi" w:cstheme="minorHAnsi"/>
                <w:i/>
                <w:iCs/>
                <w:szCs w:val="18"/>
              </w:rPr>
              <w:t xml:space="preserve">Scams Consumer Survey </w:t>
            </w:r>
          </w:p>
        </w:tc>
        <w:tc>
          <w:tcPr>
            <w:tcW w:w="3260" w:type="dxa"/>
          </w:tcPr>
          <w:p w14:paraId="7DF1D307" w14:textId="3E3CA278"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Despite there being several reporting avenues for support when a person is affected by a scam, there is low take-up of these services. The AIC estimates most Australians do not disclose their victimisation to scams or fraud with agencies, with low take-up of services such as ACSC and IDCARE and reporting outlets such as </w:t>
            </w:r>
            <w:proofErr w:type="spellStart"/>
            <w:r w:rsidRPr="007333E8">
              <w:rPr>
                <w:rFonts w:asciiTheme="minorHAnsi" w:hAnsiTheme="minorHAnsi" w:cstheme="minorHAnsi"/>
                <w:szCs w:val="18"/>
              </w:rPr>
              <w:t>Scamwatch</w:t>
            </w:r>
            <w:proofErr w:type="spellEnd"/>
            <w:r w:rsidRPr="007333E8">
              <w:rPr>
                <w:rFonts w:asciiTheme="minorHAnsi" w:hAnsiTheme="minorHAnsi" w:cstheme="minorHAnsi"/>
                <w:szCs w:val="18"/>
              </w:rPr>
              <w:t xml:space="preserve">.  </w:t>
            </w:r>
          </w:p>
        </w:tc>
        <w:tc>
          <w:tcPr>
            <w:tcW w:w="3711" w:type="dxa"/>
          </w:tcPr>
          <w:p w14:paraId="5E6C4FA7" w14:textId="77777777"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Improved complaints handling and reporting processes may improve the connection of victims to support services and increase the overall take-up of these services. </w:t>
            </w:r>
          </w:p>
        </w:tc>
        <w:tc>
          <w:tcPr>
            <w:tcW w:w="3431" w:type="dxa"/>
          </w:tcPr>
          <w:p w14:paraId="05F895B2" w14:textId="347397D9" w:rsidR="00826141" w:rsidRPr="007333E8" w:rsidRDefault="00826141">
            <w:pPr>
              <w:rPr>
                <w:rFonts w:asciiTheme="minorHAnsi" w:hAnsiTheme="minorHAnsi" w:cstheme="minorHAnsi"/>
                <w:szCs w:val="18"/>
              </w:rPr>
            </w:pPr>
            <w:r w:rsidRPr="007333E8">
              <w:rPr>
                <w:rFonts w:asciiTheme="minorHAnsi" w:hAnsiTheme="minorHAnsi" w:cstheme="minorHAnsi"/>
                <w:szCs w:val="18"/>
              </w:rPr>
              <w:t xml:space="preserve">The evidence base for consumer take-up is survey-based and limited. There are personal and situational elements that influence consumers’ beliefs relating to supports that may not be improved, particularly a reluctance to escalate supports if it is known that funds lost to a scam are unrecoverable from a financial institution. Also, not all victims of a scam report a loss, limiting their desire to escalate. </w:t>
            </w:r>
          </w:p>
        </w:tc>
      </w:tr>
    </w:tbl>
    <w:p w14:paraId="21D63648" w14:textId="4505BDF7" w:rsidR="00CF3343" w:rsidRPr="00EC23B7" w:rsidRDefault="00655972" w:rsidP="00D6664A">
      <w:r>
        <w:br w:type="textWrapping" w:clear="all"/>
      </w:r>
    </w:p>
    <w:sectPr w:rsidR="00CF3343" w:rsidRPr="00EC23B7" w:rsidSect="00382253">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15F79" w14:textId="77777777" w:rsidR="00230512" w:rsidRDefault="00230512" w:rsidP="00D94EE3">
      <w:pPr>
        <w:spacing w:after="0"/>
      </w:pPr>
      <w:r>
        <w:separator/>
      </w:r>
    </w:p>
  </w:endnote>
  <w:endnote w:type="continuationSeparator" w:id="0">
    <w:p w14:paraId="2051705D" w14:textId="77777777" w:rsidR="00230512" w:rsidRDefault="00230512" w:rsidP="00D94EE3">
      <w:pPr>
        <w:spacing w:after="0"/>
      </w:pPr>
      <w:r>
        <w:continuationSeparator/>
      </w:r>
    </w:p>
  </w:endnote>
  <w:endnote w:type="continuationNotice" w:id="1">
    <w:p w14:paraId="79462F9C" w14:textId="77777777" w:rsidR="00230512" w:rsidRDefault="002305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isticText-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4254B" w14:textId="77777777" w:rsidR="00F77455" w:rsidRDefault="00F774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1147" w14:textId="0233B3A8" w:rsidR="00E55070" w:rsidRDefault="00E5507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5E02" w14:textId="76BDA46A" w:rsidR="00D94EE3" w:rsidRPr="00B80490" w:rsidRDefault="00B80490" w:rsidP="00B80490">
    <w:pPr>
      <w:pStyle w:val="FooterEven"/>
      <w:jc w:val="right"/>
    </w:pPr>
    <w:r>
      <w:drawing>
        <wp:anchor distT="0" distB="0" distL="114300" distR="114300" simplePos="0" relativeHeight="251658243" behindDoc="1" locked="0" layoutInCell="1" allowOverlap="0" wp14:anchorId="7FCB6956" wp14:editId="39950B72">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71239751" name="Picture 57123975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t xml:space="preserve"> | </w:t>
    </w:r>
    <w:r>
      <w:rPr>
        <w:noProof w:val="0"/>
      </w:rPr>
      <w:fldChar w:fldCharType="begin"/>
    </w:r>
    <w:r>
      <w:instrText xml:space="preserve"> PAGE   \* MERGEFORMAT </w:instrText>
    </w:r>
    <w:r>
      <w:rPr>
        <w:noProof w:val="0"/>
      </w:rPr>
      <w:fldChar w:fldCharType="separate"/>
    </w:r>
    <w:r w:rsidR="002C780F">
      <w:t>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F161" w14:textId="635F56CD" w:rsidR="001C0415" w:rsidRPr="001B2A30" w:rsidRDefault="001B2A30" w:rsidP="001B2A30">
    <w:pPr>
      <w:pStyle w:val="FooterEven"/>
      <w:jc w:val="right"/>
    </w:pPr>
    <w:r>
      <w:drawing>
        <wp:anchor distT="0" distB="0" distL="114300" distR="114300" simplePos="0" relativeHeight="251658245" behindDoc="1" locked="0" layoutInCell="1" allowOverlap="0" wp14:anchorId="7502FA5E" wp14:editId="0E4BE6C8">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913715253" name="Picture 91371525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230512">
      <w:fldChar w:fldCharType="begin"/>
    </w:r>
    <w:r w:rsidR="00230512">
      <w:instrText>STYLEREF  "Heading 1"  \* MERGEFORMAT</w:instrText>
    </w:r>
    <w:r w:rsidR="00230512">
      <w:fldChar w:fldCharType="separate"/>
    </w:r>
    <w:r w:rsidR="002C780F">
      <w:t>Executive summary</w:t>
    </w:r>
    <w:r w:rsidR="00230512">
      <w:fldChar w:fldCharType="end"/>
    </w:r>
    <w:r>
      <w:t xml:space="preserve"> | </w:t>
    </w:r>
    <w:r>
      <w:rPr>
        <w:noProof w:val="0"/>
      </w:rPr>
      <w:fldChar w:fldCharType="begin"/>
    </w:r>
    <w:r>
      <w:instrText xml:space="preserve"> PAGE   \* MERGEFORMAT </w:instrText>
    </w:r>
    <w:r>
      <w:rPr>
        <w:noProof w:val="0"/>
      </w:rPr>
      <w:fldChar w:fldCharType="separate"/>
    </w:r>
    <w:r w:rsidR="002C780F">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7F1B1" w14:textId="77777777" w:rsidR="006F5192" w:rsidRDefault="006F5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8047" w14:textId="1DACCA78" w:rsidR="001C0415" w:rsidRDefault="001C0415" w:rsidP="001B2A30">
    <w:pPr>
      <w:pStyle w:val="FooterEven"/>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5CE0" w14:textId="13EC9309" w:rsidR="00E55070" w:rsidRDefault="00E550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6B1EF" w14:textId="23E966BA" w:rsidR="00E55070" w:rsidRDefault="00E550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4F0C" w14:textId="0724AFF0" w:rsidR="001B2A30" w:rsidRDefault="001B2A30" w:rsidP="001B2A30">
    <w:pPr>
      <w:pStyle w:val="FooterEven"/>
      <w:jc w:val="righ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FF7E" w14:textId="0E2535CA" w:rsidR="00E55070" w:rsidRDefault="00E5507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09F21" w14:textId="04385130" w:rsidR="00E55070" w:rsidRDefault="00E5507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119C" w14:textId="6A4A69C0" w:rsidR="001B2A30" w:rsidRDefault="001B2A30" w:rsidP="001B2A30">
    <w:pPr>
      <w:pStyle w:val="FooterEven"/>
      <w:jc w:val="right"/>
    </w:pPr>
    <w:r>
      <w:drawing>
        <wp:anchor distT="0" distB="0" distL="114300" distR="114300" simplePos="0" relativeHeight="251658240" behindDoc="1" locked="0" layoutInCell="1" allowOverlap="0" wp14:anchorId="4617F292" wp14:editId="1FC19DFD">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t xml:space="preserve"> </w:t>
    </w:r>
    <w:r>
      <w:rPr>
        <w:noProof w:val="0"/>
      </w:rPr>
      <w:fldChar w:fldCharType="begin"/>
    </w:r>
    <w:r>
      <w:instrText xml:space="preserve"> PAGE   \* MERGEFORMAT </w:instrText>
    </w:r>
    <w:r>
      <w:rPr>
        <w:noProof w:val="0"/>
      </w:rPr>
      <w:fldChar w:fldCharType="separate"/>
    </w:r>
    <w:r w:rsidR="002C780F">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B5345" w14:textId="77777777" w:rsidR="00230512" w:rsidRDefault="00230512" w:rsidP="00D94EE3">
      <w:pPr>
        <w:spacing w:after="0"/>
      </w:pPr>
      <w:r>
        <w:separator/>
      </w:r>
    </w:p>
  </w:footnote>
  <w:footnote w:type="continuationSeparator" w:id="0">
    <w:p w14:paraId="336F6F25" w14:textId="77777777" w:rsidR="00230512" w:rsidRDefault="00230512" w:rsidP="00D94EE3">
      <w:pPr>
        <w:spacing w:after="0"/>
      </w:pPr>
      <w:r>
        <w:continuationSeparator/>
      </w:r>
    </w:p>
  </w:footnote>
  <w:footnote w:type="continuationNotice" w:id="1">
    <w:p w14:paraId="213E95F9" w14:textId="77777777" w:rsidR="00230512" w:rsidRDefault="00230512">
      <w:pPr>
        <w:spacing w:before="0" w:after="0"/>
      </w:pPr>
    </w:p>
  </w:footnote>
  <w:footnote w:id="2">
    <w:p w14:paraId="533E49DE" w14:textId="77777777" w:rsidR="00FD4BB2" w:rsidRPr="00B263FD" w:rsidRDefault="00FD4BB2" w:rsidP="0076206B">
      <w:pPr>
        <w:pStyle w:val="FootnoteText"/>
        <w:ind w:left="0" w:firstLine="0"/>
        <w:rPr>
          <w:sz w:val="16"/>
          <w:szCs w:val="16"/>
        </w:rPr>
      </w:pPr>
      <w:r w:rsidRPr="00B263FD">
        <w:rPr>
          <w:rStyle w:val="FootnoteReference"/>
          <w:sz w:val="16"/>
          <w:szCs w:val="16"/>
        </w:rPr>
        <w:footnoteRef/>
      </w:r>
      <w:r w:rsidRPr="00B263FD">
        <w:rPr>
          <w:sz w:val="16"/>
          <w:szCs w:val="16"/>
        </w:rPr>
        <w:t xml:space="preserve"> Budget 2023-2024, </w:t>
      </w:r>
      <w:r w:rsidRPr="00B263FD">
        <w:rPr>
          <w:i/>
          <w:sz w:val="16"/>
          <w:szCs w:val="16"/>
        </w:rPr>
        <w:t>Budget Paper No. 2 – Budget Measures</w:t>
      </w:r>
      <w:r w:rsidRPr="00B263FD">
        <w:rPr>
          <w:sz w:val="16"/>
          <w:szCs w:val="16"/>
        </w:rPr>
        <w:t>,</w:t>
      </w:r>
      <w:r w:rsidRPr="00B263FD">
        <w:rPr>
          <w:i/>
          <w:sz w:val="16"/>
          <w:szCs w:val="16"/>
        </w:rPr>
        <w:t xml:space="preserve"> </w:t>
      </w:r>
      <w:r w:rsidRPr="00B263FD">
        <w:rPr>
          <w:sz w:val="16"/>
          <w:szCs w:val="16"/>
        </w:rPr>
        <w:t xml:space="preserve">page 211. </w:t>
      </w:r>
    </w:p>
  </w:footnote>
  <w:footnote w:id="3">
    <w:p w14:paraId="4C251727" w14:textId="6A31E54B" w:rsidR="00A87754" w:rsidRPr="00B263FD" w:rsidRDefault="00A87754" w:rsidP="0076206B">
      <w:pPr>
        <w:pStyle w:val="FootnoteText"/>
        <w:ind w:left="0" w:firstLine="0"/>
        <w:rPr>
          <w:sz w:val="16"/>
          <w:szCs w:val="16"/>
        </w:rPr>
      </w:pPr>
      <w:r w:rsidRPr="00B263FD">
        <w:rPr>
          <w:rStyle w:val="FootnoteReference"/>
          <w:sz w:val="16"/>
          <w:szCs w:val="16"/>
        </w:rPr>
        <w:footnoteRef/>
      </w:r>
      <w:r w:rsidRPr="00B263FD">
        <w:rPr>
          <w:sz w:val="16"/>
          <w:szCs w:val="16"/>
        </w:rPr>
        <w:t xml:space="preserve"> ACCC, </w:t>
      </w:r>
      <w:r w:rsidRPr="00B263FD">
        <w:rPr>
          <w:i/>
          <w:sz w:val="16"/>
          <w:szCs w:val="16"/>
        </w:rPr>
        <w:t xml:space="preserve">Targeting Scams </w:t>
      </w:r>
      <w:r w:rsidRPr="00B263FD">
        <w:rPr>
          <w:sz w:val="16"/>
          <w:szCs w:val="16"/>
        </w:rPr>
        <w:t>2022</w:t>
      </w:r>
    </w:p>
  </w:footnote>
  <w:footnote w:id="4">
    <w:p w14:paraId="343D7344" w14:textId="35D4F049" w:rsidR="00AB0B72" w:rsidRPr="00B263FD" w:rsidRDefault="00AB0B72" w:rsidP="0076206B">
      <w:pPr>
        <w:pStyle w:val="FootnoteText"/>
        <w:ind w:left="0" w:firstLine="0"/>
        <w:rPr>
          <w:sz w:val="16"/>
          <w:szCs w:val="16"/>
        </w:rPr>
      </w:pPr>
      <w:r w:rsidRPr="00B263FD">
        <w:rPr>
          <w:rStyle w:val="FootnoteReference"/>
          <w:sz w:val="16"/>
          <w:szCs w:val="16"/>
        </w:rPr>
        <w:footnoteRef/>
      </w:r>
      <w:r w:rsidRPr="00B263FD">
        <w:rPr>
          <w:sz w:val="16"/>
          <w:szCs w:val="16"/>
        </w:rPr>
        <w:t xml:space="preserve"> </w:t>
      </w:r>
      <w:r w:rsidR="00986B38" w:rsidRPr="00B263FD">
        <w:rPr>
          <w:sz w:val="16"/>
          <w:szCs w:val="16"/>
        </w:rPr>
        <w:t>Data attempts</w:t>
      </w:r>
      <w:r w:rsidR="00887D89" w:rsidRPr="00B263FD">
        <w:rPr>
          <w:sz w:val="16"/>
          <w:szCs w:val="16"/>
        </w:rPr>
        <w:t xml:space="preserve"> to </w:t>
      </w:r>
      <w:r w:rsidR="00986B38" w:rsidRPr="00B263FD">
        <w:rPr>
          <w:sz w:val="16"/>
          <w:szCs w:val="16"/>
        </w:rPr>
        <w:t xml:space="preserve">measure the impact of </w:t>
      </w:r>
      <w:r w:rsidR="00887D89" w:rsidRPr="00B263FD">
        <w:rPr>
          <w:sz w:val="16"/>
          <w:szCs w:val="16"/>
        </w:rPr>
        <w:t xml:space="preserve">scam </w:t>
      </w:r>
      <w:r w:rsidR="00986B38" w:rsidRPr="00B263FD">
        <w:rPr>
          <w:sz w:val="16"/>
          <w:szCs w:val="16"/>
        </w:rPr>
        <w:t>attempts through exposure and victimisation rates.  Exposure to scams includes all incidences</w:t>
      </w:r>
      <w:r w:rsidR="00887D89" w:rsidRPr="00B263FD">
        <w:rPr>
          <w:sz w:val="16"/>
          <w:szCs w:val="16"/>
        </w:rPr>
        <w:t xml:space="preserve"> where a scammer uses a contact method to target a </w:t>
      </w:r>
      <w:r w:rsidR="00986B38" w:rsidRPr="00B263FD">
        <w:rPr>
          <w:sz w:val="16"/>
          <w:szCs w:val="16"/>
        </w:rPr>
        <w:t>consumer</w:t>
      </w:r>
      <w:r w:rsidR="00887D89" w:rsidRPr="00B263FD">
        <w:rPr>
          <w:sz w:val="16"/>
          <w:szCs w:val="16"/>
        </w:rPr>
        <w:t xml:space="preserve">, regardless of </w:t>
      </w:r>
      <w:r w:rsidR="00986B38" w:rsidRPr="00B263FD">
        <w:rPr>
          <w:sz w:val="16"/>
          <w:szCs w:val="16"/>
        </w:rPr>
        <w:t>its impact on them. Victimisation rates only capture experiences of scams where the victim has been</w:t>
      </w:r>
      <w:r w:rsidR="00887D89" w:rsidRPr="00B263FD">
        <w:rPr>
          <w:sz w:val="16"/>
          <w:szCs w:val="16"/>
        </w:rPr>
        <w:t xml:space="preserve"> defrauded</w:t>
      </w:r>
      <w:r w:rsidR="00986B38" w:rsidRPr="00B263FD">
        <w:rPr>
          <w:sz w:val="16"/>
          <w:szCs w:val="16"/>
        </w:rPr>
        <w:t xml:space="preserve"> and experienced a loss.</w:t>
      </w:r>
    </w:p>
  </w:footnote>
  <w:footnote w:id="5">
    <w:p w14:paraId="6EBE08DA" w14:textId="40FCB955" w:rsidR="00BF3C9E" w:rsidRPr="00B263FD" w:rsidRDefault="00BF3C9E" w:rsidP="0076206B">
      <w:pPr>
        <w:pStyle w:val="FootnoteText"/>
        <w:ind w:left="0" w:firstLine="0"/>
        <w:rPr>
          <w:sz w:val="16"/>
          <w:szCs w:val="16"/>
        </w:rPr>
      </w:pPr>
      <w:r w:rsidRPr="00B263FD">
        <w:rPr>
          <w:rStyle w:val="FootnoteReference"/>
          <w:sz w:val="16"/>
          <w:szCs w:val="16"/>
        </w:rPr>
        <w:footnoteRef/>
      </w:r>
      <w:r w:rsidRPr="00B263FD">
        <w:rPr>
          <w:sz w:val="16"/>
          <w:szCs w:val="16"/>
        </w:rPr>
        <w:t xml:space="preserve"> ABS, </w:t>
      </w:r>
      <w:r w:rsidRPr="00B263FD">
        <w:rPr>
          <w:i/>
          <w:sz w:val="16"/>
          <w:szCs w:val="16"/>
        </w:rPr>
        <w:t>Personal Fraud, 2022-23</w:t>
      </w:r>
      <w:r w:rsidRPr="00B263FD">
        <w:rPr>
          <w:sz w:val="16"/>
          <w:szCs w:val="16"/>
        </w:rPr>
        <w:t>, 20 March 2024</w:t>
      </w:r>
      <w:r w:rsidR="00012A9C">
        <w:rPr>
          <w:sz w:val="16"/>
          <w:szCs w:val="16"/>
        </w:rPr>
        <w:t xml:space="preserve">. </w:t>
      </w:r>
      <w:r w:rsidR="00012A9C" w:rsidRPr="00012A9C">
        <w:rPr>
          <w:sz w:val="16"/>
          <w:szCs w:val="16"/>
        </w:rPr>
        <w:t>A person was considered to have been exposed to a scam if they had received an unsolicited invitation, request, notification or offer, and read, viewed, or listened to the material.</w:t>
      </w:r>
    </w:p>
  </w:footnote>
  <w:footnote w:id="6">
    <w:p w14:paraId="575AFDBF" w14:textId="468A1E07" w:rsidR="000E107E" w:rsidRPr="00B263FD" w:rsidRDefault="000E107E" w:rsidP="0076206B">
      <w:pPr>
        <w:pStyle w:val="FootnoteText"/>
        <w:ind w:left="0" w:firstLine="0"/>
        <w:rPr>
          <w:sz w:val="16"/>
          <w:szCs w:val="16"/>
        </w:rPr>
      </w:pPr>
      <w:r w:rsidRPr="00B263FD">
        <w:rPr>
          <w:rStyle w:val="FootnoteReference"/>
          <w:sz w:val="16"/>
          <w:szCs w:val="16"/>
        </w:rPr>
        <w:footnoteRef/>
      </w:r>
      <w:r w:rsidRPr="00B263FD">
        <w:rPr>
          <w:sz w:val="16"/>
          <w:szCs w:val="16"/>
        </w:rPr>
        <w:t xml:space="preserve"> AIC, </w:t>
      </w:r>
      <w:r w:rsidR="00FD6745" w:rsidRPr="00B263FD">
        <w:rPr>
          <w:i/>
          <w:sz w:val="16"/>
          <w:szCs w:val="16"/>
        </w:rPr>
        <w:t>Cybercrime in Australia 2023</w:t>
      </w:r>
      <w:r w:rsidR="00FD6745" w:rsidRPr="00B263FD">
        <w:rPr>
          <w:sz w:val="16"/>
          <w:szCs w:val="16"/>
        </w:rPr>
        <w:t>, 27 June 2023</w:t>
      </w:r>
      <w:r w:rsidRPr="00B263FD">
        <w:rPr>
          <w:i/>
          <w:sz w:val="16"/>
          <w:szCs w:val="16"/>
        </w:rPr>
        <w:t xml:space="preserve"> </w:t>
      </w:r>
      <w:r w:rsidRPr="00B263FD">
        <w:rPr>
          <w:sz w:val="16"/>
          <w:szCs w:val="16"/>
        </w:rPr>
        <w:t xml:space="preserve">p. 30-32 </w:t>
      </w:r>
    </w:p>
  </w:footnote>
  <w:footnote w:id="7">
    <w:p w14:paraId="34D0B84F" w14:textId="09DB3ABF" w:rsidR="00044585" w:rsidRPr="00BE17D1" w:rsidRDefault="00044585"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Pr="00B263FD">
        <w:rPr>
          <w:sz w:val="16"/>
          <w:szCs w:val="16"/>
        </w:rPr>
        <w:t xml:space="preserve">ABS, </w:t>
      </w:r>
      <w:r w:rsidRPr="00B263FD">
        <w:rPr>
          <w:i/>
          <w:sz w:val="16"/>
          <w:szCs w:val="16"/>
        </w:rPr>
        <w:t>Personal Fraud, 2022-23</w:t>
      </w:r>
      <w:r w:rsidRPr="00B263FD">
        <w:rPr>
          <w:sz w:val="16"/>
          <w:szCs w:val="16"/>
        </w:rPr>
        <w:t>, 20 March 2024</w:t>
      </w:r>
    </w:p>
  </w:footnote>
  <w:footnote w:id="8">
    <w:p w14:paraId="0083683E" w14:textId="25E1E502" w:rsidR="00297DB3" w:rsidRPr="00BE17D1" w:rsidRDefault="00297DB3"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00DF39AC" w:rsidRPr="00BE17D1">
        <w:rPr>
          <w:sz w:val="16"/>
          <w:szCs w:val="16"/>
        </w:rPr>
        <w:t>ACCC,</w:t>
      </w:r>
      <w:r w:rsidRPr="00BE17D1">
        <w:rPr>
          <w:sz w:val="16"/>
          <w:szCs w:val="16"/>
        </w:rPr>
        <w:t xml:space="preserve"> </w:t>
      </w:r>
      <w:proofErr w:type="spellStart"/>
      <w:r w:rsidRPr="00BE17D1">
        <w:rPr>
          <w:sz w:val="16"/>
          <w:szCs w:val="16"/>
        </w:rPr>
        <w:t>Scamwatch</w:t>
      </w:r>
      <w:proofErr w:type="spellEnd"/>
      <w:r w:rsidRPr="00BE17D1">
        <w:rPr>
          <w:sz w:val="16"/>
          <w:szCs w:val="16"/>
        </w:rPr>
        <w:t xml:space="preserve"> online data dashboard</w:t>
      </w:r>
    </w:p>
  </w:footnote>
  <w:footnote w:id="9">
    <w:p w14:paraId="706AEF50" w14:textId="0E8642E0" w:rsidR="00044585" w:rsidRPr="00B263FD" w:rsidRDefault="00044585"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Pr="00B263FD">
        <w:rPr>
          <w:sz w:val="16"/>
          <w:szCs w:val="16"/>
        </w:rPr>
        <w:t xml:space="preserve">ACCC, </w:t>
      </w:r>
      <w:proofErr w:type="spellStart"/>
      <w:r w:rsidRPr="00B263FD">
        <w:rPr>
          <w:sz w:val="16"/>
          <w:szCs w:val="16"/>
        </w:rPr>
        <w:t>Scamwatch</w:t>
      </w:r>
      <w:proofErr w:type="spellEnd"/>
      <w:r w:rsidRPr="00B263FD">
        <w:rPr>
          <w:sz w:val="16"/>
          <w:szCs w:val="16"/>
        </w:rPr>
        <w:t xml:space="preserve"> online data dashboard</w:t>
      </w:r>
    </w:p>
  </w:footnote>
  <w:footnote w:id="10">
    <w:p w14:paraId="10A6D7E7" w14:textId="77777777" w:rsidR="007723C6" w:rsidRPr="00B263FD" w:rsidRDefault="007723C6" w:rsidP="007723C6">
      <w:pPr>
        <w:pStyle w:val="FootnoteText"/>
        <w:ind w:left="0" w:firstLine="0"/>
        <w:rPr>
          <w:sz w:val="16"/>
          <w:szCs w:val="16"/>
        </w:rPr>
      </w:pPr>
      <w:r w:rsidRPr="00B263FD">
        <w:rPr>
          <w:rStyle w:val="FootnoteReference"/>
          <w:sz w:val="16"/>
          <w:szCs w:val="16"/>
        </w:rPr>
        <w:footnoteRef/>
      </w:r>
      <w:r w:rsidRPr="00B263FD">
        <w:rPr>
          <w:sz w:val="16"/>
          <w:szCs w:val="16"/>
        </w:rPr>
        <w:t xml:space="preserve"> </w:t>
      </w:r>
      <w:r>
        <w:rPr>
          <w:sz w:val="16"/>
          <w:szCs w:val="16"/>
        </w:rPr>
        <w:t>Ibid.</w:t>
      </w:r>
      <w:r w:rsidRPr="00B263FD">
        <w:rPr>
          <w:sz w:val="16"/>
          <w:szCs w:val="16"/>
        </w:rPr>
        <w:t xml:space="preserve"> </w:t>
      </w:r>
    </w:p>
  </w:footnote>
  <w:footnote w:id="11">
    <w:p w14:paraId="3B58D72B" w14:textId="42515013" w:rsidR="00E8333F" w:rsidRPr="00B263FD" w:rsidRDefault="00E8333F" w:rsidP="0076206B">
      <w:pPr>
        <w:pStyle w:val="FootnoteText"/>
        <w:ind w:left="0" w:firstLine="0"/>
        <w:rPr>
          <w:sz w:val="16"/>
          <w:szCs w:val="16"/>
        </w:rPr>
      </w:pPr>
      <w:r w:rsidRPr="00B263FD">
        <w:rPr>
          <w:rStyle w:val="FootnoteReference"/>
          <w:sz w:val="16"/>
          <w:szCs w:val="16"/>
        </w:rPr>
        <w:footnoteRef/>
      </w:r>
      <w:r w:rsidRPr="00B263FD">
        <w:rPr>
          <w:sz w:val="16"/>
          <w:szCs w:val="16"/>
        </w:rPr>
        <w:t xml:space="preserve"> ACCC, </w:t>
      </w:r>
      <w:r w:rsidRPr="00B263FD">
        <w:rPr>
          <w:i/>
          <w:sz w:val="16"/>
          <w:szCs w:val="16"/>
        </w:rPr>
        <w:t xml:space="preserve">Targeting </w:t>
      </w:r>
      <w:r w:rsidR="00112003" w:rsidRPr="00B263FD">
        <w:rPr>
          <w:i/>
          <w:sz w:val="16"/>
          <w:szCs w:val="16"/>
        </w:rPr>
        <w:t>Scams</w:t>
      </w:r>
      <w:r w:rsidR="00112003" w:rsidRPr="00B263FD">
        <w:rPr>
          <w:sz w:val="16"/>
          <w:szCs w:val="16"/>
        </w:rPr>
        <w:t xml:space="preserve">, 2023 </w:t>
      </w:r>
    </w:p>
  </w:footnote>
  <w:footnote w:id="12">
    <w:p w14:paraId="4E0972A3" w14:textId="134FABEF" w:rsidR="00550727" w:rsidRPr="00BE17D1" w:rsidRDefault="00550727" w:rsidP="00BE17D1">
      <w:pPr>
        <w:spacing w:after="0"/>
        <w:rPr>
          <w:sz w:val="16"/>
          <w:szCs w:val="16"/>
        </w:rPr>
      </w:pPr>
      <w:r w:rsidRPr="00BE17D1">
        <w:rPr>
          <w:sz w:val="16"/>
          <w:szCs w:val="16"/>
        </w:rPr>
        <w:footnoteRef/>
      </w:r>
      <w:r w:rsidRPr="00BE17D1">
        <w:rPr>
          <w:sz w:val="16"/>
          <w:szCs w:val="16"/>
        </w:rPr>
        <w:t xml:space="preserve"> </w:t>
      </w:r>
      <w:r w:rsidRPr="00B263FD">
        <w:rPr>
          <w:sz w:val="16"/>
          <w:szCs w:val="16"/>
        </w:rPr>
        <w:t xml:space="preserve">ACCC, </w:t>
      </w:r>
      <w:r w:rsidRPr="00BE17D1">
        <w:rPr>
          <w:sz w:val="16"/>
          <w:szCs w:val="16"/>
        </w:rPr>
        <w:t>Targeting Scams</w:t>
      </w:r>
      <w:r w:rsidRPr="00B263FD">
        <w:rPr>
          <w:sz w:val="16"/>
          <w:szCs w:val="16"/>
        </w:rPr>
        <w:t>, 2015 to 2023 reports. Combined figures for the number of consumer reports are not comparable prior to 2020 due to changes in data sources and methodology.</w:t>
      </w:r>
    </w:p>
  </w:footnote>
  <w:footnote w:id="13">
    <w:p w14:paraId="7EF9B5E6" w14:textId="7A4BC7C3" w:rsidR="00AF6867" w:rsidRPr="00B263FD" w:rsidRDefault="00AF6867"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00E91B79" w:rsidRPr="00B263FD">
        <w:rPr>
          <w:sz w:val="16"/>
          <w:szCs w:val="16"/>
        </w:rPr>
        <w:t xml:space="preserve">ACCC, </w:t>
      </w:r>
      <w:r w:rsidR="00E91B79" w:rsidRPr="00955C42">
        <w:rPr>
          <w:sz w:val="16"/>
          <w:szCs w:val="16"/>
        </w:rPr>
        <w:t>Targeting Scams</w:t>
      </w:r>
      <w:r w:rsidR="00E91B79" w:rsidRPr="00B263FD" w:rsidDel="00E91B79">
        <w:rPr>
          <w:sz w:val="16"/>
          <w:szCs w:val="16"/>
        </w:rPr>
        <w:t xml:space="preserve"> </w:t>
      </w:r>
      <w:r w:rsidR="00C771A7">
        <w:rPr>
          <w:sz w:val="16"/>
          <w:szCs w:val="16"/>
        </w:rPr>
        <w:t>report 2023.</w:t>
      </w:r>
    </w:p>
  </w:footnote>
  <w:footnote w:id="14">
    <w:p w14:paraId="6274CDA3" w14:textId="77777777" w:rsidR="00FB73D0" w:rsidRPr="00B263FD" w:rsidRDefault="00FB73D0"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International Public Sector Fraud Forum, </w:t>
      </w:r>
      <w:r w:rsidRPr="00B263FD">
        <w:rPr>
          <w:i/>
          <w:sz w:val="16"/>
          <w:szCs w:val="16"/>
        </w:rPr>
        <w:t xml:space="preserve">Guide to Understanding the Total Impact of Fraud, </w:t>
      </w:r>
      <w:r w:rsidRPr="00B263FD">
        <w:rPr>
          <w:sz w:val="16"/>
          <w:szCs w:val="16"/>
        </w:rPr>
        <w:t xml:space="preserve">2023. </w:t>
      </w:r>
    </w:p>
  </w:footnote>
  <w:footnote w:id="15">
    <w:p w14:paraId="5FDA078E" w14:textId="4CB812C2" w:rsidR="00A17C49" w:rsidRPr="00BE17D1" w:rsidRDefault="00A17C49"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ACCC, </w:t>
      </w:r>
      <w:r w:rsidRPr="00BE17D1">
        <w:rPr>
          <w:i/>
          <w:sz w:val="16"/>
          <w:szCs w:val="16"/>
        </w:rPr>
        <w:t>Targeting Scams 202</w:t>
      </w:r>
      <w:r w:rsidR="004B6A0F" w:rsidRPr="00BE17D1">
        <w:rPr>
          <w:i/>
          <w:sz w:val="16"/>
          <w:szCs w:val="16"/>
        </w:rPr>
        <w:t xml:space="preserve">1, </w:t>
      </w:r>
      <w:r w:rsidR="004B6A0F" w:rsidRPr="00BE17D1">
        <w:rPr>
          <w:sz w:val="16"/>
          <w:szCs w:val="16"/>
        </w:rPr>
        <w:t xml:space="preserve">p. </w:t>
      </w:r>
      <w:r w:rsidR="006F5B5A" w:rsidRPr="00BE17D1">
        <w:rPr>
          <w:sz w:val="16"/>
          <w:szCs w:val="16"/>
        </w:rPr>
        <w:t xml:space="preserve">1, </w:t>
      </w:r>
      <w:r w:rsidR="004B6A0F" w:rsidRPr="00BE17D1">
        <w:rPr>
          <w:sz w:val="16"/>
          <w:szCs w:val="16"/>
        </w:rPr>
        <w:t>27, 69</w:t>
      </w:r>
    </w:p>
  </w:footnote>
  <w:footnote w:id="16">
    <w:p w14:paraId="30EEFDF0" w14:textId="19DB0D42" w:rsidR="007C038C" w:rsidRPr="00BE17D1" w:rsidRDefault="007C038C"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ACCC, </w:t>
      </w:r>
      <w:r w:rsidRPr="00BE17D1">
        <w:rPr>
          <w:i/>
          <w:sz w:val="16"/>
          <w:szCs w:val="16"/>
        </w:rPr>
        <w:t>Targeting Scams 2022</w:t>
      </w:r>
      <w:r w:rsidRPr="00BE17D1">
        <w:rPr>
          <w:sz w:val="16"/>
          <w:szCs w:val="16"/>
        </w:rPr>
        <w:t>, p. 14</w:t>
      </w:r>
    </w:p>
  </w:footnote>
  <w:footnote w:id="17">
    <w:p w14:paraId="221835FD" w14:textId="4F2D284E" w:rsidR="00505893" w:rsidRPr="00B263FD" w:rsidRDefault="00505893" w:rsidP="0076206B">
      <w:pPr>
        <w:pStyle w:val="FootnoteText"/>
        <w:ind w:left="0" w:firstLine="0"/>
        <w:rPr>
          <w:sz w:val="16"/>
          <w:szCs w:val="16"/>
        </w:rPr>
      </w:pPr>
      <w:r w:rsidRPr="00B263FD">
        <w:rPr>
          <w:rStyle w:val="FootnoteReference"/>
          <w:sz w:val="16"/>
          <w:szCs w:val="16"/>
        </w:rPr>
        <w:footnoteRef/>
      </w:r>
      <w:r w:rsidRPr="00B263FD">
        <w:rPr>
          <w:sz w:val="16"/>
          <w:szCs w:val="16"/>
        </w:rPr>
        <w:t xml:space="preserve"> ACCC, </w:t>
      </w:r>
      <w:proofErr w:type="spellStart"/>
      <w:r w:rsidRPr="00B263FD">
        <w:rPr>
          <w:sz w:val="16"/>
          <w:szCs w:val="16"/>
        </w:rPr>
        <w:t>Scamwatch</w:t>
      </w:r>
      <w:proofErr w:type="spellEnd"/>
      <w:r w:rsidRPr="00B263FD">
        <w:rPr>
          <w:sz w:val="16"/>
          <w:szCs w:val="16"/>
        </w:rPr>
        <w:t xml:space="preserve"> online data dashboard</w:t>
      </w:r>
    </w:p>
  </w:footnote>
  <w:footnote w:id="18">
    <w:p w14:paraId="243E1FB2" w14:textId="483B6FA9" w:rsidR="00505893" w:rsidRPr="00BE17D1" w:rsidRDefault="00505893" w:rsidP="0076206B">
      <w:pPr>
        <w:pStyle w:val="FootnoteText"/>
        <w:ind w:left="0" w:firstLine="0"/>
        <w:rPr>
          <w:sz w:val="16"/>
          <w:szCs w:val="16"/>
        </w:rPr>
      </w:pPr>
      <w:r w:rsidRPr="00B263FD">
        <w:rPr>
          <w:rStyle w:val="FootnoteReference"/>
          <w:sz w:val="16"/>
          <w:szCs w:val="16"/>
        </w:rPr>
        <w:footnoteRef/>
      </w:r>
      <w:r w:rsidRPr="00B263FD">
        <w:rPr>
          <w:sz w:val="16"/>
          <w:szCs w:val="16"/>
        </w:rPr>
        <w:t xml:space="preserve"> </w:t>
      </w:r>
      <w:r w:rsidR="005B03B8" w:rsidRPr="00B263FD">
        <w:rPr>
          <w:sz w:val="16"/>
          <w:szCs w:val="16"/>
        </w:rPr>
        <w:t xml:space="preserve">ACCC, </w:t>
      </w:r>
      <w:proofErr w:type="spellStart"/>
      <w:r w:rsidR="005B03B8" w:rsidRPr="00B263FD">
        <w:rPr>
          <w:sz w:val="16"/>
          <w:szCs w:val="16"/>
        </w:rPr>
        <w:t>Scamwatch</w:t>
      </w:r>
      <w:proofErr w:type="spellEnd"/>
      <w:r w:rsidR="005B03B8" w:rsidRPr="00B263FD">
        <w:rPr>
          <w:sz w:val="16"/>
          <w:szCs w:val="16"/>
        </w:rPr>
        <w:t xml:space="preserve"> online data dashboard</w:t>
      </w:r>
    </w:p>
  </w:footnote>
  <w:footnote w:id="19">
    <w:p w14:paraId="0811D54F" w14:textId="0C1EBF65" w:rsidR="00900D93" w:rsidRPr="00B263FD" w:rsidRDefault="00900D93" w:rsidP="0076206B">
      <w:pPr>
        <w:pStyle w:val="FootnoteText"/>
        <w:ind w:left="0" w:firstLine="0"/>
        <w:rPr>
          <w:i/>
          <w:sz w:val="16"/>
          <w:szCs w:val="16"/>
        </w:rPr>
      </w:pPr>
      <w:r w:rsidRPr="00BE17D1">
        <w:rPr>
          <w:rStyle w:val="FootnoteReference"/>
          <w:sz w:val="16"/>
          <w:szCs w:val="16"/>
        </w:rPr>
        <w:footnoteRef/>
      </w:r>
      <w:r w:rsidRPr="00BE17D1">
        <w:rPr>
          <w:sz w:val="16"/>
          <w:szCs w:val="16"/>
        </w:rPr>
        <w:t xml:space="preserve"> </w:t>
      </w:r>
      <w:r w:rsidR="00E435AC" w:rsidRPr="00B263FD">
        <w:rPr>
          <w:sz w:val="16"/>
          <w:szCs w:val="16"/>
        </w:rPr>
        <w:t xml:space="preserve">ACMA </w:t>
      </w:r>
      <w:r w:rsidR="00242DA0" w:rsidRPr="00B263FD">
        <w:rPr>
          <w:sz w:val="16"/>
          <w:szCs w:val="16"/>
        </w:rPr>
        <w:t>carries enforcement powers to</w:t>
      </w:r>
      <w:r w:rsidR="00E435AC" w:rsidRPr="00B263FD">
        <w:rPr>
          <w:sz w:val="16"/>
          <w:szCs w:val="16"/>
        </w:rPr>
        <w:t xml:space="preserve"> </w:t>
      </w:r>
      <w:r w:rsidR="00242DA0" w:rsidRPr="00B263FD">
        <w:rPr>
          <w:sz w:val="16"/>
          <w:szCs w:val="16"/>
        </w:rPr>
        <w:t>issue warnings and directions to</w:t>
      </w:r>
      <w:r w:rsidR="00E435AC" w:rsidRPr="00B263FD">
        <w:rPr>
          <w:sz w:val="16"/>
          <w:szCs w:val="16"/>
        </w:rPr>
        <w:t xml:space="preserve"> participating entities to comply with </w:t>
      </w:r>
      <w:r w:rsidR="00E526BB" w:rsidRPr="00B263FD">
        <w:rPr>
          <w:sz w:val="16"/>
          <w:szCs w:val="16"/>
        </w:rPr>
        <w:t xml:space="preserve">relevant </w:t>
      </w:r>
      <w:r w:rsidR="00E435AC" w:rsidRPr="00B263FD">
        <w:rPr>
          <w:sz w:val="16"/>
          <w:szCs w:val="16"/>
        </w:rPr>
        <w:t>industry codes</w:t>
      </w:r>
      <w:r w:rsidR="00242DA0" w:rsidRPr="00B263FD">
        <w:rPr>
          <w:sz w:val="16"/>
          <w:szCs w:val="16"/>
        </w:rPr>
        <w:t xml:space="preserve">, and can issue </w:t>
      </w:r>
      <w:r w:rsidR="00E526BB" w:rsidRPr="00B263FD">
        <w:rPr>
          <w:sz w:val="16"/>
          <w:szCs w:val="16"/>
        </w:rPr>
        <w:t xml:space="preserve">infringement notices and penalties if these are not met. See Part 6 of the </w:t>
      </w:r>
      <w:r w:rsidR="00E526BB" w:rsidRPr="00B263FD">
        <w:rPr>
          <w:i/>
          <w:sz w:val="16"/>
          <w:szCs w:val="16"/>
        </w:rPr>
        <w:t xml:space="preserve">Telecommunications Act 1997. </w:t>
      </w:r>
    </w:p>
  </w:footnote>
  <w:footnote w:id="20">
    <w:p w14:paraId="03162ACF" w14:textId="77777777" w:rsidR="00016883" w:rsidRPr="00BE17D1" w:rsidRDefault="00016883"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Full membership of the AFCX is not publicly disclosed, however participants include the four founding major banks, Macquarie and Bendigo Bank, and COBA.</w:t>
      </w:r>
    </w:p>
  </w:footnote>
  <w:footnote w:id="21">
    <w:p w14:paraId="06A64964" w14:textId="12530484" w:rsidR="006C6211" w:rsidRPr="00BE17D1" w:rsidRDefault="006C6211"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ACCC, </w:t>
      </w:r>
      <w:r w:rsidRPr="00BE17D1">
        <w:rPr>
          <w:i/>
          <w:sz w:val="16"/>
          <w:szCs w:val="16"/>
        </w:rPr>
        <w:t>Targeting Scams 202</w:t>
      </w:r>
      <w:r w:rsidR="00C43B3F">
        <w:rPr>
          <w:i/>
          <w:sz w:val="16"/>
          <w:szCs w:val="16"/>
        </w:rPr>
        <w:t>3</w:t>
      </w:r>
      <w:r w:rsidRPr="00BE17D1">
        <w:rPr>
          <w:sz w:val="16"/>
          <w:szCs w:val="16"/>
        </w:rPr>
        <w:t>. p. 14</w:t>
      </w:r>
      <w:r w:rsidR="00710DB5" w:rsidRPr="00BE17D1">
        <w:rPr>
          <w:sz w:val="16"/>
          <w:szCs w:val="16"/>
        </w:rPr>
        <w:t xml:space="preserve"> </w:t>
      </w:r>
    </w:p>
  </w:footnote>
  <w:footnote w:id="22">
    <w:p w14:paraId="0191F4E6" w14:textId="2DB5E644" w:rsidR="00CB6256" w:rsidRPr="00B263FD" w:rsidRDefault="00CB6256" w:rsidP="00CB6256">
      <w:pPr>
        <w:pStyle w:val="FootnoteText"/>
        <w:ind w:left="0" w:firstLine="0"/>
        <w:rPr>
          <w:sz w:val="16"/>
          <w:szCs w:val="16"/>
        </w:rPr>
      </w:pPr>
      <w:r w:rsidRPr="006D5AB2">
        <w:rPr>
          <w:rStyle w:val="FootnoteReference"/>
          <w:sz w:val="16"/>
          <w:szCs w:val="16"/>
        </w:rPr>
        <w:footnoteRef/>
      </w:r>
      <w:r w:rsidRPr="002465F0">
        <w:rPr>
          <w:sz w:val="16"/>
          <w:szCs w:val="16"/>
        </w:rPr>
        <w:t xml:space="preserve"> </w:t>
      </w:r>
      <w:r w:rsidRPr="00817E27">
        <w:rPr>
          <w:sz w:val="16"/>
          <w:szCs w:val="16"/>
        </w:rPr>
        <w:t xml:space="preserve">United Kingdom </w:t>
      </w:r>
      <w:r w:rsidRPr="00B263FD">
        <w:rPr>
          <w:sz w:val="16"/>
          <w:szCs w:val="16"/>
        </w:rPr>
        <w:t xml:space="preserve">Finance, </w:t>
      </w:r>
      <w:r w:rsidRPr="00B263FD">
        <w:rPr>
          <w:i/>
          <w:sz w:val="16"/>
          <w:szCs w:val="16"/>
        </w:rPr>
        <w:t>2023 Half-Year Fraud Update</w:t>
      </w:r>
      <w:r w:rsidR="00294730">
        <w:rPr>
          <w:i/>
          <w:sz w:val="16"/>
          <w:szCs w:val="16"/>
        </w:rPr>
        <w:t xml:space="preserve">; </w:t>
      </w:r>
      <w:r w:rsidR="00294730" w:rsidRPr="00817E27">
        <w:rPr>
          <w:sz w:val="16"/>
          <w:szCs w:val="16"/>
        </w:rPr>
        <w:t xml:space="preserve">United Kingdom </w:t>
      </w:r>
      <w:r w:rsidR="00294730" w:rsidRPr="00B263FD">
        <w:rPr>
          <w:sz w:val="16"/>
          <w:szCs w:val="16"/>
        </w:rPr>
        <w:t xml:space="preserve">Home Department, </w:t>
      </w:r>
      <w:r w:rsidR="00294730" w:rsidRPr="00B263FD">
        <w:rPr>
          <w:i/>
          <w:sz w:val="16"/>
          <w:szCs w:val="16"/>
        </w:rPr>
        <w:t>Online Fraud Charter 2023</w:t>
      </w:r>
      <w:r w:rsidR="003E01EE">
        <w:rPr>
          <w:i/>
          <w:sz w:val="16"/>
          <w:szCs w:val="16"/>
        </w:rPr>
        <w:t>.</w:t>
      </w:r>
    </w:p>
  </w:footnote>
  <w:footnote w:id="23">
    <w:p w14:paraId="4F01BCBD" w14:textId="77777777" w:rsidR="00A40603" w:rsidRPr="00B263FD" w:rsidRDefault="00A40603" w:rsidP="00A40603">
      <w:pPr>
        <w:pStyle w:val="FootnoteText"/>
        <w:ind w:left="0" w:firstLine="0"/>
        <w:rPr>
          <w:sz w:val="16"/>
          <w:szCs w:val="16"/>
        </w:rPr>
      </w:pPr>
      <w:r w:rsidRPr="00BE17D1">
        <w:rPr>
          <w:rStyle w:val="FootnoteReference"/>
          <w:sz w:val="16"/>
          <w:szCs w:val="16"/>
        </w:rPr>
        <w:footnoteRef/>
      </w:r>
      <w:r w:rsidRPr="006D5AB2">
        <w:rPr>
          <w:sz w:val="16"/>
          <w:szCs w:val="16"/>
        </w:rPr>
        <w:t xml:space="preserve"> </w:t>
      </w:r>
      <w:r w:rsidRPr="00B263FD">
        <w:rPr>
          <w:sz w:val="16"/>
          <w:szCs w:val="16"/>
        </w:rPr>
        <w:t xml:space="preserve">Monetary Authority of Singapore, </w:t>
      </w:r>
      <w:r w:rsidRPr="00B263FD">
        <w:rPr>
          <w:i/>
          <w:sz w:val="16"/>
          <w:szCs w:val="16"/>
        </w:rPr>
        <w:t xml:space="preserve">Consultation Paper on Proposed Shared Responsibility Framework, </w:t>
      </w:r>
      <w:r w:rsidRPr="00B263FD">
        <w:rPr>
          <w:sz w:val="16"/>
          <w:szCs w:val="16"/>
        </w:rPr>
        <w:t xml:space="preserve">20 December 2023. </w:t>
      </w:r>
    </w:p>
  </w:footnote>
  <w:footnote w:id="24">
    <w:p w14:paraId="0EE5539B" w14:textId="38109B55" w:rsidR="007978EC" w:rsidRPr="00B263FD" w:rsidRDefault="007978EC"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00B971A5">
        <w:rPr>
          <w:sz w:val="16"/>
          <w:szCs w:val="16"/>
        </w:rPr>
        <w:t>ASIC</w:t>
      </w:r>
      <w:r w:rsidRPr="00B263FD">
        <w:rPr>
          <w:sz w:val="16"/>
          <w:szCs w:val="16"/>
        </w:rPr>
        <w:t xml:space="preserve">, </w:t>
      </w:r>
      <w:r w:rsidR="009622E7" w:rsidRPr="009622E7">
        <w:rPr>
          <w:i/>
          <w:sz w:val="16"/>
          <w:szCs w:val="16"/>
        </w:rPr>
        <w:t xml:space="preserve">Online investment trading scams top ASIC’s website takedown </w:t>
      </w:r>
      <w:proofErr w:type="gramStart"/>
      <w:r w:rsidR="009622E7" w:rsidRPr="009622E7">
        <w:rPr>
          <w:i/>
          <w:sz w:val="16"/>
          <w:szCs w:val="16"/>
        </w:rPr>
        <w:t>action</w:t>
      </w:r>
      <w:r w:rsidR="009622E7" w:rsidRPr="009622E7" w:rsidDel="00B971A5">
        <w:rPr>
          <w:i/>
          <w:sz w:val="16"/>
          <w:szCs w:val="16"/>
        </w:rPr>
        <w:t xml:space="preserve"> </w:t>
      </w:r>
      <w:r w:rsidRPr="00B263FD">
        <w:rPr>
          <w:i/>
          <w:sz w:val="16"/>
          <w:szCs w:val="16"/>
        </w:rPr>
        <w:t>,</w:t>
      </w:r>
      <w:proofErr w:type="gramEnd"/>
      <w:r w:rsidRPr="00B263FD">
        <w:rPr>
          <w:i/>
          <w:sz w:val="16"/>
          <w:szCs w:val="16"/>
        </w:rPr>
        <w:t xml:space="preserve"> </w:t>
      </w:r>
      <w:r w:rsidR="00B971A5">
        <w:rPr>
          <w:sz w:val="16"/>
          <w:szCs w:val="16"/>
        </w:rPr>
        <w:t xml:space="preserve">19 </w:t>
      </w:r>
      <w:r w:rsidR="00426111">
        <w:rPr>
          <w:sz w:val="16"/>
          <w:szCs w:val="16"/>
        </w:rPr>
        <w:t>August</w:t>
      </w:r>
      <w:r w:rsidR="00B971A5">
        <w:rPr>
          <w:sz w:val="16"/>
          <w:szCs w:val="16"/>
        </w:rPr>
        <w:t xml:space="preserve"> </w:t>
      </w:r>
      <w:r w:rsidRPr="00B263FD">
        <w:rPr>
          <w:sz w:val="16"/>
          <w:szCs w:val="16"/>
        </w:rPr>
        <w:t>202</w:t>
      </w:r>
      <w:r w:rsidR="00426111">
        <w:rPr>
          <w:sz w:val="16"/>
          <w:szCs w:val="16"/>
        </w:rPr>
        <w:t>4</w:t>
      </w:r>
      <w:r w:rsidRPr="00B263FD">
        <w:rPr>
          <w:sz w:val="16"/>
          <w:szCs w:val="16"/>
        </w:rPr>
        <w:t>.</w:t>
      </w:r>
    </w:p>
  </w:footnote>
  <w:footnote w:id="25">
    <w:p w14:paraId="0EC52366" w14:textId="77777777" w:rsidR="007978EC" w:rsidRPr="00B263FD" w:rsidRDefault="007978EC" w:rsidP="0076206B">
      <w:pPr>
        <w:pStyle w:val="FootnoteText"/>
        <w:ind w:left="0" w:firstLine="0"/>
        <w:rPr>
          <w:sz w:val="16"/>
          <w:szCs w:val="16"/>
        </w:rPr>
      </w:pPr>
      <w:r w:rsidRPr="00BE17D1">
        <w:rPr>
          <w:rStyle w:val="FootnoteReference"/>
          <w:sz w:val="16"/>
          <w:szCs w:val="16"/>
        </w:rPr>
        <w:footnoteRef/>
      </w:r>
      <w:r w:rsidRPr="00B263FD">
        <w:rPr>
          <w:sz w:val="16"/>
          <w:szCs w:val="16"/>
          <w:vertAlign w:val="superscript"/>
        </w:rPr>
        <w:t xml:space="preserve"> </w:t>
      </w:r>
      <w:r w:rsidRPr="00B263FD">
        <w:rPr>
          <w:sz w:val="16"/>
          <w:szCs w:val="16"/>
        </w:rPr>
        <w:t xml:space="preserve">The Hon Stephen Jones MP, Assistant Treasurer and Minister for Financial Services, </w:t>
      </w:r>
      <w:r w:rsidRPr="00B263FD">
        <w:rPr>
          <w:i/>
          <w:sz w:val="16"/>
          <w:szCs w:val="16"/>
        </w:rPr>
        <w:t xml:space="preserve">Thousands of scam investment websites removed in takedown blitz, </w:t>
      </w:r>
      <w:r w:rsidRPr="00B263FD">
        <w:rPr>
          <w:sz w:val="16"/>
          <w:szCs w:val="16"/>
        </w:rPr>
        <w:t>2 November 2023.</w:t>
      </w:r>
    </w:p>
  </w:footnote>
  <w:footnote w:id="26">
    <w:p w14:paraId="4AF2B53A" w14:textId="1C9C73EA" w:rsidR="00DA4F59" w:rsidRPr="00B263FD" w:rsidRDefault="00DA4F59" w:rsidP="0076206B">
      <w:pPr>
        <w:pStyle w:val="FootnoteText"/>
        <w:ind w:left="0" w:firstLine="0"/>
        <w:rPr>
          <w:sz w:val="16"/>
          <w:szCs w:val="16"/>
        </w:rPr>
      </w:pPr>
      <w:r w:rsidRPr="00B263FD">
        <w:rPr>
          <w:rStyle w:val="FootnoteReference"/>
          <w:sz w:val="16"/>
          <w:szCs w:val="16"/>
        </w:rPr>
        <w:footnoteRef/>
      </w:r>
      <w:r w:rsidRPr="00B263FD">
        <w:rPr>
          <w:sz w:val="16"/>
          <w:szCs w:val="16"/>
        </w:rPr>
        <w:t xml:space="preserve"> ACCC </w:t>
      </w:r>
      <w:proofErr w:type="spellStart"/>
      <w:r w:rsidRPr="00B263FD">
        <w:rPr>
          <w:sz w:val="16"/>
          <w:szCs w:val="16"/>
        </w:rPr>
        <w:t>Scamwatch</w:t>
      </w:r>
      <w:proofErr w:type="spellEnd"/>
      <w:r w:rsidRPr="00B263FD">
        <w:rPr>
          <w:sz w:val="16"/>
          <w:szCs w:val="16"/>
        </w:rPr>
        <w:t xml:space="preserve">, </w:t>
      </w:r>
      <w:r w:rsidRPr="00B263FD">
        <w:rPr>
          <w:i/>
          <w:sz w:val="16"/>
          <w:szCs w:val="16"/>
        </w:rPr>
        <w:t xml:space="preserve">Scam Statistics </w:t>
      </w:r>
      <w:r w:rsidRPr="00B263FD">
        <w:rPr>
          <w:sz w:val="16"/>
          <w:szCs w:val="16"/>
        </w:rPr>
        <w:t>data dashboard</w:t>
      </w:r>
    </w:p>
  </w:footnote>
  <w:footnote w:id="27">
    <w:p w14:paraId="483B02FC" w14:textId="77777777" w:rsidR="00EA0436" w:rsidRPr="00B263FD" w:rsidRDefault="00EA0436" w:rsidP="00EA0436">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Pr="00B263FD">
        <w:rPr>
          <w:sz w:val="16"/>
          <w:szCs w:val="16"/>
        </w:rPr>
        <w:t>Calculated from ACMA’s “Action on telco consumer protection” quarterly reports from the July to September 2022 to April to June 2024.</w:t>
      </w:r>
    </w:p>
  </w:footnote>
  <w:footnote w:id="28">
    <w:p w14:paraId="1AEE6673" w14:textId="77777777" w:rsidR="00EA0436" w:rsidRPr="00B263FD" w:rsidRDefault="00EA0436" w:rsidP="00EA0436">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Pr="00B263FD">
        <w:rPr>
          <w:sz w:val="16"/>
          <w:szCs w:val="16"/>
        </w:rPr>
        <w:t xml:space="preserve">ACMA, </w:t>
      </w:r>
      <w:hyperlink r:id="rId1" w:history="1">
        <w:r w:rsidRPr="00B263FD">
          <w:rPr>
            <w:rStyle w:val="Hyperlink"/>
            <w:i/>
            <w:sz w:val="16"/>
            <w:szCs w:val="16"/>
          </w:rPr>
          <w:t xml:space="preserve">Action on telco consumer protections: </w:t>
        </w:r>
      </w:hyperlink>
      <w:r w:rsidRPr="00B263FD">
        <w:rPr>
          <w:sz w:val="16"/>
          <w:szCs w:val="16"/>
        </w:rPr>
        <w:t>April to June 2024, 12 August 2024.</w:t>
      </w:r>
    </w:p>
  </w:footnote>
  <w:footnote w:id="29">
    <w:p w14:paraId="1BB6161B" w14:textId="77777777" w:rsidR="00715291" w:rsidRPr="00B263FD" w:rsidRDefault="00715291" w:rsidP="0076206B">
      <w:pPr>
        <w:pStyle w:val="FootnoteText"/>
        <w:ind w:left="0" w:firstLine="0"/>
        <w:rPr>
          <w:i/>
          <w:sz w:val="16"/>
          <w:szCs w:val="16"/>
        </w:rPr>
      </w:pPr>
      <w:r w:rsidRPr="00BE17D1">
        <w:rPr>
          <w:rStyle w:val="FootnoteReference"/>
          <w:sz w:val="16"/>
          <w:szCs w:val="16"/>
        </w:rPr>
        <w:footnoteRef/>
      </w:r>
      <w:r w:rsidRPr="00B263FD">
        <w:rPr>
          <w:sz w:val="16"/>
          <w:szCs w:val="16"/>
        </w:rPr>
        <w:t xml:space="preserve"> The Hon Michelle Rowland MP, Minister for Communications, </w:t>
      </w:r>
      <w:r w:rsidRPr="00B263FD">
        <w:rPr>
          <w:i/>
          <w:sz w:val="16"/>
          <w:szCs w:val="16"/>
        </w:rPr>
        <w:t xml:space="preserve">Albanese Government acts to disrupt illegal text message scams, </w:t>
      </w:r>
      <w:r w:rsidRPr="00B263FD">
        <w:rPr>
          <w:sz w:val="16"/>
          <w:szCs w:val="16"/>
        </w:rPr>
        <w:t xml:space="preserve">23 April 2023. </w:t>
      </w:r>
    </w:p>
  </w:footnote>
  <w:footnote w:id="30">
    <w:p w14:paraId="337AD7A9" w14:textId="77777777" w:rsidR="00715291" w:rsidRPr="00B263FD" w:rsidRDefault="00715291"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ACMA, </w:t>
      </w:r>
      <w:r w:rsidRPr="00B263FD">
        <w:rPr>
          <w:i/>
          <w:sz w:val="16"/>
          <w:szCs w:val="16"/>
        </w:rPr>
        <w:t>The SMS Sender ID Registry</w:t>
      </w:r>
      <w:r w:rsidRPr="00B263FD">
        <w:rPr>
          <w:sz w:val="16"/>
          <w:szCs w:val="16"/>
        </w:rPr>
        <w:t xml:space="preserve"> </w:t>
      </w:r>
    </w:p>
  </w:footnote>
  <w:footnote w:id="31">
    <w:p w14:paraId="182F8B82" w14:textId="77777777" w:rsidR="004503F2" w:rsidRPr="00B263FD" w:rsidRDefault="004503F2"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ACMA, </w:t>
      </w:r>
      <w:r w:rsidRPr="00B263FD">
        <w:rPr>
          <w:i/>
          <w:sz w:val="16"/>
          <w:szCs w:val="16"/>
        </w:rPr>
        <w:t>Action on</w:t>
      </w:r>
      <w:r w:rsidR="008C2E18" w:rsidRPr="00B263FD">
        <w:rPr>
          <w:i/>
          <w:sz w:val="16"/>
          <w:szCs w:val="16"/>
        </w:rPr>
        <w:t xml:space="preserve"> Scams, Spam and Telemarketing: January to March 2024</w:t>
      </w:r>
      <w:r w:rsidR="008C2E18" w:rsidRPr="00B263FD">
        <w:rPr>
          <w:sz w:val="16"/>
          <w:szCs w:val="16"/>
        </w:rPr>
        <w:t xml:space="preserve">, </w:t>
      </w:r>
      <w:r w:rsidR="002F171E" w:rsidRPr="00B263FD">
        <w:rPr>
          <w:sz w:val="16"/>
          <w:szCs w:val="16"/>
        </w:rPr>
        <w:t xml:space="preserve">31 May 2024. </w:t>
      </w:r>
    </w:p>
  </w:footnote>
  <w:footnote w:id="32">
    <w:p w14:paraId="493D5BE8" w14:textId="3434ABA1" w:rsidR="007F0E3C" w:rsidRPr="00B263FD" w:rsidRDefault="007F0E3C" w:rsidP="0076206B">
      <w:pPr>
        <w:pStyle w:val="FootnoteText"/>
        <w:ind w:left="0" w:firstLine="0"/>
        <w:rPr>
          <w:sz w:val="16"/>
          <w:szCs w:val="16"/>
        </w:rPr>
      </w:pPr>
      <w:r w:rsidRPr="00BE17D1">
        <w:rPr>
          <w:rStyle w:val="FootnoteReference"/>
          <w:sz w:val="16"/>
          <w:szCs w:val="16"/>
        </w:rPr>
        <w:footnoteRef/>
      </w:r>
      <w:r w:rsidR="004A4D63" w:rsidRPr="00B263FD">
        <w:rPr>
          <w:sz w:val="16"/>
          <w:szCs w:val="16"/>
        </w:rPr>
        <w:t xml:space="preserve"> </w:t>
      </w:r>
      <w:r w:rsidRPr="00B263FD">
        <w:rPr>
          <w:sz w:val="16"/>
          <w:szCs w:val="16"/>
        </w:rPr>
        <w:t xml:space="preserve">DITRDCA, </w:t>
      </w:r>
      <w:r w:rsidRPr="00B263FD">
        <w:rPr>
          <w:i/>
          <w:sz w:val="16"/>
          <w:szCs w:val="16"/>
        </w:rPr>
        <w:t>SMS Sender ID Registry: Fighting SMS Impersonation Scams</w:t>
      </w:r>
      <w:r w:rsidRPr="00B263FD">
        <w:rPr>
          <w:sz w:val="16"/>
          <w:szCs w:val="16"/>
        </w:rPr>
        <w:t xml:space="preserve">, 18 February 2024. </w:t>
      </w:r>
    </w:p>
  </w:footnote>
  <w:footnote w:id="33">
    <w:p w14:paraId="68186064" w14:textId="02B89F29" w:rsidR="00086BD2" w:rsidRPr="00BE17D1" w:rsidRDefault="00086BD2" w:rsidP="0076206B">
      <w:pPr>
        <w:pStyle w:val="FootnoteText"/>
        <w:ind w:left="0" w:firstLine="0"/>
        <w:rPr>
          <w:i/>
          <w:sz w:val="16"/>
          <w:szCs w:val="16"/>
        </w:rPr>
      </w:pPr>
      <w:r w:rsidRPr="00BE17D1">
        <w:rPr>
          <w:rStyle w:val="FootnoteReference"/>
          <w:sz w:val="16"/>
          <w:szCs w:val="16"/>
        </w:rPr>
        <w:footnoteRef/>
      </w:r>
      <w:r w:rsidRPr="00B263FD">
        <w:rPr>
          <w:sz w:val="16"/>
          <w:szCs w:val="16"/>
        </w:rPr>
        <w:t xml:space="preserve"> </w:t>
      </w:r>
      <w:r w:rsidRPr="00B263FD">
        <w:rPr>
          <w:i/>
          <w:sz w:val="16"/>
          <w:szCs w:val="16"/>
        </w:rPr>
        <w:t>Telecommunications Amendment (SMS Sender ID Register) Bill 2024</w:t>
      </w:r>
    </w:p>
  </w:footnote>
  <w:footnote w:id="34">
    <w:p w14:paraId="4D55EF61" w14:textId="4BFE01DA" w:rsidR="009B3975" w:rsidRPr="0017197C" w:rsidRDefault="009B3975">
      <w:pPr>
        <w:pStyle w:val="FootnoteText"/>
      </w:pPr>
      <w:r w:rsidRPr="00BE17D1">
        <w:rPr>
          <w:rStyle w:val="FootnoteReference"/>
          <w:sz w:val="14"/>
          <w:szCs w:val="16"/>
        </w:rPr>
        <w:footnoteRef/>
      </w:r>
      <w:r w:rsidRPr="00BE17D1">
        <w:rPr>
          <w:sz w:val="16"/>
          <w:szCs w:val="16"/>
        </w:rPr>
        <w:t xml:space="preserve"> NASC, </w:t>
      </w:r>
      <w:r w:rsidRPr="00BE17D1">
        <w:rPr>
          <w:i/>
          <w:iCs/>
          <w:sz w:val="16"/>
          <w:szCs w:val="16"/>
        </w:rPr>
        <w:t xml:space="preserve">Quarterly </w:t>
      </w:r>
      <w:r w:rsidR="0017197C" w:rsidRPr="00BE17D1">
        <w:rPr>
          <w:i/>
          <w:iCs/>
          <w:sz w:val="16"/>
          <w:szCs w:val="16"/>
        </w:rPr>
        <w:t xml:space="preserve">Update, </w:t>
      </w:r>
      <w:r w:rsidR="004C1438" w:rsidRPr="00BE17D1">
        <w:rPr>
          <w:i/>
          <w:iCs/>
          <w:sz w:val="16"/>
          <w:szCs w:val="16"/>
        </w:rPr>
        <w:t>January to March</w:t>
      </w:r>
      <w:r w:rsidR="0017197C" w:rsidRPr="00BE17D1">
        <w:rPr>
          <w:i/>
          <w:iCs/>
          <w:sz w:val="16"/>
          <w:szCs w:val="16"/>
        </w:rPr>
        <w:t xml:space="preserve"> 2024</w:t>
      </w:r>
      <w:r w:rsidRPr="00BE17D1">
        <w:rPr>
          <w:i/>
          <w:iCs/>
          <w:sz w:val="16"/>
          <w:szCs w:val="16"/>
        </w:rPr>
        <w:t xml:space="preserve">, </w:t>
      </w:r>
      <w:r w:rsidR="0017197C" w:rsidRPr="00BE17D1">
        <w:rPr>
          <w:sz w:val="16"/>
          <w:szCs w:val="16"/>
        </w:rPr>
        <w:t>21 May 2024</w:t>
      </w:r>
    </w:p>
  </w:footnote>
  <w:footnote w:id="35">
    <w:p w14:paraId="49FE4229" w14:textId="77777777" w:rsidR="00F72FDF" w:rsidRPr="00B263FD" w:rsidRDefault="00F72FDF" w:rsidP="0076206B">
      <w:pPr>
        <w:pStyle w:val="FootnoteText"/>
        <w:ind w:left="0" w:firstLine="0"/>
        <w:rPr>
          <w:sz w:val="16"/>
          <w:szCs w:val="16"/>
        </w:rPr>
      </w:pPr>
      <w:r w:rsidRPr="00B263FD">
        <w:rPr>
          <w:rStyle w:val="FootnoteReference"/>
          <w:sz w:val="16"/>
          <w:szCs w:val="16"/>
          <w:vertAlign w:val="superscript"/>
        </w:rPr>
        <w:footnoteRef/>
      </w:r>
      <w:r w:rsidRPr="00B263FD">
        <w:rPr>
          <w:sz w:val="16"/>
          <w:szCs w:val="16"/>
          <w:vertAlign w:val="superscript"/>
        </w:rPr>
        <w:t xml:space="preserve"> </w:t>
      </w:r>
      <w:r w:rsidRPr="00B263FD">
        <w:rPr>
          <w:sz w:val="16"/>
          <w:szCs w:val="16"/>
        </w:rPr>
        <w:t xml:space="preserve">The Hon Stephen Jones MP, Assistant Treasurer and Minister for Financial Services, </w:t>
      </w:r>
      <w:r w:rsidRPr="00B263FD">
        <w:rPr>
          <w:i/>
          <w:sz w:val="16"/>
          <w:szCs w:val="16"/>
        </w:rPr>
        <w:t xml:space="preserve">Fighting back against scammer scrouge – Government announces new anti-scams centre, </w:t>
      </w:r>
      <w:r w:rsidRPr="00B263FD">
        <w:rPr>
          <w:sz w:val="16"/>
          <w:szCs w:val="16"/>
        </w:rPr>
        <w:t>15 May 2023</w:t>
      </w:r>
    </w:p>
  </w:footnote>
  <w:footnote w:id="36">
    <w:p w14:paraId="212F93CD" w14:textId="5BCF950F" w:rsidR="00730722" w:rsidRPr="00BE17D1" w:rsidRDefault="00730722"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These payments represent a transfer of monies between entities and consumers rather than a benefit to society overall.</w:t>
      </w:r>
    </w:p>
  </w:footnote>
  <w:footnote w:id="37">
    <w:p w14:paraId="02F695D7" w14:textId="57E6D45F" w:rsidR="007221B5" w:rsidRPr="00BE17D1" w:rsidRDefault="007221B5" w:rsidP="0076206B">
      <w:pPr>
        <w:pStyle w:val="FootnoteText"/>
        <w:ind w:left="0" w:firstLine="0"/>
        <w:rPr>
          <w:sz w:val="16"/>
          <w:szCs w:val="16"/>
        </w:rPr>
      </w:pPr>
      <w:r w:rsidRPr="00BE17D1">
        <w:rPr>
          <w:rStyle w:val="FootnoteReference"/>
          <w:sz w:val="16"/>
          <w:szCs w:val="16"/>
          <w:vertAlign w:val="superscript"/>
        </w:rPr>
        <w:footnoteRef/>
      </w:r>
      <w:r w:rsidRPr="00BE17D1">
        <w:rPr>
          <w:sz w:val="16"/>
          <w:szCs w:val="16"/>
        </w:rPr>
        <w:t xml:space="preserve"> Australian Banking Association, </w:t>
      </w:r>
      <w:hyperlink r:id="rId2" w:history="1">
        <w:r w:rsidRPr="00BE17D1">
          <w:rPr>
            <w:rStyle w:val="Hyperlink"/>
            <w:i/>
            <w:sz w:val="16"/>
            <w:szCs w:val="16"/>
          </w:rPr>
          <w:t>Banks unite to declare war on scammers</w:t>
        </w:r>
      </w:hyperlink>
      <w:r w:rsidRPr="00BE17D1">
        <w:rPr>
          <w:sz w:val="16"/>
          <w:szCs w:val="16"/>
        </w:rPr>
        <w:t xml:space="preserve">, 24 November 2023. </w:t>
      </w:r>
    </w:p>
  </w:footnote>
  <w:footnote w:id="38">
    <w:p w14:paraId="345A9771" w14:textId="02697D57" w:rsidR="004F5226" w:rsidRPr="00BE17D1" w:rsidRDefault="004F5226" w:rsidP="0076206B">
      <w:pPr>
        <w:pStyle w:val="FootnoteText"/>
        <w:ind w:left="0" w:firstLine="0"/>
        <w:rPr>
          <w:sz w:val="16"/>
          <w:szCs w:val="16"/>
        </w:rPr>
      </w:pPr>
      <w:r w:rsidRPr="00BE17D1">
        <w:rPr>
          <w:rStyle w:val="FootnoteReference"/>
          <w:sz w:val="16"/>
          <w:szCs w:val="16"/>
          <w:vertAlign w:val="superscript"/>
        </w:rPr>
        <w:footnoteRef/>
      </w:r>
      <w:r w:rsidRPr="00B263FD">
        <w:rPr>
          <w:sz w:val="16"/>
          <w:szCs w:val="16"/>
        </w:rPr>
        <w:t xml:space="preserve"> </w:t>
      </w:r>
      <w:r w:rsidR="00602751" w:rsidRPr="00B263FD">
        <w:rPr>
          <w:sz w:val="16"/>
          <w:szCs w:val="16"/>
        </w:rPr>
        <w:t xml:space="preserve">APRA, </w:t>
      </w:r>
      <w:r w:rsidR="00602751" w:rsidRPr="00B263FD">
        <w:rPr>
          <w:i/>
          <w:sz w:val="16"/>
          <w:szCs w:val="16"/>
        </w:rPr>
        <w:t xml:space="preserve">Monthly Authorised </w:t>
      </w:r>
      <w:r w:rsidR="00374152" w:rsidRPr="00B263FD">
        <w:rPr>
          <w:i/>
          <w:sz w:val="16"/>
          <w:szCs w:val="16"/>
        </w:rPr>
        <w:t xml:space="preserve">Deposit-Taking Institution Statistics: </w:t>
      </w:r>
      <w:r w:rsidR="001C6A65" w:rsidRPr="00B263FD">
        <w:rPr>
          <w:i/>
          <w:sz w:val="16"/>
          <w:szCs w:val="16"/>
        </w:rPr>
        <w:t>Table 4</w:t>
      </w:r>
      <w:r w:rsidR="00054B6A" w:rsidRPr="00B263FD">
        <w:rPr>
          <w:i/>
          <w:sz w:val="16"/>
          <w:szCs w:val="16"/>
        </w:rPr>
        <w:t xml:space="preserve">, Deposits on Australian books of </w:t>
      </w:r>
      <w:r w:rsidR="00BD093A" w:rsidRPr="00B263FD">
        <w:rPr>
          <w:i/>
          <w:sz w:val="16"/>
          <w:szCs w:val="16"/>
        </w:rPr>
        <w:t>selected individual AD</w:t>
      </w:r>
      <w:r w:rsidR="0005318B" w:rsidRPr="00B263FD">
        <w:rPr>
          <w:i/>
          <w:sz w:val="16"/>
          <w:szCs w:val="16"/>
        </w:rPr>
        <w:t>I</w:t>
      </w:r>
      <w:r w:rsidR="00BD093A" w:rsidRPr="00B263FD">
        <w:rPr>
          <w:i/>
          <w:sz w:val="16"/>
          <w:szCs w:val="16"/>
        </w:rPr>
        <w:t>s</w:t>
      </w:r>
      <w:r w:rsidR="00602751" w:rsidRPr="00B263FD">
        <w:rPr>
          <w:sz w:val="16"/>
          <w:szCs w:val="16"/>
        </w:rPr>
        <w:t xml:space="preserve"> (June 2024) </w:t>
      </w:r>
    </w:p>
  </w:footnote>
  <w:footnote w:id="39">
    <w:p w14:paraId="23A94550" w14:textId="12BD98B3" w:rsidR="006239FF" w:rsidRPr="00BE17D1" w:rsidRDefault="006239FF" w:rsidP="0076206B">
      <w:pPr>
        <w:pStyle w:val="FootnoteText"/>
        <w:ind w:left="0" w:firstLine="0"/>
        <w:rPr>
          <w:sz w:val="16"/>
          <w:szCs w:val="16"/>
        </w:rPr>
      </w:pPr>
      <w:r w:rsidRPr="00BE17D1">
        <w:rPr>
          <w:rStyle w:val="FootnoteReference"/>
          <w:sz w:val="16"/>
          <w:szCs w:val="16"/>
          <w:vertAlign w:val="superscript"/>
        </w:rPr>
        <w:footnoteRef/>
      </w:r>
      <w:r w:rsidRPr="00B263FD">
        <w:rPr>
          <w:sz w:val="16"/>
          <w:szCs w:val="16"/>
        </w:rPr>
        <w:t xml:space="preserve"> Further details in Appendix 2.</w:t>
      </w:r>
      <w:r w:rsidR="00A437AD" w:rsidRPr="00B263FD">
        <w:rPr>
          <w:sz w:val="16"/>
          <w:szCs w:val="16"/>
        </w:rPr>
        <w:t xml:space="preserve"> </w:t>
      </w:r>
      <w:r w:rsidR="007A1D5D" w:rsidRPr="00B263FD">
        <w:rPr>
          <w:sz w:val="16"/>
          <w:szCs w:val="16"/>
        </w:rPr>
        <w:t xml:space="preserve">This list is illustrative and is not intended to represent the intended scope of the definitions for the designation of these services, which would require further development after the SPF is legislated. </w:t>
      </w:r>
      <w:r w:rsidR="00A437AD" w:rsidRPr="00B263FD">
        <w:rPr>
          <w:sz w:val="16"/>
          <w:szCs w:val="16"/>
        </w:rPr>
        <w:t xml:space="preserve">Providers of purchased payment facilities </w:t>
      </w:r>
      <w:r w:rsidR="00BF5714" w:rsidRPr="00B263FD">
        <w:rPr>
          <w:sz w:val="16"/>
          <w:szCs w:val="16"/>
        </w:rPr>
        <w:t xml:space="preserve">and restricted ADIs </w:t>
      </w:r>
      <w:r w:rsidR="00A437AD" w:rsidRPr="00B263FD">
        <w:rPr>
          <w:sz w:val="16"/>
          <w:szCs w:val="16"/>
        </w:rPr>
        <w:t xml:space="preserve">have been </w:t>
      </w:r>
      <w:r w:rsidR="008057D0" w:rsidRPr="00B263FD">
        <w:rPr>
          <w:sz w:val="16"/>
          <w:szCs w:val="16"/>
        </w:rPr>
        <w:t>assumed to be out of scope of SPF obligations</w:t>
      </w:r>
      <w:r w:rsidR="00226184" w:rsidRPr="00B263FD">
        <w:rPr>
          <w:sz w:val="16"/>
          <w:szCs w:val="16"/>
        </w:rPr>
        <w:t>.</w:t>
      </w:r>
      <w:r w:rsidR="0046159D">
        <w:rPr>
          <w:sz w:val="16"/>
          <w:szCs w:val="16"/>
        </w:rPr>
        <w:t xml:space="preserve"> </w:t>
      </w:r>
    </w:p>
  </w:footnote>
  <w:footnote w:id="40">
    <w:p w14:paraId="35318467" w14:textId="308A70E9" w:rsidR="00614448" w:rsidRPr="00BE17D1" w:rsidRDefault="00614448"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Optus, </w:t>
      </w:r>
      <w:r w:rsidRPr="00BE17D1">
        <w:rPr>
          <w:i/>
          <w:sz w:val="16"/>
          <w:szCs w:val="16"/>
        </w:rPr>
        <w:t>Optus Call Stop to fight off SMS scams¸</w:t>
      </w:r>
      <w:r w:rsidRPr="00BE17D1">
        <w:rPr>
          <w:sz w:val="16"/>
          <w:szCs w:val="16"/>
        </w:rPr>
        <w:t>17 July 2023.</w:t>
      </w:r>
    </w:p>
  </w:footnote>
  <w:footnote w:id="41">
    <w:p w14:paraId="4A7308D1" w14:textId="47506A9C" w:rsidR="00244F31" w:rsidRPr="00BE17D1" w:rsidRDefault="00244F31" w:rsidP="0076206B">
      <w:pPr>
        <w:pStyle w:val="FootnoteText"/>
        <w:ind w:left="0" w:firstLine="0"/>
        <w:rPr>
          <w:sz w:val="16"/>
          <w:szCs w:val="16"/>
        </w:rPr>
      </w:pPr>
      <w:r w:rsidRPr="00BE17D1">
        <w:rPr>
          <w:rStyle w:val="FootnoteReference"/>
          <w:sz w:val="16"/>
          <w:szCs w:val="16"/>
          <w:vertAlign w:val="superscript"/>
        </w:rPr>
        <w:footnoteRef/>
      </w:r>
      <w:r w:rsidRPr="00BE17D1">
        <w:rPr>
          <w:sz w:val="16"/>
          <w:szCs w:val="16"/>
        </w:rPr>
        <w:t xml:space="preserve"> Transit carriers/CSPs are </w:t>
      </w:r>
      <w:r w:rsidR="00792DD3" w:rsidRPr="00BE17D1">
        <w:rPr>
          <w:sz w:val="16"/>
          <w:szCs w:val="16"/>
        </w:rPr>
        <w:t xml:space="preserve">included in this </w:t>
      </w:r>
      <w:r w:rsidR="00E942F9" w:rsidRPr="00BE17D1">
        <w:rPr>
          <w:sz w:val="16"/>
          <w:szCs w:val="16"/>
        </w:rPr>
        <w:t xml:space="preserve">entity type </w:t>
      </w:r>
      <w:r w:rsidR="00792DD3" w:rsidRPr="00BE17D1">
        <w:rPr>
          <w:sz w:val="16"/>
          <w:szCs w:val="16"/>
        </w:rPr>
        <w:t>category, and not under the other categories above</w:t>
      </w:r>
      <w:r w:rsidR="00E942F9" w:rsidRPr="00BE17D1">
        <w:rPr>
          <w:sz w:val="16"/>
          <w:szCs w:val="16"/>
        </w:rPr>
        <w:t>.</w:t>
      </w:r>
    </w:p>
  </w:footnote>
  <w:footnote w:id="42">
    <w:p w14:paraId="72DE45CF" w14:textId="0151A225" w:rsidR="001D4DED" w:rsidRPr="00BE17D1" w:rsidRDefault="001D4DED"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Further detail </w:t>
      </w:r>
      <w:r w:rsidR="00D03E33" w:rsidRPr="00B263FD">
        <w:rPr>
          <w:sz w:val="16"/>
          <w:szCs w:val="16"/>
        </w:rPr>
        <w:t>on</w:t>
      </w:r>
      <w:r w:rsidRPr="00B263FD">
        <w:rPr>
          <w:sz w:val="16"/>
          <w:szCs w:val="16"/>
        </w:rPr>
        <w:t xml:space="preserve"> assumptions</w:t>
      </w:r>
      <w:r w:rsidR="00D03E33" w:rsidRPr="00B263FD">
        <w:rPr>
          <w:sz w:val="16"/>
          <w:szCs w:val="16"/>
        </w:rPr>
        <w:t xml:space="preserve"> used to estimate the number of relevant services is included in </w:t>
      </w:r>
      <w:r w:rsidR="00D03E33" w:rsidRPr="00B263FD">
        <w:rPr>
          <w:sz w:val="16"/>
          <w:szCs w:val="16"/>
        </w:rPr>
        <w:fldChar w:fldCharType="begin"/>
      </w:r>
      <w:r w:rsidR="00D03E33" w:rsidRPr="00B263FD">
        <w:rPr>
          <w:sz w:val="16"/>
          <w:szCs w:val="16"/>
        </w:rPr>
        <w:instrText xml:space="preserve"> REF _Ref177510699 \h  \* MERGEFORMAT </w:instrText>
      </w:r>
      <w:r w:rsidR="00D03E33" w:rsidRPr="00B263FD">
        <w:rPr>
          <w:sz w:val="16"/>
          <w:szCs w:val="16"/>
        </w:rPr>
      </w:r>
      <w:r w:rsidR="00D03E33" w:rsidRPr="00B263FD">
        <w:rPr>
          <w:sz w:val="16"/>
          <w:szCs w:val="16"/>
        </w:rPr>
        <w:fldChar w:fldCharType="separate"/>
      </w:r>
      <w:r w:rsidR="00D03E33" w:rsidRPr="00B263FD">
        <w:rPr>
          <w:sz w:val="16"/>
          <w:szCs w:val="16"/>
        </w:rPr>
        <w:t>Appendix 2 – Regulatory cost calculations</w:t>
      </w:r>
      <w:r w:rsidR="00D03E33" w:rsidRPr="00B263FD">
        <w:rPr>
          <w:sz w:val="16"/>
          <w:szCs w:val="16"/>
        </w:rPr>
        <w:fldChar w:fldCharType="end"/>
      </w:r>
      <w:r w:rsidR="00D03E33" w:rsidRPr="00B263FD">
        <w:rPr>
          <w:sz w:val="16"/>
          <w:szCs w:val="16"/>
        </w:rPr>
        <w:t>.</w:t>
      </w:r>
    </w:p>
  </w:footnote>
  <w:footnote w:id="43">
    <w:p w14:paraId="167253F1" w14:textId="22034A6A" w:rsidR="0058075A" w:rsidRPr="00BE17D1" w:rsidRDefault="0058075A" w:rsidP="0076206B">
      <w:pPr>
        <w:pStyle w:val="FootnoteText"/>
        <w:ind w:left="0" w:firstLine="0"/>
        <w:rPr>
          <w:sz w:val="16"/>
          <w:szCs w:val="16"/>
        </w:rPr>
      </w:pPr>
      <w:r w:rsidRPr="00BE17D1">
        <w:rPr>
          <w:rStyle w:val="FootnoteReference"/>
          <w:sz w:val="16"/>
          <w:szCs w:val="16"/>
        </w:rPr>
        <w:footnoteRef/>
      </w:r>
      <w:r w:rsidRPr="00B263FD">
        <w:rPr>
          <w:sz w:val="16"/>
          <w:szCs w:val="16"/>
          <w:vertAlign w:val="superscript"/>
        </w:rPr>
        <w:t xml:space="preserve"> </w:t>
      </w:r>
      <w:r w:rsidRPr="00B263FD">
        <w:rPr>
          <w:sz w:val="16"/>
          <w:szCs w:val="16"/>
        </w:rPr>
        <w:t>This list</w:t>
      </w:r>
      <w:r w:rsidR="00502B61" w:rsidRPr="00B263FD">
        <w:rPr>
          <w:sz w:val="16"/>
          <w:szCs w:val="16"/>
        </w:rPr>
        <w:t xml:space="preserve"> is illustrative and</w:t>
      </w:r>
      <w:r w:rsidRPr="00B263FD">
        <w:rPr>
          <w:sz w:val="16"/>
          <w:szCs w:val="16"/>
        </w:rPr>
        <w:t xml:space="preserve"> is not intended to represent the intended scope of the definitions for the designation of these services, which would require further development after the SPF is legislated. These definitions would involve further consultation before designation of the sector by the Minister.</w:t>
      </w:r>
    </w:p>
  </w:footnote>
  <w:footnote w:id="44">
    <w:p w14:paraId="126EFD47" w14:textId="2F0257FF" w:rsidR="00040360" w:rsidRPr="00BE17D1" w:rsidRDefault="00040360"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Treasury (2024) Budget </w:t>
      </w:r>
      <w:r w:rsidR="00000C93" w:rsidRPr="00B263FD">
        <w:rPr>
          <w:sz w:val="16"/>
          <w:szCs w:val="16"/>
        </w:rPr>
        <w:t xml:space="preserve">2024-25 </w:t>
      </w:r>
      <w:r w:rsidRPr="00B263FD">
        <w:rPr>
          <w:sz w:val="16"/>
          <w:szCs w:val="16"/>
        </w:rPr>
        <w:t xml:space="preserve">Paper 2, </w:t>
      </w:r>
      <w:r w:rsidR="00C10992" w:rsidRPr="00B263FD">
        <w:rPr>
          <w:sz w:val="16"/>
          <w:szCs w:val="16"/>
        </w:rPr>
        <w:t>Part 2: Payment Measures, Page 180</w:t>
      </w:r>
    </w:p>
  </w:footnote>
  <w:footnote w:id="45">
    <w:p w14:paraId="524CFCDD" w14:textId="7023DA67" w:rsidR="00072BE1" w:rsidRPr="00BE17D1" w:rsidRDefault="00072BE1"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Prior </w:t>
      </w:r>
      <w:r w:rsidR="004D3E25" w:rsidRPr="00B263FD">
        <w:rPr>
          <w:sz w:val="16"/>
          <w:szCs w:val="16"/>
        </w:rPr>
        <w:t xml:space="preserve">expenditure </w:t>
      </w:r>
      <w:r w:rsidR="00AB700E" w:rsidRPr="00B263FD">
        <w:rPr>
          <w:sz w:val="16"/>
          <w:szCs w:val="16"/>
        </w:rPr>
        <w:t xml:space="preserve">announced in the </w:t>
      </w:r>
      <w:r w:rsidR="004D3E25" w:rsidRPr="00B263FD">
        <w:rPr>
          <w:sz w:val="16"/>
          <w:szCs w:val="16"/>
        </w:rPr>
        <w:t>Budget 2023-</w:t>
      </w:r>
      <w:r w:rsidR="00000C93" w:rsidRPr="00B263FD">
        <w:rPr>
          <w:sz w:val="16"/>
          <w:szCs w:val="16"/>
        </w:rPr>
        <w:t>24</w:t>
      </w:r>
      <w:r w:rsidR="00A85477" w:rsidRPr="00B263FD">
        <w:rPr>
          <w:sz w:val="16"/>
          <w:szCs w:val="16"/>
        </w:rPr>
        <w:t xml:space="preserve"> for Fighting Scams</w:t>
      </w:r>
      <w:r w:rsidR="00000C93" w:rsidRPr="00B263FD">
        <w:rPr>
          <w:sz w:val="16"/>
          <w:szCs w:val="16"/>
        </w:rPr>
        <w:t xml:space="preserve"> </w:t>
      </w:r>
      <w:r w:rsidR="00AB700E" w:rsidRPr="00B263FD">
        <w:rPr>
          <w:sz w:val="16"/>
          <w:szCs w:val="16"/>
        </w:rPr>
        <w:t>(</w:t>
      </w:r>
      <w:r w:rsidR="00B73597" w:rsidRPr="00B263FD">
        <w:rPr>
          <w:sz w:val="16"/>
          <w:szCs w:val="16"/>
        </w:rPr>
        <w:t>Budget Paper 2</w:t>
      </w:r>
      <w:r w:rsidR="007E0D43" w:rsidRPr="00B263FD">
        <w:rPr>
          <w:sz w:val="16"/>
          <w:szCs w:val="16"/>
        </w:rPr>
        <w:t>, page 211)</w:t>
      </w:r>
      <w:r w:rsidR="00000C93" w:rsidRPr="00B263FD">
        <w:rPr>
          <w:sz w:val="16"/>
          <w:szCs w:val="16"/>
        </w:rPr>
        <w:t xml:space="preserve"> </w:t>
      </w:r>
      <w:r w:rsidR="00A85477" w:rsidRPr="00B263FD">
        <w:rPr>
          <w:sz w:val="16"/>
          <w:szCs w:val="16"/>
        </w:rPr>
        <w:t xml:space="preserve">included </w:t>
      </w:r>
      <w:r w:rsidR="00183DB0" w:rsidRPr="00B263FD">
        <w:rPr>
          <w:sz w:val="16"/>
          <w:szCs w:val="16"/>
        </w:rPr>
        <w:t>“</w:t>
      </w:r>
      <w:r w:rsidR="006D5848" w:rsidRPr="00B263FD">
        <w:rPr>
          <w:sz w:val="16"/>
          <w:szCs w:val="16"/>
        </w:rPr>
        <w:t>$58 million over years from $86.5 million</w:t>
      </w:r>
      <w:r w:rsidR="004E17F7" w:rsidRPr="00B263FD">
        <w:rPr>
          <w:sz w:val="16"/>
          <w:szCs w:val="16"/>
        </w:rPr>
        <w:t xml:space="preserve"> to establish the </w:t>
      </w:r>
      <w:r w:rsidR="007C6FE5" w:rsidRPr="00B263FD">
        <w:rPr>
          <w:sz w:val="16"/>
          <w:szCs w:val="16"/>
        </w:rPr>
        <w:t>NASC</w:t>
      </w:r>
      <w:r w:rsidR="004E17F7" w:rsidRPr="00B263FD">
        <w:rPr>
          <w:sz w:val="16"/>
          <w:szCs w:val="16"/>
        </w:rPr>
        <w:t xml:space="preserve"> within the ACCC</w:t>
      </w:r>
      <w:r w:rsidR="006C2BDF" w:rsidRPr="00B263FD">
        <w:rPr>
          <w:sz w:val="16"/>
          <w:szCs w:val="16"/>
        </w:rPr>
        <w:t xml:space="preserve"> to improve scam data sharing across government and the </w:t>
      </w:r>
      <w:r w:rsidR="00183DB0" w:rsidRPr="00B263FD">
        <w:rPr>
          <w:sz w:val="16"/>
          <w:szCs w:val="16"/>
        </w:rPr>
        <w:t xml:space="preserve">private sector and to establish public-private sector Fusion Cells to target specific scam issues.” Although this prior investment </w:t>
      </w:r>
      <w:r w:rsidR="000C0187" w:rsidRPr="00B263FD">
        <w:rPr>
          <w:sz w:val="16"/>
          <w:szCs w:val="16"/>
        </w:rPr>
        <w:t>would facilitate</w:t>
      </w:r>
      <w:r w:rsidR="00287A9C" w:rsidRPr="00B263FD">
        <w:rPr>
          <w:sz w:val="16"/>
          <w:szCs w:val="16"/>
        </w:rPr>
        <w:t xml:space="preserve"> information sharing and </w:t>
      </w:r>
      <w:r w:rsidR="001871D9" w:rsidRPr="00B263FD">
        <w:rPr>
          <w:sz w:val="16"/>
          <w:szCs w:val="16"/>
        </w:rPr>
        <w:t xml:space="preserve">coordination activities under the SPF, </w:t>
      </w:r>
      <w:r w:rsidR="00843D1D" w:rsidRPr="00B263FD">
        <w:rPr>
          <w:sz w:val="16"/>
          <w:szCs w:val="16"/>
        </w:rPr>
        <w:t xml:space="preserve">these activities </w:t>
      </w:r>
      <w:r w:rsidR="003251D3" w:rsidRPr="00B263FD">
        <w:rPr>
          <w:sz w:val="16"/>
          <w:szCs w:val="16"/>
        </w:rPr>
        <w:t>are not wholly dependent</w:t>
      </w:r>
      <w:r w:rsidR="00843D1D" w:rsidRPr="00B263FD">
        <w:rPr>
          <w:sz w:val="16"/>
          <w:szCs w:val="16"/>
        </w:rPr>
        <w:t xml:space="preserve"> </w:t>
      </w:r>
      <w:r w:rsidR="003251D3" w:rsidRPr="00B263FD">
        <w:rPr>
          <w:sz w:val="16"/>
          <w:szCs w:val="16"/>
        </w:rPr>
        <w:t>on</w:t>
      </w:r>
      <w:r w:rsidR="00843D1D" w:rsidRPr="00B263FD">
        <w:rPr>
          <w:sz w:val="16"/>
          <w:szCs w:val="16"/>
        </w:rPr>
        <w:t xml:space="preserve"> the SPF </w:t>
      </w:r>
      <w:r w:rsidR="003251D3" w:rsidRPr="00B263FD">
        <w:rPr>
          <w:sz w:val="16"/>
          <w:szCs w:val="16"/>
        </w:rPr>
        <w:t>being implemented</w:t>
      </w:r>
      <w:r w:rsidR="00740B1A" w:rsidRPr="00B263FD">
        <w:rPr>
          <w:sz w:val="16"/>
          <w:szCs w:val="16"/>
        </w:rPr>
        <w:t xml:space="preserve"> and therefore not </w:t>
      </w:r>
      <w:r w:rsidR="008D1EC5" w:rsidRPr="00B263FD">
        <w:rPr>
          <w:sz w:val="16"/>
          <w:szCs w:val="16"/>
        </w:rPr>
        <w:t>calculated as a direct government cost related to implementing the SPF.</w:t>
      </w:r>
      <w:r w:rsidR="00843D1D" w:rsidRPr="00B263FD">
        <w:rPr>
          <w:sz w:val="16"/>
          <w:szCs w:val="16"/>
        </w:rPr>
        <w:t xml:space="preserve"> </w:t>
      </w:r>
    </w:p>
  </w:footnote>
  <w:footnote w:id="46">
    <w:p w14:paraId="0DF9A083" w14:textId="3286690B" w:rsidR="00B26351" w:rsidRPr="00BE17D1" w:rsidRDefault="00B26351"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AFCA will receive $14.7 million over two years from 2024-25. That is, $5.2 million in 2024-25 and $9.2 in 2025-26.</w:t>
      </w:r>
    </w:p>
  </w:footnote>
  <w:footnote w:id="47">
    <w:p w14:paraId="7C9DF117" w14:textId="77777777" w:rsidR="005C6226" w:rsidRPr="00B263FD" w:rsidRDefault="005C6226" w:rsidP="005C6226">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Pr="00B263FD">
        <w:rPr>
          <w:sz w:val="16"/>
          <w:szCs w:val="16"/>
        </w:rPr>
        <w:t>Calculated from ACMA’s “Action on telco consumer protection” quarterly reports from the July to September 2022 to April to June 2024.</w:t>
      </w:r>
    </w:p>
  </w:footnote>
  <w:footnote w:id="48">
    <w:p w14:paraId="029572F6" w14:textId="207C64C8" w:rsidR="0019118B" w:rsidRDefault="0019118B">
      <w:pPr>
        <w:pStyle w:val="FootnoteText"/>
      </w:pPr>
      <w:r w:rsidRPr="00BE17D1">
        <w:rPr>
          <w:rStyle w:val="FootnoteReference"/>
          <w:sz w:val="16"/>
          <w:szCs w:val="18"/>
        </w:rPr>
        <w:footnoteRef/>
      </w:r>
      <w:r w:rsidRPr="00BE17D1">
        <w:rPr>
          <w:sz w:val="16"/>
          <w:szCs w:val="16"/>
        </w:rPr>
        <w:t xml:space="preserve"> Google </w:t>
      </w:r>
      <w:r w:rsidR="004F3FC0" w:rsidRPr="00BE17D1">
        <w:rPr>
          <w:sz w:val="16"/>
          <w:szCs w:val="16"/>
        </w:rPr>
        <w:t>2023 Ads Safety Report, 27 March 2024</w:t>
      </w:r>
    </w:p>
  </w:footnote>
  <w:footnote w:id="49">
    <w:p w14:paraId="4DF2344A" w14:textId="08CEC061" w:rsidR="0097445E" w:rsidRDefault="0097445E" w:rsidP="0034194A">
      <w:pPr>
        <w:pStyle w:val="FootnoteText"/>
      </w:pPr>
      <w:r w:rsidRPr="00BE17D1">
        <w:rPr>
          <w:rStyle w:val="FootnoteReference"/>
          <w:sz w:val="16"/>
          <w:szCs w:val="18"/>
        </w:rPr>
        <w:footnoteRef/>
      </w:r>
      <w:r w:rsidRPr="00BE17D1">
        <w:rPr>
          <w:sz w:val="16"/>
          <w:szCs w:val="16"/>
        </w:rPr>
        <w:t xml:space="preserve"> </w:t>
      </w:r>
      <w:r w:rsidR="0034194A" w:rsidRPr="00BE17D1">
        <w:rPr>
          <w:sz w:val="16"/>
          <w:szCs w:val="16"/>
        </w:rPr>
        <w:t>Meta’s Submission on the Scams Prevention Framework Bill 2024, 4 October 2024.</w:t>
      </w:r>
    </w:p>
  </w:footnote>
  <w:footnote w:id="50">
    <w:p w14:paraId="63234131" w14:textId="68BDBE47" w:rsidR="0072750E" w:rsidRDefault="0072750E" w:rsidP="00BE17D1">
      <w:pPr>
        <w:pStyle w:val="FootnoteText"/>
        <w:ind w:left="0" w:firstLine="0"/>
      </w:pPr>
      <w:r w:rsidRPr="00BE17D1">
        <w:rPr>
          <w:rStyle w:val="FootnoteReference"/>
          <w:sz w:val="16"/>
          <w:szCs w:val="18"/>
        </w:rPr>
        <w:footnoteRef/>
      </w:r>
      <w:r w:rsidRPr="00BE17D1">
        <w:rPr>
          <w:sz w:val="16"/>
          <w:szCs w:val="16"/>
        </w:rPr>
        <w:t xml:space="preserve"> An outline of </w:t>
      </w:r>
      <w:r w:rsidR="002555C0" w:rsidRPr="00BE17D1">
        <w:rPr>
          <w:sz w:val="16"/>
          <w:szCs w:val="16"/>
        </w:rPr>
        <w:t xml:space="preserve">these identified gaps in regulator investigations into industry practices in the banking and digital platforms sector is included in </w:t>
      </w:r>
      <w:r w:rsidR="002555C0" w:rsidRPr="00BE17D1">
        <w:rPr>
          <w:b/>
          <w:bCs/>
          <w:sz w:val="16"/>
          <w:szCs w:val="16"/>
        </w:rPr>
        <w:fldChar w:fldCharType="begin"/>
      </w:r>
      <w:r w:rsidR="002555C0" w:rsidRPr="00BE17D1">
        <w:rPr>
          <w:b/>
          <w:bCs/>
          <w:sz w:val="16"/>
          <w:szCs w:val="16"/>
        </w:rPr>
        <w:instrText xml:space="preserve"> REF _Ref175647453 \h  \* MERGEFORMAT </w:instrText>
      </w:r>
      <w:r w:rsidR="002555C0" w:rsidRPr="00BE17D1">
        <w:rPr>
          <w:b/>
          <w:bCs/>
          <w:sz w:val="16"/>
          <w:szCs w:val="16"/>
        </w:rPr>
      </w:r>
      <w:r w:rsidR="002555C0" w:rsidRPr="00BE17D1">
        <w:rPr>
          <w:b/>
          <w:bCs/>
          <w:sz w:val="16"/>
          <w:szCs w:val="16"/>
        </w:rPr>
        <w:fldChar w:fldCharType="separate"/>
      </w:r>
      <w:r w:rsidR="002555C0" w:rsidRPr="00BE17D1">
        <w:rPr>
          <w:b/>
          <w:bCs/>
          <w:sz w:val="16"/>
          <w:szCs w:val="16"/>
        </w:rPr>
        <w:t xml:space="preserve">Appendix </w:t>
      </w:r>
      <w:r w:rsidR="002555C0" w:rsidRPr="00BE17D1">
        <w:rPr>
          <w:b/>
          <w:bCs/>
          <w:noProof/>
          <w:sz w:val="16"/>
          <w:szCs w:val="16"/>
        </w:rPr>
        <w:t>1</w:t>
      </w:r>
      <w:r w:rsidR="002555C0" w:rsidRPr="00BE17D1">
        <w:rPr>
          <w:b/>
          <w:bCs/>
          <w:sz w:val="16"/>
          <w:szCs w:val="16"/>
        </w:rPr>
        <w:fldChar w:fldCharType="end"/>
      </w:r>
      <w:r w:rsidR="002555C0" w:rsidRPr="00BE17D1">
        <w:rPr>
          <w:b/>
          <w:bCs/>
          <w:sz w:val="16"/>
          <w:szCs w:val="16"/>
        </w:rPr>
        <w:t>.</w:t>
      </w:r>
    </w:p>
  </w:footnote>
  <w:footnote w:id="51">
    <w:p w14:paraId="6BBE2520" w14:textId="77777777" w:rsidR="00023381" w:rsidRPr="00B263FD" w:rsidRDefault="00023381" w:rsidP="00023381">
      <w:pPr>
        <w:pStyle w:val="FootnoteText"/>
        <w:ind w:left="0" w:firstLine="0"/>
        <w:rPr>
          <w:sz w:val="16"/>
          <w:szCs w:val="16"/>
        </w:rPr>
      </w:pPr>
      <w:r w:rsidRPr="00417F20">
        <w:rPr>
          <w:rStyle w:val="FootnoteReference"/>
          <w:sz w:val="16"/>
          <w:szCs w:val="16"/>
        </w:rPr>
        <w:footnoteRef/>
      </w:r>
      <w:r w:rsidRPr="00B263FD">
        <w:rPr>
          <w:sz w:val="16"/>
          <w:szCs w:val="16"/>
          <w:vertAlign w:val="superscript"/>
        </w:rPr>
        <w:t xml:space="preserve"> </w:t>
      </w:r>
      <w:r>
        <w:rPr>
          <w:sz w:val="16"/>
          <w:szCs w:val="16"/>
        </w:rPr>
        <w:t>ASIC</w:t>
      </w:r>
      <w:r w:rsidRPr="00B263FD">
        <w:rPr>
          <w:sz w:val="16"/>
          <w:szCs w:val="16"/>
        </w:rPr>
        <w:t xml:space="preserve">, </w:t>
      </w:r>
      <w:r w:rsidRPr="009622E7">
        <w:rPr>
          <w:i/>
          <w:sz w:val="16"/>
          <w:szCs w:val="16"/>
        </w:rPr>
        <w:t>Online investment trading scams top ASIC’s website takedown action</w:t>
      </w:r>
      <w:r w:rsidRPr="00B263FD">
        <w:rPr>
          <w:i/>
          <w:sz w:val="16"/>
          <w:szCs w:val="16"/>
        </w:rPr>
        <w:t xml:space="preserve">, </w:t>
      </w:r>
      <w:r>
        <w:rPr>
          <w:sz w:val="16"/>
          <w:szCs w:val="16"/>
        </w:rPr>
        <w:t xml:space="preserve">19 August </w:t>
      </w:r>
      <w:r w:rsidRPr="00B263FD">
        <w:rPr>
          <w:sz w:val="16"/>
          <w:szCs w:val="16"/>
        </w:rPr>
        <w:t>202</w:t>
      </w:r>
      <w:r>
        <w:rPr>
          <w:sz w:val="16"/>
          <w:szCs w:val="16"/>
        </w:rPr>
        <w:t>4</w:t>
      </w:r>
      <w:r w:rsidRPr="00B263FD">
        <w:rPr>
          <w:sz w:val="16"/>
          <w:szCs w:val="16"/>
        </w:rPr>
        <w:t>.</w:t>
      </w:r>
    </w:p>
  </w:footnote>
  <w:footnote w:id="52">
    <w:p w14:paraId="70C932AE" w14:textId="77777777" w:rsidR="00C86980" w:rsidRPr="00417F20" w:rsidRDefault="00C86980" w:rsidP="00C86980">
      <w:pPr>
        <w:pStyle w:val="FootnoteText"/>
        <w:ind w:left="0" w:firstLine="0"/>
        <w:rPr>
          <w:sz w:val="16"/>
          <w:szCs w:val="16"/>
        </w:rPr>
      </w:pPr>
      <w:r w:rsidRPr="00417F20">
        <w:rPr>
          <w:rStyle w:val="FootnoteReference"/>
          <w:sz w:val="16"/>
          <w:szCs w:val="16"/>
        </w:rPr>
        <w:footnoteRef/>
      </w:r>
      <w:r w:rsidRPr="00417F20">
        <w:rPr>
          <w:sz w:val="16"/>
          <w:szCs w:val="16"/>
        </w:rPr>
        <w:t xml:space="preserve"> Optus, </w:t>
      </w:r>
      <w:r w:rsidRPr="00417F20">
        <w:rPr>
          <w:i/>
          <w:sz w:val="16"/>
          <w:szCs w:val="16"/>
        </w:rPr>
        <w:t>Optus Call Stop to fight off SMS scams¸</w:t>
      </w:r>
      <w:r w:rsidRPr="00417F20">
        <w:rPr>
          <w:sz w:val="16"/>
          <w:szCs w:val="16"/>
        </w:rPr>
        <w:t>17 July 2023.</w:t>
      </w:r>
    </w:p>
  </w:footnote>
  <w:footnote w:id="53">
    <w:p w14:paraId="4AC85057" w14:textId="46520BE0" w:rsidR="005652FA" w:rsidRDefault="005652FA">
      <w:pPr>
        <w:pStyle w:val="FootnoteText"/>
      </w:pPr>
      <w:r w:rsidRPr="00BE17D1">
        <w:rPr>
          <w:rStyle w:val="FootnoteReference"/>
          <w:sz w:val="16"/>
          <w:szCs w:val="18"/>
        </w:rPr>
        <w:footnoteRef/>
      </w:r>
      <w:r w:rsidRPr="00BE17D1">
        <w:rPr>
          <w:sz w:val="16"/>
          <w:szCs w:val="16"/>
        </w:rPr>
        <w:t xml:space="preserve"> </w:t>
      </w:r>
      <w:r w:rsidR="00BB41BB">
        <w:rPr>
          <w:sz w:val="16"/>
          <w:szCs w:val="16"/>
        </w:rPr>
        <w:t>NASC, Investment scam fusion cell, Final report, May 2024.</w:t>
      </w:r>
    </w:p>
  </w:footnote>
  <w:footnote w:id="54">
    <w:p w14:paraId="335BC958" w14:textId="271AB05F" w:rsidR="009D3221" w:rsidRPr="00BE17D1" w:rsidRDefault="009D3221" w:rsidP="009D3221">
      <w:pPr>
        <w:autoSpaceDE w:val="0"/>
        <w:autoSpaceDN w:val="0"/>
        <w:adjustRightInd w:val="0"/>
        <w:spacing w:before="0" w:after="0"/>
        <w:rPr>
          <w:rFonts w:ascii="OptimisticText-Regular" w:eastAsiaTheme="minorHAnsi" w:hAnsi="OptimisticText-Regular" w:cs="OptimisticText-Regular"/>
          <w:color w:val="1155CD"/>
          <w:sz w:val="16"/>
          <w:szCs w:val="16"/>
          <w:lang w:eastAsia="en-US"/>
        </w:rPr>
      </w:pPr>
      <w:r w:rsidRPr="00BE17D1">
        <w:rPr>
          <w:rStyle w:val="FootnoteReference"/>
          <w:sz w:val="16"/>
          <w:szCs w:val="18"/>
        </w:rPr>
        <w:footnoteRef/>
      </w:r>
      <w:r w:rsidRPr="00BE17D1">
        <w:rPr>
          <w:sz w:val="18"/>
          <w:szCs w:val="16"/>
        </w:rPr>
        <w:t xml:space="preserve"> </w:t>
      </w:r>
      <w:r w:rsidRPr="00BE17D1">
        <w:rPr>
          <w:rFonts w:ascii="OptimisticText-Regular" w:eastAsiaTheme="minorHAnsi" w:hAnsi="OptimisticText-Regular" w:cs="OptimisticText-Regular"/>
          <w:color w:val="000000"/>
          <w:sz w:val="16"/>
          <w:szCs w:val="16"/>
          <w:lang w:eastAsia="en-US"/>
        </w:rPr>
        <w:t xml:space="preserve">Meta, </w:t>
      </w:r>
      <w:r w:rsidRPr="00BE17D1">
        <w:rPr>
          <w:rFonts w:ascii="OptimisticText-Regular" w:eastAsiaTheme="minorHAnsi" w:hAnsi="OptimisticText-Regular" w:cs="OptimisticText-Regular"/>
          <w:i/>
          <w:iCs/>
          <w:color w:val="000000"/>
          <w:sz w:val="16"/>
          <w:szCs w:val="16"/>
          <w:lang w:eastAsia="en-US"/>
        </w:rPr>
        <w:t>Meta partners with the Australian Financial Crimes Exchange (AFCX) and Australian banking sector to combat scams</w:t>
      </w:r>
      <w:r w:rsidR="00B51A91">
        <w:rPr>
          <w:rFonts w:ascii="OptimisticText-Regular" w:eastAsiaTheme="minorHAnsi" w:hAnsi="OptimisticText-Regular" w:cs="OptimisticText-Regular"/>
          <w:color w:val="000000"/>
          <w:sz w:val="16"/>
          <w:szCs w:val="16"/>
          <w:lang w:eastAsia="en-US"/>
        </w:rPr>
        <w:t>, October 2024.</w:t>
      </w:r>
      <w:r>
        <w:rPr>
          <w:rFonts w:ascii="OptimisticText-Regular" w:eastAsiaTheme="minorHAnsi" w:hAnsi="OptimisticText-Regular" w:cs="OptimisticText-Regular"/>
          <w:color w:val="000000"/>
          <w:sz w:val="16"/>
          <w:szCs w:val="16"/>
          <w:lang w:eastAsia="en-US"/>
        </w:rPr>
        <w:t xml:space="preserve"> </w:t>
      </w:r>
      <w:r w:rsidRPr="00BE17D1">
        <w:rPr>
          <w:rFonts w:ascii="OptimisticText-Regular" w:eastAsiaTheme="minorHAnsi" w:hAnsi="OptimisticText-Regular" w:cs="OptimisticText-Regular"/>
          <w:color w:val="1155CD"/>
          <w:sz w:val="16"/>
          <w:szCs w:val="16"/>
          <w:lang w:eastAsia="en-US"/>
        </w:rPr>
        <w:t>https://medium.com/meta-australia-policy-blog/meta-partners-with-the-australian-financial-cri</w:t>
      </w:r>
    </w:p>
    <w:p w14:paraId="570FBC50" w14:textId="63480058" w:rsidR="009D3221" w:rsidRDefault="009D3221" w:rsidP="009D3221">
      <w:pPr>
        <w:pStyle w:val="FootnoteText"/>
      </w:pPr>
      <w:r w:rsidRPr="00BE17D1">
        <w:rPr>
          <w:rFonts w:ascii="OptimisticText-Regular" w:eastAsiaTheme="minorHAnsi" w:hAnsi="OptimisticText-Regular" w:cs="OptimisticText-Regular"/>
          <w:color w:val="1155CD"/>
          <w:sz w:val="16"/>
          <w:szCs w:val="16"/>
          <w:lang w:eastAsia="en-US"/>
        </w:rPr>
        <w:t>mes-exchange-afcx-and-australian-banking-sector-to-7b7b26227360</w:t>
      </w:r>
    </w:p>
  </w:footnote>
  <w:footnote w:id="55">
    <w:p w14:paraId="7FA5EC93" w14:textId="77777777" w:rsidR="004551A1" w:rsidRPr="00B263FD" w:rsidRDefault="004551A1" w:rsidP="0076206B">
      <w:pPr>
        <w:pStyle w:val="FootnoteText"/>
        <w:ind w:left="0" w:firstLine="0"/>
        <w:rPr>
          <w:sz w:val="16"/>
          <w:szCs w:val="16"/>
        </w:rPr>
      </w:pPr>
      <w:r w:rsidRPr="00BE17D1">
        <w:rPr>
          <w:rStyle w:val="FootnoteReference"/>
          <w:sz w:val="16"/>
          <w:szCs w:val="16"/>
        </w:rPr>
        <w:footnoteRef/>
      </w:r>
      <w:r w:rsidRPr="005652FA">
        <w:rPr>
          <w:sz w:val="16"/>
          <w:szCs w:val="16"/>
        </w:rPr>
        <w:t xml:space="preserve"> </w:t>
      </w:r>
      <w:r w:rsidRPr="00B263FD">
        <w:rPr>
          <w:sz w:val="16"/>
          <w:szCs w:val="16"/>
        </w:rPr>
        <w:t xml:space="preserve">ANZ, </w:t>
      </w:r>
      <w:r w:rsidRPr="00B263FD">
        <w:rPr>
          <w:i/>
          <w:sz w:val="16"/>
          <w:szCs w:val="16"/>
        </w:rPr>
        <w:t xml:space="preserve">The price of security is vigilance, </w:t>
      </w:r>
      <w:r w:rsidRPr="00B263FD">
        <w:rPr>
          <w:sz w:val="16"/>
          <w:szCs w:val="16"/>
        </w:rPr>
        <w:t xml:space="preserve">2023; Commonwealth Bank, </w:t>
      </w:r>
      <w:r w:rsidRPr="00B263FD">
        <w:rPr>
          <w:i/>
          <w:sz w:val="16"/>
          <w:szCs w:val="16"/>
        </w:rPr>
        <w:t>Annual Report 2023</w:t>
      </w:r>
    </w:p>
  </w:footnote>
  <w:footnote w:id="56">
    <w:p w14:paraId="1B71B1D9" w14:textId="77777777" w:rsidR="004551A1" w:rsidRPr="00B263FD" w:rsidRDefault="004551A1" w:rsidP="0076206B">
      <w:pPr>
        <w:pStyle w:val="FootnoteText"/>
        <w:ind w:left="0" w:firstLine="0"/>
        <w:rPr>
          <w:sz w:val="16"/>
          <w:szCs w:val="16"/>
        </w:rPr>
      </w:pPr>
      <w:r w:rsidRPr="00BE17D1">
        <w:rPr>
          <w:rStyle w:val="FootnoteReference"/>
          <w:sz w:val="16"/>
          <w:szCs w:val="16"/>
        </w:rPr>
        <w:footnoteRef/>
      </w:r>
      <w:r w:rsidRPr="005652FA">
        <w:rPr>
          <w:sz w:val="16"/>
          <w:szCs w:val="16"/>
        </w:rPr>
        <w:t xml:space="preserve"> </w:t>
      </w:r>
      <w:r w:rsidRPr="00B263FD">
        <w:rPr>
          <w:sz w:val="16"/>
          <w:szCs w:val="16"/>
        </w:rPr>
        <w:t xml:space="preserve">ANZ, </w:t>
      </w:r>
      <w:r w:rsidRPr="00B263FD">
        <w:rPr>
          <w:i/>
          <w:sz w:val="16"/>
          <w:szCs w:val="16"/>
        </w:rPr>
        <w:t xml:space="preserve">We are in the fight against scammers together </w:t>
      </w:r>
      <w:r w:rsidRPr="00B263FD">
        <w:rPr>
          <w:sz w:val="16"/>
          <w:szCs w:val="16"/>
        </w:rPr>
        <w:t xml:space="preserve">(26 October 2023); </w:t>
      </w:r>
      <w:r w:rsidRPr="00B263FD">
        <w:rPr>
          <w:i/>
          <w:sz w:val="16"/>
          <w:szCs w:val="16"/>
        </w:rPr>
        <w:t xml:space="preserve">The price of security is vigilance </w:t>
      </w:r>
      <w:r w:rsidRPr="00B263FD">
        <w:rPr>
          <w:sz w:val="16"/>
          <w:szCs w:val="16"/>
        </w:rPr>
        <w:t xml:space="preserve">(27 November 2023) </w:t>
      </w:r>
    </w:p>
  </w:footnote>
  <w:footnote w:id="57">
    <w:p w14:paraId="02961698" w14:textId="77777777" w:rsidR="00BC7F6B" w:rsidRPr="00B263FD" w:rsidRDefault="00BC7F6B" w:rsidP="0076206B">
      <w:pPr>
        <w:pStyle w:val="FootnoteText"/>
        <w:ind w:left="0" w:firstLine="0"/>
        <w:rPr>
          <w:sz w:val="16"/>
          <w:szCs w:val="16"/>
        </w:rPr>
      </w:pPr>
      <w:r w:rsidRPr="00BE17D1">
        <w:rPr>
          <w:rStyle w:val="FootnoteReference"/>
          <w:sz w:val="16"/>
          <w:szCs w:val="16"/>
        </w:rPr>
        <w:footnoteRef/>
      </w:r>
      <w:r w:rsidRPr="005652FA">
        <w:rPr>
          <w:sz w:val="16"/>
          <w:szCs w:val="16"/>
        </w:rPr>
        <w:t xml:space="preserve"> </w:t>
      </w:r>
      <w:r w:rsidRPr="00B263FD">
        <w:rPr>
          <w:sz w:val="16"/>
          <w:szCs w:val="16"/>
        </w:rPr>
        <w:t xml:space="preserve">Bendigo Bank, </w:t>
      </w:r>
      <w:r w:rsidRPr="00B263FD">
        <w:rPr>
          <w:i/>
          <w:sz w:val="16"/>
          <w:szCs w:val="16"/>
        </w:rPr>
        <w:t xml:space="preserve">Bendigo Bank says collaboration is key to fight against scams and fraud </w:t>
      </w:r>
      <w:r w:rsidRPr="00B263FD">
        <w:rPr>
          <w:sz w:val="16"/>
          <w:szCs w:val="16"/>
        </w:rPr>
        <w:t xml:space="preserve">(24 November 2023) </w:t>
      </w:r>
    </w:p>
  </w:footnote>
  <w:footnote w:id="58">
    <w:p w14:paraId="73C0A1C7" w14:textId="77777777" w:rsidR="004551A1" w:rsidRPr="00B263FD" w:rsidRDefault="004551A1" w:rsidP="0076206B">
      <w:pPr>
        <w:pStyle w:val="FootnoteText"/>
        <w:ind w:left="0" w:firstLine="0"/>
        <w:rPr>
          <w:sz w:val="16"/>
          <w:szCs w:val="16"/>
        </w:rPr>
      </w:pPr>
      <w:r w:rsidRPr="00BE17D1">
        <w:rPr>
          <w:rStyle w:val="FootnoteReference"/>
          <w:sz w:val="16"/>
          <w:szCs w:val="16"/>
        </w:rPr>
        <w:footnoteRef/>
      </w:r>
      <w:r w:rsidRPr="005652FA">
        <w:rPr>
          <w:sz w:val="16"/>
          <w:szCs w:val="16"/>
        </w:rPr>
        <w:t xml:space="preserve"> </w:t>
      </w:r>
      <w:r w:rsidRPr="00B263FD">
        <w:rPr>
          <w:sz w:val="16"/>
          <w:szCs w:val="16"/>
        </w:rPr>
        <w:t xml:space="preserve">Commonwealth Bank, </w:t>
      </w:r>
      <w:r w:rsidRPr="00B263FD">
        <w:rPr>
          <w:i/>
          <w:sz w:val="16"/>
          <w:szCs w:val="16"/>
        </w:rPr>
        <w:t xml:space="preserve">CBA steps up national battle against scams </w:t>
      </w:r>
      <w:r w:rsidRPr="00B263FD">
        <w:rPr>
          <w:sz w:val="16"/>
          <w:szCs w:val="16"/>
        </w:rPr>
        <w:t>(30 May 2023)</w:t>
      </w:r>
    </w:p>
  </w:footnote>
  <w:footnote w:id="59">
    <w:p w14:paraId="0BDEB982" w14:textId="77777777" w:rsidR="004551A1" w:rsidRPr="00B263FD" w:rsidRDefault="004551A1"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Pr="00B263FD">
        <w:rPr>
          <w:sz w:val="16"/>
          <w:szCs w:val="16"/>
        </w:rPr>
        <w:t xml:space="preserve">NAB, </w:t>
      </w:r>
      <w:r w:rsidRPr="00B263FD">
        <w:rPr>
          <w:i/>
          <w:sz w:val="16"/>
          <w:szCs w:val="16"/>
        </w:rPr>
        <w:t xml:space="preserve">NAB’s scam alerts intervene in $270 million worth of payments </w:t>
      </w:r>
      <w:r w:rsidRPr="00B263FD">
        <w:rPr>
          <w:sz w:val="16"/>
          <w:szCs w:val="16"/>
        </w:rPr>
        <w:t xml:space="preserve">(17 June 2023) </w:t>
      </w:r>
    </w:p>
  </w:footnote>
  <w:footnote w:id="60">
    <w:p w14:paraId="7A7F5AEF" w14:textId="77777777" w:rsidR="004551A1" w:rsidRPr="00B263FD" w:rsidRDefault="004551A1" w:rsidP="0076206B">
      <w:pPr>
        <w:pStyle w:val="FootnoteText"/>
        <w:ind w:left="0" w:firstLine="0"/>
        <w:rPr>
          <w:sz w:val="16"/>
          <w:szCs w:val="16"/>
        </w:rPr>
      </w:pPr>
      <w:r w:rsidRPr="00BE17D1">
        <w:rPr>
          <w:rStyle w:val="FootnoteReference"/>
          <w:sz w:val="16"/>
          <w:szCs w:val="16"/>
        </w:rPr>
        <w:footnoteRef/>
      </w:r>
      <w:r w:rsidRPr="00B263FD">
        <w:rPr>
          <w:sz w:val="16"/>
          <w:szCs w:val="16"/>
          <w:vertAlign w:val="superscript"/>
        </w:rPr>
        <w:t xml:space="preserve"> </w:t>
      </w:r>
      <w:r w:rsidRPr="00B263FD">
        <w:rPr>
          <w:sz w:val="16"/>
          <w:szCs w:val="16"/>
        </w:rPr>
        <w:t xml:space="preserve">Westpac, </w:t>
      </w:r>
      <w:r w:rsidRPr="00B263FD">
        <w:rPr>
          <w:i/>
          <w:sz w:val="16"/>
          <w:szCs w:val="16"/>
        </w:rPr>
        <w:t xml:space="preserve">Westpac trials new cryptocurrency blocks to prevent scam losses </w:t>
      </w:r>
      <w:r w:rsidRPr="00B263FD">
        <w:rPr>
          <w:sz w:val="16"/>
          <w:szCs w:val="16"/>
        </w:rPr>
        <w:t xml:space="preserve">(18 May 2023) </w:t>
      </w:r>
    </w:p>
  </w:footnote>
  <w:footnote w:id="61">
    <w:p w14:paraId="02D07133" w14:textId="77777777" w:rsidR="004551A1" w:rsidRPr="00B263FD" w:rsidRDefault="004551A1"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Pr="00B263FD">
        <w:rPr>
          <w:sz w:val="16"/>
          <w:szCs w:val="16"/>
        </w:rPr>
        <w:t>Ibid</w:t>
      </w:r>
    </w:p>
  </w:footnote>
  <w:footnote w:id="62">
    <w:p w14:paraId="11935413" w14:textId="77777777" w:rsidR="004551A1" w:rsidRPr="00B263FD" w:rsidRDefault="004551A1"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Pr="00B263FD">
        <w:rPr>
          <w:sz w:val="16"/>
          <w:szCs w:val="16"/>
        </w:rPr>
        <w:t xml:space="preserve">Commonwealth Bank of Australia, </w:t>
      </w:r>
      <w:r w:rsidRPr="00B263FD">
        <w:rPr>
          <w:i/>
          <w:sz w:val="16"/>
          <w:szCs w:val="16"/>
        </w:rPr>
        <w:t xml:space="preserve">New scam detection, prevention and education initiatives to keep more customers safe, </w:t>
      </w:r>
      <w:r w:rsidRPr="00B263FD">
        <w:rPr>
          <w:sz w:val="16"/>
          <w:szCs w:val="16"/>
        </w:rPr>
        <w:t>2023</w:t>
      </w:r>
    </w:p>
  </w:footnote>
  <w:footnote w:id="63">
    <w:p w14:paraId="5C0D0644" w14:textId="77777777" w:rsidR="004551A1" w:rsidRPr="00B263FD" w:rsidRDefault="004551A1" w:rsidP="0076206B">
      <w:pPr>
        <w:pStyle w:val="FootnoteText"/>
        <w:ind w:left="0" w:firstLine="0"/>
        <w:rPr>
          <w:sz w:val="16"/>
          <w:szCs w:val="16"/>
        </w:rPr>
      </w:pPr>
      <w:r w:rsidRPr="00BE17D1">
        <w:rPr>
          <w:rStyle w:val="FootnoteReference"/>
          <w:sz w:val="16"/>
          <w:szCs w:val="16"/>
        </w:rPr>
        <w:footnoteRef/>
      </w:r>
      <w:r w:rsidRPr="005652FA">
        <w:rPr>
          <w:sz w:val="16"/>
          <w:szCs w:val="16"/>
        </w:rPr>
        <w:t xml:space="preserve"> </w:t>
      </w:r>
      <w:r w:rsidRPr="00B263FD">
        <w:rPr>
          <w:sz w:val="16"/>
          <w:szCs w:val="16"/>
        </w:rPr>
        <w:t xml:space="preserve">Commonwealth Bank of Australia, </w:t>
      </w:r>
      <w:r w:rsidRPr="00B263FD">
        <w:rPr>
          <w:i/>
          <w:sz w:val="16"/>
          <w:szCs w:val="16"/>
        </w:rPr>
        <w:t xml:space="preserve">CBA extends scam disruption technologies as part of ‘whole of ecosystem’ national approach, </w:t>
      </w:r>
      <w:r w:rsidRPr="00B263FD">
        <w:rPr>
          <w:sz w:val="16"/>
          <w:szCs w:val="16"/>
        </w:rPr>
        <w:t>2023.</w:t>
      </w:r>
    </w:p>
  </w:footnote>
  <w:footnote w:id="64">
    <w:p w14:paraId="7AB6335E" w14:textId="77777777" w:rsidR="004551A1" w:rsidRPr="00B263FD" w:rsidRDefault="004551A1"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Commonwealth Bank of Australia, </w:t>
      </w:r>
      <w:r w:rsidRPr="00B263FD">
        <w:rPr>
          <w:i/>
          <w:sz w:val="16"/>
          <w:szCs w:val="16"/>
        </w:rPr>
        <w:t xml:space="preserve">Research shows Australians are more scam-aware than 12 months ago as losses fall, </w:t>
      </w:r>
      <w:r w:rsidRPr="00B263FD">
        <w:rPr>
          <w:sz w:val="16"/>
          <w:szCs w:val="16"/>
        </w:rPr>
        <w:t>2023.</w:t>
      </w:r>
    </w:p>
  </w:footnote>
  <w:footnote w:id="65">
    <w:p w14:paraId="2ECCD984" w14:textId="77777777" w:rsidR="00284A27" w:rsidRPr="00B263FD" w:rsidRDefault="00284A27" w:rsidP="00284A27">
      <w:pPr>
        <w:pStyle w:val="FootnoteText"/>
        <w:ind w:left="0" w:firstLine="0"/>
        <w:rPr>
          <w:sz w:val="16"/>
          <w:szCs w:val="16"/>
        </w:rPr>
      </w:pPr>
      <w:r w:rsidRPr="00955C42">
        <w:rPr>
          <w:rStyle w:val="FootnoteReference"/>
          <w:sz w:val="16"/>
          <w:szCs w:val="16"/>
        </w:rPr>
        <w:footnoteRef/>
      </w:r>
      <w:r w:rsidRPr="00955C42">
        <w:rPr>
          <w:sz w:val="16"/>
          <w:szCs w:val="16"/>
        </w:rPr>
        <w:t xml:space="preserve"> </w:t>
      </w:r>
      <w:r w:rsidRPr="00B263FD">
        <w:rPr>
          <w:sz w:val="16"/>
          <w:szCs w:val="16"/>
        </w:rPr>
        <w:t xml:space="preserve">ACCC, </w:t>
      </w:r>
      <w:r w:rsidRPr="00955C42">
        <w:rPr>
          <w:sz w:val="16"/>
          <w:szCs w:val="16"/>
        </w:rPr>
        <w:t>Targeting Scams</w:t>
      </w:r>
      <w:r w:rsidRPr="00B263FD" w:rsidDel="00E91B79">
        <w:rPr>
          <w:sz w:val="16"/>
          <w:szCs w:val="16"/>
        </w:rPr>
        <w:t xml:space="preserve"> </w:t>
      </w:r>
      <w:r>
        <w:rPr>
          <w:sz w:val="16"/>
          <w:szCs w:val="16"/>
        </w:rPr>
        <w:t>report 2023.</w:t>
      </w:r>
    </w:p>
  </w:footnote>
  <w:footnote w:id="66">
    <w:p w14:paraId="387481EC" w14:textId="535C4CED" w:rsidR="0012720F" w:rsidRPr="00BE17D1" w:rsidRDefault="0012720F" w:rsidP="0076206B">
      <w:pPr>
        <w:pStyle w:val="FootnoteText"/>
        <w:ind w:left="0" w:firstLine="0"/>
        <w:rPr>
          <w:sz w:val="16"/>
          <w:szCs w:val="16"/>
        </w:rPr>
      </w:pPr>
      <w:r w:rsidRPr="00BE17D1">
        <w:rPr>
          <w:rStyle w:val="FootnoteReference"/>
          <w:sz w:val="16"/>
          <w:szCs w:val="16"/>
        </w:rPr>
        <w:footnoteRef/>
      </w:r>
      <w:r w:rsidRPr="00B263FD">
        <w:rPr>
          <w:sz w:val="16"/>
          <w:szCs w:val="16"/>
          <w:vertAlign w:val="superscript"/>
        </w:rPr>
        <w:t xml:space="preserve"> </w:t>
      </w:r>
      <w:r w:rsidRPr="00B263FD">
        <w:rPr>
          <w:sz w:val="16"/>
          <w:szCs w:val="16"/>
        </w:rPr>
        <w:t xml:space="preserve">Note </w:t>
      </w:r>
      <w:proofErr w:type="gramStart"/>
      <w:r w:rsidR="003957E9" w:rsidRPr="00B263FD">
        <w:rPr>
          <w:sz w:val="16"/>
          <w:szCs w:val="16"/>
        </w:rPr>
        <w:t>t</w:t>
      </w:r>
      <w:r w:rsidR="00E17953" w:rsidRPr="00B263FD">
        <w:rPr>
          <w:sz w:val="16"/>
          <w:szCs w:val="16"/>
        </w:rPr>
        <w:t>he of</w:t>
      </w:r>
      <w:proofErr w:type="gramEnd"/>
      <w:r w:rsidR="00E17953" w:rsidRPr="00B263FD">
        <w:rPr>
          <w:sz w:val="16"/>
          <w:szCs w:val="16"/>
        </w:rPr>
        <w:t xml:space="preserve"> scam </w:t>
      </w:r>
      <w:r w:rsidR="005228A1">
        <w:rPr>
          <w:sz w:val="16"/>
          <w:szCs w:val="16"/>
        </w:rPr>
        <w:t>losses</w:t>
      </w:r>
      <w:r w:rsidR="005228A1" w:rsidRPr="00B263FD">
        <w:rPr>
          <w:sz w:val="16"/>
          <w:szCs w:val="16"/>
        </w:rPr>
        <w:t xml:space="preserve"> </w:t>
      </w:r>
      <w:r w:rsidR="00E17953" w:rsidRPr="00B263FD">
        <w:rPr>
          <w:sz w:val="16"/>
          <w:szCs w:val="16"/>
        </w:rPr>
        <w:t xml:space="preserve">in Australia may be expected to </w:t>
      </w:r>
      <w:r w:rsidR="00587A4A" w:rsidRPr="00B263FD">
        <w:rPr>
          <w:sz w:val="16"/>
          <w:szCs w:val="16"/>
        </w:rPr>
        <w:t xml:space="preserve">change in the future under </w:t>
      </w:r>
      <w:r w:rsidR="00F910CC" w:rsidRPr="00B263FD">
        <w:rPr>
          <w:sz w:val="16"/>
          <w:szCs w:val="16"/>
        </w:rPr>
        <w:t>Option 1 -</w:t>
      </w:r>
      <w:r w:rsidR="00587A4A" w:rsidRPr="00B263FD">
        <w:rPr>
          <w:sz w:val="16"/>
          <w:szCs w:val="16"/>
        </w:rPr>
        <w:t xml:space="preserve"> status quo</w:t>
      </w:r>
      <w:r w:rsidR="00EB7C5C" w:rsidRPr="00B263FD">
        <w:rPr>
          <w:sz w:val="16"/>
          <w:szCs w:val="16"/>
        </w:rPr>
        <w:t xml:space="preserve">. If the </w:t>
      </w:r>
      <w:r w:rsidR="00D07FA2" w:rsidRPr="00B263FD">
        <w:rPr>
          <w:sz w:val="16"/>
          <w:szCs w:val="16"/>
        </w:rPr>
        <w:t xml:space="preserve">number of scam victims </w:t>
      </w:r>
      <w:r w:rsidR="00A31EEB" w:rsidRPr="00B263FD">
        <w:rPr>
          <w:sz w:val="16"/>
          <w:szCs w:val="16"/>
        </w:rPr>
        <w:t xml:space="preserve">would </w:t>
      </w:r>
      <w:r w:rsidR="00D20650" w:rsidRPr="00B263FD">
        <w:rPr>
          <w:sz w:val="16"/>
          <w:szCs w:val="16"/>
        </w:rPr>
        <w:t>rise under the status quo</w:t>
      </w:r>
      <w:r w:rsidR="008E445E" w:rsidRPr="00B263FD">
        <w:rPr>
          <w:sz w:val="16"/>
          <w:szCs w:val="16"/>
        </w:rPr>
        <w:t xml:space="preserve"> (as is likely given </w:t>
      </w:r>
      <w:r w:rsidR="00721E1B" w:rsidRPr="00B263FD">
        <w:rPr>
          <w:sz w:val="16"/>
          <w:szCs w:val="16"/>
        </w:rPr>
        <w:t xml:space="preserve">assessment outlined in the </w:t>
      </w:r>
      <w:r w:rsidR="007371F9" w:rsidRPr="00B263FD">
        <w:rPr>
          <w:sz w:val="16"/>
          <w:szCs w:val="16"/>
        </w:rPr>
        <w:t>S</w:t>
      </w:r>
      <w:r w:rsidR="00721E1B" w:rsidRPr="00B263FD">
        <w:rPr>
          <w:sz w:val="16"/>
          <w:szCs w:val="16"/>
        </w:rPr>
        <w:t>ection</w:t>
      </w:r>
      <w:r w:rsidR="007371F9" w:rsidRPr="00B263FD">
        <w:rPr>
          <w:sz w:val="16"/>
          <w:szCs w:val="16"/>
        </w:rPr>
        <w:t xml:space="preserve"> 1</w:t>
      </w:r>
      <w:r w:rsidR="00721E1B" w:rsidRPr="00B263FD">
        <w:rPr>
          <w:sz w:val="16"/>
          <w:szCs w:val="16"/>
        </w:rPr>
        <w:t>)</w:t>
      </w:r>
      <w:r w:rsidR="00D20650" w:rsidRPr="00B263FD">
        <w:rPr>
          <w:sz w:val="16"/>
          <w:szCs w:val="16"/>
        </w:rPr>
        <w:t xml:space="preserve"> this percentage represents a</w:t>
      </w:r>
      <w:r w:rsidR="00BA7FC4" w:rsidRPr="00B263FD">
        <w:rPr>
          <w:sz w:val="16"/>
          <w:szCs w:val="16"/>
        </w:rPr>
        <w:t xml:space="preserve">n </w:t>
      </w:r>
      <w:r w:rsidR="00E93CC0" w:rsidRPr="00B263FD">
        <w:rPr>
          <w:sz w:val="16"/>
          <w:szCs w:val="16"/>
        </w:rPr>
        <w:t>over</w:t>
      </w:r>
      <w:r w:rsidR="009C72D6" w:rsidRPr="00B263FD">
        <w:rPr>
          <w:sz w:val="16"/>
          <w:szCs w:val="16"/>
        </w:rPr>
        <w:t xml:space="preserve">estimate of the </w:t>
      </w:r>
      <w:r w:rsidR="00BD619D" w:rsidRPr="00B263FD">
        <w:rPr>
          <w:sz w:val="16"/>
          <w:szCs w:val="16"/>
        </w:rPr>
        <w:t xml:space="preserve">reduction in </w:t>
      </w:r>
      <w:r w:rsidR="00A373E4" w:rsidRPr="00B263FD">
        <w:rPr>
          <w:sz w:val="16"/>
          <w:szCs w:val="16"/>
        </w:rPr>
        <w:t>scam losses required to result in a net benefit.</w:t>
      </w:r>
      <w:r w:rsidR="00E93CC0" w:rsidRPr="00B263FD">
        <w:rPr>
          <w:sz w:val="16"/>
          <w:szCs w:val="16"/>
        </w:rPr>
        <w:t xml:space="preserve"> </w:t>
      </w:r>
    </w:p>
  </w:footnote>
  <w:footnote w:id="67">
    <w:p w14:paraId="7C8E08ED" w14:textId="77777777" w:rsidR="00705E61" w:rsidRPr="00B263FD" w:rsidRDefault="00705E61" w:rsidP="0076206B">
      <w:pPr>
        <w:pStyle w:val="FootnoteText"/>
        <w:ind w:left="0" w:firstLine="0"/>
        <w:rPr>
          <w:sz w:val="16"/>
          <w:szCs w:val="16"/>
        </w:rPr>
      </w:pPr>
      <w:r w:rsidRPr="00B263FD">
        <w:rPr>
          <w:rStyle w:val="FootnoteReference"/>
          <w:sz w:val="16"/>
          <w:szCs w:val="16"/>
          <w:vertAlign w:val="superscript"/>
        </w:rPr>
        <w:footnoteRef/>
      </w:r>
      <w:r w:rsidRPr="00B263FD">
        <w:rPr>
          <w:sz w:val="16"/>
          <w:szCs w:val="16"/>
          <w:vertAlign w:val="superscript"/>
        </w:rPr>
        <w:t xml:space="preserve"> </w:t>
      </w:r>
      <w:r w:rsidRPr="00B263FD">
        <w:rPr>
          <w:sz w:val="16"/>
          <w:szCs w:val="16"/>
        </w:rPr>
        <w:t xml:space="preserve">The Department of Treasury, </w:t>
      </w:r>
      <w:r w:rsidRPr="00B263FD">
        <w:rPr>
          <w:i/>
          <w:sz w:val="16"/>
          <w:szCs w:val="16"/>
        </w:rPr>
        <w:t xml:space="preserve">Scams – mandatory industry codes, </w:t>
      </w:r>
      <w:r w:rsidRPr="00B263FD">
        <w:rPr>
          <w:sz w:val="16"/>
          <w:szCs w:val="16"/>
        </w:rPr>
        <w:t>30 November 2023 – 29 January 2024</w:t>
      </w:r>
    </w:p>
  </w:footnote>
  <w:footnote w:id="68">
    <w:p w14:paraId="00140551" w14:textId="307304C5" w:rsidR="00186AEB" w:rsidRDefault="00186AEB">
      <w:pPr>
        <w:pStyle w:val="FootnoteText"/>
      </w:pPr>
      <w:r>
        <w:rPr>
          <w:rStyle w:val="FootnoteReference"/>
        </w:rPr>
        <w:footnoteRef/>
      </w:r>
      <w:r>
        <w:t xml:space="preserve"> Treasury, Scams Prevention Framework – exposure draft legislation, Summary of reforms document, page </w:t>
      </w:r>
      <w:r w:rsidR="00403BBB">
        <w:t>12.</w:t>
      </w:r>
    </w:p>
  </w:footnote>
  <w:footnote w:id="69">
    <w:p w14:paraId="757DFE8E" w14:textId="71482004" w:rsidR="005A326C" w:rsidRPr="00B263FD" w:rsidRDefault="005A326C" w:rsidP="0076206B">
      <w:pPr>
        <w:pStyle w:val="FootnoteText"/>
        <w:ind w:left="0" w:firstLine="0"/>
        <w:rPr>
          <w:sz w:val="16"/>
          <w:szCs w:val="16"/>
        </w:rPr>
      </w:pPr>
      <w:r w:rsidRPr="00E15D9E">
        <w:rPr>
          <w:rStyle w:val="FootnoteReference"/>
          <w:sz w:val="16"/>
          <w:szCs w:val="16"/>
        </w:rPr>
        <w:footnoteRef/>
      </w:r>
      <w:r w:rsidR="006F293B" w:rsidRPr="00B263FD">
        <w:rPr>
          <w:sz w:val="16"/>
          <w:szCs w:val="16"/>
          <w:vertAlign w:val="superscript"/>
        </w:rPr>
        <w:t xml:space="preserve"> </w:t>
      </w:r>
      <w:r w:rsidR="001F54D6" w:rsidRPr="00B263FD">
        <w:rPr>
          <w:sz w:val="16"/>
          <w:szCs w:val="16"/>
        </w:rPr>
        <w:t xml:space="preserve">It was initially proposed for digital communication platforms to cover </w:t>
      </w:r>
      <w:r w:rsidR="006F293B" w:rsidRPr="00B263FD">
        <w:rPr>
          <w:sz w:val="16"/>
          <w:szCs w:val="16"/>
        </w:rPr>
        <w:t xml:space="preserve">content aggregation, connective media and media sharing services. </w:t>
      </w:r>
    </w:p>
  </w:footnote>
  <w:footnote w:id="70">
    <w:p w14:paraId="0A6BEA31" w14:textId="17000973" w:rsidR="00B27B43" w:rsidRPr="00B263FD" w:rsidRDefault="00B27B43"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w:t>
      </w:r>
      <w:r w:rsidR="00144ADF">
        <w:rPr>
          <w:sz w:val="16"/>
          <w:szCs w:val="16"/>
        </w:rPr>
        <w:t>ASIC</w:t>
      </w:r>
      <w:r w:rsidRPr="00B263FD">
        <w:rPr>
          <w:sz w:val="16"/>
          <w:szCs w:val="16"/>
        </w:rPr>
        <w:t xml:space="preserve">, </w:t>
      </w:r>
      <w:r w:rsidRPr="00B263FD">
        <w:rPr>
          <w:i/>
          <w:sz w:val="16"/>
          <w:szCs w:val="16"/>
        </w:rPr>
        <w:t xml:space="preserve">Scam prevention, detection and response by the four major banks, Report 761, </w:t>
      </w:r>
      <w:r w:rsidRPr="00B263FD">
        <w:rPr>
          <w:sz w:val="16"/>
          <w:szCs w:val="16"/>
        </w:rPr>
        <w:t xml:space="preserve">April 2023;  </w:t>
      </w:r>
      <w:r w:rsidR="004B1110" w:rsidRPr="00B263FD">
        <w:rPr>
          <w:i/>
          <w:sz w:val="16"/>
          <w:szCs w:val="16"/>
        </w:rPr>
        <w:t>Anti-scam practices of banks outside the four major banks, Report 790</w:t>
      </w:r>
      <w:r w:rsidR="004B1110" w:rsidRPr="00B263FD">
        <w:rPr>
          <w:sz w:val="16"/>
          <w:szCs w:val="16"/>
        </w:rPr>
        <w:t xml:space="preserve">, August 2024. </w:t>
      </w:r>
    </w:p>
  </w:footnote>
  <w:footnote w:id="71">
    <w:p w14:paraId="6D9F8E43" w14:textId="77774316" w:rsidR="00124848" w:rsidRPr="00B263FD" w:rsidRDefault="00124848"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w:t>
      </w:r>
      <w:r w:rsidR="00144ADF">
        <w:rPr>
          <w:sz w:val="16"/>
          <w:szCs w:val="16"/>
        </w:rPr>
        <w:t>ABA</w:t>
      </w:r>
      <w:r w:rsidRPr="00B263FD">
        <w:rPr>
          <w:sz w:val="16"/>
          <w:szCs w:val="16"/>
        </w:rPr>
        <w:t xml:space="preserve">, </w:t>
      </w:r>
      <w:r w:rsidRPr="00B263FD">
        <w:rPr>
          <w:i/>
          <w:sz w:val="16"/>
          <w:szCs w:val="16"/>
        </w:rPr>
        <w:t>Banks unite to declare war on scammers</w:t>
      </w:r>
      <w:r w:rsidRPr="00B263FD">
        <w:rPr>
          <w:sz w:val="16"/>
          <w:szCs w:val="16"/>
        </w:rPr>
        <w:t>, 24 November</w:t>
      </w:r>
      <w:r w:rsidRPr="00B263FD">
        <w:rPr>
          <w:i/>
          <w:sz w:val="16"/>
          <w:szCs w:val="16"/>
        </w:rPr>
        <w:t xml:space="preserve"> </w:t>
      </w:r>
      <w:r w:rsidRPr="00B263FD">
        <w:rPr>
          <w:sz w:val="16"/>
          <w:szCs w:val="16"/>
        </w:rPr>
        <w:t xml:space="preserve">2023. </w:t>
      </w:r>
    </w:p>
  </w:footnote>
  <w:footnote w:id="72">
    <w:p w14:paraId="0C1984DA" w14:textId="7ECE7B5E" w:rsidR="00C16670" w:rsidRPr="00B263FD" w:rsidRDefault="00C16670" w:rsidP="0076206B">
      <w:pPr>
        <w:pStyle w:val="FootnoteText"/>
        <w:ind w:left="0" w:firstLine="0"/>
        <w:rPr>
          <w:sz w:val="16"/>
          <w:szCs w:val="16"/>
        </w:rPr>
      </w:pPr>
      <w:r w:rsidRPr="00BE17D1">
        <w:rPr>
          <w:rStyle w:val="FootnoteReference"/>
          <w:sz w:val="16"/>
          <w:szCs w:val="16"/>
        </w:rPr>
        <w:footnoteRef/>
      </w:r>
      <w:r w:rsidRPr="00B263FD">
        <w:rPr>
          <w:sz w:val="16"/>
          <w:szCs w:val="16"/>
          <w:vertAlign w:val="superscript"/>
        </w:rPr>
        <w:t xml:space="preserve"> </w:t>
      </w:r>
      <w:r w:rsidR="00D46379" w:rsidRPr="00B263FD">
        <w:rPr>
          <w:sz w:val="16"/>
          <w:szCs w:val="16"/>
        </w:rPr>
        <w:t>ASIC RG 271: https://asic.gov.au/regulatory-resources/find-a-document/regulatory-guides/rg-271-internal-dispute-resolution/</w:t>
      </w:r>
    </w:p>
  </w:footnote>
  <w:footnote w:id="73">
    <w:p w14:paraId="33E949A8" w14:textId="0B5F2AA4" w:rsidR="00C00DC2" w:rsidRPr="00BE17D1" w:rsidRDefault="00C00DC2"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w:t>
      </w:r>
      <w:hyperlink r:id="rId3" w:history="1">
        <w:r w:rsidRPr="00B263FD">
          <w:rPr>
            <w:rStyle w:val="Hyperlink"/>
            <w:sz w:val="16"/>
            <w:szCs w:val="16"/>
          </w:rPr>
          <w:t>Register of telco in...~https://www.acma.gov.au/register-telco-industry-codes-and-standards</w:t>
        </w:r>
      </w:hyperlink>
    </w:p>
  </w:footnote>
  <w:footnote w:id="74">
    <w:p w14:paraId="325751F7" w14:textId="77777777" w:rsidR="00311776" w:rsidRPr="00B263FD" w:rsidRDefault="00311776" w:rsidP="0076206B">
      <w:pPr>
        <w:pStyle w:val="FootnoteText"/>
        <w:ind w:left="0" w:firstLine="0"/>
        <w:rPr>
          <w:sz w:val="16"/>
          <w:szCs w:val="16"/>
        </w:rPr>
      </w:pPr>
      <w:r w:rsidRPr="00BE17D1">
        <w:rPr>
          <w:rStyle w:val="FootnoteReference"/>
          <w:sz w:val="16"/>
          <w:szCs w:val="16"/>
        </w:rPr>
        <w:footnoteRef/>
      </w:r>
      <w:r w:rsidRPr="00B263FD">
        <w:rPr>
          <w:sz w:val="16"/>
          <w:szCs w:val="16"/>
          <w:vertAlign w:val="superscript"/>
        </w:rPr>
        <w:t xml:space="preserve"> </w:t>
      </w:r>
      <w:r w:rsidRPr="00B263FD">
        <w:rPr>
          <w:sz w:val="16"/>
          <w:szCs w:val="16"/>
        </w:rPr>
        <w:t xml:space="preserve">ACMA, </w:t>
      </w:r>
      <w:r w:rsidRPr="00B263FD">
        <w:rPr>
          <w:i/>
          <w:sz w:val="16"/>
          <w:szCs w:val="16"/>
        </w:rPr>
        <w:t xml:space="preserve">Action on scams, spam and telemarketing: January to March 2023, </w:t>
      </w:r>
      <w:r w:rsidRPr="00B263FD">
        <w:rPr>
          <w:sz w:val="16"/>
          <w:szCs w:val="16"/>
        </w:rPr>
        <w:t>15 May 2023.</w:t>
      </w:r>
    </w:p>
  </w:footnote>
  <w:footnote w:id="75">
    <w:p w14:paraId="67CC3CA6" w14:textId="77777777" w:rsidR="00045869" w:rsidRPr="00B82090" w:rsidRDefault="00045869" w:rsidP="00045869">
      <w:pPr>
        <w:pStyle w:val="FootnoteText"/>
        <w:ind w:left="0" w:firstLine="0"/>
        <w:rPr>
          <w:sz w:val="16"/>
          <w:szCs w:val="16"/>
        </w:rPr>
      </w:pPr>
      <w:r w:rsidRPr="00BE17D1">
        <w:rPr>
          <w:rStyle w:val="FootnoteReference"/>
          <w:sz w:val="16"/>
          <w:szCs w:val="16"/>
        </w:rPr>
        <w:footnoteRef/>
      </w:r>
      <w:r w:rsidRPr="00B82090">
        <w:rPr>
          <w:sz w:val="16"/>
          <w:szCs w:val="16"/>
        </w:rPr>
        <w:t xml:space="preserve"> TIO’s Submission to the Department of Treasury, 1 February 2024.  </w:t>
      </w:r>
    </w:p>
  </w:footnote>
  <w:footnote w:id="76">
    <w:p w14:paraId="0BAFE4CD" w14:textId="77777777" w:rsidR="00E363F5" w:rsidRPr="00B263FD" w:rsidRDefault="00E363F5"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Australian Competition and Consumer Commission, Digital Platform Services Inquiry, </w:t>
      </w:r>
      <w:r w:rsidRPr="00B263FD">
        <w:rPr>
          <w:i/>
          <w:sz w:val="16"/>
          <w:szCs w:val="16"/>
        </w:rPr>
        <w:t xml:space="preserve">Interim report No. 5 – Regulatory reform, </w:t>
      </w:r>
      <w:r w:rsidRPr="00B263FD">
        <w:rPr>
          <w:sz w:val="16"/>
          <w:szCs w:val="16"/>
        </w:rPr>
        <w:t>September 2022</w:t>
      </w:r>
    </w:p>
  </w:footnote>
  <w:footnote w:id="77">
    <w:p w14:paraId="115832AB" w14:textId="77777777" w:rsidR="00E363F5" w:rsidRPr="00B263FD" w:rsidRDefault="00E363F5" w:rsidP="0076206B">
      <w:pPr>
        <w:pStyle w:val="FootnoteText"/>
        <w:ind w:left="0" w:firstLine="0"/>
        <w:rPr>
          <w:sz w:val="16"/>
          <w:szCs w:val="16"/>
          <w:vertAlign w:val="superscript"/>
        </w:rPr>
      </w:pPr>
      <w:r w:rsidRPr="00BE17D1">
        <w:rPr>
          <w:rStyle w:val="FootnoteReference"/>
          <w:sz w:val="16"/>
          <w:szCs w:val="16"/>
        </w:rPr>
        <w:footnoteRef/>
      </w:r>
      <w:r w:rsidRPr="00B263FD">
        <w:rPr>
          <w:sz w:val="16"/>
          <w:szCs w:val="16"/>
          <w:vertAlign w:val="superscript"/>
        </w:rPr>
        <w:t xml:space="preserve"> </w:t>
      </w:r>
      <w:r w:rsidRPr="00B263FD">
        <w:rPr>
          <w:sz w:val="16"/>
          <w:szCs w:val="16"/>
        </w:rPr>
        <w:t xml:space="preserve">The Hon Stephen Jones MP, Assistant Treasurer and Minister for Financial Services, </w:t>
      </w:r>
      <w:r w:rsidRPr="00B263FD">
        <w:rPr>
          <w:i/>
          <w:sz w:val="16"/>
          <w:szCs w:val="16"/>
        </w:rPr>
        <w:t xml:space="preserve">Government’s response to the ACCC’s major competition and consumer recommendations for digital platforms, </w:t>
      </w:r>
      <w:r w:rsidRPr="00B263FD">
        <w:rPr>
          <w:sz w:val="16"/>
          <w:szCs w:val="16"/>
        </w:rPr>
        <w:t>8 December 2023</w:t>
      </w:r>
    </w:p>
  </w:footnote>
  <w:footnote w:id="78">
    <w:p w14:paraId="683BF913" w14:textId="77777777" w:rsidR="00FA60F8" w:rsidRPr="00BE17D1" w:rsidRDefault="00FA60F8" w:rsidP="0076206B">
      <w:pPr>
        <w:pStyle w:val="FootnoteText"/>
        <w:ind w:left="0" w:firstLine="0"/>
        <w:rPr>
          <w:sz w:val="16"/>
          <w:szCs w:val="16"/>
        </w:rPr>
      </w:pPr>
      <w:r w:rsidRPr="00BE17D1">
        <w:rPr>
          <w:rStyle w:val="FootnoteReference"/>
          <w:sz w:val="16"/>
          <w:szCs w:val="16"/>
        </w:rPr>
        <w:footnoteRef/>
      </w:r>
      <w:r w:rsidRPr="00B263FD">
        <w:rPr>
          <w:sz w:val="16"/>
          <w:szCs w:val="16"/>
          <w:vertAlign w:val="superscript"/>
        </w:rPr>
        <w:t xml:space="preserve"> </w:t>
      </w:r>
      <w:r w:rsidRPr="00B263FD">
        <w:rPr>
          <w:sz w:val="16"/>
          <w:szCs w:val="16"/>
        </w:rPr>
        <w:t xml:space="preserve">Treasury, </w:t>
      </w:r>
      <w:r w:rsidRPr="00B263FD">
        <w:rPr>
          <w:i/>
          <w:sz w:val="16"/>
          <w:szCs w:val="16"/>
        </w:rPr>
        <w:t xml:space="preserve">Regulating in the digital age: Government </w:t>
      </w:r>
      <w:r w:rsidRPr="00BE17D1">
        <w:rPr>
          <w:i/>
          <w:sz w:val="16"/>
          <w:szCs w:val="16"/>
        </w:rPr>
        <w:t xml:space="preserve">response and implementation roadmap for the Digital Platforms Inquiry, </w:t>
      </w:r>
      <w:r w:rsidRPr="00BE17D1">
        <w:rPr>
          <w:sz w:val="16"/>
          <w:szCs w:val="16"/>
        </w:rPr>
        <w:t xml:space="preserve">12 December 2019. </w:t>
      </w:r>
    </w:p>
  </w:footnote>
  <w:footnote w:id="79">
    <w:p w14:paraId="7127E15E" w14:textId="2A16AD88" w:rsidR="00C338C6" w:rsidRPr="00BE17D1" w:rsidRDefault="00C338C6" w:rsidP="0076206B">
      <w:pPr>
        <w:pStyle w:val="FootnoteText"/>
        <w:ind w:left="0" w:firstLine="0"/>
        <w:rPr>
          <w:sz w:val="16"/>
          <w:szCs w:val="16"/>
        </w:rPr>
      </w:pPr>
      <w:r w:rsidRPr="00BE17D1">
        <w:rPr>
          <w:rStyle w:val="FootnoteReference"/>
          <w:sz w:val="16"/>
          <w:szCs w:val="16"/>
        </w:rPr>
        <w:footnoteRef/>
      </w:r>
      <w:r w:rsidRPr="00BE17D1">
        <w:rPr>
          <w:sz w:val="16"/>
          <w:szCs w:val="16"/>
          <w:vertAlign w:val="superscript"/>
        </w:rPr>
        <w:t xml:space="preserve"> </w:t>
      </w:r>
      <w:r w:rsidR="00AB5EBB" w:rsidRPr="00BE17D1">
        <w:rPr>
          <w:sz w:val="16"/>
          <w:szCs w:val="16"/>
        </w:rPr>
        <w:t xml:space="preserve">Signatories include </w:t>
      </w:r>
      <w:r w:rsidR="00727425">
        <w:rPr>
          <w:sz w:val="16"/>
          <w:szCs w:val="16"/>
        </w:rPr>
        <w:t xml:space="preserve">Apple, </w:t>
      </w:r>
      <w:r w:rsidR="00AB5EBB" w:rsidRPr="00BE17D1">
        <w:rPr>
          <w:sz w:val="16"/>
          <w:szCs w:val="16"/>
        </w:rPr>
        <w:t xml:space="preserve">Discord, Google, Meta, Snap, TikTok, Twitch, X and Yahoo. </w:t>
      </w:r>
    </w:p>
  </w:footnote>
  <w:footnote w:id="80">
    <w:p w14:paraId="42E002BF" w14:textId="698B03A4" w:rsidR="00995842" w:rsidRPr="00BE17D1" w:rsidRDefault="00995842"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w:t>
      </w:r>
      <w:r w:rsidR="006679B5" w:rsidRPr="00B263FD">
        <w:rPr>
          <w:sz w:val="16"/>
          <w:szCs w:val="16"/>
        </w:rPr>
        <w:t>OIA - regulatory burden framework, page 13</w:t>
      </w:r>
    </w:p>
  </w:footnote>
  <w:footnote w:id="81">
    <w:p w14:paraId="6E6D3E0B" w14:textId="6CF82DD7" w:rsidR="00CD38C7" w:rsidRPr="00BE17D1" w:rsidRDefault="00CD38C7"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ABS Employee Earnings and Hours, Australia, </w:t>
      </w:r>
      <w:r w:rsidR="00C13D90" w:rsidRPr="00B263FD">
        <w:rPr>
          <w:sz w:val="16"/>
          <w:szCs w:val="16"/>
        </w:rPr>
        <w:t xml:space="preserve">Data cube 13, </w:t>
      </w:r>
      <w:r w:rsidR="007D11D7" w:rsidRPr="00B263FD">
        <w:rPr>
          <w:sz w:val="16"/>
          <w:szCs w:val="16"/>
        </w:rPr>
        <w:t xml:space="preserve">May </w:t>
      </w:r>
      <w:r w:rsidR="00DE0BD7" w:rsidRPr="00B263FD">
        <w:rPr>
          <w:sz w:val="16"/>
          <w:szCs w:val="16"/>
        </w:rPr>
        <w:t>2023</w:t>
      </w:r>
      <w:r w:rsidR="00206CA6" w:rsidRPr="00B263FD">
        <w:rPr>
          <w:sz w:val="16"/>
          <w:szCs w:val="16"/>
        </w:rPr>
        <w:t xml:space="preserve">. </w:t>
      </w:r>
      <w:r w:rsidR="00742A88" w:rsidRPr="00B263FD">
        <w:rPr>
          <w:sz w:val="16"/>
          <w:szCs w:val="16"/>
        </w:rPr>
        <w:t>Full-time non-managerial employees paid at the adult rate.</w:t>
      </w:r>
    </w:p>
  </w:footnote>
  <w:footnote w:id="82">
    <w:p w14:paraId="79C48F3B" w14:textId="77777777" w:rsidR="00EA3154" w:rsidRPr="00B263FD" w:rsidRDefault="00EA3154" w:rsidP="0076206B">
      <w:pPr>
        <w:pStyle w:val="FootnoteText"/>
        <w:ind w:left="0" w:firstLine="0"/>
        <w:rPr>
          <w:sz w:val="16"/>
          <w:szCs w:val="16"/>
        </w:rPr>
      </w:pPr>
      <w:r w:rsidRPr="007A691E">
        <w:rPr>
          <w:rStyle w:val="FootnoteReference"/>
          <w:sz w:val="16"/>
          <w:szCs w:val="16"/>
        </w:rPr>
        <w:footnoteRef/>
      </w:r>
      <w:r w:rsidRPr="001D188A">
        <w:rPr>
          <w:sz w:val="16"/>
          <w:szCs w:val="16"/>
        </w:rPr>
        <w:t xml:space="preserve"> </w:t>
      </w:r>
      <w:r w:rsidRPr="00B263FD">
        <w:rPr>
          <w:sz w:val="16"/>
          <w:szCs w:val="16"/>
        </w:rPr>
        <w:t xml:space="preserve">Australian Banking Association, </w:t>
      </w:r>
      <w:r w:rsidRPr="00B263FD">
        <w:rPr>
          <w:i/>
          <w:sz w:val="16"/>
          <w:szCs w:val="16"/>
        </w:rPr>
        <w:t>Banks unite to declare war on scammers</w:t>
      </w:r>
      <w:r w:rsidRPr="00B263FD">
        <w:rPr>
          <w:sz w:val="16"/>
          <w:szCs w:val="16"/>
        </w:rPr>
        <w:t>, 24 November</w:t>
      </w:r>
      <w:r w:rsidRPr="00B263FD">
        <w:rPr>
          <w:i/>
          <w:sz w:val="16"/>
          <w:szCs w:val="16"/>
        </w:rPr>
        <w:t xml:space="preserve"> </w:t>
      </w:r>
      <w:r w:rsidRPr="00B263FD">
        <w:rPr>
          <w:sz w:val="16"/>
          <w:szCs w:val="16"/>
        </w:rPr>
        <w:t xml:space="preserve">2023. </w:t>
      </w:r>
    </w:p>
  </w:footnote>
  <w:footnote w:id="83">
    <w:p w14:paraId="1920865A" w14:textId="28ED5E19" w:rsidR="00533E7E" w:rsidRPr="00BE17D1" w:rsidRDefault="00533E7E" w:rsidP="0076206B">
      <w:pPr>
        <w:pStyle w:val="FootnoteText"/>
        <w:ind w:left="0" w:firstLine="0"/>
        <w:rPr>
          <w:sz w:val="16"/>
          <w:szCs w:val="16"/>
        </w:rPr>
      </w:pPr>
      <w:r w:rsidRPr="00BE17D1">
        <w:rPr>
          <w:rStyle w:val="FootnoteReference"/>
          <w:sz w:val="16"/>
          <w:szCs w:val="16"/>
        </w:rPr>
        <w:footnoteRef/>
      </w:r>
      <w:r w:rsidRPr="001D188A">
        <w:rPr>
          <w:sz w:val="16"/>
          <w:szCs w:val="16"/>
        </w:rPr>
        <w:t xml:space="preserve"> </w:t>
      </w:r>
      <w:r w:rsidR="0056777A" w:rsidRPr="00B263FD">
        <w:rPr>
          <w:sz w:val="16"/>
          <w:szCs w:val="16"/>
        </w:rPr>
        <w:t xml:space="preserve">Treasury </w:t>
      </w:r>
      <w:r w:rsidR="004D793D" w:rsidRPr="00B263FD">
        <w:rPr>
          <w:sz w:val="16"/>
          <w:szCs w:val="16"/>
        </w:rPr>
        <w:t>(</w:t>
      </w:r>
      <w:r w:rsidR="0056777A" w:rsidRPr="00B263FD">
        <w:rPr>
          <w:sz w:val="16"/>
          <w:szCs w:val="16"/>
        </w:rPr>
        <w:t>2022</w:t>
      </w:r>
      <w:r w:rsidR="004D793D" w:rsidRPr="00B263FD">
        <w:rPr>
          <w:sz w:val="16"/>
          <w:szCs w:val="16"/>
        </w:rPr>
        <w:t>)</w:t>
      </w:r>
      <w:r w:rsidR="0056777A" w:rsidRPr="00B263FD">
        <w:rPr>
          <w:sz w:val="16"/>
          <w:szCs w:val="16"/>
        </w:rPr>
        <w:t xml:space="preserve"> Consumer Data Right – Telecommunications</w:t>
      </w:r>
      <w:r w:rsidR="00554FD9" w:rsidRPr="00B263FD">
        <w:rPr>
          <w:sz w:val="16"/>
          <w:szCs w:val="16"/>
        </w:rPr>
        <w:t xml:space="preserve"> Sectoral Assessment</w:t>
      </w:r>
      <w:r w:rsidR="0056777A" w:rsidRPr="00B263FD">
        <w:rPr>
          <w:sz w:val="16"/>
          <w:szCs w:val="16"/>
        </w:rPr>
        <w:t xml:space="preserve">, available on the OIA website: </w:t>
      </w:r>
      <w:hyperlink r:id="rId4" w:history="1">
        <w:r w:rsidR="0056777A" w:rsidRPr="00B263FD">
          <w:rPr>
            <w:rStyle w:val="Hyperlink"/>
            <w:sz w:val="16"/>
            <w:szCs w:val="16"/>
          </w:rPr>
          <w:t>https://oia.pmc.gov.au/published-impact-analyses-and-reports/consumer-data-right-telecommunications-sectoral-assessment</w:t>
        </w:r>
      </w:hyperlink>
    </w:p>
  </w:footnote>
  <w:footnote w:id="84">
    <w:p w14:paraId="68467C91" w14:textId="58C8CDB3" w:rsidR="00BF2896" w:rsidRPr="00BE17D1" w:rsidRDefault="00BF2896" w:rsidP="0076206B">
      <w:pPr>
        <w:pStyle w:val="FootnoteText"/>
        <w:ind w:left="0" w:firstLine="0"/>
        <w:rPr>
          <w:sz w:val="16"/>
          <w:szCs w:val="16"/>
        </w:rPr>
      </w:pPr>
      <w:r w:rsidRPr="00BE17D1">
        <w:rPr>
          <w:rStyle w:val="FootnoteReference"/>
          <w:sz w:val="16"/>
          <w:szCs w:val="16"/>
        </w:rPr>
        <w:footnoteRef/>
      </w:r>
      <w:r w:rsidRPr="001D188A">
        <w:rPr>
          <w:sz w:val="16"/>
          <w:szCs w:val="16"/>
        </w:rPr>
        <w:t xml:space="preserve"> </w:t>
      </w:r>
      <w:r w:rsidRPr="00B263FD">
        <w:rPr>
          <w:sz w:val="16"/>
          <w:szCs w:val="16"/>
        </w:rPr>
        <w:t xml:space="preserve">Treasury (2022) CDR – Non-bank lending sectoral assessment, available on the OIA website: </w:t>
      </w:r>
      <w:hyperlink r:id="rId5" w:history="1">
        <w:r w:rsidR="00C01D56" w:rsidRPr="00B263FD">
          <w:rPr>
            <w:rStyle w:val="Hyperlink"/>
            <w:sz w:val="16"/>
            <w:szCs w:val="16"/>
          </w:rPr>
          <w:t>https://oia.pmc.gov.au/published-impact-analyses-and-reports/cdr-non-bank-lending-sectoral-assessment</w:t>
        </w:r>
      </w:hyperlink>
    </w:p>
  </w:footnote>
  <w:footnote w:id="85">
    <w:p w14:paraId="7957D055" w14:textId="4F060D2D" w:rsidR="00B707E8" w:rsidRPr="00B263FD" w:rsidRDefault="00B707E8"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00E7407B" w:rsidRPr="00B263FD">
        <w:rPr>
          <w:sz w:val="16"/>
          <w:szCs w:val="16"/>
        </w:rPr>
        <w:t>Using C</w:t>
      </w:r>
      <w:r w:rsidR="00A73E25" w:rsidRPr="00B263FD">
        <w:rPr>
          <w:sz w:val="16"/>
          <w:szCs w:val="16"/>
        </w:rPr>
        <w:t xml:space="preserve">onsumer Price Index </w:t>
      </w:r>
      <w:r w:rsidR="009C4480" w:rsidRPr="00B263FD">
        <w:rPr>
          <w:sz w:val="16"/>
          <w:szCs w:val="16"/>
        </w:rPr>
        <w:t>values for Australia</w:t>
      </w:r>
      <w:r w:rsidR="00A7390A" w:rsidRPr="00B263FD">
        <w:rPr>
          <w:sz w:val="16"/>
          <w:szCs w:val="16"/>
        </w:rPr>
        <w:t xml:space="preserve"> from the Australian Bureau of </w:t>
      </w:r>
      <w:r w:rsidR="00AD0FE5" w:rsidRPr="00B263FD">
        <w:rPr>
          <w:sz w:val="16"/>
          <w:szCs w:val="16"/>
        </w:rPr>
        <w:t xml:space="preserve">Statistics, </w:t>
      </w:r>
      <w:r w:rsidR="00F2478B" w:rsidRPr="00B263FD">
        <w:rPr>
          <w:sz w:val="16"/>
          <w:szCs w:val="16"/>
        </w:rPr>
        <w:t xml:space="preserve">from September 2021 to June 2024 for telecommunications </w:t>
      </w:r>
      <w:r w:rsidR="006916D6" w:rsidRPr="00B263FD">
        <w:rPr>
          <w:sz w:val="16"/>
          <w:szCs w:val="16"/>
        </w:rPr>
        <w:t xml:space="preserve">estimates </w:t>
      </w:r>
      <w:r w:rsidR="00F2478B" w:rsidRPr="00B263FD">
        <w:rPr>
          <w:sz w:val="16"/>
          <w:szCs w:val="16"/>
        </w:rPr>
        <w:t xml:space="preserve">and from </w:t>
      </w:r>
      <w:r w:rsidR="006916D6" w:rsidRPr="00B263FD">
        <w:rPr>
          <w:sz w:val="16"/>
          <w:szCs w:val="16"/>
        </w:rPr>
        <w:t>June 2022 to June 2024 for non-bank lender estimates.</w:t>
      </w:r>
    </w:p>
  </w:footnote>
  <w:footnote w:id="86">
    <w:p w14:paraId="0FC85BA6" w14:textId="4B59B50F" w:rsidR="000C6B8A" w:rsidRPr="00BE17D1" w:rsidRDefault="000C6B8A" w:rsidP="0076206B">
      <w:pPr>
        <w:pStyle w:val="FootnoteText"/>
        <w:ind w:left="0" w:firstLine="0"/>
        <w:rPr>
          <w:sz w:val="16"/>
          <w:szCs w:val="16"/>
        </w:rPr>
      </w:pPr>
      <w:r w:rsidRPr="00BE17D1">
        <w:rPr>
          <w:rStyle w:val="FootnoteReference"/>
          <w:sz w:val="16"/>
          <w:szCs w:val="16"/>
        </w:rPr>
        <w:footnoteRef/>
      </w:r>
      <w:r w:rsidRPr="001D188A">
        <w:rPr>
          <w:sz w:val="16"/>
          <w:szCs w:val="16"/>
        </w:rPr>
        <w:t xml:space="preserve"> </w:t>
      </w:r>
      <w:r w:rsidRPr="00B263FD">
        <w:rPr>
          <w:sz w:val="16"/>
          <w:szCs w:val="16"/>
        </w:rPr>
        <w:t>Rounded to the nearest $1,000.</w:t>
      </w:r>
    </w:p>
  </w:footnote>
  <w:footnote w:id="87">
    <w:p w14:paraId="202BC983" w14:textId="37A54DAF" w:rsidR="00E02ADF" w:rsidRPr="00B263FD" w:rsidRDefault="00E02ADF" w:rsidP="0076206B">
      <w:pPr>
        <w:pStyle w:val="FootnoteText"/>
        <w:ind w:left="0" w:firstLine="0"/>
        <w:rPr>
          <w:sz w:val="16"/>
          <w:szCs w:val="16"/>
        </w:rPr>
      </w:pPr>
      <w:r w:rsidRPr="00BE17D1">
        <w:rPr>
          <w:rStyle w:val="FootnoteReference"/>
          <w:sz w:val="16"/>
          <w:szCs w:val="16"/>
        </w:rPr>
        <w:footnoteRef/>
      </w:r>
      <w:r w:rsidRPr="001D188A">
        <w:rPr>
          <w:sz w:val="16"/>
          <w:szCs w:val="16"/>
        </w:rPr>
        <w:t xml:space="preserve"> </w:t>
      </w:r>
      <w:r w:rsidRPr="00B263FD">
        <w:rPr>
          <w:sz w:val="16"/>
          <w:szCs w:val="16"/>
        </w:rPr>
        <w:t xml:space="preserve">AFCA </w:t>
      </w:r>
      <w:r w:rsidR="00D35550" w:rsidRPr="00B263FD">
        <w:rPr>
          <w:sz w:val="16"/>
          <w:szCs w:val="16"/>
        </w:rPr>
        <w:t>Complaint Fee Guide</w:t>
      </w:r>
      <w:r w:rsidR="008F4C51" w:rsidRPr="00B263FD">
        <w:rPr>
          <w:sz w:val="16"/>
          <w:szCs w:val="16"/>
        </w:rPr>
        <w:t>.</w:t>
      </w:r>
    </w:p>
  </w:footnote>
  <w:footnote w:id="88">
    <w:p w14:paraId="08F75E65" w14:textId="1C20F24C" w:rsidR="007220AC" w:rsidRPr="00B263FD" w:rsidRDefault="007220AC"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AFCA Annual Review 2022-23, Scam complaints, </w:t>
      </w:r>
      <w:hyperlink r:id="rId6" w:history="1">
        <w:r w:rsidRPr="00B263FD">
          <w:rPr>
            <w:rStyle w:val="Hyperlink"/>
            <w:sz w:val="16"/>
            <w:szCs w:val="16"/>
          </w:rPr>
          <w:t>https://www.afca.org.au/annual-review-scams</w:t>
        </w:r>
      </w:hyperlink>
    </w:p>
  </w:footnote>
  <w:footnote w:id="89">
    <w:p w14:paraId="468DF2FC" w14:textId="687F69BD" w:rsidR="001C25A8" w:rsidRPr="00BE17D1" w:rsidRDefault="001C25A8"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AFCA Fee Structure FY25</w:t>
      </w:r>
      <w:r w:rsidR="0047045A" w:rsidRPr="00B263FD">
        <w:rPr>
          <w:sz w:val="16"/>
          <w:szCs w:val="16"/>
        </w:rPr>
        <w:t>,</w:t>
      </w:r>
      <w:hyperlink r:id="rId7" w:history="1">
        <w:r w:rsidR="0047045A" w:rsidRPr="00B263FD">
          <w:rPr>
            <w:rStyle w:val="Hyperlink"/>
            <w:sz w:val="16"/>
            <w:szCs w:val="16"/>
          </w:rPr>
          <w:t xml:space="preserve"> https://www.afca.org.au/members/funding-model/fee-structure</w:t>
        </w:r>
      </w:hyperlink>
    </w:p>
  </w:footnote>
  <w:footnote w:id="90">
    <w:p w14:paraId="3D9D5FB4" w14:textId="34E056F9" w:rsidR="00010618" w:rsidRPr="00BE17D1" w:rsidRDefault="00010618"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00311D18" w:rsidRPr="00B263FD">
        <w:rPr>
          <w:sz w:val="16"/>
          <w:szCs w:val="16"/>
        </w:rPr>
        <w:t xml:space="preserve">APRA, Monthly Authorised Deposit Taking Institution Statistics, </w:t>
      </w:r>
      <w:r w:rsidR="006A3009" w:rsidRPr="00B263FD">
        <w:rPr>
          <w:sz w:val="16"/>
          <w:szCs w:val="16"/>
        </w:rPr>
        <w:t xml:space="preserve">Key Statistics, </w:t>
      </w:r>
      <w:r w:rsidR="001F2A1E" w:rsidRPr="00B263FD">
        <w:rPr>
          <w:sz w:val="16"/>
          <w:szCs w:val="16"/>
        </w:rPr>
        <w:t>July 2024</w:t>
      </w:r>
      <w:r w:rsidR="006F4479" w:rsidRPr="00B263FD">
        <w:rPr>
          <w:sz w:val="16"/>
          <w:szCs w:val="16"/>
        </w:rPr>
        <w:t>. Although some complaints may not be rel</w:t>
      </w:r>
      <w:r w:rsidR="006738D2" w:rsidRPr="00B263FD">
        <w:rPr>
          <w:sz w:val="16"/>
          <w:szCs w:val="16"/>
        </w:rPr>
        <w:t xml:space="preserve">ated to ADIs, </w:t>
      </w:r>
      <w:r w:rsidR="00E218E5" w:rsidRPr="00B263FD">
        <w:rPr>
          <w:sz w:val="16"/>
          <w:szCs w:val="16"/>
        </w:rPr>
        <w:t>the market share</w:t>
      </w:r>
      <w:r w:rsidR="00A862E6" w:rsidRPr="00B263FD">
        <w:rPr>
          <w:sz w:val="16"/>
          <w:szCs w:val="16"/>
        </w:rPr>
        <w:t xml:space="preserve"> of scam complaints</w:t>
      </w:r>
      <w:r w:rsidR="00440AC2" w:rsidRPr="00B263FD">
        <w:rPr>
          <w:sz w:val="16"/>
          <w:szCs w:val="16"/>
        </w:rPr>
        <w:t xml:space="preserve"> </w:t>
      </w:r>
      <w:r w:rsidR="00A862E6" w:rsidRPr="00B263FD">
        <w:rPr>
          <w:sz w:val="16"/>
          <w:szCs w:val="16"/>
        </w:rPr>
        <w:t xml:space="preserve">have been </w:t>
      </w:r>
      <w:r w:rsidR="00387C57" w:rsidRPr="00B263FD">
        <w:rPr>
          <w:sz w:val="16"/>
          <w:szCs w:val="16"/>
        </w:rPr>
        <w:t xml:space="preserve">calculated based on </w:t>
      </w:r>
      <w:r w:rsidR="00F16BC5" w:rsidRPr="00B263FD">
        <w:rPr>
          <w:sz w:val="16"/>
          <w:szCs w:val="16"/>
        </w:rPr>
        <w:t xml:space="preserve">the assumption </w:t>
      </w:r>
      <w:r w:rsidR="00573BE7" w:rsidRPr="00B263FD">
        <w:rPr>
          <w:sz w:val="16"/>
          <w:szCs w:val="16"/>
        </w:rPr>
        <w:t xml:space="preserve">all complaints </w:t>
      </w:r>
      <w:r w:rsidR="00995004" w:rsidRPr="00B263FD">
        <w:rPr>
          <w:sz w:val="16"/>
          <w:szCs w:val="16"/>
        </w:rPr>
        <w:t xml:space="preserve">are made to ADI members in the proportion equivalent to their market share of total residential deposits. This </w:t>
      </w:r>
      <w:r w:rsidR="005A6BBE" w:rsidRPr="00B263FD">
        <w:rPr>
          <w:sz w:val="16"/>
          <w:szCs w:val="16"/>
        </w:rPr>
        <w:t>benchmark may be conservatively high</w:t>
      </w:r>
      <w:r w:rsidR="00E40A70" w:rsidRPr="00B263FD">
        <w:rPr>
          <w:sz w:val="16"/>
          <w:szCs w:val="16"/>
        </w:rPr>
        <w:t xml:space="preserve">er than </w:t>
      </w:r>
      <w:r w:rsidR="00440C4F" w:rsidRPr="00B263FD">
        <w:rPr>
          <w:sz w:val="16"/>
          <w:szCs w:val="16"/>
        </w:rPr>
        <w:t>AFCA fees actually incurred.</w:t>
      </w:r>
    </w:p>
  </w:footnote>
  <w:footnote w:id="91">
    <w:p w14:paraId="51B1836E" w14:textId="77777777" w:rsidR="000C6B8A" w:rsidRPr="00BE17D1" w:rsidRDefault="000C6B8A"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Rounded to the nearest $1,000.</w:t>
      </w:r>
    </w:p>
  </w:footnote>
  <w:footnote w:id="92">
    <w:p w14:paraId="31121E90" w14:textId="5510EBA7" w:rsidR="001F09BD" w:rsidRPr="00BE17D1" w:rsidRDefault="001F09BD" w:rsidP="0076206B">
      <w:pPr>
        <w:pStyle w:val="FootnoteText"/>
        <w:ind w:left="0" w:firstLine="0"/>
        <w:rPr>
          <w:sz w:val="16"/>
          <w:szCs w:val="16"/>
        </w:rPr>
      </w:pPr>
      <w:r w:rsidRPr="00BE17D1">
        <w:rPr>
          <w:rStyle w:val="FootnoteReference"/>
          <w:sz w:val="16"/>
          <w:szCs w:val="16"/>
        </w:rPr>
        <w:footnoteRef/>
      </w:r>
      <w:r w:rsidRPr="00BE17D1">
        <w:rPr>
          <w:sz w:val="16"/>
          <w:szCs w:val="16"/>
          <w:vertAlign w:val="superscript"/>
        </w:rPr>
        <w:t xml:space="preserve"> </w:t>
      </w:r>
      <w:r w:rsidR="00180CD4" w:rsidRPr="00B263FD">
        <w:rPr>
          <w:sz w:val="16"/>
          <w:szCs w:val="16"/>
        </w:rPr>
        <w:t>Identified based on A</w:t>
      </w:r>
      <w:r w:rsidR="00316E27" w:rsidRPr="00B263FD">
        <w:rPr>
          <w:sz w:val="16"/>
          <w:szCs w:val="16"/>
        </w:rPr>
        <w:t xml:space="preserve">ustralian Banking Association </w:t>
      </w:r>
      <w:r w:rsidR="00180CD4" w:rsidRPr="00B263FD">
        <w:rPr>
          <w:sz w:val="16"/>
          <w:szCs w:val="16"/>
        </w:rPr>
        <w:t>website</w:t>
      </w:r>
      <w:r w:rsidR="00E5693B" w:rsidRPr="00B263FD">
        <w:rPr>
          <w:sz w:val="16"/>
          <w:szCs w:val="16"/>
        </w:rPr>
        <w:t xml:space="preserve"> list of 20 members, as at </w:t>
      </w:r>
      <w:r w:rsidR="00712DE6" w:rsidRPr="00B263FD">
        <w:rPr>
          <w:sz w:val="16"/>
          <w:szCs w:val="16"/>
        </w:rPr>
        <w:t xml:space="preserve">September 2024, </w:t>
      </w:r>
      <w:hyperlink r:id="rId8" w:history="1">
        <w:r w:rsidR="00712DE6" w:rsidRPr="00B263FD">
          <w:rPr>
            <w:rStyle w:val="Hyperlink"/>
            <w:sz w:val="16"/>
            <w:szCs w:val="16"/>
          </w:rPr>
          <w:t>https://www.ausbanking.org.au/about-us/aba-members/</w:t>
        </w:r>
      </w:hyperlink>
    </w:p>
  </w:footnote>
  <w:footnote w:id="93">
    <w:p w14:paraId="0F2A066C" w14:textId="1FD1D5F2" w:rsidR="00AE7DF0" w:rsidRPr="00BE17D1" w:rsidRDefault="00AE7DF0"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w:t>
      </w:r>
      <w:r w:rsidR="00067AEA" w:rsidRPr="00B263FD">
        <w:rPr>
          <w:sz w:val="16"/>
          <w:szCs w:val="16"/>
        </w:rPr>
        <w:t xml:space="preserve">According to the </w:t>
      </w:r>
      <w:r w:rsidR="0016303E" w:rsidRPr="00B263FD">
        <w:rPr>
          <w:sz w:val="16"/>
          <w:szCs w:val="16"/>
        </w:rPr>
        <w:t xml:space="preserve">2023 </w:t>
      </w:r>
      <w:r w:rsidR="00067AEA" w:rsidRPr="00B263FD">
        <w:rPr>
          <w:sz w:val="16"/>
          <w:szCs w:val="16"/>
        </w:rPr>
        <w:t>TIO Financial Report “</w:t>
      </w:r>
      <w:r w:rsidR="0068098A" w:rsidRPr="00B263FD">
        <w:rPr>
          <w:sz w:val="16"/>
          <w:szCs w:val="16"/>
        </w:rPr>
        <w:t>funding requirement is allocated to members based on the percentage of the number of complaints (referrals) the member had in the previous calendar year compared to the total complaints (referrals) received in that year.”</w:t>
      </w:r>
      <w:r w:rsidR="00431163" w:rsidRPr="00B263FD">
        <w:rPr>
          <w:sz w:val="16"/>
          <w:szCs w:val="16"/>
        </w:rPr>
        <w:t xml:space="preserve"> </w:t>
      </w:r>
      <w:r w:rsidR="00D45382" w:rsidRPr="00B263FD">
        <w:rPr>
          <w:sz w:val="16"/>
          <w:szCs w:val="16"/>
        </w:rPr>
        <w:t>However</w:t>
      </w:r>
      <w:r w:rsidR="001C5E0B" w:rsidRPr="00B263FD">
        <w:rPr>
          <w:sz w:val="16"/>
          <w:szCs w:val="16"/>
        </w:rPr>
        <w:t>,</w:t>
      </w:r>
      <w:r w:rsidR="00D45382" w:rsidRPr="00B263FD">
        <w:rPr>
          <w:sz w:val="16"/>
          <w:szCs w:val="16"/>
        </w:rPr>
        <w:t xml:space="preserve"> </w:t>
      </w:r>
      <w:r w:rsidR="00E97F67" w:rsidRPr="00B263FD">
        <w:rPr>
          <w:sz w:val="16"/>
          <w:szCs w:val="16"/>
        </w:rPr>
        <w:t xml:space="preserve">data on the number of complaints </w:t>
      </w:r>
      <w:r w:rsidR="00B10773" w:rsidRPr="00B263FD">
        <w:rPr>
          <w:sz w:val="16"/>
          <w:szCs w:val="16"/>
        </w:rPr>
        <w:t xml:space="preserve">by member is not available. </w:t>
      </w:r>
    </w:p>
  </w:footnote>
  <w:footnote w:id="94">
    <w:p w14:paraId="666B59FA" w14:textId="126D8AD2" w:rsidR="00A63273" w:rsidRPr="00BE17D1" w:rsidRDefault="00A63273"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Identified through </w:t>
      </w:r>
      <w:hyperlink r:id="rId9" w:history="1">
        <w:r w:rsidRPr="00B263FD">
          <w:rPr>
            <w:rStyle w:val="Hyperlink"/>
            <w:sz w:val="16"/>
            <w:szCs w:val="16"/>
          </w:rPr>
          <w:t>https://my.afca.org.au/ff-search/</w:t>
        </w:r>
      </w:hyperlink>
      <w:r w:rsidRPr="00B263FD">
        <w:rPr>
          <w:sz w:val="16"/>
          <w:szCs w:val="16"/>
        </w:rPr>
        <w:t>, September 2024</w:t>
      </w:r>
    </w:p>
  </w:footnote>
  <w:footnote w:id="95">
    <w:p w14:paraId="7910A069" w14:textId="6603D736" w:rsidR="00506DE2" w:rsidRPr="00BE17D1" w:rsidRDefault="00506DE2"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Not </w:t>
      </w:r>
      <w:r w:rsidR="006C1482" w:rsidRPr="00B263FD">
        <w:rPr>
          <w:sz w:val="16"/>
          <w:szCs w:val="16"/>
        </w:rPr>
        <w:t>a member of the</w:t>
      </w:r>
      <w:r w:rsidRPr="00B263FD">
        <w:rPr>
          <w:sz w:val="16"/>
          <w:szCs w:val="16"/>
        </w:rPr>
        <w:t xml:space="preserve"> </w:t>
      </w:r>
      <w:r w:rsidR="00901175" w:rsidRPr="00B263FD">
        <w:rPr>
          <w:sz w:val="16"/>
          <w:szCs w:val="16"/>
        </w:rPr>
        <w:t>ABA or COBA</w:t>
      </w:r>
      <w:r w:rsidRPr="00B263FD">
        <w:rPr>
          <w:sz w:val="16"/>
          <w:szCs w:val="16"/>
        </w:rPr>
        <w:t>.</w:t>
      </w:r>
    </w:p>
  </w:footnote>
  <w:footnote w:id="96">
    <w:p w14:paraId="0A3FD517" w14:textId="354A2FE2" w:rsidR="001F009D" w:rsidRPr="00B263FD" w:rsidRDefault="001F009D"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ACMA, </w:t>
      </w:r>
      <w:r w:rsidRPr="00B263FD">
        <w:rPr>
          <w:i/>
          <w:sz w:val="16"/>
          <w:szCs w:val="16"/>
        </w:rPr>
        <w:t xml:space="preserve">Register of licensed carriers </w:t>
      </w:r>
      <w:r w:rsidRPr="00B263FD">
        <w:rPr>
          <w:sz w:val="16"/>
          <w:szCs w:val="16"/>
        </w:rPr>
        <w:t>(</w:t>
      </w:r>
      <w:r w:rsidR="00AE08AE" w:rsidRPr="00B263FD">
        <w:rPr>
          <w:sz w:val="16"/>
          <w:szCs w:val="16"/>
        </w:rPr>
        <w:t>5 September</w:t>
      </w:r>
      <w:r w:rsidRPr="00B263FD">
        <w:rPr>
          <w:sz w:val="16"/>
          <w:szCs w:val="16"/>
        </w:rPr>
        <w:t xml:space="preserve"> 2024) </w:t>
      </w:r>
    </w:p>
  </w:footnote>
  <w:footnote w:id="97">
    <w:p w14:paraId="4DDE99F0" w14:textId="77777777" w:rsidR="001F009D" w:rsidRPr="00B263FD" w:rsidRDefault="001F009D" w:rsidP="0076206B">
      <w:pPr>
        <w:pStyle w:val="FootnoteText"/>
        <w:ind w:left="0" w:firstLine="0"/>
        <w:rPr>
          <w:sz w:val="16"/>
          <w:szCs w:val="16"/>
        </w:rPr>
      </w:pPr>
      <w:r w:rsidRPr="00BE17D1">
        <w:rPr>
          <w:rStyle w:val="FootnoteReference"/>
          <w:sz w:val="16"/>
          <w:szCs w:val="16"/>
        </w:rPr>
        <w:footnoteRef/>
      </w:r>
      <w:r w:rsidRPr="00B263FD">
        <w:rPr>
          <w:sz w:val="16"/>
          <w:szCs w:val="16"/>
          <w:vertAlign w:val="superscript"/>
        </w:rPr>
        <w:t xml:space="preserve"> </w:t>
      </w:r>
      <w:r w:rsidRPr="00B263FD">
        <w:rPr>
          <w:sz w:val="16"/>
          <w:szCs w:val="16"/>
        </w:rPr>
        <w:t xml:space="preserve">DITRDCA, </w:t>
      </w:r>
      <w:r w:rsidRPr="00B263FD">
        <w:rPr>
          <w:i/>
          <w:sz w:val="16"/>
          <w:szCs w:val="16"/>
        </w:rPr>
        <w:t xml:space="preserve">Registration or licensing scheme for carriage service providers: Discussion Paper </w:t>
      </w:r>
      <w:r w:rsidRPr="00B263FD">
        <w:rPr>
          <w:sz w:val="16"/>
          <w:szCs w:val="16"/>
        </w:rPr>
        <w:t>(September 2023)</w:t>
      </w:r>
    </w:p>
  </w:footnote>
  <w:footnote w:id="98">
    <w:p w14:paraId="29B395FC" w14:textId="159B0F18" w:rsidR="00AB52FA" w:rsidRPr="00BE17D1" w:rsidRDefault="00AB52FA"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Under s 129 of the TCPSS Act, ACMA may grant an exemption from the requirement to join the TIO Scheme. Before granting such an exemption, ACMA must have regard to the following matters (note, it can also have regard to other things): the extent to which the carrier or provider deals with residential customers or small businesses; the potential for complaints under the TIO about the services supplies by the carrier or provider; and, whether the carrier or provider is a statutory infrastructure provider (within the meaning of Part 19 of Telco Act).</w:t>
      </w:r>
    </w:p>
  </w:footnote>
  <w:footnote w:id="99">
    <w:p w14:paraId="13041F0E" w14:textId="0C8DDC0F" w:rsidR="00FD2A45" w:rsidRPr="00BE17D1" w:rsidRDefault="00FD2A45"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TIO Financial Report 2023</w:t>
      </w:r>
    </w:p>
  </w:footnote>
  <w:footnote w:id="100">
    <w:p w14:paraId="207E8360" w14:textId="77777777" w:rsidR="001B6630" w:rsidRPr="00B263FD" w:rsidRDefault="001B6630"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ACMA, </w:t>
      </w:r>
      <w:r w:rsidRPr="00B263FD">
        <w:rPr>
          <w:i/>
          <w:sz w:val="16"/>
          <w:szCs w:val="16"/>
        </w:rPr>
        <w:t xml:space="preserve">Reducing the impact of scam calls: Regulation Impact Statement </w:t>
      </w:r>
      <w:r w:rsidRPr="00B263FD">
        <w:rPr>
          <w:sz w:val="16"/>
          <w:szCs w:val="16"/>
        </w:rPr>
        <w:t xml:space="preserve">(December 2020); </w:t>
      </w:r>
      <w:r w:rsidRPr="00B263FD">
        <w:rPr>
          <w:i/>
          <w:sz w:val="16"/>
          <w:szCs w:val="16"/>
        </w:rPr>
        <w:t xml:space="preserve">Reducing the impact of scams delivered by short message service (SMS): Regulation Impact Statement </w:t>
      </w:r>
      <w:r w:rsidRPr="00B263FD">
        <w:rPr>
          <w:sz w:val="16"/>
          <w:szCs w:val="16"/>
        </w:rPr>
        <w:t>(June 2022)</w:t>
      </w:r>
    </w:p>
  </w:footnote>
  <w:footnote w:id="101">
    <w:p w14:paraId="7529634A" w14:textId="15E95811" w:rsidR="00C43431" w:rsidRPr="00BE17D1" w:rsidRDefault="00C43431"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ACCC</w:t>
      </w:r>
      <w:r w:rsidR="00C70EDE" w:rsidRPr="00B263FD">
        <w:rPr>
          <w:sz w:val="16"/>
          <w:szCs w:val="16"/>
        </w:rPr>
        <w:t xml:space="preserve"> (2023)</w:t>
      </w:r>
      <w:r w:rsidRPr="00B263FD">
        <w:rPr>
          <w:sz w:val="16"/>
          <w:szCs w:val="16"/>
        </w:rPr>
        <w:t xml:space="preserve"> Digital Platform Services Inquiry, </w:t>
      </w:r>
      <w:r w:rsidRPr="00B263FD">
        <w:rPr>
          <w:i/>
          <w:sz w:val="16"/>
          <w:szCs w:val="16"/>
        </w:rPr>
        <w:t xml:space="preserve">Report on social media services, </w:t>
      </w:r>
      <w:r w:rsidRPr="00B263FD">
        <w:rPr>
          <w:sz w:val="16"/>
          <w:szCs w:val="16"/>
        </w:rPr>
        <w:t>March 2023</w:t>
      </w:r>
      <w:r w:rsidR="00536538" w:rsidRPr="00B263FD">
        <w:rPr>
          <w:sz w:val="16"/>
          <w:szCs w:val="16"/>
        </w:rPr>
        <w:t>. Page 31</w:t>
      </w:r>
    </w:p>
  </w:footnote>
  <w:footnote w:id="102">
    <w:p w14:paraId="53910A36" w14:textId="073A061F" w:rsidR="0035301B" w:rsidRPr="00BE17D1" w:rsidRDefault="0035301B"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00C70EDE" w:rsidRPr="00B263FD">
        <w:rPr>
          <w:sz w:val="16"/>
          <w:szCs w:val="16"/>
        </w:rPr>
        <w:t>ACCC (202</w:t>
      </w:r>
      <w:r w:rsidR="000D1949" w:rsidRPr="00B263FD">
        <w:rPr>
          <w:sz w:val="16"/>
          <w:szCs w:val="16"/>
        </w:rPr>
        <w:t>2</w:t>
      </w:r>
      <w:r w:rsidR="00C70EDE" w:rsidRPr="00B263FD">
        <w:rPr>
          <w:sz w:val="16"/>
          <w:szCs w:val="16"/>
        </w:rPr>
        <w:t>) Digital Platform Services Inquiry</w:t>
      </w:r>
      <w:r w:rsidR="000D1949" w:rsidRPr="00B263FD">
        <w:rPr>
          <w:sz w:val="16"/>
          <w:szCs w:val="16"/>
        </w:rPr>
        <w:t>, Interim report No. 5 – Regulatory reform, September 2022. Page 23</w:t>
      </w:r>
    </w:p>
  </w:footnote>
  <w:footnote w:id="103">
    <w:p w14:paraId="15C8C72F" w14:textId="550A96EE" w:rsidR="00C1531B" w:rsidRPr="00BE17D1" w:rsidRDefault="00C1531B" w:rsidP="0076206B">
      <w:pPr>
        <w:pStyle w:val="FootnoteText"/>
        <w:ind w:left="0" w:firstLine="0"/>
        <w:rPr>
          <w:sz w:val="16"/>
          <w:szCs w:val="16"/>
        </w:rPr>
      </w:pPr>
      <w:r w:rsidRPr="00BE17D1">
        <w:rPr>
          <w:rStyle w:val="FootnoteReference"/>
          <w:sz w:val="16"/>
          <w:szCs w:val="16"/>
        </w:rPr>
        <w:footnoteRef/>
      </w:r>
      <w:r w:rsidRPr="00BE17D1">
        <w:rPr>
          <w:sz w:val="16"/>
          <w:szCs w:val="16"/>
        </w:rPr>
        <w:t xml:space="preserve"> </w:t>
      </w:r>
      <w:r w:rsidRPr="00B263FD">
        <w:rPr>
          <w:sz w:val="16"/>
          <w:szCs w:val="16"/>
        </w:rPr>
        <w:t>Ibid. Page 202</w:t>
      </w:r>
    </w:p>
  </w:footnote>
  <w:footnote w:id="104">
    <w:p w14:paraId="7DDFAA45" w14:textId="66472F4F" w:rsidR="00960DA6" w:rsidRPr="00BE17D1" w:rsidRDefault="00960DA6"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ACCC (2021) Digital advertising services inquiry - final report, 28 September 2024</w:t>
      </w:r>
    </w:p>
  </w:footnote>
  <w:footnote w:id="105">
    <w:p w14:paraId="242AB96E" w14:textId="7C22EE77" w:rsidR="00F31862" w:rsidRPr="00BE17D1" w:rsidRDefault="00F31862"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ACCC (2024) Digital Platform Services Inquiry – September 2024 report revisiting general search services, Issues Paper, 18 March 2024</w:t>
      </w:r>
    </w:p>
  </w:footnote>
  <w:footnote w:id="106">
    <w:p w14:paraId="7751BB99" w14:textId="73836F37" w:rsidR="008664B5" w:rsidRPr="00BE17D1" w:rsidRDefault="008664B5" w:rsidP="0076206B">
      <w:pPr>
        <w:pStyle w:val="FootnoteText"/>
        <w:ind w:left="0" w:firstLine="0"/>
        <w:rPr>
          <w:sz w:val="16"/>
          <w:szCs w:val="16"/>
        </w:rPr>
      </w:pPr>
      <w:r w:rsidRPr="00BE17D1">
        <w:rPr>
          <w:rStyle w:val="FootnoteReference"/>
          <w:sz w:val="16"/>
          <w:szCs w:val="16"/>
        </w:rPr>
        <w:footnoteRef/>
      </w:r>
      <w:r w:rsidRPr="00B263FD">
        <w:rPr>
          <w:sz w:val="16"/>
          <w:szCs w:val="16"/>
        </w:rPr>
        <w:t xml:space="preserve"> </w:t>
      </w:r>
      <w:r w:rsidR="00F31862" w:rsidRPr="00B263FD">
        <w:rPr>
          <w:sz w:val="16"/>
          <w:szCs w:val="16"/>
        </w:rPr>
        <w:t>Ibid.</w:t>
      </w:r>
      <w:r w:rsidR="000F0FE0" w:rsidRPr="00B263FD">
        <w:rPr>
          <w:sz w:val="16"/>
          <w:szCs w:val="16"/>
        </w:rPr>
        <w:t xml:space="preserve"> pages 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7294E" w14:textId="77777777" w:rsidR="00F77455" w:rsidRDefault="00F774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7D75C" w14:textId="331C760C" w:rsidR="00E55070" w:rsidRDefault="00E5507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1C560" w14:textId="6404CFBA" w:rsidR="00C0677A" w:rsidRDefault="00C0677A">
    <w:pPr>
      <w:pStyle w:val="Header"/>
    </w:pPr>
    <w:r>
      <w:rPr>
        <w:noProof/>
      </w:rPr>
      <w:drawing>
        <wp:anchor distT="0" distB="0" distL="114300" distR="114300" simplePos="0" relativeHeight="251658242" behindDoc="1" locked="1" layoutInCell="1" allowOverlap="1" wp14:anchorId="61D6A94E" wp14:editId="032A1099">
          <wp:simplePos x="0" y="0"/>
          <wp:positionH relativeFrom="page">
            <wp:posOffset>0</wp:posOffset>
          </wp:positionH>
          <wp:positionV relativeFrom="page">
            <wp:posOffset>0</wp:posOffset>
          </wp:positionV>
          <wp:extent cx="7570800" cy="1044000"/>
          <wp:effectExtent l="0" t="0" r="0" b="3810"/>
          <wp:wrapNone/>
          <wp:docPr id="1778579076" name="Picture 1778579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9D6E" w14:textId="659B396B" w:rsidR="00C0677A" w:rsidRDefault="00C0677A">
    <w:pPr>
      <w:pStyle w:val="Header"/>
    </w:pPr>
    <w:r>
      <w:rPr>
        <w:noProof/>
      </w:rPr>
      <w:drawing>
        <wp:anchor distT="0" distB="0" distL="114300" distR="114300" simplePos="0" relativeHeight="251658244" behindDoc="1" locked="1" layoutInCell="1" allowOverlap="1" wp14:anchorId="25E4E0EB" wp14:editId="58955C4E">
          <wp:simplePos x="0" y="0"/>
          <wp:positionH relativeFrom="page">
            <wp:posOffset>0</wp:posOffset>
          </wp:positionH>
          <wp:positionV relativeFrom="page">
            <wp:posOffset>0</wp:posOffset>
          </wp:positionV>
          <wp:extent cx="7570800" cy="1044000"/>
          <wp:effectExtent l="0" t="0" r="0" b="3810"/>
          <wp:wrapNone/>
          <wp:docPr id="648473264" name="Picture 6484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B775A" w14:textId="77777777" w:rsidR="006F5192" w:rsidRDefault="006F5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B10F7" w14:textId="1FC715F0" w:rsidR="00647528" w:rsidRDefault="00647528">
    <w:pPr>
      <w:pStyle w:val="Header"/>
    </w:pPr>
    <w:r>
      <w:rPr>
        <w:noProof/>
      </w:rPr>
      <w:drawing>
        <wp:anchor distT="0" distB="0" distL="114300" distR="114300" simplePos="0" relativeHeight="251658241" behindDoc="1" locked="1" layoutInCell="1" allowOverlap="1" wp14:anchorId="642EF93A" wp14:editId="791C19D5">
          <wp:simplePos x="0" y="0"/>
          <wp:positionH relativeFrom="page">
            <wp:posOffset>0</wp:posOffset>
          </wp:positionH>
          <wp:positionV relativeFrom="page">
            <wp:posOffset>0</wp:posOffset>
          </wp:positionV>
          <wp:extent cx="7578000" cy="10720800"/>
          <wp:effectExtent l="0" t="0" r="4445" b="4445"/>
          <wp:wrapNone/>
          <wp:docPr id="9" name="Pictur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3BD9" w14:textId="3C2B6BE8" w:rsidR="00E55070" w:rsidRDefault="00E550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445F" w14:textId="5430465E" w:rsidR="00E55070" w:rsidRDefault="00E550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8DF37" w14:textId="1B4E0571" w:rsidR="009643E4" w:rsidRDefault="009643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91C49" w14:textId="4D95E692" w:rsidR="00E55070" w:rsidRDefault="00E5507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17098" w14:textId="30DC37B3" w:rsidR="00E55070" w:rsidRDefault="00E5507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C01E4" w14:textId="4C0E6777" w:rsidR="00E55070" w:rsidRDefault="00E55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C73"/>
    <w:multiLevelType w:val="multilevel"/>
    <w:tmpl w:val="835E4A9A"/>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AB14DC0"/>
    <w:multiLevelType w:val="hybridMultilevel"/>
    <w:tmpl w:val="21DAF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0947F7"/>
    <w:multiLevelType w:val="hybridMultilevel"/>
    <w:tmpl w:val="2550FB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DB373E"/>
    <w:multiLevelType w:val="hybridMultilevel"/>
    <w:tmpl w:val="0420AC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DC238D"/>
    <w:multiLevelType w:val="hybridMultilevel"/>
    <w:tmpl w:val="3136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6032D4"/>
    <w:multiLevelType w:val="hybridMultilevel"/>
    <w:tmpl w:val="4A68E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D2BC1"/>
    <w:multiLevelType w:val="hybridMultilevel"/>
    <w:tmpl w:val="BEC4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90702B"/>
    <w:multiLevelType w:val="hybridMultilevel"/>
    <w:tmpl w:val="76AE6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DA5F1B"/>
    <w:multiLevelType w:val="hybridMultilevel"/>
    <w:tmpl w:val="9B2A0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EE4BD5"/>
    <w:multiLevelType w:val="hybridMultilevel"/>
    <w:tmpl w:val="C2E6995C"/>
    <w:lvl w:ilvl="0" w:tplc="6C7EBE3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22A4F"/>
    <w:multiLevelType w:val="hybridMultilevel"/>
    <w:tmpl w:val="A8E83D3A"/>
    <w:lvl w:ilvl="0" w:tplc="DD04926C">
      <w:start w:val="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B7167CE"/>
    <w:multiLevelType w:val="hybridMultilevel"/>
    <w:tmpl w:val="32C0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3D6772"/>
    <w:multiLevelType w:val="hybridMultilevel"/>
    <w:tmpl w:val="BF083456"/>
    <w:lvl w:ilvl="0" w:tplc="E54E6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A709B1"/>
    <w:multiLevelType w:val="hybridMultilevel"/>
    <w:tmpl w:val="1AB868C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C62FAF"/>
    <w:multiLevelType w:val="hybridMultilevel"/>
    <w:tmpl w:val="27A07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A029E9"/>
    <w:multiLevelType w:val="hybridMultilevel"/>
    <w:tmpl w:val="2BDAA9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1763C6"/>
    <w:multiLevelType w:val="hybridMultilevel"/>
    <w:tmpl w:val="BBC85D6E"/>
    <w:lvl w:ilvl="0" w:tplc="DD04926C">
      <w:start w:val="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D31DC9"/>
    <w:multiLevelType w:val="hybridMultilevel"/>
    <w:tmpl w:val="C0701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08C2710"/>
    <w:multiLevelType w:val="multilevel"/>
    <w:tmpl w:val="F050C558"/>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96B7BCE"/>
    <w:multiLevelType w:val="hybridMultilevel"/>
    <w:tmpl w:val="CE8C6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FC6DE7"/>
    <w:multiLevelType w:val="hybridMultilevel"/>
    <w:tmpl w:val="956A81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D4E1C5D"/>
    <w:multiLevelType w:val="hybridMultilevel"/>
    <w:tmpl w:val="97BCB746"/>
    <w:lvl w:ilvl="0" w:tplc="AD202248">
      <w:start w:val="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12221E"/>
    <w:multiLevelType w:val="hybridMultilevel"/>
    <w:tmpl w:val="C2F01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1D399E"/>
    <w:multiLevelType w:val="multilevel"/>
    <w:tmpl w:val="C450AD76"/>
    <w:lvl w:ilvl="0">
      <w:start w:val="1"/>
      <w:numFmt w:val="decimal"/>
      <w:lvlRestart w:val="0"/>
      <w:pStyle w:val="base-text-paragraph"/>
      <w:lvlText w:val="%1."/>
      <w:lvlJc w:val="left"/>
      <w:pPr>
        <w:tabs>
          <w:tab w:val="num" w:pos="1984"/>
        </w:tabs>
        <w:ind w:left="1140" w:firstLine="0"/>
      </w:pPr>
      <w:rPr>
        <w:b w:val="0"/>
        <w:i w:val="0"/>
        <w:color w:val="000000"/>
      </w:rPr>
    </w:lvl>
    <w:lvl w:ilvl="1">
      <w:start w:val="1"/>
      <w:numFmt w:val="bullet"/>
      <w:lvlText w:val=""/>
      <w:lvlJc w:val="left"/>
      <w:pPr>
        <w:ind w:left="2487" w:hanging="360"/>
      </w:pPr>
      <w:rPr>
        <w:rFonts w:ascii="Symbol" w:hAnsi="Symbol"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1" w15:restartNumberingAfterBreak="0">
    <w:nsid w:val="42AF7DFB"/>
    <w:multiLevelType w:val="multilevel"/>
    <w:tmpl w:val="17E63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3D26CD"/>
    <w:multiLevelType w:val="hybridMultilevel"/>
    <w:tmpl w:val="5E1E3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4369FA"/>
    <w:multiLevelType w:val="hybridMultilevel"/>
    <w:tmpl w:val="E370C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99549E"/>
    <w:multiLevelType w:val="hybridMultilevel"/>
    <w:tmpl w:val="8EE09380"/>
    <w:lvl w:ilvl="0" w:tplc="3DC65C60">
      <w:start w:val="1"/>
      <w:numFmt w:val="lowerLetter"/>
      <w:pStyle w:val="CABRecommendationsList"/>
      <w:lvlText w:val="(%1)"/>
      <w:lvlJc w:val="left"/>
      <w:pPr>
        <w:ind w:left="802" w:hanging="405"/>
      </w:pPr>
      <w:rPr>
        <w:rFonts w:hint="default"/>
      </w:rPr>
    </w:lvl>
    <w:lvl w:ilvl="1" w:tplc="3580BF26">
      <w:start w:val="1"/>
      <w:numFmt w:val="lowerRoman"/>
      <w:lvlText w:val="%2."/>
      <w:lvlJc w:val="right"/>
      <w:pPr>
        <w:ind w:left="1477" w:hanging="360"/>
      </w:pPr>
    </w:lvl>
    <w:lvl w:ilvl="2" w:tplc="8E827DFA" w:tentative="1">
      <w:start w:val="1"/>
      <w:numFmt w:val="lowerRoman"/>
      <w:lvlText w:val="%3."/>
      <w:lvlJc w:val="right"/>
      <w:pPr>
        <w:ind w:left="2197" w:hanging="180"/>
      </w:pPr>
    </w:lvl>
    <w:lvl w:ilvl="3" w:tplc="6A00F256" w:tentative="1">
      <w:start w:val="1"/>
      <w:numFmt w:val="decimal"/>
      <w:lvlText w:val="%4."/>
      <w:lvlJc w:val="left"/>
      <w:pPr>
        <w:ind w:left="2917" w:hanging="360"/>
      </w:pPr>
    </w:lvl>
    <w:lvl w:ilvl="4" w:tplc="813EC428" w:tentative="1">
      <w:start w:val="1"/>
      <w:numFmt w:val="lowerLetter"/>
      <w:lvlText w:val="%5."/>
      <w:lvlJc w:val="left"/>
      <w:pPr>
        <w:ind w:left="3637" w:hanging="360"/>
      </w:pPr>
    </w:lvl>
    <w:lvl w:ilvl="5" w:tplc="C03EAE48" w:tentative="1">
      <w:start w:val="1"/>
      <w:numFmt w:val="lowerRoman"/>
      <w:lvlText w:val="%6."/>
      <w:lvlJc w:val="right"/>
      <w:pPr>
        <w:ind w:left="4357" w:hanging="180"/>
      </w:pPr>
    </w:lvl>
    <w:lvl w:ilvl="6" w:tplc="930CB2BC" w:tentative="1">
      <w:start w:val="1"/>
      <w:numFmt w:val="decimal"/>
      <w:lvlText w:val="%7."/>
      <w:lvlJc w:val="left"/>
      <w:pPr>
        <w:ind w:left="5077" w:hanging="360"/>
      </w:pPr>
    </w:lvl>
    <w:lvl w:ilvl="7" w:tplc="7B1A2B64" w:tentative="1">
      <w:start w:val="1"/>
      <w:numFmt w:val="lowerLetter"/>
      <w:lvlText w:val="%8."/>
      <w:lvlJc w:val="left"/>
      <w:pPr>
        <w:ind w:left="5797" w:hanging="360"/>
      </w:pPr>
    </w:lvl>
    <w:lvl w:ilvl="8" w:tplc="1ABE4974" w:tentative="1">
      <w:start w:val="1"/>
      <w:numFmt w:val="lowerRoman"/>
      <w:lvlText w:val="%9."/>
      <w:lvlJc w:val="right"/>
      <w:pPr>
        <w:ind w:left="6517" w:hanging="180"/>
      </w:pPr>
    </w:lvl>
  </w:abstractNum>
  <w:abstractNum w:abstractNumId="35" w15:restartNumberingAfterBreak="0">
    <w:nsid w:val="493E12E5"/>
    <w:multiLevelType w:val="hybridMultilevel"/>
    <w:tmpl w:val="237CACB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97C6FDA"/>
    <w:multiLevelType w:val="hybridMultilevel"/>
    <w:tmpl w:val="83142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BDC098D"/>
    <w:multiLevelType w:val="hybridMultilevel"/>
    <w:tmpl w:val="F4B6702A"/>
    <w:lvl w:ilvl="0" w:tplc="C0843B30">
      <w:numFmt w:val="bullet"/>
      <w:lvlText w:val="-"/>
      <w:lvlJc w:val="left"/>
      <w:pPr>
        <w:ind w:left="72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4B7376"/>
    <w:multiLevelType w:val="hybridMultilevel"/>
    <w:tmpl w:val="6B2C0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AD3D2A"/>
    <w:multiLevelType w:val="hybridMultilevel"/>
    <w:tmpl w:val="7C60F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0D2021"/>
    <w:multiLevelType w:val="multilevel"/>
    <w:tmpl w:val="72F8140E"/>
    <w:numStyleLink w:val="OutlineList"/>
  </w:abstractNum>
  <w:abstractNum w:abstractNumId="41" w15:restartNumberingAfterBreak="0">
    <w:nsid w:val="5390728A"/>
    <w:multiLevelType w:val="hybridMultilevel"/>
    <w:tmpl w:val="859E6CEE"/>
    <w:lvl w:ilvl="0" w:tplc="59A6AE20">
      <w:start w:val="1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562F1C"/>
    <w:multiLevelType w:val="hybridMultilevel"/>
    <w:tmpl w:val="0C12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68E586D"/>
    <w:multiLevelType w:val="hybridMultilevel"/>
    <w:tmpl w:val="163AF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5BE82543"/>
    <w:multiLevelType w:val="hybridMultilevel"/>
    <w:tmpl w:val="8A7AF1A8"/>
    <w:lvl w:ilvl="0" w:tplc="E54E6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2E18BC"/>
    <w:multiLevelType w:val="hybridMultilevel"/>
    <w:tmpl w:val="35C42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FB27391"/>
    <w:multiLevelType w:val="hybridMultilevel"/>
    <w:tmpl w:val="B644D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32B3547"/>
    <w:multiLevelType w:val="hybridMultilevel"/>
    <w:tmpl w:val="18CEF438"/>
    <w:lvl w:ilvl="0" w:tplc="36C476D0">
      <w:start w:val="1"/>
      <w:numFmt w:val="lowerLetter"/>
      <w:pStyle w:val="CABList"/>
      <w:lvlText w:val="%1)"/>
      <w:lvlJc w:val="left"/>
      <w:pPr>
        <w:ind w:left="720" w:hanging="360"/>
      </w:pPr>
    </w:lvl>
    <w:lvl w:ilvl="1" w:tplc="6A26A01C" w:tentative="1">
      <w:start w:val="1"/>
      <w:numFmt w:val="lowerLetter"/>
      <w:lvlText w:val="%2."/>
      <w:lvlJc w:val="left"/>
      <w:pPr>
        <w:ind w:left="1440" w:hanging="360"/>
      </w:pPr>
    </w:lvl>
    <w:lvl w:ilvl="2" w:tplc="CFB0233E" w:tentative="1">
      <w:start w:val="1"/>
      <w:numFmt w:val="lowerRoman"/>
      <w:lvlText w:val="%3."/>
      <w:lvlJc w:val="right"/>
      <w:pPr>
        <w:ind w:left="2160" w:hanging="180"/>
      </w:pPr>
    </w:lvl>
    <w:lvl w:ilvl="3" w:tplc="5EC8B5CE" w:tentative="1">
      <w:start w:val="1"/>
      <w:numFmt w:val="decimal"/>
      <w:lvlText w:val="%4."/>
      <w:lvlJc w:val="left"/>
      <w:pPr>
        <w:ind w:left="2880" w:hanging="360"/>
      </w:pPr>
    </w:lvl>
    <w:lvl w:ilvl="4" w:tplc="0ECC0FB0" w:tentative="1">
      <w:start w:val="1"/>
      <w:numFmt w:val="lowerLetter"/>
      <w:lvlText w:val="%5."/>
      <w:lvlJc w:val="left"/>
      <w:pPr>
        <w:ind w:left="3600" w:hanging="360"/>
      </w:pPr>
    </w:lvl>
    <w:lvl w:ilvl="5" w:tplc="2C04EFD0" w:tentative="1">
      <w:start w:val="1"/>
      <w:numFmt w:val="lowerRoman"/>
      <w:lvlText w:val="%6."/>
      <w:lvlJc w:val="right"/>
      <w:pPr>
        <w:ind w:left="4320" w:hanging="180"/>
      </w:pPr>
    </w:lvl>
    <w:lvl w:ilvl="6" w:tplc="829E4E98" w:tentative="1">
      <w:start w:val="1"/>
      <w:numFmt w:val="decimal"/>
      <w:lvlText w:val="%7."/>
      <w:lvlJc w:val="left"/>
      <w:pPr>
        <w:ind w:left="5040" w:hanging="360"/>
      </w:pPr>
    </w:lvl>
    <w:lvl w:ilvl="7" w:tplc="8EF6EBF2" w:tentative="1">
      <w:start w:val="1"/>
      <w:numFmt w:val="lowerLetter"/>
      <w:lvlText w:val="%8."/>
      <w:lvlJc w:val="left"/>
      <w:pPr>
        <w:ind w:left="5760" w:hanging="360"/>
      </w:pPr>
    </w:lvl>
    <w:lvl w:ilvl="8" w:tplc="38766126" w:tentative="1">
      <w:start w:val="1"/>
      <w:numFmt w:val="lowerRoman"/>
      <w:lvlText w:val="%9."/>
      <w:lvlJc w:val="right"/>
      <w:pPr>
        <w:ind w:left="6480" w:hanging="180"/>
      </w:pPr>
    </w:lvl>
  </w:abstractNum>
  <w:abstractNum w:abstractNumId="48" w15:restartNumberingAfterBreak="0">
    <w:nsid w:val="662E4E0F"/>
    <w:multiLevelType w:val="hybridMultilevel"/>
    <w:tmpl w:val="9A6A5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653498"/>
    <w:multiLevelType w:val="multilevel"/>
    <w:tmpl w:val="C324DADA"/>
    <w:lvl w:ilvl="0">
      <w:start w:val="1"/>
      <w:numFmt w:val="decimal"/>
      <w:lvlText w:val="%1."/>
      <w:lvlJc w:val="left"/>
      <w:pPr>
        <w:ind w:left="720" w:hanging="360"/>
      </w:pPr>
      <w:rPr>
        <w:rFonts w:ascii="Calibri" w:hAnsi="Calibri" w:cs="Arial" w:hint="default"/>
        <w:b/>
        <w:color w:val="5D779D" w:themeColor="accent3"/>
        <w:sz w:val="44"/>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68997121"/>
    <w:multiLevelType w:val="hybridMultilevel"/>
    <w:tmpl w:val="A12C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B112E9"/>
    <w:multiLevelType w:val="hybridMultilevel"/>
    <w:tmpl w:val="5DB6A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C3748A4"/>
    <w:multiLevelType w:val="hybridMultilevel"/>
    <w:tmpl w:val="5108F9D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3" w15:restartNumberingAfterBreak="0">
    <w:nsid w:val="6C694621"/>
    <w:multiLevelType w:val="hybridMultilevel"/>
    <w:tmpl w:val="9698E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6D0D4E45"/>
    <w:multiLevelType w:val="hybridMultilevel"/>
    <w:tmpl w:val="39CE243C"/>
    <w:lvl w:ilvl="0" w:tplc="6C7EBE3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E5F03BE"/>
    <w:multiLevelType w:val="hybridMultilevel"/>
    <w:tmpl w:val="7CECD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7D4A09"/>
    <w:multiLevelType w:val="hybridMultilevel"/>
    <w:tmpl w:val="E39C8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422AEF"/>
    <w:multiLevelType w:val="hybridMultilevel"/>
    <w:tmpl w:val="9EB4F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2A74DDD"/>
    <w:multiLevelType w:val="hybridMultilevel"/>
    <w:tmpl w:val="DCFC5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3281834"/>
    <w:multiLevelType w:val="hybridMultilevel"/>
    <w:tmpl w:val="77EE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4437531"/>
    <w:multiLevelType w:val="multilevel"/>
    <w:tmpl w:val="CDFCB230"/>
    <w:lvl w:ilvl="0">
      <w:start w:val="1"/>
      <w:numFmt w:val="decimal"/>
      <w:lvlRestart w:val="0"/>
      <w:lvlText w:val="%1."/>
      <w:lvlJc w:val="left"/>
      <w:pPr>
        <w:tabs>
          <w:tab w:val="num" w:pos="844"/>
        </w:tabs>
        <w:ind w:left="0" w:firstLine="0"/>
      </w:pPr>
      <w:rPr>
        <w:b w:val="0"/>
        <w:i w:val="0"/>
        <w:color w:val="000000"/>
      </w:rPr>
    </w:lvl>
    <w:lvl w:ilvl="1">
      <w:start w:val="1"/>
      <w:numFmt w:val="bullet"/>
      <w:lvlText w:val=""/>
      <w:lvlJc w:val="left"/>
      <w:pPr>
        <w:ind w:left="1347" w:hanging="360"/>
      </w:pPr>
      <w:rPr>
        <w:rFonts w:ascii="Symbol" w:hAnsi="Symbol" w:hint="default"/>
      </w:rPr>
    </w:lvl>
    <w:lvl w:ilvl="2" w:tentative="1">
      <w:start w:val="1"/>
      <w:numFmt w:val="bullet"/>
      <w:lvlText w:val=""/>
      <w:lvlJc w:val="left"/>
      <w:pPr>
        <w:ind w:left="2820" w:hanging="360"/>
      </w:pPr>
      <w:rPr>
        <w:rFonts w:ascii="Wingdings" w:hAnsi="Wingdings" w:hint="default"/>
      </w:rPr>
    </w:lvl>
    <w:lvl w:ilvl="3" w:tentative="1">
      <w:start w:val="1"/>
      <w:numFmt w:val="bullet"/>
      <w:lvlText w:val=""/>
      <w:lvlJc w:val="left"/>
      <w:pPr>
        <w:ind w:left="3540" w:hanging="360"/>
      </w:pPr>
      <w:rPr>
        <w:rFonts w:ascii="Symbol" w:hAnsi="Symbol" w:hint="default"/>
      </w:rPr>
    </w:lvl>
    <w:lvl w:ilvl="4" w:tentative="1">
      <w:start w:val="1"/>
      <w:numFmt w:val="bullet"/>
      <w:lvlText w:val="o"/>
      <w:lvlJc w:val="left"/>
      <w:pPr>
        <w:ind w:left="4260" w:hanging="360"/>
      </w:pPr>
      <w:rPr>
        <w:rFonts w:ascii="Courier New" w:hAnsi="Courier New" w:cs="Courier New" w:hint="default"/>
      </w:rPr>
    </w:lvl>
    <w:lvl w:ilvl="5" w:tentative="1">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tentative="1">
      <w:start w:val="1"/>
      <w:numFmt w:val="bullet"/>
      <w:lvlText w:val="o"/>
      <w:lvlJc w:val="left"/>
      <w:pPr>
        <w:ind w:left="6420" w:hanging="360"/>
      </w:pPr>
      <w:rPr>
        <w:rFonts w:ascii="Courier New" w:hAnsi="Courier New" w:cs="Courier New" w:hint="default"/>
      </w:rPr>
    </w:lvl>
    <w:lvl w:ilvl="8" w:tentative="1">
      <w:start w:val="1"/>
      <w:numFmt w:val="bullet"/>
      <w:lvlText w:val=""/>
      <w:lvlJc w:val="left"/>
      <w:pPr>
        <w:ind w:left="7140" w:hanging="360"/>
      </w:pPr>
      <w:rPr>
        <w:rFonts w:ascii="Wingdings" w:hAnsi="Wingdings" w:hint="default"/>
      </w:rPr>
    </w:lvl>
  </w:abstractNum>
  <w:abstractNum w:abstractNumId="61" w15:restartNumberingAfterBreak="0">
    <w:nsid w:val="78B16110"/>
    <w:multiLevelType w:val="multilevel"/>
    <w:tmpl w:val="F4F84F7A"/>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A363F91"/>
    <w:multiLevelType w:val="hybridMultilevel"/>
    <w:tmpl w:val="410CF510"/>
    <w:lvl w:ilvl="0" w:tplc="8A984EB0">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CCF7477"/>
    <w:multiLevelType w:val="multilevel"/>
    <w:tmpl w:val="C324DADA"/>
    <w:lvl w:ilvl="0">
      <w:start w:val="1"/>
      <w:numFmt w:val="decimal"/>
      <w:lvlText w:val="%1."/>
      <w:lvlJc w:val="left"/>
      <w:pPr>
        <w:ind w:left="720" w:hanging="360"/>
      </w:pPr>
      <w:rPr>
        <w:rFonts w:ascii="Calibri" w:hAnsi="Calibri" w:cs="Arial" w:hint="default"/>
        <w:b/>
        <w:color w:val="5D779D" w:themeColor="accent3"/>
        <w:sz w:val="44"/>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3"/>
  </w:num>
  <w:num w:numId="3">
    <w:abstractNumId w:val="24"/>
  </w:num>
  <w:num w:numId="4">
    <w:abstractNumId w:val="25"/>
  </w:num>
  <w:num w:numId="5">
    <w:abstractNumId w:val="40"/>
  </w:num>
  <w:num w:numId="6">
    <w:abstractNumId w:val="6"/>
  </w:num>
  <w:num w:numId="7">
    <w:abstractNumId w:val="18"/>
  </w:num>
  <w:num w:numId="8">
    <w:abstractNumId w:val="12"/>
  </w:num>
  <w:num w:numId="9">
    <w:abstractNumId w:val="10"/>
  </w:num>
  <w:num w:numId="10">
    <w:abstractNumId w:val="34"/>
  </w:num>
  <w:num w:numId="11">
    <w:abstractNumId w:val="52"/>
  </w:num>
  <w:num w:numId="12">
    <w:abstractNumId w:val="17"/>
  </w:num>
  <w:num w:numId="13">
    <w:abstractNumId w:val="47"/>
  </w:num>
  <w:num w:numId="14">
    <w:abstractNumId w:val="31"/>
  </w:num>
  <w:num w:numId="15">
    <w:abstractNumId w:val="61"/>
  </w:num>
  <w:num w:numId="16">
    <w:abstractNumId w:val="16"/>
  </w:num>
  <w:num w:numId="17">
    <w:abstractNumId w:val="44"/>
  </w:num>
  <w:num w:numId="18">
    <w:abstractNumId w:val="53"/>
  </w:num>
  <w:num w:numId="19">
    <w:abstractNumId w:val="43"/>
  </w:num>
  <w:num w:numId="20">
    <w:abstractNumId w:val="22"/>
  </w:num>
  <w:num w:numId="21">
    <w:abstractNumId w:val="58"/>
  </w:num>
  <w:num w:numId="22">
    <w:abstractNumId w:val="36"/>
  </w:num>
  <w:num w:numId="23">
    <w:abstractNumId w:val="59"/>
  </w:num>
  <w:num w:numId="24">
    <w:abstractNumId w:val="32"/>
  </w:num>
  <w:num w:numId="25">
    <w:abstractNumId w:val="30"/>
  </w:num>
  <w:num w:numId="26">
    <w:abstractNumId w:val="60"/>
  </w:num>
  <w:num w:numId="27">
    <w:abstractNumId w:val="2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7"/>
  </w:num>
  <w:num w:numId="31">
    <w:abstractNumId w:val="2"/>
  </w:num>
  <w:num w:numId="32">
    <w:abstractNumId w:val="37"/>
  </w:num>
  <w:num w:numId="33">
    <w:abstractNumId w:val="26"/>
  </w:num>
  <w:num w:numId="34">
    <w:abstractNumId w:val="50"/>
  </w:num>
  <w:num w:numId="35">
    <w:abstractNumId w:val="15"/>
  </w:num>
  <w:num w:numId="36">
    <w:abstractNumId w:val="45"/>
  </w:num>
  <w:num w:numId="37">
    <w:abstractNumId w:val="33"/>
  </w:num>
  <w:num w:numId="38">
    <w:abstractNumId w:val="55"/>
  </w:num>
  <w:num w:numId="39">
    <w:abstractNumId w:val="9"/>
  </w:num>
  <w:num w:numId="40">
    <w:abstractNumId w:val="56"/>
  </w:num>
  <w:num w:numId="41">
    <w:abstractNumId w:val="29"/>
  </w:num>
  <w:num w:numId="42">
    <w:abstractNumId w:val="49"/>
  </w:num>
  <w:num w:numId="43">
    <w:abstractNumId w:val="38"/>
  </w:num>
  <w:num w:numId="44">
    <w:abstractNumId w:val="39"/>
  </w:num>
  <w:num w:numId="45">
    <w:abstractNumId w:val="41"/>
  </w:num>
  <w:num w:numId="46">
    <w:abstractNumId w:val="19"/>
  </w:num>
  <w:num w:numId="47">
    <w:abstractNumId w:val="6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1"/>
  </w:num>
  <w:num w:numId="50">
    <w:abstractNumId w:val="54"/>
  </w:num>
  <w:num w:numId="51">
    <w:abstractNumId w:val="11"/>
  </w:num>
  <w:num w:numId="52">
    <w:abstractNumId w:val="51"/>
  </w:num>
  <w:num w:numId="53">
    <w:abstractNumId w:val="48"/>
  </w:num>
  <w:num w:numId="54">
    <w:abstractNumId w:val="0"/>
  </w:num>
  <w:num w:numId="55">
    <w:abstractNumId w:val="20"/>
  </w:num>
  <w:num w:numId="56">
    <w:abstractNumId w:val="35"/>
  </w:num>
  <w:num w:numId="57">
    <w:abstractNumId w:val="5"/>
  </w:num>
  <w:num w:numId="58">
    <w:abstractNumId w:val="42"/>
  </w:num>
  <w:num w:numId="59">
    <w:abstractNumId w:val="63"/>
  </w:num>
  <w:num w:numId="60">
    <w:abstractNumId w:val="27"/>
  </w:num>
  <w:num w:numId="61">
    <w:abstractNumId w:val="8"/>
  </w:num>
  <w:num w:numId="62">
    <w:abstractNumId w:val="57"/>
  </w:num>
  <w:num w:numId="63">
    <w:abstractNumId w:val="62"/>
  </w:num>
  <w:num w:numId="64">
    <w:abstractNumId w:val="3"/>
  </w:num>
  <w:num w:numId="65">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7C"/>
    <w:rsid w:val="0000019C"/>
    <w:rsid w:val="0000029D"/>
    <w:rsid w:val="000002E4"/>
    <w:rsid w:val="0000041C"/>
    <w:rsid w:val="00000437"/>
    <w:rsid w:val="000004EE"/>
    <w:rsid w:val="000006A8"/>
    <w:rsid w:val="000006E4"/>
    <w:rsid w:val="0000072F"/>
    <w:rsid w:val="00000742"/>
    <w:rsid w:val="00000770"/>
    <w:rsid w:val="00000B25"/>
    <w:rsid w:val="00000BBE"/>
    <w:rsid w:val="00000C0A"/>
    <w:rsid w:val="00000C1A"/>
    <w:rsid w:val="00000C60"/>
    <w:rsid w:val="00000C93"/>
    <w:rsid w:val="00000D35"/>
    <w:rsid w:val="00000D51"/>
    <w:rsid w:val="00000E1D"/>
    <w:rsid w:val="00000F10"/>
    <w:rsid w:val="00000FAF"/>
    <w:rsid w:val="00000FE5"/>
    <w:rsid w:val="00001233"/>
    <w:rsid w:val="0000124D"/>
    <w:rsid w:val="0000135B"/>
    <w:rsid w:val="00001396"/>
    <w:rsid w:val="00001420"/>
    <w:rsid w:val="0000146F"/>
    <w:rsid w:val="00001473"/>
    <w:rsid w:val="00001539"/>
    <w:rsid w:val="0000157E"/>
    <w:rsid w:val="000016D8"/>
    <w:rsid w:val="000016EC"/>
    <w:rsid w:val="000017FF"/>
    <w:rsid w:val="000018AE"/>
    <w:rsid w:val="00001A7A"/>
    <w:rsid w:val="00001B12"/>
    <w:rsid w:val="00001C28"/>
    <w:rsid w:val="00001C4D"/>
    <w:rsid w:val="00001C74"/>
    <w:rsid w:val="00001CA2"/>
    <w:rsid w:val="00001CB9"/>
    <w:rsid w:val="00001D25"/>
    <w:rsid w:val="00001E55"/>
    <w:rsid w:val="00001E99"/>
    <w:rsid w:val="00001F36"/>
    <w:rsid w:val="00002039"/>
    <w:rsid w:val="000020CA"/>
    <w:rsid w:val="000020E2"/>
    <w:rsid w:val="000020F4"/>
    <w:rsid w:val="00002126"/>
    <w:rsid w:val="00002216"/>
    <w:rsid w:val="000022EC"/>
    <w:rsid w:val="0000235D"/>
    <w:rsid w:val="00002380"/>
    <w:rsid w:val="000023AA"/>
    <w:rsid w:val="000023B7"/>
    <w:rsid w:val="000023EF"/>
    <w:rsid w:val="00002402"/>
    <w:rsid w:val="00002510"/>
    <w:rsid w:val="00002547"/>
    <w:rsid w:val="0000255A"/>
    <w:rsid w:val="0000262A"/>
    <w:rsid w:val="00002638"/>
    <w:rsid w:val="000026F2"/>
    <w:rsid w:val="00002747"/>
    <w:rsid w:val="0000277F"/>
    <w:rsid w:val="000029ED"/>
    <w:rsid w:val="00002A3D"/>
    <w:rsid w:val="00002AF6"/>
    <w:rsid w:val="00002BC8"/>
    <w:rsid w:val="00002D92"/>
    <w:rsid w:val="00002DC4"/>
    <w:rsid w:val="00002E03"/>
    <w:rsid w:val="00002E15"/>
    <w:rsid w:val="00002E7A"/>
    <w:rsid w:val="00002FF3"/>
    <w:rsid w:val="00002FFB"/>
    <w:rsid w:val="00003127"/>
    <w:rsid w:val="0000315E"/>
    <w:rsid w:val="000031F5"/>
    <w:rsid w:val="000033E5"/>
    <w:rsid w:val="0000347D"/>
    <w:rsid w:val="00003498"/>
    <w:rsid w:val="00003520"/>
    <w:rsid w:val="00003591"/>
    <w:rsid w:val="000037C6"/>
    <w:rsid w:val="000037E3"/>
    <w:rsid w:val="0000383C"/>
    <w:rsid w:val="00003958"/>
    <w:rsid w:val="000039B5"/>
    <w:rsid w:val="000039D7"/>
    <w:rsid w:val="000039E4"/>
    <w:rsid w:val="00003B1E"/>
    <w:rsid w:val="00003B22"/>
    <w:rsid w:val="00003D29"/>
    <w:rsid w:val="000040C7"/>
    <w:rsid w:val="000040CC"/>
    <w:rsid w:val="00004126"/>
    <w:rsid w:val="00004162"/>
    <w:rsid w:val="0000423C"/>
    <w:rsid w:val="000042A7"/>
    <w:rsid w:val="00004309"/>
    <w:rsid w:val="0000438E"/>
    <w:rsid w:val="000043B3"/>
    <w:rsid w:val="00004400"/>
    <w:rsid w:val="00004402"/>
    <w:rsid w:val="000044A6"/>
    <w:rsid w:val="000045AB"/>
    <w:rsid w:val="00004627"/>
    <w:rsid w:val="0000468D"/>
    <w:rsid w:val="00004693"/>
    <w:rsid w:val="00004751"/>
    <w:rsid w:val="00004789"/>
    <w:rsid w:val="000049FD"/>
    <w:rsid w:val="00004B4A"/>
    <w:rsid w:val="00004B79"/>
    <w:rsid w:val="00004B86"/>
    <w:rsid w:val="00004C3D"/>
    <w:rsid w:val="00004DD9"/>
    <w:rsid w:val="00004DF3"/>
    <w:rsid w:val="00004E4F"/>
    <w:rsid w:val="00004E7A"/>
    <w:rsid w:val="00004EB5"/>
    <w:rsid w:val="00004FFE"/>
    <w:rsid w:val="00005193"/>
    <w:rsid w:val="0000538A"/>
    <w:rsid w:val="000053C8"/>
    <w:rsid w:val="000054A0"/>
    <w:rsid w:val="0000551E"/>
    <w:rsid w:val="000055B0"/>
    <w:rsid w:val="000055BA"/>
    <w:rsid w:val="000056BB"/>
    <w:rsid w:val="000056D7"/>
    <w:rsid w:val="000056EB"/>
    <w:rsid w:val="0000573F"/>
    <w:rsid w:val="000057A1"/>
    <w:rsid w:val="000058C0"/>
    <w:rsid w:val="00005A93"/>
    <w:rsid w:val="00005AF7"/>
    <w:rsid w:val="00005B8A"/>
    <w:rsid w:val="00005B93"/>
    <w:rsid w:val="00005C36"/>
    <w:rsid w:val="00005C3D"/>
    <w:rsid w:val="00005D42"/>
    <w:rsid w:val="00005D73"/>
    <w:rsid w:val="00005EEE"/>
    <w:rsid w:val="00005F34"/>
    <w:rsid w:val="00005F6F"/>
    <w:rsid w:val="000060BD"/>
    <w:rsid w:val="0000610A"/>
    <w:rsid w:val="00006172"/>
    <w:rsid w:val="000061B5"/>
    <w:rsid w:val="00006288"/>
    <w:rsid w:val="0000629C"/>
    <w:rsid w:val="0000637C"/>
    <w:rsid w:val="000064A8"/>
    <w:rsid w:val="0000650A"/>
    <w:rsid w:val="0000654E"/>
    <w:rsid w:val="000066C1"/>
    <w:rsid w:val="0000670D"/>
    <w:rsid w:val="000067A7"/>
    <w:rsid w:val="000068A4"/>
    <w:rsid w:val="00006969"/>
    <w:rsid w:val="00006BF7"/>
    <w:rsid w:val="00006C09"/>
    <w:rsid w:val="00006D78"/>
    <w:rsid w:val="00006DB2"/>
    <w:rsid w:val="00006DFE"/>
    <w:rsid w:val="00006E9E"/>
    <w:rsid w:val="00006EDB"/>
    <w:rsid w:val="00006F00"/>
    <w:rsid w:val="00007015"/>
    <w:rsid w:val="0000701E"/>
    <w:rsid w:val="00007046"/>
    <w:rsid w:val="000070AE"/>
    <w:rsid w:val="00007156"/>
    <w:rsid w:val="0000719E"/>
    <w:rsid w:val="000072AC"/>
    <w:rsid w:val="00007360"/>
    <w:rsid w:val="000073B6"/>
    <w:rsid w:val="0000742C"/>
    <w:rsid w:val="0000747B"/>
    <w:rsid w:val="00007596"/>
    <w:rsid w:val="000075FE"/>
    <w:rsid w:val="00007602"/>
    <w:rsid w:val="00007647"/>
    <w:rsid w:val="00007687"/>
    <w:rsid w:val="000076CF"/>
    <w:rsid w:val="000076FE"/>
    <w:rsid w:val="000077A1"/>
    <w:rsid w:val="00007858"/>
    <w:rsid w:val="00007898"/>
    <w:rsid w:val="000078CD"/>
    <w:rsid w:val="000079EE"/>
    <w:rsid w:val="00007A3D"/>
    <w:rsid w:val="00007BB9"/>
    <w:rsid w:val="00007C91"/>
    <w:rsid w:val="00007D7D"/>
    <w:rsid w:val="00007DB9"/>
    <w:rsid w:val="00007ED7"/>
    <w:rsid w:val="00007F95"/>
    <w:rsid w:val="0001012A"/>
    <w:rsid w:val="00010231"/>
    <w:rsid w:val="00010422"/>
    <w:rsid w:val="000105A9"/>
    <w:rsid w:val="00010618"/>
    <w:rsid w:val="00010647"/>
    <w:rsid w:val="00010734"/>
    <w:rsid w:val="000107F8"/>
    <w:rsid w:val="00010960"/>
    <w:rsid w:val="00010990"/>
    <w:rsid w:val="000109E0"/>
    <w:rsid w:val="00010AEB"/>
    <w:rsid w:val="00010B0B"/>
    <w:rsid w:val="00010BDF"/>
    <w:rsid w:val="00010C0F"/>
    <w:rsid w:val="00010C71"/>
    <w:rsid w:val="00010D14"/>
    <w:rsid w:val="00010EFB"/>
    <w:rsid w:val="00011037"/>
    <w:rsid w:val="000111D2"/>
    <w:rsid w:val="000112DC"/>
    <w:rsid w:val="00011554"/>
    <w:rsid w:val="00011629"/>
    <w:rsid w:val="0001168C"/>
    <w:rsid w:val="00011791"/>
    <w:rsid w:val="000117F3"/>
    <w:rsid w:val="00011943"/>
    <w:rsid w:val="00011960"/>
    <w:rsid w:val="00011A30"/>
    <w:rsid w:val="00011A94"/>
    <w:rsid w:val="00011AAC"/>
    <w:rsid w:val="00011C6D"/>
    <w:rsid w:val="00011C80"/>
    <w:rsid w:val="00011D02"/>
    <w:rsid w:val="00011D86"/>
    <w:rsid w:val="00011DDD"/>
    <w:rsid w:val="00011E95"/>
    <w:rsid w:val="00011EAB"/>
    <w:rsid w:val="00011F11"/>
    <w:rsid w:val="00011FDA"/>
    <w:rsid w:val="000120A3"/>
    <w:rsid w:val="0001217A"/>
    <w:rsid w:val="000121D2"/>
    <w:rsid w:val="000121F1"/>
    <w:rsid w:val="00012204"/>
    <w:rsid w:val="00012234"/>
    <w:rsid w:val="00012235"/>
    <w:rsid w:val="000122BE"/>
    <w:rsid w:val="00012326"/>
    <w:rsid w:val="00012336"/>
    <w:rsid w:val="00012517"/>
    <w:rsid w:val="00012576"/>
    <w:rsid w:val="00012670"/>
    <w:rsid w:val="000126C9"/>
    <w:rsid w:val="000126F3"/>
    <w:rsid w:val="00012710"/>
    <w:rsid w:val="0001274F"/>
    <w:rsid w:val="00012755"/>
    <w:rsid w:val="00012830"/>
    <w:rsid w:val="0001290B"/>
    <w:rsid w:val="0001290F"/>
    <w:rsid w:val="00012911"/>
    <w:rsid w:val="0001291C"/>
    <w:rsid w:val="0001297E"/>
    <w:rsid w:val="000129EA"/>
    <w:rsid w:val="00012A0F"/>
    <w:rsid w:val="00012A13"/>
    <w:rsid w:val="00012A14"/>
    <w:rsid w:val="00012A9C"/>
    <w:rsid w:val="00012B38"/>
    <w:rsid w:val="00012B9A"/>
    <w:rsid w:val="00012CA5"/>
    <w:rsid w:val="00012CCA"/>
    <w:rsid w:val="00012D05"/>
    <w:rsid w:val="00012D67"/>
    <w:rsid w:val="00012DDE"/>
    <w:rsid w:val="00012ED7"/>
    <w:rsid w:val="00012FDE"/>
    <w:rsid w:val="00013181"/>
    <w:rsid w:val="000131B0"/>
    <w:rsid w:val="000133CE"/>
    <w:rsid w:val="00013440"/>
    <w:rsid w:val="00013544"/>
    <w:rsid w:val="00013551"/>
    <w:rsid w:val="00013560"/>
    <w:rsid w:val="00013649"/>
    <w:rsid w:val="0001367B"/>
    <w:rsid w:val="000137AA"/>
    <w:rsid w:val="000137D4"/>
    <w:rsid w:val="0001388C"/>
    <w:rsid w:val="00013908"/>
    <w:rsid w:val="00013991"/>
    <w:rsid w:val="000139B1"/>
    <w:rsid w:val="00013A5F"/>
    <w:rsid w:val="00013B04"/>
    <w:rsid w:val="00013CE7"/>
    <w:rsid w:val="00013D22"/>
    <w:rsid w:val="00013FAE"/>
    <w:rsid w:val="00014044"/>
    <w:rsid w:val="000140BC"/>
    <w:rsid w:val="00014157"/>
    <w:rsid w:val="0001421C"/>
    <w:rsid w:val="000142C8"/>
    <w:rsid w:val="0001430F"/>
    <w:rsid w:val="00014336"/>
    <w:rsid w:val="00014378"/>
    <w:rsid w:val="00014476"/>
    <w:rsid w:val="0001460A"/>
    <w:rsid w:val="00014676"/>
    <w:rsid w:val="0001469C"/>
    <w:rsid w:val="000147D8"/>
    <w:rsid w:val="000147D9"/>
    <w:rsid w:val="000147EC"/>
    <w:rsid w:val="00014935"/>
    <w:rsid w:val="0001494B"/>
    <w:rsid w:val="0001494F"/>
    <w:rsid w:val="00014BB5"/>
    <w:rsid w:val="00014BC0"/>
    <w:rsid w:val="00014C8A"/>
    <w:rsid w:val="00014D18"/>
    <w:rsid w:val="00014DC3"/>
    <w:rsid w:val="00014E3D"/>
    <w:rsid w:val="00014E46"/>
    <w:rsid w:val="00014E76"/>
    <w:rsid w:val="00014E85"/>
    <w:rsid w:val="00014FD8"/>
    <w:rsid w:val="000150D0"/>
    <w:rsid w:val="0001513B"/>
    <w:rsid w:val="00015190"/>
    <w:rsid w:val="000151A5"/>
    <w:rsid w:val="000151B9"/>
    <w:rsid w:val="00015311"/>
    <w:rsid w:val="000153D3"/>
    <w:rsid w:val="00015499"/>
    <w:rsid w:val="000154FD"/>
    <w:rsid w:val="00015553"/>
    <w:rsid w:val="00015593"/>
    <w:rsid w:val="00015675"/>
    <w:rsid w:val="00015902"/>
    <w:rsid w:val="00015906"/>
    <w:rsid w:val="00015A0F"/>
    <w:rsid w:val="00015AB9"/>
    <w:rsid w:val="00015B5A"/>
    <w:rsid w:val="00015CAF"/>
    <w:rsid w:val="00015CE4"/>
    <w:rsid w:val="00015D30"/>
    <w:rsid w:val="00015DFE"/>
    <w:rsid w:val="00015ED7"/>
    <w:rsid w:val="0001622A"/>
    <w:rsid w:val="000162E6"/>
    <w:rsid w:val="000163BE"/>
    <w:rsid w:val="000163EA"/>
    <w:rsid w:val="000165E9"/>
    <w:rsid w:val="000166AF"/>
    <w:rsid w:val="00016818"/>
    <w:rsid w:val="00016883"/>
    <w:rsid w:val="000168E3"/>
    <w:rsid w:val="00016997"/>
    <w:rsid w:val="00016A26"/>
    <w:rsid w:val="00016B75"/>
    <w:rsid w:val="00016BE7"/>
    <w:rsid w:val="00016C5F"/>
    <w:rsid w:val="00016D60"/>
    <w:rsid w:val="00016DD6"/>
    <w:rsid w:val="00016F12"/>
    <w:rsid w:val="00016F47"/>
    <w:rsid w:val="00017030"/>
    <w:rsid w:val="000170BA"/>
    <w:rsid w:val="000171A3"/>
    <w:rsid w:val="0001722D"/>
    <w:rsid w:val="00017236"/>
    <w:rsid w:val="00017267"/>
    <w:rsid w:val="00017280"/>
    <w:rsid w:val="000172CE"/>
    <w:rsid w:val="000172D2"/>
    <w:rsid w:val="0001740D"/>
    <w:rsid w:val="00017423"/>
    <w:rsid w:val="000175FD"/>
    <w:rsid w:val="000176B2"/>
    <w:rsid w:val="000176C6"/>
    <w:rsid w:val="0001772B"/>
    <w:rsid w:val="00017761"/>
    <w:rsid w:val="0001778F"/>
    <w:rsid w:val="000177AB"/>
    <w:rsid w:val="000177E5"/>
    <w:rsid w:val="0001780E"/>
    <w:rsid w:val="0001788A"/>
    <w:rsid w:val="000178D9"/>
    <w:rsid w:val="00017924"/>
    <w:rsid w:val="00017A8B"/>
    <w:rsid w:val="00017B44"/>
    <w:rsid w:val="00017B87"/>
    <w:rsid w:val="00017BB1"/>
    <w:rsid w:val="00017C18"/>
    <w:rsid w:val="00017C79"/>
    <w:rsid w:val="00017C88"/>
    <w:rsid w:val="00017CB2"/>
    <w:rsid w:val="00017D79"/>
    <w:rsid w:val="00017EE0"/>
    <w:rsid w:val="00017F0D"/>
    <w:rsid w:val="00017F69"/>
    <w:rsid w:val="00017F73"/>
    <w:rsid w:val="00017FCD"/>
    <w:rsid w:val="000200C8"/>
    <w:rsid w:val="000200D6"/>
    <w:rsid w:val="00020159"/>
    <w:rsid w:val="0002018D"/>
    <w:rsid w:val="0002018E"/>
    <w:rsid w:val="00020193"/>
    <w:rsid w:val="000201B0"/>
    <w:rsid w:val="00020222"/>
    <w:rsid w:val="00020243"/>
    <w:rsid w:val="0002032B"/>
    <w:rsid w:val="0002045A"/>
    <w:rsid w:val="00020562"/>
    <w:rsid w:val="000206B4"/>
    <w:rsid w:val="0002070E"/>
    <w:rsid w:val="000207DF"/>
    <w:rsid w:val="0002082C"/>
    <w:rsid w:val="00020926"/>
    <w:rsid w:val="00020B08"/>
    <w:rsid w:val="00020B93"/>
    <w:rsid w:val="00020C37"/>
    <w:rsid w:val="00020C38"/>
    <w:rsid w:val="00020C75"/>
    <w:rsid w:val="00020C98"/>
    <w:rsid w:val="00020CBD"/>
    <w:rsid w:val="00020CE6"/>
    <w:rsid w:val="00020E3C"/>
    <w:rsid w:val="00020EC1"/>
    <w:rsid w:val="0002108D"/>
    <w:rsid w:val="00021160"/>
    <w:rsid w:val="0002117E"/>
    <w:rsid w:val="000211E6"/>
    <w:rsid w:val="000212EE"/>
    <w:rsid w:val="00021381"/>
    <w:rsid w:val="0002147F"/>
    <w:rsid w:val="000214FE"/>
    <w:rsid w:val="000215E5"/>
    <w:rsid w:val="000216EE"/>
    <w:rsid w:val="000217F4"/>
    <w:rsid w:val="00021846"/>
    <w:rsid w:val="00021937"/>
    <w:rsid w:val="0002197A"/>
    <w:rsid w:val="000219B4"/>
    <w:rsid w:val="000219BB"/>
    <w:rsid w:val="000219F5"/>
    <w:rsid w:val="00021BA5"/>
    <w:rsid w:val="00021BAA"/>
    <w:rsid w:val="00021C00"/>
    <w:rsid w:val="00021CB9"/>
    <w:rsid w:val="00021D7E"/>
    <w:rsid w:val="00021ED0"/>
    <w:rsid w:val="00022181"/>
    <w:rsid w:val="00022310"/>
    <w:rsid w:val="0002231B"/>
    <w:rsid w:val="00022361"/>
    <w:rsid w:val="00022396"/>
    <w:rsid w:val="000224CF"/>
    <w:rsid w:val="0002269F"/>
    <w:rsid w:val="000226EE"/>
    <w:rsid w:val="0002274E"/>
    <w:rsid w:val="00022852"/>
    <w:rsid w:val="00022889"/>
    <w:rsid w:val="0002297F"/>
    <w:rsid w:val="0002298C"/>
    <w:rsid w:val="00022C0F"/>
    <w:rsid w:val="00022CC7"/>
    <w:rsid w:val="00022CE5"/>
    <w:rsid w:val="00022D7D"/>
    <w:rsid w:val="00022DC2"/>
    <w:rsid w:val="00022E1D"/>
    <w:rsid w:val="00022F34"/>
    <w:rsid w:val="00022F36"/>
    <w:rsid w:val="0002302F"/>
    <w:rsid w:val="000230F7"/>
    <w:rsid w:val="00023119"/>
    <w:rsid w:val="0002314F"/>
    <w:rsid w:val="0002318C"/>
    <w:rsid w:val="000231BE"/>
    <w:rsid w:val="00023273"/>
    <w:rsid w:val="000232B6"/>
    <w:rsid w:val="000232C2"/>
    <w:rsid w:val="00023337"/>
    <w:rsid w:val="00023381"/>
    <w:rsid w:val="000233E6"/>
    <w:rsid w:val="00023594"/>
    <w:rsid w:val="000235D9"/>
    <w:rsid w:val="000235EA"/>
    <w:rsid w:val="00023865"/>
    <w:rsid w:val="000238E2"/>
    <w:rsid w:val="0002392D"/>
    <w:rsid w:val="00023AFE"/>
    <w:rsid w:val="00023B09"/>
    <w:rsid w:val="00023B71"/>
    <w:rsid w:val="00023BB1"/>
    <w:rsid w:val="00023BC4"/>
    <w:rsid w:val="00023BC8"/>
    <w:rsid w:val="00023BEC"/>
    <w:rsid w:val="00023C54"/>
    <w:rsid w:val="00023C71"/>
    <w:rsid w:val="00023DEE"/>
    <w:rsid w:val="00023E45"/>
    <w:rsid w:val="00023EEC"/>
    <w:rsid w:val="00023F87"/>
    <w:rsid w:val="00024053"/>
    <w:rsid w:val="000240D5"/>
    <w:rsid w:val="0002419F"/>
    <w:rsid w:val="00024574"/>
    <w:rsid w:val="00024618"/>
    <w:rsid w:val="00024647"/>
    <w:rsid w:val="000246A5"/>
    <w:rsid w:val="000246E9"/>
    <w:rsid w:val="000247B0"/>
    <w:rsid w:val="0002496F"/>
    <w:rsid w:val="00024985"/>
    <w:rsid w:val="000249F0"/>
    <w:rsid w:val="00024A6A"/>
    <w:rsid w:val="00024B6B"/>
    <w:rsid w:val="00024B80"/>
    <w:rsid w:val="00024C73"/>
    <w:rsid w:val="00024C81"/>
    <w:rsid w:val="00024D4C"/>
    <w:rsid w:val="00024E24"/>
    <w:rsid w:val="00024EE1"/>
    <w:rsid w:val="00024EF7"/>
    <w:rsid w:val="00024F94"/>
    <w:rsid w:val="00025074"/>
    <w:rsid w:val="000251D2"/>
    <w:rsid w:val="00025217"/>
    <w:rsid w:val="000253DA"/>
    <w:rsid w:val="00025435"/>
    <w:rsid w:val="00025449"/>
    <w:rsid w:val="00025474"/>
    <w:rsid w:val="000254A0"/>
    <w:rsid w:val="0002556B"/>
    <w:rsid w:val="0002558B"/>
    <w:rsid w:val="000256D3"/>
    <w:rsid w:val="0002574A"/>
    <w:rsid w:val="00025839"/>
    <w:rsid w:val="00025856"/>
    <w:rsid w:val="00025910"/>
    <w:rsid w:val="00025977"/>
    <w:rsid w:val="000259B2"/>
    <w:rsid w:val="00025A3B"/>
    <w:rsid w:val="00025A48"/>
    <w:rsid w:val="00025A84"/>
    <w:rsid w:val="00025AA6"/>
    <w:rsid w:val="00025B1E"/>
    <w:rsid w:val="00025B3A"/>
    <w:rsid w:val="00025B5C"/>
    <w:rsid w:val="00025D81"/>
    <w:rsid w:val="00026094"/>
    <w:rsid w:val="00026121"/>
    <w:rsid w:val="00026155"/>
    <w:rsid w:val="00026230"/>
    <w:rsid w:val="000262D7"/>
    <w:rsid w:val="000263A5"/>
    <w:rsid w:val="0002641A"/>
    <w:rsid w:val="000264BB"/>
    <w:rsid w:val="000264D6"/>
    <w:rsid w:val="000264DC"/>
    <w:rsid w:val="000265CF"/>
    <w:rsid w:val="000266AA"/>
    <w:rsid w:val="0002677E"/>
    <w:rsid w:val="00026880"/>
    <w:rsid w:val="000269DC"/>
    <w:rsid w:val="00026A2D"/>
    <w:rsid w:val="00026ABA"/>
    <w:rsid w:val="00026B39"/>
    <w:rsid w:val="00026B48"/>
    <w:rsid w:val="00026BA2"/>
    <w:rsid w:val="00026C02"/>
    <w:rsid w:val="00026D45"/>
    <w:rsid w:val="00026E26"/>
    <w:rsid w:val="00026F48"/>
    <w:rsid w:val="00027270"/>
    <w:rsid w:val="0002728C"/>
    <w:rsid w:val="0002735E"/>
    <w:rsid w:val="000273C1"/>
    <w:rsid w:val="000273FF"/>
    <w:rsid w:val="00027403"/>
    <w:rsid w:val="00027484"/>
    <w:rsid w:val="0002749F"/>
    <w:rsid w:val="00027544"/>
    <w:rsid w:val="000275AE"/>
    <w:rsid w:val="00027764"/>
    <w:rsid w:val="000277C9"/>
    <w:rsid w:val="0002782A"/>
    <w:rsid w:val="00027903"/>
    <w:rsid w:val="00027AF9"/>
    <w:rsid w:val="00027B23"/>
    <w:rsid w:val="00027C0E"/>
    <w:rsid w:val="00027C66"/>
    <w:rsid w:val="00027C94"/>
    <w:rsid w:val="00027D59"/>
    <w:rsid w:val="00027F36"/>
    <w:rsid w:val="00027F5E"/>
    <w:rsid w:val="00027FE5"/>
    <w:rsid w:val="00027FF8"/>
    <w:rsid w:val="00030044"/>
    <w:rsid w:val="0003020D"/>
    <w:rsid w:val="00030275"/>
    <w:rsid w:val="0003037B"/>
    <w:rsid w:val="00030508"/>
    <w:rsid w:val="00030533"/>
    <w:rsid w:val="00030582"/>
    <w:rsid w:val="0003058E"/>
    <w:rsid w:val="00030594"/>
    <w:rsid w:val="000305A3"/>
    <w:rsid w:val="000305EE"/>
    <w:rsid w:val="00030709"/>
    <w:rsid w:val="00030837"/>
    <w:rsid w:val="00030858"/>
    <w:rsid w:val="000308DD"/>
    <w:rsid w:val="0003096F"/>
    <w:rsid w:val="00030AE1"/>
    <w:rsid w:val="00030B08"/>
    <w:rsid w:val="00030BDC"/>
    <w:rsid w:val="00030BEF"/>
    <w:rsid w:val="00030CBD"/>
    <w:rsid w:val="00030CD4"/>
    <w:rsid w:val="00030D21"/>
    <w:rsid w:val="00030E53"/>
    <w:rsid w:val="00030E6A"/>
    <w:rsid w:val="00030E6E"/>
    <w:rsid w:val="00030F0F"/>
    <w:rsid w:val="00030F9F"/>
    <w:rsid w:val="0003104E"/>
    <w:rsid w:val="000312A1"/>
    <w:rsid w:val="000312D7"/>
    <w:rsid w:val="00031300"/>
    <w:rsid w:val="000313D8"/>
    <w:rsid w:val="0003142F"/>
    <w:rsid w:val="00031497"/>
    <w:rsid w:val="000315DE"/>
    <w:rsid w:val="0003163B"/>
    <w:rsid w:val="0003163D"/>
    <w:rsid w:val="0003163F"/>
    <w:rsid w:val="0003164E"/>
    <w:rsid w:val="00031732"/>
    <w:rsid w:val="000317F5"/>
    <w:rsid w:val="00031827"/>
    <w:rsid w:val="000318FC"/>
    <w:rsid w:val="0003190E"/>
    <w:rsid w:val="00031994"/>
    <w:rsid w:val="000319A0"/>
    <w:rsid w:val="00031A58"/>
    <w:rsid w:val="00031A74"/>
    <w:rsid w:val="00031A9D"/>
    <w:rsid w:val="00031B3C"/>
    <w:rsid w:val="00031BAC"/>
    <w:rsid w:val="00031CE6"/>
    <w:rsid w:val="00031D73"/>
    <w:rsid w:val="00031DEB"/>
    <w:rsid w:val="00031E14"/>
    <w:rsid w:val="00031E18"/>
    <w:rsid w:val="00031E61"/>
    <w:rsid w:val="00031F32"/>
    <w:rsid w:val="00031F99"/>
    <w:rsid w:val="000320D1"/>
    <w:rsid w:val="000321C3"/>
    <w:rsid w:val="000321D2"/>
    <w:rsid w:val="000321FC"/>
    <w:rsid w:val="00032217"/>
    <w:rsid w:val="000323DD"/>
    <w:rsid w:val="00032477"/>
    <w:rsid w:val="00032523"/>
    <w:rsid w:val="00032715"/>
    <w:rsid w:val="00032738"/>
    <w:rsid w:val="00032745"/>
    <w:rsid w:val="0003275F"/>
    <w:rsid w:val="0003277E"/>
    <w:rsid w:val="000327A1"/>
    <w:rsid w:val="0003282C"/>
    <w:rsid w:val="00032859"/>
    <w:rsid w:val="000329F1"/>
    <w:rsid w:val="00032A81"/>
    <w:rsid w:val="00032AE9"/>
    <w:rsid w:val="00032BA1"/>
    <w:rsid w:val="00032C20"/>
    <w:rsid w:val="00032DB9"/>
    <w:rsid w:val="00032E5A"/>
    <w:rsid w:val="00032E82"/>
    <w:rsid w:val="00032ED0"/>
    <w:rsid w:val="00032FEB"/>
    <w:rsid w:val="0003308A"/>
    <w:rsid w:val="000330BB"/>
    <w:rsid w:val="000330E6"/>
    <w:rsid w:val="00033183"/>
    <w:rsid w:val="00033268"/>
    <w:rsid w:val="00033276"/>
    <w:rsid w:val="0003329B"/>
    <w:rsid w:val="00033321"/>
    <w:rsid w:val="000333CD"/>
    <w:rsid w:val="00033431"/>
    <w:rsid w:val="0003344B"/>
    <w:rsid w:val="00033465"/>
    <w:rsid w:val="00033496"/>
    <w:rsid w:val="0003349E"/>
    <w:rsid w:val="000334A4"/>
    <w:rsid w:val="00033548"/>
    <w:rsid w:val="0003357E"/>
    <w:rsid w:val="0003384E"/>
    <w:rsid w:val="000338DE"/>
    <w:rsid w:val="0003396A"/>
    <w:rsid w:val="0003397B"/>
    <w:rsid w:val="000339AD"/>
    <w:rsid w:val="00033C07"/>
    <w:rsid w:val="00033CB0"/>
    <w:rsid w:val="00033D53"/>
    <w:rsid w:val="00033D93"/>
    <w:rsid w:val="00033DDE"/>
    <w:rsid w:val="00033E1E"/>
    <w:rsid w:val="00033FDF"/>
    <w:rsid w:val="00034021"/>
    <w:rsid w:val="000340C2"/>
    <w:rsid w:val="0003418F"/>
    <w:rsid w:val="000341ED"/>
    <w:rsid w:val="00034204"/>
    <w:rsid w:val="00034516"/>
    <w:rsid w:val="00034557"/>
    <w:rsid w:val="000347AA"/>
    <w:rsid w:val="0003489B"/>
    <w:rsid w:val="00034929"/>
    <w:rsid w:val="000349A8"/>
    <w:rsid w:val="00034AB3"/>
    <w:rsid w:val="00034BCA"/>
    <w:rsid w:val="00034BD1"/>
    <w:rsid w:val="00034C2B"/>
    <w:rsid w:val="00034D2F"/>
    <w:rsid w:val="00034D9A"/>
    <w:rsid w:val="00034DC3"/>
    <w:rsid w:val="00034E76"/>
    <w:rsid w:val="00035094"/>
    <w:rsid w:val="00035295"/>
    <w:rsid w:val="00035352"/>
    <w:rsid w:val="00035397"/>
    <w:rsid w:val="000353C2"/>
    <w:rsid w:val="000354C0"/>
    <w:rsid w:val="0003550F"/>
    <w:rsid w:val="0003559F"/>
    <w:rsid w:val="00035605"/>
    <w:rsid w:val="00035660"/>
    <w:rsid w:val="000356A9"/>
    <w:rsid w:val="00035731"/>
    <w:rsid w:val="0003573C"/>
    <w:rsid w:val="0003587B"/>
    <w:rsid w:val="0003588C"/>
    <w:rsid w:val="000358E5"/>
    <w:rsid w:val="000359F1"/>
    <w:rsid w:val="00035A0D"/>
    <w:rsid w:val="00035CA8"/>
    <w:rsid w:val="00035CDA"/>
    <w:rsid w:val="00035D81"/>
    <w:rsid w:val="00035E1C"/>
    <w:rsid w:val="00036031"/>
    <w:rsid w:val="00036129"/>
    <w:rsid w:val="00036179"/>
    <w:rsid w:val="0003617B"/>
    <w:rsid w:val="000361AD"/>
    <w:rsid w:val="000361B0"/>
    <w:rsid w:val="000362B7"/>
    <w:rsid w:val="000365A1"/>
    <w:rsid w:val="0003668D"/>
    <w:rsid w:val="000366B9"/>
    <w:rsid w:val="000367E0"/>
    <w:rsid w:val="00036899"/>
    <w:rsid w:val="000368D5"/>
    <w:rsid w:val="000368D7"/>
    <w:rsid w:val="000368E0"/>
    <w:rsid w:val="0003699C"/>
    <w:rsid w:val="00036A01"/>
    <w:rsid w:val="00036BD2"/>
    <w:rsid w:val="00036C27"/>
    <w:rsid w:val="00036C68"/>
    <w:rsid w:val="00036D31"/>
    <w:rsid w:val="00037057"/>
    <w:rsid w:val="0003706E"/>
    <w:rsid w:val="0003706F"/>
    <w:rsid w:val="0003718C"/>
    <w:rsid w:val="00037195"/>
    <w:rsid w:val="000371A4"/>
    <w:rsid w:val="00037212"/>
    <w:rsid w:val="0003737B"/>
    <w:rsid w:val="000373E0"/>
    <w:rsid w:val="00037417"/>
    <w:rsid w:val="00037464"/>
    <w:rsid w:val="00037573"/>
    <w:rsid w:val="000375BE"/>
    <w:rsid w:val="00037689"/>
    <w:rsid w:val="00037801"/>
    <w:rsid w:val="000378C0"/>
    <w:rsid w:val="00037939"/>
    <w:rsid w:val="0003795B"/>
    <w:rsid w:val="0003796E"/>
    <w:rsid w:val="00037A0E"/>
    <w:rsid w:val="00037A87"/>
    <w:rsid w:val="00037C97"/>
    <w:rsid w:val="00037CCF"/>
    <w:rsid w:val="00037D67"/>
    <w:rsid w:val="00037E4D"/>
    <w:rsid w:val="00037E60"/>
    <w:rsid w:val="00037EE7"/>
    <w:rsid w:val="00037FCA"/>
    <w:rsid w:val="00037FFE"/>
    <w:rsid w:val="00040025"/>
    <w:rsid w:val="0004015B"/>
    <w:rsid w:val="000401E4"/>
    <w:rsid w:val="00040245"/>
    <w:rsid w:val="0004026F"/>
    <w:rsid w:val="00040360"/>
    <w:rsid w:val="0004036E"/>
    <w:rsid w:val="00040374"/>
    <w:rsid w:val="000403AD"/>
    <w:rsid w:val="000403DE"/>
    <w:rsid w:val="00040512"/>
    <w:rsid w:val="0004060A"/>
    <w:rsid w:val="00040674"/>
    <w:rsid w:val="000406CC"/>
    <w:rsid w:val="000406F5"/>
    <w:rsid w:val="00040719"/>
    <w:rsid w:val="000407A3"/>
    <w:rsid w:val="000408F0"/>
    <w:rsid w:val="000409B1"/>
    <w:rsid w:val="00040A61"/>
    <w:rsid w:val="00040A72"/>
    <w:rsid w:val="00040AAB"/>
    <w:rsid w:val="00040B72"/>
    <w:rsid w:val="00040B95"/>
    <w:rsid w:val="00040C60"/>
    <w:rsid w:val="00040D9C"/>
    <w:rsid w:val="00040F1E"/>
    <w:rsid w:val="000411A2"/>
    <w:rsid w:val="0004127F"/>
    <w:rsid w:val="00041336"/>
    <w:rsid w:val="00041338"/>
    <w:rsid w:val="00041381"/>
    <w:rsid w:val="000414B3"/>
    <w:rsid w:val="0004153C"/>
    <w:rsid w:val="0004153F"/>
    <w:rsid w:val="00041690"/>
    <w:rsid w:val="000416B4"/>
    <w:rsid w:val="000416FA"/>
    <w:rsid w:val="00041767"/>
    <w:rsid w:val="0004186D"/>
    <w:rsid w:val="00041914"/>
    <w:rsid w:val="00041917"/>
    <w:rsid w:val="00041945"/>
    <w:rsid w:val="00041A4A"/>
    <w:rsid w:val="00041AA6"/>
    <w:rsid w:val="00041B86"/>
    <w:rsid w:val="00041B89"/>
    <w:rsid w:val="00041CBE"/>
    <w:rsid w:val="00041D00"/>
    <w:rsid w:val="00041D16"/>
    <w:rsid w:val="00041DA2"/>
    <w:rsid w:val="00041EDE"/>
    <w:rsid w:val="00041F7F"/>
    <w:rsid w:val="00041FED"/>
    <w:rsid w:val="00042095"/>
    <w:rsid w:val="000420C9"/>
    <w:rsid w:val="000420EC"/>
    <w:rsid w:val="00042227"/>
    <w:rsid w:val="00042242"/>
    <w:rsid w:val="00042292"/>
    <w:rsid w:val="00042328"/>
    <w:rsid w:val="00042411"/>
    <w:rsid w:val="0004241C"/>
    <w:rsid w:val="00042663"/>
    <w:rsid w:val="0004272D"/>
    <w:rsid w:val="0004276B"/>
    <w:rsid w:val="0004276F"/>
    <w:rsid w:val="0004280E"/>
    <w:rsid w:val="00042817"/>
    <w:rsid w:val="0004281B"/>
    <w:rsid w:val="00042852"/>
    <w:rsid w:val="000428B2"/>
    <w:rsid w:val="0004295E"/>
    <w:rsid w:val="00042ABF"/>
    <w:rsid w:val="00042BF1"/>
    <w:rsid w:val="00042D08"/>
    <w:rsid w:val="00042D3A"/>
    <w:rsid w:val="00042D6E"/>
    <w:rsid w:val="00042F12"/>
    <w:rsid w:val="00042FAB"/>
    <w:rsid w:val="00043194"/>
    <w:rsid w:val="00043281"/>
    <w:rsid w:val="0004328B"/>
    <w:rsid w:val="000432B9"/>
    <w:rsid w:val="00043488"/>
    <w:rsid w:val="000434E1"/>
    <w:rsid w:val="00043522"/>
    <w:rsid w:val="00043556"/>
    <w:rsid w:val="000435CE"/>
    <w:rsid w:val="000435D7"/>
    <w:rsid w:val="00043612"/>
    <w:rsid w:val="00043682"/>
    <w:rsid w:val="000436DE"/>
    <w:rsid w:val="000436E1"/>
    <w:rsid w:val="000436F8"/>
    <w:rsid w:val="00043701"/>
    <w:rsid w:val="0004374D"/>
    <w:rsid w:val="00043964"/>
    <w:rsid w:val="000439AC"/>
    <w:rsid w:val="000439E6"/>
    <w:rsid w:val="00043AB0"/>
    <w:rsid w:val="00043C4D"/>
    <w:rsid w:val="00043C5C"/>
    <w:rsid w:val="00043DDA"/>
    <w:rsid w:val="00044034"/>
    <w:rsid w:val="00044043"/>
    <w:rsid w:val="000441FE"/>
    <w:rsid w:val="000442B1"/>
    <w:rsid w:val="00044312"/>
    <w:rsid w:val="0004433C"/>
    <w:rsid w:val="0004439D"/>
    <w:rsid w:val="0004441B"/>
    <w:rsid w:val="00044585"/>
    <w:rsid w:val="000445C6"/>
    <w:rsid w:val="0004463F"/>
    <w:rsid w:val="000446B8"/>
    <w:rsid w:val="000447A0"/>
    <w:rsid w:val="000447BD"/>
    <w:rsid w:val="000447E9"/>
    <w:rsid w:val="00044892"/>
    <w:rsid w:val="00044900"/>
    <w:rsid w:val="00044929"/>
    <w:rsid w:val="00044970"/>
    <w:rsid w:val="000449DC"/>
    <w:rsid w:val="00044B9C"/>
    <w:rsid w:val="00044C04"/>
    <w:rsid w:val="00044D37"/>
    <w:rsid w:val="00044D77"/>
    <w:rsid w:val="00044DB8"/>
    <w:rsid w:val="00044E54"/>
    <w:rsid w:val="00044ECB"/>
    <w:rsid w:val="00044EF8"/>
    <w:rsid w:val="00044F4B"/>
    <w:rsid w:val="00044F90"/>
    <w:rsid w:val="00044F9E"/>
    <w:rsid w:val="00044FFE"/>
    <w:rsid w:val="0004504D"/>
    <w:rsid w:val="0004505C"/>
    <w:rsid w:val="000450EA"/>
    <w:rsid w:val="0004510E"/>
    <w:rsid w:val="000451E7"/>
    <w:rsid w:val="000451F8"/>
    <w:rsid w:val="00045233"/>
    <w:rsid w:val="0004535A"/>
    <w:rsid w:val="00045430"/>
    <w:rsid w:val="000454BA"/>
    <w:rsid w:val="000454EB"/>
    <w:rsid w:val="000456A7"/>
    <w:rsid w:val="00045732"/>
    <w:rsid w:val="00045786"/>
    <w:rsid w:val="00045831"/>
    <w:rsid w:val="00045869"/>
    <w:rsid w:val="00045AD0"/>
    <w:rsid w:val="00045C53"/>
    <w:rsid w:val="00045C95"/>
    <w:rsid w:val="00045EC9"/>
    <w:rsid w:val="00045ECD"/>
    <w:rsid w:val="00045FF3"/>
    <w:rsid w:val="0004602C"/>
    <w:rsid w:val="00046185"/>
    <w:rsid w:val="00046385"/>
    <w:rsid w:val="0004643C"/>
    <w:rsid w:val="000465AE"/>
    <w:rsid w:val="000466D2"/>
    <w:rsid w:val="0004672E"/>
    <w:rsid w:val="00046747"/>
    <w:rsid w:val="000468E1"/>
    <w:rsid w:val="0004697C"/>
    <w:rsid w:val="00046991"/>
    <w:rsid w:val="000469E9"/>
    <w:rsid w:val="00046AFC"/>
    <w:rsid w:val="00046C30"/>
    <w:rsid w:val="00046F42"/>
    <w:rsid w:val="0004710C"/>
    <w:rsid w:val="0004761C"/>
    <w:rsid w:val="00047755"/>
    <w:rsid w:val="0004776C"/>
    <w:rsid w:val="0004777B"/>
    <w:rsid w:val="0004783B"/>
    <w:rsid w:val="0004789F"/>
    <w:rsid w:val="0004792E"/>
    <w:rsid w:val="000479B0"/>
    <w:rsid w:val="00047A2D"/>
    <w:rsid w:val="00047A81"/>
    <w:rsid w:val="00047AB4"/>
    <w:rsid w:val="00047B04"/>
    <w:rsid w:val="00047BDC"/>
    <w:rsid w:val="00047D03"/>
    <w:rsid w:val="00047DB5"/>
    <w:rsid w:val="00047EE5"/>
    <w:rsid w:val="00047F74"/>
    <w:rsid w:val="00047FC7"/>
    <w:rsid w:val="00050030"/>
    <w:rsid w:val="000500BA"/>
    <w:rsid w:val="000500CC"/>
    <w:rsid w:val="00050106"/>
    <w:rsid w:val="00050251"/>
    <w:rsid w:val="0005033C"/>
    <w:rsid w:val="00050406"/>
    <w:rsid w:val="0005043A"/>
    <w:rsid w:val="000504B5"/>
    <w:rsid w:val="00050536"/>
    <w:rsid w:val="0005054A"/>
    <w:rsid w:val="00050557"/>
    <w:rsid w:val="000505D2"/>
    <w:rsid w:val="00050612"/>
    <w:rsid w:val="00050638"/>
    <w:rsid w:val="0005077C"/>
    <w:rsid w:val="00050987"/>
    <w:rsid w:val="00050990"/>
    <w:rsid w:val="00050AA6"/>
    <w:rsid w:val="00050AFE"/>
    <w:rsid w:val="00050BD2"/>
    <w:rsid w:val="00050BE8"/>
    <w:rsid w:val="00050E84"/>
    <w:rsid w:val="00050E87"/>
    <w:rsid w:val="00050ECD"/>
    <w:rsid w:val="00050F2D"/>
    <w:rsid w:val="00050F3F"/>
    <w:rsid w:val="0005101E"/>
    <w:rsid w:val="00051195"/>
    <w:rsid w:val="00051265"/>
    <w:rsid w:val="00051331"/>
    <w:rsid w:val="00051354"/>
    <w:rsid w:val="000513FB"/>
    <w:rsid w:val="0005149F"/>
    <w:rsid w:val="000514B7"/>
    <w:rsid w:val="000514DE"/>
    <w:rsid w:val="00051628"/>
    <w:rsid w:val="000516E9"/>
    <w:rsid w:val="00051742"/>
    <w:rsid w:val="000517C4"/>
    <w:rsid w:val="00051828"/>
    <w:rsid w:val="0005183C"/>
    <w:rsid w:val="0005196A"/>
    <w:rsid w:val="0005199A"/>
    <w:rsid w:val="00051AD8"/>
    <w:rsid w:val="00051ADE"/>
    <w:rsid w:val="00051D0B"/>
    <w:rsid w:val="00051DB4"/>
    <w:rsid w:val="00051E43"/>
    <w:rsid w:val="00051E73"/>
    <w:rsid w:val="00051FF3"/>
    <w:rsid w:val="00051FF5"/>
    <w:rsid w:val="00052092"/>
    <w:rsid w:val="000520C5"/>
    <w:rsid w:val="0005213F"/>
    <w:rsid w:val="0005215B"/>
    <w:rsid w:val="00052198"/>
    <w:rsid w:val="00052250"/>
    <w:rsid w:val="00052335"/>
    <w:rsid w:val="00052359"/>
    <w:rsid w:val="000523FC"/>
    <w:rsid w:val="00052400"/>
    <w:rsid w:val="00052495"/>
    <w:rsid w:val="00052512"/>
    <w:rsid w:val="0005251E"/>
    <w:rsid w:val="00052623"/>
    <w:rsid w:val="000526DF"/>
    <w:rsid w:val="00052896"/>
    <w:rsid w:val="000528A5"/>
    <w:rsid w:val="000528D5"/>
    <w:rsid w:val="000528E8"/>
    <w:rsid w:val="00052923"/>
    <w:rsid w:val="00052993"/>
    <w:rsid w:val="00052A6B"/>
    <w:rsid w:val="00052A7A"/>
    <w:rsid w:val="00052C16"/>
    <w:rsid w:val="00052C48"/>
    <w:rsid w:val="00052F5E"/>
    <w:rsid w:val="0005302D"/>
    <w:rsid w:val="00053087"/>
    <w:rsid w:val="00053159"/>
    <w:rsid w:val="0005316B"/>
    <w:rsid w:val="0005318B"/>
    <w:rsid w:val="000531A4"/>
    <w:rsid w:val="000531B7"/>
    <w:rsid w:val="000531DD"/>
    <w:rsid w:val="00053246"/>
    <w:rsid w:val="0005336D"/>
    <w:rsid w:val="000534E7"/>
    <w:rsid w:val="000537FA"/>
    <w:rsid w:val="0005384D"/>
    <w:rsid w:val="0005387A"/>
    <w:rsid w:val="00053959"/>
    <w:rsid w:val="00053990"/>
    <w:rsid w:val="00053A7D"/>
    <w:rsid w:val="00053ABF"/>
    <w:rsid w:val="00053B9D"/>
    <w:rsid w:val="00053CCC"/>
    <w:rsid w:val="00053EDD"/>
    <w:rsid w:val="00053FD5"/>
    <w:rsid w:val="00054092"/>
    <w:rsid w:val="000540D3"/>
    <w:rsid w:val="000543EB"/>
    <w:rsid w:val="00054413"/>
    <w:rsid w:val="0005454A"/>
    <w:rsid w:val="0005455D"/>
    <w:rsid w:val="00054634"/>
    <w:rsid w:val="0005470F"/>
    <w:rsid w:val="000548D9"/>
    <w:rsid w:val="00054902"/>
    <w:rsid w:val="00054926"/>
    <w:rsid w:val="00054A05"/>
    <w:rsid w:val="00054B6A"/>
    <w:rsid w:val="00054BCE"/>
    <w:rsid w:val="00054C00"/>
    <w:rsid w:val="00054C34"/>
    <w:rsid w:val="00054C70"/>
    <w:rsid w:val="00054E24"/>
    <w:rsid w:val="00054F66"/>
    <w:rsid w:val="00054F75"/>
    <w:rsid w:val="000550C4"/>
    <w:rsid w:val="000551E7"/>
    <w:rsid w:val="000552A5"/>
    <w:rsid w:val="00055377"/>
    <w:rsid w:val="000553CD"/>
    <w:rsid w:val="00055424"/>
    <w:rsid w:val="000555A9"/>
    <w:rsid w:val="000555F7"/>
    <w:rsid w:val="000556CE"/>
    <w:rsid w:val="0005573B"/>
    <w:rsid w:val="00055823"/>
    <w:rsid w:val="000558A1"/>
    <w:rsid w:val="000558BD"/>
    <w:rsid w:val="00055914"/>
    <w:rsid w:val="00055C58"/>
    <w:rsid w:val="00055CBE"/>
    <w:rsid w:val="00055D33"/>
    <w:rsid w:val="00055D45"/>
    <w:rsid w:val="00055D49"/>
    <w:rsid w:val="00055E87"/>
    <w:rsid w:val="00055EA5"/>
    <w:rsid w:val="00055F32"/>
    <w:rsid w:val="00055F43"/>
    <w:rsid w:val="00056162"/>
    <w:rsid w:val="0005621D"/>
    <w:rsid w:val="0005628B"/>
    <w:rsid w:val="000562B0"/>
    <w:rsid w:val="00056414"/>
    <w:rsid w:val="00056465"/>
    <w:rsid w:val="000566C6"/>
    <w:rsid w:val="0005687B"/>
    <w:rsid w:val="000568B2"/>
    <w:rsid w:val="000568E6"/>
    <w:rsid w:val="00056AF1"/>
    <w:rsid w:val="00056B28"/>
    <w:rsid w:val="00056C94"/>
    <w:rsid w:val="00056D6F"/>
    <w:rsid w:val="00056E65"/>
    <w:rsid w:val="00056EC5"/>
    <w:rsid w:val="00056ED2"/>
    <w:rsid w:val="00056F59"/>
    <w:rsid w:val="00056FAD"/>
    <w:rsid w:val="00056FD4"/>
    <w:rsid w:val="00057072"/>
    <w:rsid w:val="0005719C"/>
    <w:rsid w:val="0005720F"/>
    <w:rsid w:val="00057223"/>
    <w:rsid w:val="000572D7"/>
    <w:rsid w:val="0005731C"/>
    <w:rsid w:val="00057336"/>
    <w:rsid w:val="000573CD"/>
    <w:rsid w:val="00057427"/>
    <w:rsid w:val="00057433"/>
    <w:rsid w:val="00057552"/>
    <w:rsid w:val="00057583"/>
    <w:rsid w:val="00057647"/>
    <w:rsid w:val="0005777C"/>
    <w:rsid w:val="0005783A"/>
    <w:rsid w:val="00057946"/>
    <w:rsid w:val="00057957"/>
    <w:rsid w:val="000579AC"/>
    <w:rsid w:val="000579F9"/>
    <w:rsid w:val="00057B21"/>
    <w:rsid w:val="00057B70"/>
    <w:rsid w:val="00057C76"/>
    <w:rsid w:val="00057CF3"/>
    <w:rsid w:val="00057CF8"/>
    <w:rsid w:val="00057D1A"/>
    <w:rsid w:val="00057D33"/>
    <w:rsid w:val="00057DD6"/>
    <w:rsid w:val="00057DF2"/>
    <w:rsid w:val="00057F22"/>
    <w:rsid w:val="00057F23"/>
    <w:rsid w:val="00060072"/>
    <w:rsid w:val="000600B7"/>
    <w:rsid w:val="0006020B"/>
    <w:rsid w:val="00060312"/>
    <w:rsid w:val="00060398"/>
    <w:rsid w:val="000603A3"/>
    <w:rsid w:val="000603DA"/>
    <w:rsid w:val="00060406"/>
    <w:rsid w:val="00060520"/>
    <w:rsid w:val="00060542"/>
    <w:rsid w:val="00060589"/>
    <w:rsid w:val="0006060D"/>
    <w:rsid w:val="000606AF"/>
    <w:rsid w:val="000606B2"/>
    <w:rsid w:val="000606FF"/>
    <w:rsid w:val="0006077D"/>
    <w:rsid w:val="00060993"/>
    <w:rsid w:val="00060A72"/>
    <w:rsid w:val="00060A78"/>
    <w:rsid w:val="00060A91"/>
    <w:rsid w:val="00060B10"/>
    <w:rsid w:val="00060BC8"/>
    <w:rsid w:val="00060BD1"/>
    <w:rsid w:val="00060C71"/>
    <w:rsid w:val="00060D0D"/>
    <w:rsid w:val="00060EF0"/>
    <w:rsid w:val="00060EF3"/>
    <w:rsid w:val="00060FCB"/>
    <w:rsid w:val="0006102E"/>
    <w:rsid w:val="00061057"/>
    <w:rsid w:val="00061183"/>
    <w:rsid w:val="000611F6"/>
    <w:rsid w:val="0006122A"/>
    <w:rsid w:val="000612AA"/>
    <w:rsid w:val="00061430"/>
    <w:rsid w:val="00061479"/>
    <w:rsid w:val="00061500"/>
    <w:rsid w:val="00061572"/>
    <w:rsid w:val="00061578"/>
    <w:rsid w:val="000615DF"/>
    <w:rsid w:val="00061661"/>
    <w:rsid w:val="00061844"/>
    <w:rsid w:val="0006191E"/>
    <w:rsid w:val="00061951"/>
    <w:rsid w:val="00061A04"/>
    <w:rsid w:val="00061A06"/>
    <w:rsid w:val="00061A1F"/>
    <w:rsid w:val="00061A49"/>
    <w:rsid w:val="00061A70"/>
    <w:rsid w:val="00061A9E"/>
    <w:rsid w:val="00061B9B"/>
    <w:rsid w:val="00061BB9"/>
    <w:rsid w:val="00061C66"/>
    <w:rsid w:val="00061D84"/>
    <w:rsid w:val="00061DF4"/>
    <w:rsid w:val="00061EEA"/>
    <w:rsid w:val="00061F9A"/>
    <w:rsid w:val="00062057"/>
    <w:rsid w:val="000621A8"/>
    <w:rsid w:val="000622D7"/>
    <w:rsid w:val="000622FA"/>
    <w:rsid w:val="00062339"/>
    <w:rsid w:val="000623DF"/>
    <w:rsid w:val="000624B6"/>
    <w:rsid w:val="00062561"/>
    <w:rsid w:val="00062599"/>
    <w:rsid w:val="00062687"/>
    <w:rsid w:val="0006268A"/>
    <w:rsid w:val="00062859"/>
    <w:rsid w:val="00062924"/>
    <w:rsid w:val="0006294A"/>
    <w:rsid w:val="00062985"/>
    <w:rsid w:val="000629E1"/>
    <w:rsid w:val="000629F4"/>
    <w:rsid w:val="00062A10"/>
    <w:rsid w:val="00062A73"/>
    <w:rsid w:val="00062B96"/>
    <w:rsid w:val="00062C7C"/>
    <w:rsid w:val="00062D86"/>
    <w:rsid w:val="00062E44"/>
    <w:rsid w:val="00062EA1"/>
    <w:rsid w:val="00062EF6"/>
    <w:rsid w:val="00062F32"/>
    <w:rsid w:val="00063029"/>
    <w:rsid w:val="00063056"/>
    <w:rsid w:val="00063134"/>
    <w:rsid w:val="0006315B"/>
    <w:rsid w:val="000631B9"/>
    <w:rsid w:val="00063233"/>
    <w:rsid w:val="00063368"/>
    <w:rsid w:val="00063379"/>
    <w:rsid w:val="00063443"/>
    <w:rsid w:val="00063541"/>
    <w:rsid w:val="00063557"/>
    <w:rsid w:val="0006362B"/>
    <w:rsid w:val="0006367E"/>
    <w:rsid w:val="000636C2"/>
    <w:rsid w:val="000636E1"/>
    <w:rsid w:val="00063782"/>
    <w:rsid w:val="0006398C"/>
    <w:rsid w:val="00063A9D"/>
    <w:rsid w:val="00063AC3"/>
    <w:rsid w:val="00063B5E"/>
    <w:rsid w:val="00063C22"/>
    <w:rsid w:val="00063C31"/>
    <w:rsid w:val="00063C6B"/>
    <w:rsid w:val="00063D4B"/>
    <w:rsid w:val="00063DF3"/>
    <w:rsid w:val="00063E0E"/>
    <w:rsid w:val="00063F28"/>
    <w:rsid w:val="00064033"/>
    <w:rsid w:val="00064036"/>
    <w:rsid w:val="000640A3"/>
    <w:rsid w:val="000640A8"/>
    <w:rsid w:val="00064225"/>
    <w:rsid w:val="00064357"/>
    <w:rsid w:val="0006435D"/>
    <w:rsid w:val="0006438D"/>
    <w:rsid w:val="00064572"/>
    <w:rsid w:val="000646B9"/>
    <w:rsid w:val="00064713"/>
    <w:rsid w:val="000647A8"/>
    <w:rsid w:val="00064801"/>
    <w:rsid w:val="00064921"/>
    <w:rsid w:val="000649D5"/>
    <w:rsid w:val="00064AC6"/>
    <w:rsid w:val="00064AEA"/>
    <w:rsid w:val="00064B8B"/>
    <w:rsid w:val="00064C13"/>
    <w:rsid w:val="00064CA1"/>
    <w:rsid w:val="00064D7E"/>
    <w:rsid w:val="00064E20"/>
    <w:rsid w:val="00064E39"/>
    <w:rsid w:val="00064E4B"/>
    <w:rsid w:val="00064FD3"/>
    <w:rsid w:val="0006541A"/>
    <w:rsid w:val="000654E8"/>
    <w:rsid w:val="000654EF"/>
    <w:rsid w:val="00065577"/>
    <w:rsid w:val="00065602"/>
    <w:rsid w:val="00065627"/>
    <w:rsid w:val="00065671"/>
    <w:rsid w:val="00065890"/>
    <w:rsid w:val="00065964"/>
    <w:rsid w:val="0006598D"/>
    <w:rsid w:val="000659D2"/>
    <w:rsid w:val="00065A08"/>
    <w:rsid w:val="00065AFE"/>
    <w:rsid w:val="00065B36"/>
    <w:rsid w:val="00065D26"/>
    <w:rsid w:val="00065D63"/>
    <w:rsid w:val="00065DEE"/>
    <w:rsid w:val="00065E42"/>
    <w:rsid w:val="00065F78"/>
    <w:rsid w:val="00065F7D"/>
    <w:rsid w:val="00065FAF"/>
    <w:rsid w:val="00065FF0"/>
    <w:rsid w:val="00066072"/>
    <w:rsid w:val="000660AF"/>
    <w:rsid w:val="000661DB"/>
    <w:rsid w:val="00066247"/>
    <w:rsid w:val="00066350"/>
    <w:rsid w:val="00066387"/>
    <w:rsid w:val="00066585"/>
    <w:rsid w:val="000666AC"/>
    <w:rsid w:val="0006670E"/>
    <w:rsid w:val="0006673A"/>
    <w:rsid w:val="00066774"/>
    <w:rsid w:val="00066924"/>
    <w:rsid w:val="0006698C"/>
    <w:rsid w:val="00066AB4"/>
    <w:rsid w:val="00066B61"/>
    <w:rsid w:val="00066D0F"/>
    <w:rsid w:val="00066DBE"/>
    <w:rsid w:val="00066DEA"/>
    <w:rsid w:val="00066E8A"/>
    <w:rsid w:val="00066E9E"/>
    <w:rsid w:val="00066ED2"/>
    <w:rsid w:val="00066EF1"/>
    <w:rsid w:val="00066FC7"/>
    <w:rsid w:val="0006703E"/>
    <w:rsid w:val="00067195"/>
    <w:rsid w:val="00067215"/>
    <w:rsid w:val="00067300"/>
    <w:rsid w:val="00067356"/>
    <w:rsid w:val="000673BA"/>
    <w:rsid w:val="000675DA"/>
    <w:rsid w:val="00067686"/>
    <w:rsid w:val="000676DC"/>
    <w:rsid w:val="00067773"/>
    <w:rsid w:val="00067AC2"/>
    <w:rsid w:val="00067AEA"/>
    <w:rsid w:val="00067B41"/>
    <w:rsid w:val="00067BCD"/>
    <w:rsid w:val="00067C59"/>
    <w:rsid w:val="00067DA3"/>
    <w:rsid w:val="00067DC6"/>
    <w:rsid w:val="00067DF1"/>
    <w:rsid w:val="00067E93"/>
    <w:rsid w:val="00067FA1"/>
    <w:rsid w:val="00070007"/>
    <w:rsid w:val="00070049"/>
    <w:rsid w:val="0007007C"/>
    <w:rsid w:val="0007013D"/>
    <w:rsid w:val="000701B5"/>
    <w:rsid w:val="0007029D"/>
    <w:rsid w:val="000702A3"/>
    <w:rsid w:val="00070346"/>
    <w:rsid w:val="00070455"/>
    <w:rsid w:val="0007047D"/>
    <w:rsid w:val="0007061B"/>
    <w:rsid w:val="0007065B"/>
    <w:rsid w:val="0007068D"/>
    <w:rsid w:val="000706D8"/>
    <w:rsid w:val="00070869"/>
    <w:rsid w:val="0007096E"/>
    <w:rsid w:val="00070ABF"/>
    <w:rsid w:val="00070C08"/>
    <w:rsid w:val="00070CE1"/>
    <w:rsid w:val="00070D2F"/>
    <w:rsid w:val="00070E5F"/>
    <w:rsid w:val="00070E8B"/>
    <w:rsid w:val="00070FA3"/>
    <w:rsid w:val="00071023"/>
    <w:rsid w:val="0007103C"/>
    <w:rsid w:val="00071081"/>
    <w:rsid w:val="000710A4"/>
    <w:rsid w:val="000710DF"/>
    <w:rsid w:val="00071118"/>
    <w:rsid w:val="000711F0"/>
    <w:rsid w:val="000712A5"/>
    <w:rsid w:val="000712C3"/>
    <w:rsid w:val="00071369"/>
    <w:rsid w:val="00071412"/>
    <w:rsid w:val="00071511"/>
    <w:rsid w:val="0007152F"/>
    <w:rsid w:val="000716B8"/>
    <w:rsid w:val="0007175A"/>
    <w:rsid w:val="0007182F"/>
    <w:rsid w:val="00071A94"/>
    <w:rsid w:val="00071ACB"/>
    <w:rsid w:val="00071B10"/>
    <w:rsid w:val="00071B5D"/>
    <w:rsid w:val="00071B7F"/>
    <w:rsid w:val="00071C81"/>
    <w:rsid w:val="00071DA9"/>
    <w:rsid w:val="00071DFA"/>
    <w:rsid w:val="00071E37"/>
    <w:rsid w:val="00071E39"/>
    <w:rsid w:val="00071F1B"/>
    <w:rsid w:val="00071F5F"/>
    <w:rsid w:val="00072050"/>
    <w:rsid w:val="00072139"/>
    <w:rsid w:val="000722C0"/>
    <w:rsid w:val="000724DF"/>
    <w:rsid w:val="000724F4"/>
    <w:rsid w:val="00072514"/>
    <w:rsid w:val="0007255D"/>
    <w:rsid w:val="0007263B"/>
    <w:rsid w:val="0007266B"/>
    <w:rsid w:val="000726D0"/>
    <w:rsid w:val="000726D4"/>
    <w:rsid w:val="000726D8"/>
    <w:rsid w:val="000727CB"/>
    <w:rsid w:val="000727ED"/>
    <w:rsid w:val="00072888"/>
    <w:rsid w:val="00072929"/>
    <w:rsid w:val="000729A7"/>
    <w:rsid w:val="000729AA"/>
    <w:rsid w:val="000729ED"/>
    <w:rsid w:val="000729F2"/>
    <w:rsid w:val="00072A65"/>
    <w:rsid w:val="00072A70"/>
    <w:rsid w:val="00072AB6"/>
    <w:rsid w:val="00072AD6"/>
    <w:rsid w:val="00072AF6"/>
    <w:rsid w:val="00072BD2"/>
    <w:rsid w:val="00072BE1"/>
    <w:rsid w:val="00072C10"/>
    <w:rsid w:val="00072D66"/>
    <w:rsid w:val="00072DA3"/>
    <w:rsid w:val="00072EBA"/>
    <w:rsid w:val="00072FF2"/>
    <w:rsid w:val="000730E8"/>
    <w:rsid w:val="00073156"/>
    <w:rsid w:val="0007319B"/>
    <w:rsid w:val="0007326D"/>
    <w:rsid w:val="00073481"/>
    <w:rsid w:val="000734A2"/>
    <w:rsid w:val="0007351E"/>
    <w:rsid w:val="000735A0"/>
    <w:rsid w:val="00073639"/>
    <w:rsid w:val="000737B3"/>
    <w:rsid w:val="000737C7"/>
    <w:rsid w:val="0007389B"/>
    <w:rsid w:val="0007393E"/>
    <w:rsid w:val="00073945"/>
    <w:rsid w:val="00073AAA"/>
    <w:rsid w:val="00073C21"/>
    <w:rsid w:val="00073CFE"/>
    <w:rsid w:val="00073D8F"/>
    <w:rsid w:val="00073ED9"/>
    <w:rsid w:val="00073F9C"/>
    <w:rsid w:val="00073FD3"/>
    <w:rsid w:val="000741DB"/>
    <w:rsid w:val="000741FE"/>
    <w:rsid w:val="0007420F"/>
    <w:rsid w:val="0007425B"/>
    <w:rsid w:val="00074260"/>
    <w:rsid w:val="00074265"/>
    <w:rsid w:val="00074293"/>
    <w:rsid w:val="00074337"/>
    <w:rsid w:val="00074345"/>
    <w:rsid w:val="00074640"/>
    <w:rsid w:val="000746DC"/>
    <w:rsid w:val="000746FE"/>
    <w:rsid w:val="0007474F"/>
    <w:rsid w:val="000747B1"/>
    <w:rsid w:val="00074887"/>
    <w:rsid w:val="00074896"/>
    <w:rsid w:val="000749BA"/>
    <w:rsid w:val="000749DE"/>
    <w:rsid w:val="00074AD4"/>
    <w:rsid w:val="00074AEF"/>
    <w:rsid w:val="00074B54"/>
    <w:rsid w:val="00074CCD"/>
    <w:rsid w:val="00074E00"/>
    <w:rsid w:val="00074E4A"/>
    <w:rsid w:val="00074E9D"/>
    <w:rsid w:val="00074F04"/>
    <w:rsid w:val="00074F91"/>
    <w:rsid w:val="00075002"/>
    <w:rsid w:val="000750BD"/>
    <w:rsid w:val="00075162"/>
    <w:rsid w:val="0007516F"/>
    <w:rsid w:val="0007519F"/>
    <w:rsid w:val="000751A1"/>
    <w:rsid w:val="00075267"/>
    <w:rsid w:val="000752D7"/>
    <w:rsid w:val="00075390"/>
    <w:rsid w:val="000753A5"/>
    <w:rsid w:val="00075568"/>
    <w:rsid w:val="000756C3"/>
    <w:rsid w:val="000756F3"/>
    <w:rsid w:val="00075746"/>
    <w:rsid w:val="000757F2"/>
    <w:rsid w:val="000757FE"/>
    <w:rsid w:val="00075856"/>
    <w:rsid w:val="0007586E"/>
    <w:rsid w:val="000758E3"/>
    <w:rsid w:val="0007597A"/>
    <w:rsid w:val="0007598C"/>
    <w:rsid w:val="00075A30"/>
    <w:rsid w:val="00075A39"/>
    <w:rsid w:val="00075B6F"/>
    <w:rsid w:val="00075C3D"/>
    <w:rsid w:val="00075C95"/>
    <w:rsid w:val="00075F23"/>
    <w:rsid w:val="00075F4B"/>
    <w:rsid w:val="00075F6B"/>
    <w:rsid w:val="00075F9B"/>
    <w:rsid w:val="00076162"/>
    <w:rsid w:val="00076183"/>
    <w:rsid w:val="000764A9"/>
    <w:rsid w:val="00076512"/>
    <w:rsid w:val="000765D4"/>
    <w:rsid w:val="000765DF"/>
    <w:rsid w:val="0007689B"/>
    <w:rsid w:val="00076936"/>
    <w:rsid w:val="00076A1A"/>
    <w:rsid w:val="00076AA8"/>
    <w:rsid w:val="00076B69"/>
    <w:rsid w:val="00076BFD"/>
    <w:rsid w:val="00076CE8"/>
    <w:rsid w:val="00076E5E"/>
    <w:rsid w:val="00076E9B"/>
    <w:rsid w:val="00076EBA"/>
    <w:rsid w:val="00076F76"/>
    <w:rsid w:val="000771DD"/>
    <w:rsid w:val="0007725C"/>
    <w:rsid w:val="0007735D"/>
    <w:rsid w:val="00077387"/>
    <w:rsid w:val="000773B9"/>
    <w:rsid w:val="0007745E"/>
    <w:rsid w:val="000774AF"/>
    <w:rsid w:val="000774E7"/>
    <w:rsid w:val="00077552"/>
    <w:rsid w:val="000775BD"/>
    <w:rsid w:val="000776E0"/>
    <w:rsid w:val="00077740"/>
    <w:rsid w:val="00077797"/>
    <w:rsid w:val="000777ED"/>
    <w:rsid w:val="00077913"/>
    <w:rsid w:val="00077921"/>
    <w:rsid w:val="00077939"/>
    <w:rsid w:val="00077AA7"/>
    <w:rsid w:val="00077B17"/>
    <w:rsid w:val="00077E07"/>
    <w:rsid w:val="00077EDC"/>
    <w:rsid w:val="00077EFF"/>
    <w:rsid w:val="00077F99"/>
    <w:rsid w:val="000800A6"/>
    <w:rsid w:val="000801A9"/>
    <w:rsid w:val="000801B6"/>
    <w:rsid w:val="000801BC"/>
    <w:rsid w:val="000802E7"/>
    <w:rsid w:val="000803E9"/>
    <w:rsid w:val="00080500"/>
    <w:rsid w:val="000805FC"/>
    <w:rsid w:val="0008065C"/>
    <w:rsid w:val="000806C4"/>
    <w:rsid w:val="000806C7"/>
    <w:rsid w:val="00080920"/>
    <w:rsid w:val="0008092F"/>
    <w:rsid w:val="00080948"/>
    <w:rsid w:val="00080ACD"/>
    <w:rsid w:val="00080C1E"/>
    <w:rsid w:val="00080DB0"/>
    <w:rsid w:val="00080F0D"/>
    <w:rsid w:val="00081021"/>
    <w:rsid w:val="00081042"/>
    <w:rsid w:val="0008113C"/>
    <w:rsid w:val="00081199"/>
    <w:rsid w:val="0008120D"/>
    <w:rsid w:val="0008133E"/>
    <w:rsid w:val="00081490"/>
    <w:rsid w:val="00081556"/>
    <w:rsid w:val="000815D8"/>
    <w:rsid w:val="00081657"/>
    <w:rsid w:val="000817A8"/>
    <w:rsid w:val="00081891"/>
    <w:rsid w:val="000818AB"/>
    <w:rsid w:val="000818B7"/>
    <w:rsid w:val="000818E6"/>
    <w:rsid w:val="00081A3D"/>
    <w:rsid w:val="00081AC8"/>
    <w:rsid w:val="00081AE9"/>
    <w:rsid w:val="00081B66"/>
    <w:rsid w:val="00081C04"/>
    <w:rsid w:val="00081C59"/>
    <w:rsid w:val="00081C6D"/>
    <w:rsid w:val="00081CA6"/>
    <w:rsid w:val="00081CB4"/>
    <w:rsid w:val="00081E75"/>
    <w:rsid w:val="00081F23"/>
    <w:rsid w:val="00081F28"/>
    <w:rsid w:val="00081FD9"/>
    <w:rsid w:val="0008200F"/>
    <w:rsid w:val="000820C4"/>
    <w:rsid w:val="000820DA"/>
    <w:rsid w:val="00082144"/>
    <w:rsid w:val="0008218C"/>
    <w:rsid w:val="00082397"/>
    <w:rsid w:val="000823A9"/>
    <w:rsid w:val="000823AF"/>
    <w:rsid w:val="000824AF"/>
    <w:rsid w:val="000824C4"/>
    <w:rsid w:val="00082660"/>
    <w:rsid w:val="000826D2"/>
    <w:rsid w:val="00082772"/>
    <w:rsid w:val="00082B90"/>
    <w:rsid w:val="00082B9C"/>
    <w:rsid w:val="00082BCC"/>
    <w:rsid w:val="00082CF1"/>
    <w:rsid w:val="00082D05"/>
    <w:rsid w:val="00082D3C"/>
    <w:rsid w:val="00082EB8"/>
    <w:rsid w:val="00082F4D"/>
    <w:rsid w:val="00082F7E"/>
    <w:rsid w:val="00082FBC"/>
    <w:rsid w:val="000830C4"/>
    <w:rsid w:val="00083182"/>
    <w:rsid w:val="00083222"/>
    <w:rsid w:val="0008323A"/>
    <w:rsid w:val="00083249"/>
    <w:rsid w:val="00083267"/>
    <w:rsid w:val="00083353"/>
    <w:rsid w:val="0008336D"/>
    <w:rsid w:val="000833B8"/>
    <w:rsid w:val="000833D4"/>
    <w:rsid w:val="000833FD"/>
    <w:rsid w:val="000834C9"/>
    <w:rsid w:val="000834DE"/>
    <w:rsid w:val="000835F2"/>
    <w:rsid w:val="000836B4"/>
    <w:rsid w:val="000837AA"/>
    <w:rsid w:val="00083870"/>
    <w:rsid w:val="000838AE"/>
    <w:rsid w:val="000838D6"/>
    <w:rsid w:val="00083955"/>
    <w:rsid w:val="00083960"/>
    <w:rsid w:val="00083982"/>
    <w:rsid w:val="000839FB"/>
    <w:rsid w:val="00083A1D"/>
    <w:rsid w:val="00083A22"/>
    <w:rsid w:val="00083A7A"/>
    <w:rsid w:val="00083A8B"/>
    <w:rsid w:val="00083B60"/>
    <w:rsid w:val="00083CEE"/>
    <w:rsid w:val="00083D39"/>
    <w:rsid w:val="00083D45"/>
    <w:rsid w:val="00083EA5"/>
    <w:rsid w:val="00083F0E"/>
    <w:rsid w:val="000840E8"/>
    <w:rsid w:val="000841A4"/>
    <w:rsid w:val="00084202"/>
    <w:rsid w:val="000843D9"/>
    <w:rsid w:val="000844E0"/>
    <w:rsid w:val="00084535"/>
    <w:rsid w:val="000846FF"/>
    <w:rsid w:val="0008476A"/>
    <w:rsid w:val="00084876"/>
    <w:rsid w:val="00084BB3"/>
    <w:rsid w:val="00084E16"/>
    <w:rsid w:val="00084F47"/>
    <w:rsid w:val="00084FC8"/>
    <w:rsid w:val="00085082"/>
    <w:rsid w:val="000850DD"/>
    <w:rsid w:val="00085161"/>
    <w:rsid w:val="00085205"/>
    <w:rsid w:val="000852E2"/>
    <w:rsid w:val="000852FE"/>
    <w:rsid w:val="0008534A"/>
    <w:rsid w:val="0008536C"/>
    <w:rsid w:val="000854F1"/>
    <w:rsid w:val="000855F4"/>
    <w:rsid w:val="000859CE"/>
    <w:rsid w:val="000859DB"/>
    <w:rsid w:val="00085A12"/>
    <w:rsid w:val="00085ACD"/>
    <w:rsid w:val="00085B9A"/>
    <w:rsid w:val="00085BD9"/>
    <w:rsid w:val="00085DC3"/>
    <w:rsid w:val="00085E55"/>
    <w:rsid w:val="00085E65"/>
    <w:rsid w:val="00085EA1"/>
    <w:rsid w:val="00085ECC"/>
    <w:rsid w:val="00085F45"/>
    <w:rsid w:val="00085F80"/>
    <w:rsid w:val="00085F91"/>
    <w:rsid w:val="0008600F"/>
    <w:rsid w:val="00086053"/>
    <w:rsid w:val="00086072"/>
    <w:rsid w:val="000860D8"/>
    <w:rsid w:val="000860E1"/>
    <w:rsid w:val="00086217"/>
    <w:rsid w:val="00086371"/>
    <w:rsid w:val="0008641A"/>
    <w:rsid w:val="000864B3"/>
    <w:rsid w:val="000864C3"/>
    <w:rsid w:val="00086614"/>
    <w:rsid w:val="00086919"/>
    <w:rsid w:val="000869D1"/>
    <w:rsid w:val="00086AE4"/>
    <w:rsid w:val="00086B73"/>
    <w:rsid w:val="00086BD2"/>
    <w:rsid w:val="00086D0A"/>
    <w:rsid w:val="00086ED9"/>
    <w:rsid w:val="00086F97"/>
    <w:rsid w:val="00086FC5"/>
    <w:rsid w:val="00086FDD"/>
    <w:rsid w:val="00086FEB"/>
    <w:rsid w:val="000870E4"/>
    <w:rsid w:val="00087143"/>
    <w:rsid w:val="00087186"/>
    <w:rsid w:val="00087319"/>
    <w:rsid w:val="0008734B"/>
    <w:rsid w:val="0008737C"/>
    <w:rsid w:val="000873BD"/>
    <w:rsid w:val="000874E7"/>
    <w:rsid w:val="00087518"/>
    <w:rsid w:val="00087633"/>
    <w:rsid w:val="00087651"/>
    <w:rsid w:val="0008769C"/>
    <w:rsid w:val="000876CA"/>
    <w:rsid w:val="0008770B"/>
    <w:rsid w:val="0008772A"/>
    <w:rsid w:val="0008778C"/>
    <w:rsid w:val="00087854"/>
    <w:rsid w:val="00087873"/>
    <w:rsid w:val="00087896"/>
    <w:rsid w:val="00087898"/>
    <w:rsid w:val="000878BC"/>
    <w:rsid w:val="00087941"/>
    <w:rsid w:val="00087974"/>
    <w:rsid w:val="000879B6"/>
    <w:rsid w:val="00087AB5"/>
    <w:rsid w:val="00087B63"/>
    <w:rsid w:val="00087C68"/>
    <w:rsid w:val="00087C9D"/>
    <w:rsid w:val="00087D21"/>
    <w:rsid w:val="00087E23"/>
    <w:rsid w:val="00087EA3"/>
    <w:rsid w:val="00087FF1"/>
    <w:rsid w:val="00090113"/>
    <w:rsid w:val="00090120"/>
    <w:rsid w:val="00090136"/>
    <w:rsid w:val="00090176"/>
    <w:rsid w:val="00090198"/>
    <w:rsid w:val="0009024E"/>
    <w:rsid w:val="000902CF"/>
    <w:rsid w:val="000902F7"/>
    <w:rsid w:val="0009047E"/>
    <w:rsid w:val="00090558"/>
    <w:rsid w:val="0009060B"/>
    <w:rsid w:val="00090697"/>
    <w:rsid w:val="0009080C"/>
    <w:rsid w:val="000908AB"/>
    <w:rsid w:val="00090900"/>
    <w:rsid w:val="00090A69"/>
    <w:rsid w:val="00090B0D"/>
    <w:rsid w:val="00090CC8"/>
    <w:rsid w:val="00090D0D"/>
    <w:rsid w:val="00090D95"/>
    <w:rsid w:val="00090E6F"/>
    <w:rsid w:val="00090F1C"/>
    <w:rsid w:val="00090F2E"/>
    <w:rsid w:val="00090FE6"/>
    <w:rsid w:val="00090FF7"/>
    <w:rsid w:val="0009106A"/>
    <w:rsid w:val="0009108F"/>
    <w:rsid w:val="00091453"/>
    <w:rsid w:val="00091526"/>
    <w:rsid w:val="00091635"/>
    <w:rsid w:val="00091680"/>
    <w:rsid w:val="0009170A"/>
    <w:rsid w:val="000918E9"/>
    <w:rsid w:val="000919F4"/>
    <w:rsid w:val="00091A2C"/>
    <w:rsid w:val="00091AB3"/>
    <w:rsid w:val="00091AD5"/>
    <w:rsid w:val="00091AD9"/>
    <w:rsid w:val="00091B0B"/>
    <w:rsid w:val="00091B23"/>
    <w:rsid w:val="00091C0D"/>
    <w:rsid w:val="00091D4D"/>
    <w:rsid w:val="00091D89"/>
    <w:rsid w:val="00091F87"/>
    <w:rsid w:val="00091FAA"/>
    <w:rsid w:val="0009202B"/>
    <w:rsid w:val="0009213D"/>
    <w:rsid w:val="000921CF"/>
    <w:rsid w:val="000921EE"/>
    <w:rsid w:val="00092226"/>
    <w:rsid w:val="000922AE"/>
    <w:rsid w:val="000922B4"/>
    <w:rsid w:val="000922C9"/>
    <w:rsid w:val="00092306"/>
    <w:rsid w:val="0009232C"/>
    <w:rsid w:val="00092342"/>
    <w:rsid w:val="00092361"/>
    <w:rsid w:val="000923C0"/>
    <w:rsid w:val="00092574"/>
    <w:rsid w:val="00092740"/>
    <w:rsid w:val="000928AC"/>
    <w:rsid w:val="0009291A"/>
    <w:rsid w:val="000929C7"/>
    <w:rsid w:val="00092A36"/>
    <w:rsid w:val="00092D09"/>
    <w:rsid w:val="00092D5D"/>
    <w:rsid w:val="00092D63"/>
    <w:rsid w:val="00092DFB"/>
    <w:rsid w:val="00092E01"/>
    <w:rsid w:val="000931FA"/>
    <w:rsid w:val="0009346A"/>
    <w:rsid w:val="000934C4"/>
    <w:rsid w:val="00093665"/>
    <w:rsid w:val="0009370E"/>
    <w:rsid w:val="0009384D"/>
    <w:rsid w:val="00093962"/>
    <w:rsid w:val="00093969"/>
    <w:rsid w:val="00093975"/>
    <w:rsid w:val="000939C3"/>
    <w:rsid w:val="00093BBE"/>
    <w:rsid w:val="00093BD5"/>
    <w:rsid w:val="00093DE2"/>
    <w:rsid w:val="00093E61"/>
    <w:rsid w:val="00093E6B"/>
    <w:rsid w:val="00093E6D"/>
    <w:rsid w:val="00093E8E"/>
    <w:rsid w:val="000940EB"/>
    <w:rsid w:val="00094131"/>
    <w:rsid w:val="0009432A"/>
    <w:rsid w:val="00094335"/>
    <w:rsid w:val="0009434C"/>
    <w:rsid w:val="00094373"/>
    <w:rsid w:val="0009439C"/>
    <w:rsid w:val="000943D8"/>
    <w:rsid w:val="000943E0"/>
    <w:rsid w:val="0009444D"/>
    <w:rsid w:val="00094554"/>
    <w:rsid w:val="00094593"/>
    <w:rsid w:val="000945D2"/>
    <w:rsid w:val="000945D6"/>
    <w:rsid w:val="00094634"/>
    <w:rsid w:val="000946A4"/>
    <w:rsid w:val="000946D3"/>
    <w:rsid w:val="000946D6"/>
    <w:rsid w:val="00094703"/>
    <w:rsid w:val="0009473A"/>
    <w:rsid w:val="000947BB"/>
    <w:rsid w:val="000947DD"/>
    <w:rsid w:val="000947FA"/>
    <w:rsid w:val="00094822"/>
    <w:rsid w:val="00094958"/>
    <w:rsid w:val="00094970"/>
    <w:rsid w:val="00094999"/>
    <w:rsid w:val="00094A09"/>
    <w:rsid w:val="00094AE0"/>
    <w:rsid w:val="00094B06"/>
    <w:rsid w:val="00094C70"/>
    <w:rsid w:val="00094D7F"/>
    <w:rsid w:val="00094E72"/>
    <w:rsid w:val="00094E92"/>
    <w:rsid w:val="00094F1E"/>
    <w:rsid w:val="00094FC9"/>
    <w:rsid w:val="000950C5"/>
    <w:rsid w:val="000950F3"/>
    <w:rsid w:val="0009513B"/>
    <w:rsid w:val="0009516A"/>
    <w:rsid w:val="00095236"/>
    <w:rsid w:val="0009534C"/>
    <w:rsid w:val="00095361"/>
    <w:rsid w:val="000953E3"/>
    <w:rsid w:val="00095505"/>
    <w:rsid w:val="00095517"/>
    <w:rsid w:val="000955CC"/>
    <w:rsid w:val="0009574B"/>
    <w:rsid w:val="00095767"/>
    <w:rsid w:val="0009582D"/>
    <w:rsid w:val="000958CE"/>
    <w:rsid w:val="00095986"/>
    <w:rsid w:val="00095C1B"/>
    <w:rsid w:val="00095C27"/>
    <w:rsid w:val="00095C42"/>
    <w:rsid w:val="00095C84"/>
    <w:rsid w:val="00095CEC"/>
    <w:rsid w:val="00095D01"/>
    <w:rsid w:val="00095E0C"/>
    <w:rsid w:val="00095E57"/>
    <w:rsid w:val="00095F09"/>
    <w:rsid w:val="00095F63"/>
    <w:rsid w:val="000960C4"/>
    <w:rsid w:val="000960F7"/>
    <w:rsid w:val="0009614C"/>
    <w:rsid w:val="00096190"/>
    <w:rsid w:val="000961F3"/>
    <w:rsid w:val="00096202"/>
    <w:rsid w:val="00096215"/>
    <w:rsid w:val="000962B3"/>
    <w:rsid w:val="0009642D"/>
    <w:rsid w:val="000964C2"/>
    <w:rsid w:val="00096649"/>
    <w:rsid w:val="00096697"/>
    <w:rsid w:val="000966EA"/>
    <w:rsid w:val="000967A4"/>
    <w:rsid w:val="00096A51"/>
    <w:rsid w:val="00096B8A"/>
    <w:rsid w:val="00096BB7"/>
    <w:rsid w:val="00096C4A"/>
    <w:rsid w:val="00096DA9"/>
    <w:rsid w:val="00096EE6"/>
    <w:rsid w:val="00096F40"/>
    <w:rsid w:val="000970BD"/>
    <w:rsid w:val="000970CE"/>
    <w:rsid w:val="000970E9"/>
    <w:rsid w:val="00097177"/>
    <w:rsid w:val="0009724E"/>
    <w:rsid w:val="000973B7"/>
    <w:rsid w:val="000973BD"/>
    <w:rsid w:val="000975A9"/>
    <w:rsid w:val="000975F9"/>
    <w:rsid w:val="00097629"/>
    <w:rsid w:val="00097661"/>
    <w:rsid w:val="00097742"/>
    <w:rsid w:val="000977E0"/>
    <w:rsid w:val="000979D7"/>
    <w:rsid w:val="00097B20"/>
    <w:rsid w:val="00097BB0"/>
    <w:rsid w:val="00097D30"/>
    <w:rsid w:val="00097D81"/>
    <w:rsid w:val="00097F59"/>
    <w:rsid w:val="00097F60"/>
    <w:rsid w:val="00097F6E"/>
    <w:rsid w:val="000A004F"/>
    <w:rsid w:val="000A012C"/>
    <w:rsid w:val="000A01D4"/>
    <w:rsid w:val="000A01D6"/>
    <w:rsid w:val="000A020F"/>
    <w:rsid w:val="000A0278"/>
    <w:rsid w:val="000A032F"/>
    <w:rsid w:val="000A038D"/>
    <w:rsid w:val="000A0394"/>
    <w:rsid w:val="000A03BA"/>
    <w:rsid w:val="000A043A"/>
    <w:rsid w:val="000A0525"/>
    <w:rsid w:val="000A0533"/>
    <w:rsid w:val="000A0548"/>
    <w:rsid w:val="000A0558"/>
    <w:rsid w:val="000A065F"/>
    <w:rsid w:val="000A06B9"/>
    <w:rsid w:val="000A0860"/>
    <w:rsid w:val="000A096E"/>
    <w:rsid w:val="000A09CB"/>
    <w:rsid w:val="000A0A25"/>
    <w:rsid w:val="000A0ADE"/>
    <w:rsid w:val="000A0B1B"/>
    <w:rsid w:val="000A0B63"/>
    <w:rsid w:val="000A0BA0"/>
    <w:rsid w:val="000A0C48"/>
    <w:rsid w:val="000A0C5B"/>
    <w:rsid w:val="000A0D0E"/>
    <w:rsid w:val="000A0D5D"/>
    <w:rsid w:val="000A0DD4"/>
    <w:rsid w:val="000A0F37"/>
    <w:rsid w:val="000A1002"/>
    <w:rsid w:val="000A111B"/>
    <w:rsid w:val="000A11EC"/>
    <w:rsid w:val="000A132F"/>
    <w:rsid w:val="000A134B"/>
    <w:rsid w:val="000A13AD"/>
    <w:rsid w:val="000A13BC"/>
    <w:rsid w:val="000A1479"/>
    <w:rsid w:val="000A1567"/>
    <w:rsid w:val="000A1697"/>
    <w:rsid w:val="000A16BA"/>
    <w:rsid w:val="000A1873"/>
    <w:rsid w:val="000A18CB"/>
    <w:rsid w:val="000A199E"/>
    <w:rsid w:val="000A1AA0"/>
    <w:rsid w:val="000A1B12"/>
    <w:rsid w:val="000A1B88"/>
    <w:rsid w:val="000A1C04"/>
    <w:rsid w:val="000A1D6E"/>
    <w:rsid w:val="000A1DA6"/>
    <w:rsid w:val="000A1E3B"/>
    <w:rsid w:val="000A1EF2"/>
    <w:rsid w:val="000A1F22"/>
    <w:rsid w:val="000A2011"/>
    <w:rsid w:val="000A205E"/>
    <w:rsid w:val="000A20A5"/>
    <w:rsid w:val="000A20FD"/>
    <w:rsid w:val="000A220F"/>
    <w:rsid w:val="000A2279"/>
    <w:rsid w:val="000A2523"/>
    <w:rsid w:val="000A2579"/>
    <w:rsid w:val="000A2589"/>
    <w:rsid w:val="000A2591"/>
    <w:rsid w:val="000A25A5"/>
    <w:rsid w:val="000A272C"/>
    <w:rsid w:val="000A2778"/>
    <w:rsid w:val="000A2781"/>
    <w:rsid w:val="000A2986"/>
    <w:rsid w:val="000A2A01"/>
    <w:rsid w:val="000A2B46"/>
    <w:rsid w:val="000A2B98"/>
    <w:rsid w:val="000A2C1B"/>
    <w:rsid w:val="000A2E0E"/>
    <w:rsid w:val="000A2FC5"/>
    <w:rsid w:val="000A2FE6"/>
    <w:rsid w:val="000A3007"/>
    <w:rsid w:val="000A31D1"/>
    <w:rsid w:val="000A3221"/>
    <w:rsid w:val="000A32DE"/>
    <w:rsid w:val="000A336A"/>
    <w:rsid w:val="000A33CE"/>
    <w:rsid w:val="000A351A"/>
    <w:rsid w:val="000A3567"/>
    <w:rsid w:val="000A356A"/>
    <w:rsid w:val="000A35F7"/>
    <w:rsid w:val="000A3622"/>
    <w:rsid w:val="000A3667"/>
    <w:rsid w:val="000A366E"/>
    <w:rsid w:val="000A36F5"/>
    <w:rsid w:val="000A374B"/>
    <w:rsid w:val="000A3902"/>
    <w:rsid w:val="000A3A3B"/>
    <w:rsid w:val="000A3A6B"/>
    <w:rsid w:val="000A3B1E"/>
    <w:rsid w:val="000A3C98"/>
    <w:rsid w:val="000A3D23"/>
    <w:rsid w:val="000A3E3E"/>
    <w:rsid w:val="000A3F47"/>
    <w:rsid w:val="000A3F63"/>
    <w:rsid w:val="000A3FBF"/>
    <w:rsid w:val="000A4075"/>
    <w:rsid w:val="000A4141"/>
    <w:rsid w:val="000A4277"/>
    <w:rsid w:val="000A428E"/>
    <w:rsid w:val="000A42BC"/>
    <w:rsid w:val="000A42DB"/>
    <w:rsid w:val="000A42EF"/>
    <w:rsid w:val="000A42F4"/>
    <w:rsid w:val="000A4323"/>
    <w:rsid w:val="000A43A8"/>
    <w:rsid w:val="000A44E6"/>
    <w:rsid w:val="000A456F"/>
    <w:rsid w:val="000A4580"/>
    <w:rsid w:val="000A466C"/>
    <w:rsid w:val="000A471E"/>
    <w:rsid w:val="000A4788"/>
    <w:rsid w:val="000A487F"/>
    <w:rsid w:val="000A4881"/>
    <w:rsid w:val="000A48E8"/>
    <w:rsid w:val="000A48F3"/>
    <w:rsid w:val="000A4A61"/>
    <w:rsid w:val="000A4A8F"/>
    <w:rsid w:val="000A4B04"/>
    <w:rsid w:val="000A4D33"/>
    <w:rsid w:val="000A4F02"/>
    <w:rsid w:val="000A4F34"/>
    <w:rsid w:val="000A4FE3"/>
    <w:rsid w:val="000A5016"/>
    <w:rsid w:val="000A50B2"/>
    <w:rsid w:val="000A512E"/>
    <w:rsid w:val="000A519F"/>
    <w:rsid w:val="000A51C0"/>
    <w:rsid w:val="000A5361"/>
    <w:rsid w:val="000A53A5"/>
    <w:rsid w:val="000A53D0"/>
    <w:rsid w:val="000A53D6"/>
    <w:rsid w:val="000A54C5"/>
    <w:rsid w:val="000A5508"/>
    <w:rsid w:val="000A553A"/>
    <w:rsid w:val="000A562E"/>
    <w:rsid w:val="000A5696"/>
    <w:rsid w:val="000A5710"/>
    <w:rsid w:val="000A572D"/>
    <w:rsid w:val="000A57DA"/>
    <w:rsid w:val="000A57F4"/>
    <w:rsid w:val="000A5852"/>
    <w:rsid w:val="000A587D"/>
    <w:rsid w:val="000A58A7"/>
    <w:rsid w:val="000A59CE"/>
    <w:rsid w:val="000A59FB"/>
    <w:rsid w:val="000A5A47"/>
    <w:rsid w:val="000A5B21"/>
    <w:rsid w:val="000A5BD6"/>
    <w:rsid w:val="000A5C37"/>
    <w:rsid w:val="000A5CA8"/>
    <w:rsid w:val="000A5D32"/>
    <w:rsid w:val="000A5D98"/>
    <w:rsid w:val="000A5D9C"/>
    <w:rsid w:val="000A5EA8"/>
    <w:rsid w:val="000A5EDB"/>
    <w:rsid w:val="000A5F55"/>
    <w:rsid w:val="000A5FA7"/>
    <w:rsid w:val="000A6264"/>
    <w:rsid w:val="000A6318"/>
    <w:rsid w:val="000A63BD"/>
    <w:rsid w:val="000A6444"/>
    <w:rsid w:val="000A64EF"/>
    <w:rsid w:val="000A6623"/>
    <w:rsid w:val="000A68D5"/>
    <w:rsid w:val="000A6ACF"/>
    <w:rsid w:val="000A6F51"/>
    <w:rsid w:val="000A7080"/>
    <w:rsid w:val="000A70C8"/>
    <w:rsid w:val="000A70FF"/>
    <w:rsid w:val="000A7105"/>
    <w:rsid w:val="000A7127"/>
    <w:rsid w:val="000A71D3"/>
    <w:rsid w:val="000A71F0"/>
    <w:rsid w:val="000A72FC"/>
    <w:rsid w:val="000A735C"/>
    <w:rsid w:val="000A746C"/>
    <w:rsid w:val="000A7641"/>
    <w:rsid w:val="000A771F"/>
    <w:rsid w:val="000A7729"/>
    <w:rsid w:val="000A7730"/>
    <w:rsid w:val="000A7738"/>
    <w:rsid w:val="000A7786"/>
    <w:rsid w:val="000A77A2"/>
    <w:rsid w:val="000A7870"/>
    <w:rsid w:val="000A78D7"/>
    <w:rsid w:val="000A78DF"/>
    <w:rsid w:val="000A7916"/>
    <w:rsid w:val="000A7997"/>
    <w:rsid w:val="000A79A3"/>
    <w:rsid w:val="000A7ADC"/>
    <w:rsid w:val="000A7B20"/>
    <w:rsid w:val="000A7B28"/>
    <w:rsid w:val="000A7C30"/>
    <w:rsid w:val="000A7CC4"/>
    <w:rsid w:val="000A7F38"/>
    <w:rsid w:val="000A7F72"/>
    <w:rsid w:val="000A7FCA"/>
    <w:rsid w:val="000A7FFB"/>
    <w:rsid w:val="000B0000"/>
    <w:rsid w:val="000B00E0"/>
    <w:rsid w:val="000B018D"/>
    <w:rsid w:val="000B0236"/>
    <w:rsid w:val="000B0436"/>
    <w:rsid w:val="000B043D"/>
    <w:rsid w:val="000B0503"/>
    <w:rsid w:val="000B056E"/>
    <w:rsid w:val="000B05F1"/>
    <w:rsid w:val="000B067B"/>
    <w:rsid w:val="000B072A"/>
    <w:rsid w:val="000B07A5"/>
    <w:rsid w:val="000B07E1"/>
    <w:rsid w:val="000B088B"/>
    <w:rsid w:val="000B0891"/>
    <w:rsid w:val="000B093D"/>
    <w:rsid w:val="000B0963"/>
    <w:rsid w:val="000B0A1A"/>
    <w:rsid w:val="000B0A66"/>
    <w:rsid w:val="000B0B51"/>
    <w:rsid w:val="000B0B62"/>
    <w:rsid w:val="000B0B93"/>
    <w:rsid w:val="000B0CDD"/>
    <w:rsid w:val="000B0D92"/>
    <w:rsid w:val="000B0D9F"/>
    <w:rsid w:val="000B0DB9"/>
    <w:rsid w:val="000B0E0C"/>
    <w:rsid w:val="000B0E7A"/>
    <w:rsid w:val="000B0E98"/>
    <w:rsid w:val="000B0EC8"/>
    <w:rsid w:val="000B0EEB"/>
    <w:rsid w:val="000B0FEE"/>
    <w:rsid w:val="000B100B"/>
    <w:rsid w:val="000B1037"/>
    <w:rsid w:val="000B107F"/>
    <w:rsid w:val="000B11E1"/>
    <w:rsid w:val="000B1387"/>
    <w:rsid w:val="000B14E5"/>
    <w:rsid w:val="000B16DF"/>
    <w:rsid w:val="000B16E0"/>
    <w:rsid w:val="000B17BD"/>
    <w:rsid w:val="000B17F0"/>
    <w:rsid w:val="000B199E"/>
    <w:rsid w:val="000B1A88"/>
    <w:rsid w:val="000B1AA0"/>
    <w:rsid w:val="000B1BB1"/>
    <w:rsid w:val="000B1BCA"/>
    <w:rsid w:val="000B1D60"/>
    <w:rsid w:val="000B1F19"/>
    <w:rsid w:val="000B1F1D"/>
    <w:rsid w:val="000B1F43"/>
    <w:rsid w:val="000B1FA6"/>
    <w:rsid w:val="000B202A"/>
    <w:rsid w:val="000B207D"/>
    <w:rsid w:val="000B2149"/>
    <w:rsid w:val="000B21B9"/>
    <w:rsid w:val="000B221F"/>
    <w:rsid w:val="000B225F"/>
    <w:rsid w:val="000B22CE"/>
    <w:rsid w:val="000B22FD"/>
    <w:rsid w:val="000B2366"/>
    <w:rsid w:val="000B2591"/>
    <w:rsid w:val="000B2668"/>
    <w:rsid w:val="000B2740"/>
    <w:rsid w:val="000B2918"/>
    <w:rsid w:val="000B29A4"/>
    <w:rsid w:val="000B2BB2"/>
    <w:rsid w:val="000B2C07"/>
    <w:rsid w:val="000B2CCD"/>
    <w:rsid w:val="000B2D23"/>
    <w:rsid w:val="000B2EFF"/>
    <w:rsid w:val="000B2F02"/>
    <w:rsid w:val="000B2F53"/>
    <w:rsid w:val="000B2FF3"/>
    <w:rsid w:val="000B301F"/>
    <w:rsid w:val="000B306B"/>
    <w:rsid w:val="000B30A1"/>
    <w:rsid w:val="000B30BE"/>
    <w:rsid w:val="000B30C8"/>
    <w:rsid w:val="000B3151"/>
    <w:rsid w:val="000B3224"/>
    <w:rsid w:val="000B3327"/>
    <w:rsid w:val="000B34BF"/>
    <w:rsid w:val="000B35E2"/>
    <w:rsid w:val="000B37A3"/>
    <w:rsid w:val="000B383E"/>
    <w:rsid w:val="000B3849"/>
    <w:rsid w:val="000B384B"/>
    <w:rsid w:val="000B3B3F"/>
    <w:rsid w:val="000B3BFB"/>
    <w:rsid w:val="000B3CCA"/>
    <w:rsid w:val="000B3D16"/>
    <w:rsid w:val="000B3E1C"/>
    <w:rsid w:val="000B3F42"/>
    <w:rsid w:val="000B3F59"/>
    <w:rsid w:val="000B4063"/>
    <w:rsid w:val="000B413E"/>
    <w:rsid w:val="000B4306"/>
    <w:rsid w:val="000B4431"/>
    <w:rsid w:val="000B44EB"/>
    <w:rsid w:val="000B46CC"/>
    <w:rsid w:val="000B4852"/>
    <w:rsid w:val="000B496B"/>
    <w:rsid w:val="000B496F"/>
    <w:rsid w:val="000B4989"/>
    <w:rsid w:val="000B4A37"/>
    <w:rsid w:val="000B4B07"/>
    <w:rsid w:val="000B4B24"/>
    <w:rsid w:val="000B4BA9"/>
    <w:rsid w:val="000B4C22"/>
    <w:rsid w:val="000B4D38"/>
    <w:rsid w:val="000B4E63"/>
    <w:rsid w:val="000B4F3A"/>
    <w:rsid w:val="000B4F50"/>
    <w:rsid w:val="000B4F5B"/>
    <w:rsid w:val="000B4FB4"/>
    <w:rsid w:val="000B4FD5"/>
    <w:rsid w:val="000B5091"/>
    <w:rsid w:val="000B510D"/>
    <w:rsid w:val="000B51D0"/>
    <w:rsid w:val="000B51F9"/>
    <w:rsid w:val="000B5221"/>
    <w:rsid w:val="000B53F6"/>
    <w:rsid w:val="000B5466"/>
    <w:rsid w:val="000B55F8"/>
    <w:rsid w:val="000B5634"/>
    <w:rsid w:val="000B5661"/>
    <w:rsid w:val="000B56C6"/>
    <w:rsid w:val="000B5740"/>
    <w:rsid w:val="000B5787"/>
    <w:rsid w:val="000B581A"/>
    <w:rsid w:val="000B58C3"/>
    <w:rsid w:val="000B5944"/>
    <w:rsid w:val="000B59A2"/>
    <w:rsid w:val="000B5AA9"/>
    <w:rsid w:val="000B5B11"/>
    <w:rsid w:val="000B5B58"/>
    <w:rsid w:val="000B5D2C"/>
    <w:rsid w:val="000B5E42"/>
    <w:rsid w:val="000B5E8F"/>
    <w:rsid w:val="000B6009"/>
    <w:rsid w:val="000B60CB"/>
    <w:rsid w:val="000B614E"/>
    <w:rsid w:val="000B61BC"/>
    <w:rsid w:val="000B635D"/>
    <w:rsid w:val="000B63F6"/>
    <w:rsid w:val="000B6402"/>
    <w:rsid w:val="000B640F"/>
    <w:rsid w:val="000B65E9"/>
    <w:rsid w:val="000B661F"/>
    <w:rsid w:val="000B6680"/>
    <w:rsid w:val="000B6765"/>
    <w:rsid w:val="000B686C"/>
    <w:rsid w:val="000B6950"/>
    <w:rsid w:val="000B695D"/>
    <w:rsid w:val="000B696A"/>
    <w:rsid w:val="000B6975"/>
    <w:rsid w:val="000B6A15"/>
    <w:rsid w:val="000B6A67"/>
    <w:rsid w:val="000B6A7E"/>
    <w:rsid w:val="000B6AAA"/>
    <w:rsid w:val="000B6BF9"/>
    <w:rsid w:val="000B6C4C"/>
    <w:rsid w:val="000B6CA1"/>
    <w:rsid w:val="000B6FF7"/>
    <w:rsid w:val="000B711C"/>
    <w:rsid w:val="000B729B"/>
    <w:rsid w:val="000B72C3"/>
    <w:rsid w:val="000B7309"/>
    <w:rsid w:val="000B7360"/>
    <w:rsid w:val="000B74FA"/>
    <w:rsid w:val="000B7581"/>
    <w:rsid w:val="000B75FD"/>
    <w:rsid w:val="000B7604"/>
    <w:rsid w:val="000B7644"/>
    <w:rsid w:val="000B768B"/>
    <w:rsid w:val="000B7795"/>
    <w:rsid w:val="000B795A"/>
    <w:rsid w:val="000B79BD"/>
    <w:rsid w:val="000B79D3"/>
    <w:rsid w:val="000B7A19"/>
    <w:rsid w:val="000B7A68"/>
    <w:rsid w:val="000B7DA3"/>
    <w:rsid w:val="000B7E04"/>
    <w:rsid w:val="000B7EA5"/>
    <w:rsid w:val="000B7FA6"/>
    <w:rsid w:val="000B7FF1"/>
    <w:rsid w:val="000C0073"/>
    <w:rsid w:val="000C0187"/>
    <w:rsid w:val="000C021C"/>
    <w:rsid w:val="000C02B6"/>
    <w:rsid w:val="000C0348"/>
    <w:rsid w:val="000C0464"/>
    <w:rsid w:val="000C0555"/>
    <w:rsid w:val="000C05EA"/>
    <w:rsid w:val="000C0631"/>
    <w:rsid w:val="000C0644"/>
    <w:rsid w:val="000C074D"/>
    <w:rsid w:val="000C09C2"/>
    <w:rsid w:val="000C09E4"/>
    <w:rsid w:val="000C0B7C"/>
    <w:rsid w:val="000C0C07"/>
    <w:rsid w:val="000C0D54"/>
    <w:rsid w:val="000C0DB2"/>
    <w:rsid w:val="000C0E91"/>
    <w:rsid w:val="000C0F38"/>
    <w:rsid w:val="000C0F80"/>
    <w:rsid w:val="000C1050"/>
    <w:rsid w:val="000C1195"/>
    <w:rsid w:val="000C1329"/>
    <w:rsid w:val="000C1367"/>
    <w:rsid w:val="000C1383"/>
    <w:rsid w:val="000C1435"/>
    <w:rsid w:val="000C14A7"/>
    <w:rsid w:val="000C1549"/>
    <w:rsid w:val="000C154D"/>
    <w:rsid w:val="000C15C3"/>
    <w:rsid w:val="000C164C"/>
    <w:rsid w:val="000C1883"/>
    <w:rsid w:val="000C19D9"/>
    <w:rsid w:val="000C1A5E"/>
    <w:rsid w:val="000C1A61"/>
    <w:rsid w:val="000C1A6D"/>
    <w:rsid w:val="000C1A70"/>
    <w:rsid w:val="000C1A7B"/>
    <w:rsid w:val="000C1A94"/>
    <w:rsid w:val="000C1AF7"/>
    <w:rsid w:val="000C1B09"/>
    <w:rsid w:val="000C1CD6"/>
    <w:rsid w:val="000C1D81"/>
    <w:rsid w:val="000C1E9D"/>
    <w:rsid w:val="000C207B"/>
    <w:rsid w:val="000C2127"/>
    <w:rsid w:val="000C213B"/>
    <w:rsid w:val="000C2156"/>
    <w:rsid w:val="000C21B1"/>
    <w:rsid w:val="000C2245"/>
    <w:rsid w:val="000C2287"/>
    <w:rsid w:val="000C229A"/>
    <w:rsid w:val="000C2384"/>
    <w:rsid w:val="000C23BD"/>
    <w:rsid w:val="000C23CE"/>
    <w:rsid w:val="000C23D0"/>
    <w:rsid w:val="000C23DA"/>
    <w:rsid w:val="000C24C4"/>
    <w:rsid w:val="000C2608"/>
    <w:rsid w:val="000C2645"/>
    <w:rsid w:val="000C277D"/>
    <w:rsid w:val="000C292E"/>
    <w:rsid w:val="000C29DC"/>
    <w:rsid w:val="000C2A18"/>
    <w:rsid w:val="000C2B33"/>
    <w:rsid w:val="000C2B4D"/>
    <w:rsid w:val="000C2BB1"/>
    <w:rsid w:val="000C2C69"/>
    <w:rsid w:val="000C2D3F"/>
    <w:rsid w:val="000C2E1E"/>
    <w:rsid w:val="000C2E2C"/>
    <w:rsid w:val="000C2EAB"/>
    <w:rsid w:val="000C2F55"/>
    <w:rsid w:val="000C2F80"/>
    <w:rsid w:val="000C3066"/>
    <w:rsid w:val="000C306B"/>
    <w:rsid w:val="000C31B8"/>
    <w:rsid w:val="000C3233"/>
    <w:rsid w:val="000C32FF"/>
    <w:rsid w:val="000C336C"/>
    <w:rsid w:val="000C337E"/>
    <w:rsid w:val="000C33D8"/>
    <w:rsid w:val="000C33F8"/>
    <w:rsid w:val="000C3429"/>
    <w:rsid w:val="000C347D"/>
    <w:rsid w:val="000C3578"/>
    <w:rsid w:val="000C3726"/>
    <w:rsid w:val="000C3733"/>
    <w:rsid w:val="000C379A"/>
    <w:rsid w:val="000C37C6"/>
    <w:rsid w:val="000C37F0"/>
    <w:rsid w:val="000C38B8"/>
    <w:rsid w:val="000C38BA"/>
    <w:rsid w:val="000C38C4"/>
    <w:rsid w:val="000C39D3"/>
    <w:rsid w:val="000C39F2"/>
    <w:rsid w:val="000C39FB"/>
    <w:rsid w:val="000C3A2D"/>
    <w:rsid w:val="000C3A53"/>
    <w:rsid w:val="000C3A64"/>
    <w:rsid w:val="000C3AE0"/>
    <w:rsid w:val="000C3AE5"/>
    <w:rsid w:val="000C3AF2"/>
    <w:rsid w:val="000C3C84"/>
    <w:rsid w:val="000C3CD3"/>
    <w:rsid w:val="000C3D05"/>
    <w:rsid w:val="000C3EA4"/>
    <w:rsid w:val="000C3EBD"/>
    <w:rsid w:val="000C40FD"/>
    <w:rsid w:val="000C428E"/>
    <w:rsid w:val="000C43CD"/>
    <w:rsid w:val="000C4437"/>
    <w:rsid w:val="000C44B6"/>
    <w:rsid w:val="000C4560"/>
    <w:rsid w:val="000C4598"/>
    <w:rsid w:val="000C466E"/>
    <w:rsid w:val="000C46A5"/>
    <w:rsid w:val="000C46C6"/>
    <w:rsid w:val="000C47C8"/>
    <w:rsid w:val="000C486D"/>
    <w:rsid w:val="000C4871"/>
    <w:rsid w:val="000C492B"/>
    <w:rsid w:val="000C4A95"/>
    <w:rsid w:val="000C4AF0"/>
    <w:rsid w:val="000C4B26"/>
    <w:rsid w:val="000C4B61"/>
    <w:rsid w:val="000C4C05"/>
    <w:rsid w:val="000C4C6B"/>
    <w:rsid w:val="000C4D01"/>
    <w:rsid w:val="000C4D4B"/>
    <w:rsid w:val="000C4D8B"/>
    <w:rsid w:val="000C4DAD"/>
    <w:rsid w:val="000C4EF3"/>
    <w:rsid w:val="000C4F04"/>
    <w:rsid w:val="000C4F12"/>
    <w:rsid w:val="000C54FB"/>
    <w:rsid w:val="000C55A7"/>
    <w:rsid w:val="000C55BF"/>
    <w:rsid w:val="000C579D"/>
    <w:rsid w:val="000C5A2A"/>
    <w:rsid w:val="000C5B2C"/>
    <w:rsid w:val="000C5BEA"/>
    <w:rsid w:val="000C5C6B"/>
    <w:rsid w:val="000C5C96"/>
    <w:rsid w:val="000C5D92"/>
    <w:rsid w:val="000C5EF6"/>
    <w:rsid w:val="000C5F3F"/>
    <w:rsid w:val="000C5FAA"/>
    <w:rsid w:val="000C5FC6"/>
    <w:rsid w:val="000C602B"/>
    <w:rsid w:val="000C6088"/>
    <w:rsid w:val="000C62C5"/>
    <w:rsid w:val="000C6349"/>
    <w:rsid w:val="000C6377"/>
    <w:rsid w:val="000C640E"/>
    <w:rsid w:val="000C6431"/>
    <w:rsid w:val="000C64E4"/>
    <w:rsid w:val="000C6584"/>
    <w:rsid w:val="000C65AF"/>
    <w:rsid w:val="000C65E0"/>
    <w:rsid w:val="000C671E"/>
    <w:rsid w:val="000C6763"/>
    <w:rsid w:val="000C676F"/>
    <w:rsid w:val="000C6837"/>
    <w:rsid w:val="000C6B14"/>
    <w:rsid w:val="000C6B15"/>
    <w:rsid w:val="000C6B8A"/>
    <w:rsid w:val="000C6BF5"/>
    <w:rsid w:val="000C6C25"/>
    <w:rsid w:val="000C6CBF"/>
    <w:rsid w:val="000C6CCC"/>
    <w:rsid w:val="000C6CE5"/>
    <w:rsid w:val="000C6DB5"/>
    <w:rsid w:val="000C6EE0"/>
    <w:rsid w:val="000C7010"/>
    <w:rsid w:val="000C701A"/>
    <w:rsid w:val="000C70EB"/>
    <w:rsid w:val="000C712F"/>
    <w:rsid w:val="000C71BD"/>
    <w:rsid w:val="000C7258"/>
    <w:rsid w:val="000C737F"/>
    <w:rsid w:val="000C7434"/>
    <w:rsid w:val="000C74D5"/>
    <w:rsid w:val="000C7599"/>
    <w:rsid w:val="000C75C1"/>
    <w:rsid w:val="000C76DF"/>
    <w:rsid w:val="000C7718"/>
    <w:rsid w:val="000C7743"/>
    <w:rsid w:val="000C7751"/>
    <w:rsid w:val="000C7769"/>
    <w:rsid w:val="000C777A"/>
    <w:rsid w:val="000C77D1"/>
    <w:rsid w:val="000C7812"/>
    <w:rsid w:val="000C7832"/>
    <w:rsid w:val="000C78E4"/>
    <w:rsid w:val="000C792D"/>
    <w:rsid w:val="000C7953"/>
    <w:rsid w:val="000C797B"/>
    <w:rsid w:val="000C7B55"/>
    <w:rsid w:val="000C7B60"/>
    <w:rsid w:val="000C7B93"/>
    <w:rsid w:val="000C7C32"/>
    <w:rsid w:val="000C7D0F"/>
    <w:rsid w:val="000C7F30"/>
    <w:rsid w:val="000C7FF7"/>
    <w:rsid w:val="000D00F2"/>
    <w:rsid w:val="000D00F8"/>
    <w:rsid w:val="000D01BB"/>
    <w:rsid w:val="000D0270"/>
    <w:rsid w:val="000D0289"/>
    <w:rsid w:val="000D029D"/>
    <w:rsid w:val="000D03BB"/>
    <w:rsid w:val="000D04FE"/>
    <w:rsid w:val="000D0502"/>
    <w:rsid w:val="000D0544"/>
    <w:rsid w:val="000D05A0"/>
    <w:rsid w:val="000D05BB"/>
    <w:rsid w:val="000D05DD"/>
    <w:rsid w:val="000D07E3"/>
    <w:rsid w:val="000D083D"/>
    <w:rsid w:val="000D08CF"/>
    <w:rsid w:val="000D0A4F"/>
    <w:rsid w:val="000D0A65"/>
    <w:rsid w:val="000D0A69"/>
    <w:rsid w:val="000D0C41"/>
    <w:rsid w:val="000D0C95"/>
    <w:rsid w:val="000D0CCB"/>
    <w:rsid w:val="000D0E53"/>
    <w:rsid w:val="000D0EA3"/>
    <w:rsid w:val="000D0FD7"/>
    <w:rsid w:val="000D1052"/>
    <w:rsid w:val="000D105B"/>
    <w:rsid w:val="000D113F"/>
    <w:rsid w:val="000D11A5"/>
    <w:rsid w:val="000D11CE"/>
    <w:rsid w:val="000D1264"/>
    <w:rsid w:val="000D1286"/>
    <w:rsid w:val="000D12A6"/>
    <w:rsid w:val="000D135F"/>
    <w:rsid w:val="000D1373"/>
    <w:rsid w:val="000D13D7"/>
    <w:rsid w:val="000D13F1"/>
    <w:rsid w:val="000D140A"/>
    <w:rsid w:val="000D14AD"/>
    <w:rsid w:val="000D1589"/>
    <w:rsid w:val="000D1600"/>
    <w:rsid w:val="000D1750"/>
    <w:rsid w:val="000D1766"/>
    <w:rsid w:val="000D1949"/>
    <w:rsid w:val="000D196B"/>
    <w:rsid w:val="000D1976"/>
    <w:rsid w:val="000D19FF"/>
    <w:rsid w:val="000D1ABA"/>
    <w:rsid w:val="000D1B0F"/>
    <w:rsid w:val="000D1B3C"/>
    <w:rsid w:val="000D1B8C"/>
    <w:rsid w:val="000D1BEC"/>
    <w:rsid w:val="000D1C18"/>
    <w:rsid w:val="000D1C2C"/>
    <w:rsid w:val="000D1C46"/>
    <w:rsid w:val="000D1C65"/>
    <w:rsid w:val="000D1CD4"/>
    <w:rsid w:val="000D1DB6"/>
    <w:rsid w:val="000D1F54"/>
    <w:rsid w:val="000D20B6"/>
    <w:rsid w:val="000D20DE"/>
    <w:rsid w:val="000D2106"/>
    <w:rsid w:val="000D216D"/>
    <w:rsid w:val="000D21DF"/>
    <w:rsid w:val="000D22BF"/>
    <w:rsid w:val="000D239E"/>
    <w:rsid w:val="000D23E6"/>
    <w:rsid w:val="000D23F5"/>
    <w:rsid w:val="000D2443"/>
    <w:rsid w:val="000D259A"/>
    <w:rsid w:val="000D2704"/>
    <w:rsid w:val="000D2740"/>
    <w:rsid w:val="000D28B4"/>
    <w:rsid w:val="000D28FD"/>
    <w:rsid w:val="000D2907"/>
    <w:rsid w:val="000D29D7"/>
    <w:rsid w:val="000D2B26"/>
    <w:rsid w:val="000D2B57"/>
    <w:rsid w:val="000D2C49"/>
    <w:rsid w:val="000D2C52"/>
    <w:rsid w:val="000D2C54"/>
    <w:rsid w:val="000D2CAB"/>
    <w:rsid w:val="000D2DC0"/>
    <w:rsid w:val="000D2FF4"/>
    <w:rsid w:val="000D32B9"/>
    <w:rsid w:val="000D3332"/>
    <w:rsid w:val="000D34B4"/>
    <w:rsid w:val="000D34F4"/>
    <w:rsid w:val="000D354A"/>
    <w:rsid w:val="000D3771"/>
    <w:rsid w:val="000D379D"/>
    <w:rsid w:val="000D37C5"/>
    <w:rsid w:val="000D383D"/>
    <w:rsid w:val="000D391F"/>
    <w:rsid w:val="000D395D"/>
    <w:rsid w:val="000D399C"/>
    <w:rsid w:val="000D39CA"/>
    <w:rsid w:val="000D3AEA"/>
    <w:rsid w:val="000D3BF8"/>
    <w:rsid w:val="000D3D4D"/>
    <w:rsid w:val="000D3EA5"/>
    <w:rsid w:val="000D3F7B"/>
    <w:rsid w:val="000D4008"/>
    <w:rsid w:val="000D4077"/>
    <w:rsid w:val="000D4087"/>
    <w:rsid w:val="000D4116"/>
    <w:rsid w:val="000D4216"/>
    <w:rsid w:val="000D4266"/>
    <w:rsid w:val="000D4332"/>
    <w:rsid w:val="000D43E3"/>
    <w:rsid w:val="000D4426"/>
    <w:rsid w:val="000D446A"/>
    <w:rsid w:val="000D449B"/>
    <w:rsid w:val="000D44FC"/>
    <w:rsid w:val="000D46A3"/>
    <w:rsid w:val="000D493D"/>
    <w:rsid w:val="000D4961"/>
    <w:rsid w:val="000D49AD"/>
    <w:rsid w:val="000D49EE"/>
    <w:rsid w:val="000D4A3F"/>
    <w:rsid w:val="000D4C17"/>
    <w:rsid w:val="000D4C79"/>
    <w:rsid w:val="000D4E04"/>
    <w:rsid w:val="000D4E89"/>
    <w:rsid w:val="000D4F5B"/>
    <w:rsid w:val="000D4FA7"/>
    <w:rsid w:val="000D4FEB"/>
    <w:rsid w:val="000D5097"/>
    <w:rsid w:val="000D51B1"/>
    <w:rsid w:val="000D53E1"/>
    <w:rsid w:val="000D53F7"/>
    <w:rsid w:val="000D54F0"/>
    <w:rsid w:val="000D558E"/>
    <w:rsid w:val="000D5624"/>
    <w:rsid w:val="000D5654"/>
    <w:rsid w:val="000D5779"/>
    <w:rsid w:val="000D57F8"/>
    <w:rsid w:val="000D586E"/>
    <w:rsid w:val="000D58D2"/>
    <w:rsid w:val="000D591E"/>
    <w:rsid w:val="000D5973"/>
    <w:rsid w:val="000D5AE2"/>
    <w:rsid w:val="000D5B54"/>
    <w:rsid w:val="000D5C4E"/>
    <w:rsid w:val="000D5D16"/>
    <w:rsid w:val="000D5D36"/>
    <w:rsid w:val="000D5D38"/>
    <w:rsid w:val="000D5D4F"/>
    <w:rsid w:val="000D5E2A"/>
    <w:rsid w:val="000D5E80"/>
    <w:rsid w:val="000D5FCE"/>
    <w:rsid w:val="000D60FB"/>
    <w:rsid w:val="000D61BB"/>
    <w:rsid w:val="000D62EA"/>
    <w:rsid w:val="000D6359"/>
    <w:rsid w:val="000D651C"/>
    <w:rsid w:val="000D65F1"/>
    <w:rsid w:val="000D66E2"/>
    <w:rsid w:val="000D66F0"/>
    <w:rsid w:val="000D67B7"/>
    <w:rsid w:val="000D67F3"/>
    <w:rsid w:val="000D6841"/>
    <w:rsid w:val="000D6996"/>
    <w:rsid w:val="000D6A2D"/>
    <w:rsid w:val="000D6ADF"/>
    <w:rsid w:val="000D6B6D"/>
    <w:rsid w:val="000D6BA4"/>
    <w:rsid w:val="000D6BBE"/>
    <w:rsid w:val="000D6C05"/>
    <w:rsid w:val="000D6D2A"/>
    <w:rsid w:val="000D6D55"/>
    <w:rsid w:val="000D6D6D"/>
    <w:rsid w:val="000D6D8E"/>
    <w:rsid w:val="000D6DD2"/>
    <w:rsid w:val="000D6FF5"/>
    <w:rsid w:val="000D70AC"/>
    <w:rsid w:val="000D70AD"/>
    <w:rsid w:val="000D7155"/>
    <w:rsid w:val="000D71D1"/>
    <w:rsid w:val="000D7261"/>
    <w:rsid w:val="000D72F8"/>
    <w:rsid w:val="000D73B6"/>
    <w:rsid w:val="000D7408"/>
    <w:rsid w:val="000D7454"/>
    <w:rsid w:val="000D7558"/>
    <w:rsid w:val="000D757D"/>
    <w:rsid w:val="000D76A9"/>
    <w:rsid w:val="000D77C8"/>
    <w:rsid w:val="000D784F"/>
    <w:rsid w:val="000D7859"/>
    <w:rsid w:val="000D7933"/>
    <w:rsid w:val="000D79EC"/>
    <w:rsid w:val="000D7A93"/>
    <w:rsid w:val="000D7B1B"/>
    <w:rsid w:val="000D7B4C"/>
    <w:rsid w:val="000D7BED"/>
    <w:rsid w:val="000D7D99"/>
    <w:rsid w:val="000D7DAB"/>
    <w:rsid w:val="000E02B2"/>
    <w:rsid w:val="000E0339"/>
    <w:rsid w:val="000E03B6"/>
    <w:rsid w:val="000E0446"/>
    <w:rsid w:val="000E04D5"/>
    <w:rsid w:val="000E04EC"/>
    <w:rsid w:val="000E0590"/>
    <w:rsid w:val="000E05D1"/>
    <w:rsid w:val="000E06A1"/>
    <w:rsid w:val="000E07F6"/>
    <w:rsid w:val="000E0832"/>
    <w:rsid w:val="000E084A"/>
    <w:rsid w:val="000E097E"/>
    <w:rsid w:val="000E0A24"/>
    <w:rsid w:val="000E0ABF"/>
    <w:rsid w:val="000E0B20"/>
    <w:rsid w:val="000E0B4F"/>
    <w:rsid w:val="000E0C0D"/>
    <w:rsid w:val="000E0C38"/>
    <w:rsid w:val="000E0D1A"/>
    <w:rsid w:val="000E0D6D"/>
    <w:rsid w:val="000E0E39"/>
    <w:rsid w:val="000E0E8C"/>
    <w:rsid w:val="000E0F86"/>
    <w:rsid w:val="000E1030"/>
    <w:rsid w:val="000E107E"/>
    <w:rsid w:val="000E10C8"/>
    <w:rsid w:val="000E1109"/>
    <w:rsid w:val="000E11CE"/>
    <w:rsid w:val="000E11E5"/>
    <w:rsid w:val="000E1221"/>
    <w:rsid w:val="000E129A"/>
    <w:rsid w:val="000E1366"/>
    <w:rsid w:val="000E146A"/>
    <w:rsid w:val="000E155A"/>
    <w:rsid w:val="000E1619"/>
    <w:rsid w:val="000E1740"/>
    <w:rsid w:val="000E17D9"/>
    <w:rsid w:val="000E187E"/>
    <w:rsid w:val="000E1897"/>
    <w:rsid w:val="000E18F8"/>
    <w:rsid w:val="000E1947"/>
    <w:rsid w:val="000E194B"/>
    <w:rsid w:val="000E196A"/>
    <w:rsid w:val="000E19B5"/>
    <w:rsid w:val="000E19D6"/>
    <w:rsid w:val="000E1A13"/>
    <w:rsid w:val="000E1A5D"/>
    <w:rsid w:val="000E1AF4"/>
    <w:rsid w:val="000E1C0A"/>
    <w:rsid w:val="000E1CDD"/>
    <w:rsid w:val="000E1D01"/>
    <w:rsid w:val="000E1D3D"/>
    <w:rsid w:val="000E1DE6"/>
    <w:rsid w:val="000E1E0B"/>
    <w:rsid w:val="000E1E6D"/>
    <w:rsid w:val="000E1F0C"/>
    <w:rsid w:val="000E1F9B"/>
    <w:rsid w:val="000E1F9F"/>
    <w:rsid w:val="000E1FD5"/>
    <w:rsid w:val="000E20E7"/>
    <w:rsid w:val="000E2146"/>
    <w:rsid w:val="000E23CA"/>
    <w:rsid w:val="000E249D"/>
    <w:rsid w:val="000E24B5"/>
    <w:rsid w:val="000E2634"/>
    <w:rsid w:val="000E2655"/>
    <w:rsid w:val="000E2665"/>
    <w:rsid w:val="000E268A"/>
    <w:rsid w:val="000E2763"/>
    <w:rsid w:val="000E279D"/>
    <w:rsid w:val="000E27AC"/>
    <w:rsid w:val="000E27D1"/>
    <w:rsid w:val="000E289B"/>
    <w:rsid w:val="000E2966"/>
    <w:rsid w:val="000E2D1D"/>
    <w:rsid w:val="000E2DA4"/>
    <w:rsid w:val="000E2DBF"/>
    <w:rsid w:val="000E2DF7"/>
    <w:rsid w:val="000E303F"/>
    <w:rsid w:val="000E30F4"/>
    <w:rsid w:val="000E315C"/>
    <w:rsid w:val="000E322B"/>
    <w:rsid w:val="000E337D"/>
    <w:rsid w:val="000E337F"/>
    <w:rsid w:val="000E3397"/>
    <w:rsid w:val="000E33B6"/>
    <w:rsid w:val="000E3462"/>
    <w:rsid w:val="000E3483"/>
    <w:rsid w:val="000E3495"/>
    <w:rsid w:val="000E34C6"/>
    <w:rsid w:val="000E364D"/>
    <w:rsid w:val="000E367C"/>
    <w:rsid w:val="000E372F"/>
    <w:rsid w:val="000E37BC"/>
    <w:rsid w:val="000E389D"/>
    <w:rsid w:val="000E38EA"/>
    <w:rsid w:val="000E38FD"/>
    <w:rsid w:val="000E39F5"/>
    <w:rsid w:val="000E3A13"/>
    <w:rsid w:val="000E3AD4"/>
    <w:rsid w:val="000E3B2E"/>
    <w:rsid w:val="000E3C40"/>
    <w:rsid w:val="000E3C4D"/>
    <w:rsid w:val="000E3C55"/>
    <w:rsid w:val="000E3CA3"/>
    <w:rsid w:val="000E3D40"/>
    <w:rsid w:val="000E3DEC"/>
    <w:rsid w:val="000E3DED"/>
    <w:rsid w:val="000E3E1B"/>
    <w:rsid w:val="000E3EE7"/>
    <w:rsid w:val="000E3EF0"/>
    <w:rsid w:val="000E3F84"/>
    <w:rsid w:val="000E4103"/>
    <w:rsid w:val="000E4134"/>
    <w:rsid w:val="000E428F"/>
    <w:rsid w:val="000E4333"/>
    <w:rsid w:val="000E433C"/>
    <w:rsid w:val="000E4394"/>
    <w:rsid w:val="000E43EB"/>
    <w:rsid w:val="000E4508"/>
    <w:rsid w:val="000E4533"/>
    <w:rsid w:val="000E46AA"/>
    <w:rsid w:val="000E46F5"/>
    <w:rsid w:val="000E475E"/>
    <w:rsid w:val="000E4821"/>
    <w:rsid w:val="000E48D8"/>
    <w:rsid w:val="000E48F3"/>
    <w:rsid w:val="000E4908"/>
    <w:rsid w:val="000E4952"/>
    <w:rsid w:val="000E4C64"/>
    <w:rsid w:val="000E4C8C"/>
    <w:rsid w:val="000E4CD3"/>
    <w:rsid w:val="000E4D1E"/>
    <w:rsid w:val="000E4D53"/>
    <w:rsid w:val="000E4D8A"/>
    <w:rsid w:val="000E4DA6"/>
    <w:rsid w:val="000E4E08"/>
    <w:rsid w:val="000E4EB0"/>
    <w:rsid w:val="000E50DB"/>
    <w:rsid w:val="000E5110"/>
    <w:rsid w:val="000E51AF"/>
    <w:rsid w:val="000E523B"/>
    <w:rsid w:val="000E523E"/>
    <w:rsid w:val="000E532C"/>
    <w:rsid w:val="000E5440"/>
    <w:rsid w:val="000E5469"/>
    <w:rsid w:val="000E54AB"/>
    <w:rsid w:val="000E54DD"/>
    <w:rsid w:val="000E5576"/>
    <w:rsid w:val="000E561D"/>
    <w:rsid w:val="000E56FE"/>
    <w:rsid w:val="000E579D"/>
    <w:rsid w:val="000E57F7"/>
    <w:rsid w:val="000E5862"/>
    <w:rsid w:val="000E58F8"/>
    <w:rsid w:val="000E59ED"/>
    <w:rsid w:val="000E5A72"/>
    <w:rsid w:val="000E5AC5"/>
    <w:rsid w:val="000E5BB0"/>
    <w:rsid w:val="000E5C33"/>
    <w:rsid w:val="000E5C68"/>
    <w:rsid w:val="000E5CE1"/>
    <w:rsid w:val="000E5CE7"/>
    <w:rsid w:val="000E5D1F"/>
    <w:rsid w:val="000E5DA2"/>
    <w:rsid w:val="000E5DCE"/>
    <w:rsid w:val="000E5E19"/>
    <w:rsid w:val="000E5E98"/>
    <w:rsid w:val="000E5F14"/>
    <w:rsid w:val="000E6009"/>
    <w:rsid w:val="000E601D"/>
    <w:rsid w:val="000E6086"/>
    <w:rsid w:val="000E6160"/>
    <w:rsid w:val="000E61CE"/>
    <w:rsid w:val="000E61E8"/>
    <w:rsid w:val="000E61F5"/>
    <w:rsid w:val="000E6238"/>
    <w:rsid w:val="000E638B"/>
    <w:rsid w:val="000E641C"/>
    <w:rsid w:val="000E644A"/>
    <w:rsid w:val="000E66C1"/>
    <w:rsid w:val="000E6846"/>
    <w:rsid w:val="000E68DF"/>
    <w:rsid w:val="000E691B"/>
    <w:rsid w:val="000E6953"/>
    <w:rsid w:val="000E69AC"/>
    <w:rsid w:val="000E69C7"/>
    <w:rsid w:val="000E6A96"/>
    <w:rsid w:val="000E6B3C"/>
    <w:rsid w:val="000E6BE6"/>
    <w:rsid w:val="000E6C91"/>
    <w:rsid w:val="000E6DE4"/>
    <w:rsid w:val="000E6E16"/>
    <w:rsid w:val="000E6FB1"/>
    <w:rsid w:val="000E7006"/>
    <w:rsid w:val="000E7123"/>
    <w:rsid w:val="000E7150"/>
    <w:rsid w:val="000E71AF"/>
    <w:rsid w:val="000E7378"/>
    <w:rsid w:val="000E75A6"/>
    <w:rsid w:val="000E7631"/>
    <w:rsid w:val="000E7665"/>
    <w:rsid w:val="000E7780"/>
    <w:rsid w:val="000E7813"/>
    <w:rsid w:val="000E782D"/>
    <w:rsid w:val="000E7843"/>
    <w:rsid w:val="000E7917"/>
    <w:rsid w:val="000E79A0"/>
    <w:rsid w:val="000E7A02"/>
    <w:rsid w:val="000E7B75"/>
    <w:rsid w:val="000E7E1D"/>
    <w:rsid w:val="000E7E84"/>
    <w:rsid w:val="000E7E92"/>
    <w:rsid w:val="000E7EB4"/>
    <w:rsid w:val="000E7F85"/>
    <w:rsid w:val="000F002A"/>
    <w:rsid w:val="000F006E"/>
    <w:rsid w:val="000F00AB"/>
    <w:rsid w:val="000F0405"/>
    <w:rsid w:val="000F0431"/>
    <w:rsid w:val="000F04D6"/>
    <w:rsid w:val="000F052F"/>
    <w:rsid w:val="000F05FE"/>
    <w:rsid w:val="000F063A"/>
    <w:rsid w:val="000F06F6"/>
    <w:rsid w:val="000F082F"/>
    <w:rsid w:val="000F089A"/>
    <w:rsid w:val="000F09D9"/>
    <w:rsid w:val="000F0A41"/>
    <w:rsid w:val="000F0B5A"/>
    <w:rsid w:val="000F0C29"/>
    <w:rsid w:val="000F0C6F"/>
    <w:rsid w:val="000F0D34"/>
    <w:rsid w:val="000F0DA4"/>
    <w:rsid w:val="000F0FE0"/>
    <w:rsid w:val="000F10F4"/>
    <w:rsid w:val="000F1306"/>
    <w:rsid w:val="000F13D6"/>
    <w:rsid w:val="000F141B"/>
    <w:rsid w:val="000F141D"/>
    <w:rsid w:val="000F14FE"/>
    <w:rsid w:val="000F15C8"/>
    <w:rsid w:val="000F160D"/>
    <w:rsid w:val="000F173D"/>
    <w:rsid w:val="000F175D"/>
    <w:rsid w:val="000F1879"/>
    <w:rsid w:val="000F18AB"/>
    <w:rsid w:val="000F193B"/>
    <w:rsid w:val="000F1961"/>
    <w:rsid w:val="000F1A19"/>
    <w:rsid w:val="000F1A89"/>
    <w:rsid w:val="000F1ABB"/>
    <w:rsid w:val="000F1AC4"/>
    <w:rsid w:val="000F1AF9"/>
    <w:rsid w:val="000F1B03"/>
    <w:rsid w:val="000F1B16"/>
    <w:rsid w:val="000F1D4D"/>
    <w:rsid w:val="000F1D6C"/>
    <w:rsid w:val="000F1E41"/>
    <w:rsid w:val="000F1E78"/>
    <w:rsid w:val="000F1F02"/>
    <w:rsid w:val="000F2009"/>
    <w:rsid w:val="000F2079"/>
    <w:rsid w:val="000F20E1"/>
    <w:rsid w:val="000F21D8"/>
    <w:rsid w:val="000F2216"/>
    <w:rsid w:val="000F224F"/>
    <w:rsid w:val="000F22A2"/>
    <w:rsid w:val="000F22A8"/>
    <w:rsid w:val="000F22FF"/>
    <w:rsid w:val="000F23C6"/>
    <w:rsid w:val="000F243E"/>
    <w:rsid w:val="000F24B6"/>
    <w:rsid w:val="000F25FC"/>
    <w:rsid w:val="000F26FE"/>
    <w:rsid w:val="000F2728"/>
    <w:rsid w:val="000F278B"/>
    <w:rsid w:val="000F27D9"/>
    <w:rsid w:val="000F2903"/>
    <w:rsid w:val="000F290E"/>
    <w:rsid w:val="000F2AB1"/>
    <w:rsid w:val="000F2B10"/>
    <w:rsid w:val="000F2B91"/>
    <w:rsid w:val="000F2BF0"/>
    <w:rsid w:val="000F2D45"/>
    <w:rsid w:val="000F2E00"/>
    <w:rsid w:val="000F2F87"/>
    <w:rsid w:val="000F3008"/>
    <w:rsid w:val="000F3122"/>
    <w:rsid w:val="000F31BA"/>
    <w:rsid w:val="000F34A3"/>
    <w:rsid w:val="000F34F9"/>
    <w:rsid w:val="000F3521"/>
    <w:rsid w:val="000F3584"/>
    <w:rsid w:val="000F3593"/>
    <w:rsid w:val="000F35BA"/>
    <w:rsid w:val="000F3609"/>
    <w:rsid w:val="000F3624"/>
    <w:rsid w:val="000F36DD"/>
    <w:rsid w:val="000F3705"/>
    <w:rsid w:val="000F374D"/>
    <w:rsid w:val="000F37DD"/>
    <w:rsid w:val="000F37E9"/>
    <w:rsid w:val="000F3845"/>
    <w:rsid w:val="000F394D"/>
    <w:rsid w:val="000F3A5C"/>
    <w:rsid w:val="000F3D8B"/>
    <w:rsid w:val="000F3DE2"/>
    <w:rsid w:val="000F3F58"/>
    <w:rsid w:val="000F3F61"/>
    <w:rsid w:val="000F3FC5"/>
    <w:rsid w:val="000F3FDC"/>
    <w:rsid w:val="000F43A8"/>
    <w:rsid w:val="000F43D9"/>
    <w:rsid w:val="000F4420"/>
    <w:rsid w:val="000F448F"/>
    <w:rsid w:val="000F44A4"/>
    <w:rsid w:val="000F44B9"/>
    <w:rsid w:val="000F452F"/>
    <w:rsid w:val="000F4536"/>
    <w:rsid w:val="000F459A"/>
    <w:rsid w:val="000F45CB"/>
    <w:rsid w:val="000F465B"/>
    <w:rsid w:val="000F48AE"/>
    <w:rsid w:val="000F498B"/>
    <w:rsid w:val="000F49F8"/>
    <w:rsid w:val="000F4B65"/>
    <w:rsid w:val="000F4C1C"/>
    <w:rsid w:val="000F4D33"/>
    <w:rsid w:val="000F4D9E"/>
    <w:rsid w:val="000F4FB1"/>
    <w:rsid w:val="000F4FBC"/>
    <w:rsid w:val="000F50A9"/>
    <w:rsid w:val="000F517C"/>
    <w:rsid w:val="000F533B"/>
    <w:rsid w:val="000F53B9"/>
    <w:rsid w:val="000F53E5"/>
    <w:rsid w:val="000F5485"/>
    <w:rsid w:val="000F57DE"/>
    <w:rsid w:val="000F57F3"/>
    <w:rsid w:val="000F57F5"/>
    <w:rsid w:val="000F5829"/>
    <w:rsid w:val="000F582E"/>
    <w:rsid w:val="000F58CA"/>
    <w:rsid w:val="000F5A04"/>
    <w:rsid w:val="000F5A8C"/>
    <w:rsid w:val="000F5AA5"/>
    <w:rsid w:val="000F5ABB"/>
    <w:rsid w:val="000F5AC7"/>
    <w:rsid w:val="000F5AC9"/>
    <w:rsid w:val="000F5AFD"/>
    <w:rsid w:val="000F5B0C"/>
    <w:rsid w:val="000F5B9B"/>
    <w:rsid w:val="000F5BBB"/>
    <w:rsid w:val="000F5BF6"/>
    <w:rsid w:val="000F5C3E"/>
    <w:rsid w:val="000F5CFB"/>
    <w:rsid w:val="000F5E38"/>
    <w:rsid w:val="000F5EC4"/>
    <w:rsid w:val="000F5F01"/>
    <w:rsid w:val="000F5F1F"/>
    <w:rsid w:val="000F5F8E"/>
    <w:rsid w:val="000F5FBA"/>
    <w:rsid w:val="000F6022"/>
    <w:rsid w:val="000F6024"/>
    <w:rsid w:val="000F6036"/>
    <w:rsid w:val="000F630D"/>
    <w:rsid w:val="000F63F0"/>
    <w:rsid w:val="000F65B6"/>
    <w:rsid w:val="000F660D"/>
    <w:rsid w:val="000F66B1"/>
    <w:rsid w:val="000F6714"/>
    <w:rsid w:val="000F6722"/>
    <w:rsid w:val="000F674B"/>
    <w:rsid w:val="000F67A7"/>
    <w:rsid w:val="000F67C2"/>
    <w:rsid w:val="000F68B0"/>
    <w:rsid w:val="000F6908"/>
    <w:rsid w:val="000F6A0C"/>
    <w:rsid w:val="000F6A39"/>
    <w:rsid w:val="000F6ACD"/>
    <w:rsid w:val="000F6AE4"/>
    <w:rsid w:val="000F6BA0"/>
    <w:rsid w:val="000F6BA4"/>
    <w:rsid w:val="000F6BE4"/>
    <w:rsid w:val="000F6C56"/>
    <w:rsid w:val="000F6D12"/>
    <w:rsid w:val="000F6D26"/>
    <w:rsid w:val="000F6E1C"/>
    <w:rsid w:val="000F6E9A"/>
    <w:rsid w:val="000F6EC6"/>
    <w:rsid w:val="000F6F0D"/>
    <w:rsid w:val="000F6F75"/>
    <w:rsid w:val="000F706F"/>
    <w:rsid w:val="000F7291"/>
    <w:rsid w:val="000F733D"/>
    <w:rsid w:val="000F737B"/>
    <w:rsid w:val="000F73BB"/>
    <w:rsid w:val="000F7425"/>
    <w:rsid w:val="000F7429"/>
    <w:rsid w:val="000F74D7"/>
    <w:rsid w:val="000F74E4"/>
    <w:rsid w:val="000F7511"/>
    <w:rsid w:val="000F7542"/>
    <w:rsid w:val="000F767B"/>
    <w:rsid w:val="000F76B6"/>
    <w:rsid w:val="000F7780"/>
    <w:rsid w:val="000F785D"/>
    <w:rsid w:val="000F790A"/>
    <w:rsid w:val="000F7ADD"/>
    <w:rsid w:val="000F7CAD"/>
    <w:rsid w:val="000F7DEA"/>
    <w:rsid w:val="000F7EF0"/>
    <w:rsid w:val="000F7F07"/>
    <w:rsid w:val="000F7F32"/>
    <w:rsid w:val="00100054"/>
    <w:rsid w:val="00100080"/>
    <w:rsid w:val="00100099"/>
    <w:rsid w:val="001000AB"/>
    <w:rsid w:val="001000AC"/>
    <w:rsid w:val="001000E9"/>
    <w:rsid w:val="001000F0"/>
    <w:rsid w:val="00100135"/>
    <w:rsid w:val="001001C8"/>
    <w:rsid w:val="0010021F"/>
    <w:rsid w:val="0010043E"/>
    <w:rsid w:val="00100464"/>
    <w:rsid w:val="001005CC"/>
    <w:rsid w:val="0010071C"/>
    <w:rsid w:val="00100AA5"/>
    <w:rsid w:val="00100B1B"/>
    <w:rsid w:val="00100B75"/>
    <w:rsid w:val="00100B83"/>
    <w:rsid w:val="00100BD6"/>
    <w:rsid w:val="00100BD8"/>
    <w:rsid w:val="00100C6C"/>
    <w:rsid w:val="00100C71"/>
    <w:rsid w:val="00100CE4"/>
    <w:rsid w:val="00100D48"/>
    <w:rsid w:val="00100E02"/>
    <w:rsid w:val="00100E0B"/>
    <w:rsid w:val="00100E96"/>
    <w:rsid w:val="00100EDD"/>
    <w:rsid w:val="00100FDE"/>
    <w:rsid w:val="001010BB"/>
    <w:rsid w:val="001011E8"/>
    <w:rsid w:val="00101284"/>
    <w:rsid w:val="00101361"/>
    <w:rsid w:val="00101430"/>
    <w:rsid w:val="00101495"/>
    <w:rsid w:val="0010150A"/>
    <w:rsid w:val="00101576"/>
    <w:rsid w:val="0010160E"/>
    <w:rsid w:val="00101627"/>
    <w:rsid w:val="00101733"/>
    <w:rsid w:val="001017DD"/>
    <w:rsid w:val="0010194A"/>
    <w:rsid w:val="0010196A"/>
    <w:rsid w:val="0010198E"/>
    <w:rsid w:val="001019D1"/>
    <w:rsid w:val="00101A43"/>
    <w:rsid w:val="00101AEF"/>
    <w:rsid w:val="00101B1F"/>
    <w:rsid w:val="00101B37"/>
    <w:rsid w:val="00101C18"/>
    <w:rsid w:val="00101CDB"/>
    <w:rsid w:val="00101CDD"/>
    <w:rsid w:val="00101E25"/>
    <w:rsid w:val="0010201C"/>
    <w:rsid w:val="0010209A"/>
    <w:rsid w:val="001021EA"/>
    <w:rsid w:val="00102274"/>
    <w:rsid w:val="0010228E"/>
    <w:rsid w:val="001023AD"/>
    <w:rsid w:val="00102461"/>
    <w:rsid w:val="00102545"/>
    <w:rsid w:val="00102595"/>
    <w:rsid w:val="00102695"/>
    <w:rsid w:val="001026B9"/>
    <w:rsid w:val="001026F2"/>
    <w:rsid w:val="0010276F"/>
    <w:rsid w:val="00102878"/>
    <w:rsid w:val="001028BE"/>
    <w:rsid w:val="001028D5"/>
    <w:rsid w:val="001028E0"/>
    <w:rsid w:val="00102950"/>
    <w:rsid w:val="0010296E"/>
    <w:rsid w:val="00102AE3"/>
    <w:rsid w:val="00102AE7"/>
    <w:rsid w:val="00102D1B"/>
    <w:rsid w:val="00102F5D"/>
    <w:rsid w:val="00102F70"/>
    <w:rsid w:val="00102FDD"/>
    <w:rsid w:val="00103022"/>
    <w:rsid w:val="001030E2"/>
    <w:rsid w:val="001031CA"/>
    <w:rsid w:val="001031CC"/>
    <w:rsid w:val="001031E5"/>
    <w:rsid w:val="0010326B"/>
    <w:rsid w:val="0010333F"/>
    <w:rsid w:val="0010337A"/>
    <w:rsid w:val="0010345F"/>
    <w:rsid w:val="0010347B"/>
    <w:rsid w:val="00103494"/>
    <w:rsid w:val="00103522"/>
    <w:rsid w:val="001035E9"/>
    <w:rsid w:val="00103760"/>
    <w:rsid w:val="00103793"/>
    <w:rsid w:val="0010380B"/>
    <w:rsid w:val="00103956"/>
    <w:rsid w:val="001039AE"/>
    <w:rsid w:val="00103A0E"/>
    <w:rsid w:val="00103B8E"/>
    <w:rsid w:val="00103B93"/>
    <w:rsid w:val="00103C1F"/>
    <w:rsid w:val="00103C7B"/>
    <w:rsid w:val="00103D25"/>
    <w:rsid w:val="00103E12"/>
    <w:rsid w:val="00103E48"/>
    <w:rsid w:val="00103E62"/>
    <w:rsid w:val="00103EA6"/>
    <w:rsid w:val="00103F8A"/>
    <w:rsid w:val="0010417A"/>
    <w:rsid w:val="001042EF"/>
    <w:rsid w:val="0010448F"/>
    <w:rsid w:val="001045D2"/>
    <w:rsid w:val="0010468B"/>
    <w:rsid w:val="00104800"/>
    <w:rsid w:val="00104801"/>
    <w:rsid w:val="001048CD"/>
    <w:rsid w:val="00104A09"/>
    <w:rsid w:val="00104A5C"/>
    <w:rsid w:val="00104CC0"/>
    <w:rsid w:val="00104CFB"/>
    <w:rsid w:val="00104E51"/>
    <w:rsid w:val="00104EF1"/>
    <w:rsid w:val="00104F6C"/>
    <w:rsid w:val="00104FDF"/>
    <w:rsid w:val="00105024"/>
    <w:rsid w:val="0010510D"/>
    <w:rsid w:val="00105243"/>
    <w:rsid w:val="0010526B"/>
    <w:rsid w:val="00105364"/>
    <w:rsid w:val="00105401"/>
    <w:rsid w:val="00105511"/>
    <w:rsid w:val="0010553A"/>
    <w:rsid w:val="0010553E"/>
    <w:rsid w:val="00105562"/>
    <w:rsid w:val="00105781"/>
    <w:rsid w:val="001057DC"/>
    <w:rsid w:val="001059AC"/>
    <w:rsid w:val="00105B1D"/>
    <w:rsid w:val="00105B62"/>
    <w:rsid w:val="00105D55"/>
    <w:rsid w:val="00105DE0"/>
    <w:rsid w:val="00105DF8"/>
    <w:rsid w:val="00105E0C"/>
    <w:rsid w:val="00105ECE"/>
    <w:rsid w:val="00106095"/>
    <w:rsid w:val="00106153"/>
    <w:rsid w:val="001061C5"/>
    <w:rsid w:val="0010622F"/>
    <w:rsid w:val="00106260"/>
    <w:rsid w:val="0010626D"/>
    <w:rsid w:val="001062B5"/>
    <w:rsid w:val="001062E6"/>
    <w:rsid w:val="001063CB"/>
    <w:rsid w:val="0010646E"/>
    <w:rsid w:val="00106534"/>
    <w:rsid w:val="0010655A"/>
    <w:rsid w:val="001065A2"/>
    <w:rsid w:val="00106663"/>
    <w:rsid w:val="001066B6"/>
    <w:rsid w:val="00106751"/>
    <w:rsid w:val="0010699C"/>
    <w:rsid w:val="001069E0"/>
    <w:rsid w:val="00106A7D"/>
    <w:rsid w:val="00106A95"/>
    <w:rsid w:val="00106AAB"/>
    <w:rsid w:val="00106B26"/>
    <w:rsid w:val="00106B4E"/>
    <w:rsid w:val="00106CD2"/>
    <w:rsid w:val="00106E36"/>
    <w:rsid w:val="00106EE5"/>
    <w:rsid w:val="00106F04"/>
    <w:rsid w:val="00106F20"/>
    <w:rsid w:val="00106FF3"/>
    <w:rsid w:val="00107034"/>
    <w:rsid w:val="00107065"/>
    <w:rsid w:val="001070E7"/>
    <w:rsid w:val="00107112"/>
    <w:rsid w:val="001071C4"/>
    <w:rsid w:val="0010721A"/>
    <w:rsid w:val="00107349"/>
    <w:rsid w:val="0010739D"/>
    <w:rsid w:val="0010744E"/>
    <w:rsid w:val="0010747C"/>
    <w:rsid w:val="001074F2"/>
    <w:rsid w:val="0010751E"/>
    <w:rsid w:val="001075AD"/>
    <w:rsid w:val="001075F0"/>
    <w:rsid w:val="00107677"/>
    <w:rsid w:val="00107833"/>
    <w:rsid w:val="00107912"/>
    <w:rsid w:val="00107941"/>
    <w:rsid w:val="001079B0"/>
    <w:rsid w:val="00107A94"/>
    <w:rsid w:val="00107B45"/>
    <w:rsid w:val="00107B6E"/>
    <w:rsid w:val="00107BA4"/>
    <w:rsid w:val="00107BCE"/>
    <w:rsid w:val="00107BF5"/>
    <w:rsid w:val="00107C38"/>
    <w:rsid w:val="00107C50"/>
    <w:rsid w:val="00107C65"/>
    <w:rsid w:val="00107EEC"/>
    <w:rsid w:val="00110330"/>
    <w:rsid w:val="00110399"/>
    <w:rsid w:val="0011041B"/>
    <w:rsid w:val="0011046B"/>
    <w:rsid w:val="001104B9"/>
    <w:rsid w:val="001104E4"/>
    <w:rsid w:val="00110518"/>
    <w:rsid w:val="00110722"/>
    <w:rsid w:val="0011072B"/>
    <w:rsid w:val="00110758"/>
    <w:rsid w:val="00110777"/>
    <w:rsid w:val="00110912"/>
    <w:rsid w:val="0011091E"/>
    <w:rsid w:val="00110930"/>
    <w:rsid w:val="001109F1"/>
    <w:rsid w:val="001109F6"/>
    <w:rsid w:val="00110A3D"/>
    <w:rsid w:val="00110A7D"/>
    <w:rsid w:val="00110AE5"/>
    <w:rsid w:val="00110AFD"/>
    <w:rsid w:val="00110C8D"/>
    <w:rsid w:val="00110D55"/>
    <w:rsid w:val="00110D72"/>
    <w:rsid w:val="00110D74"/>
    <w:rsid w:val="00110DE4"/>
    <w:rsid w:val="00110DF5"/>
    <w:rsid w:val="00110FC1"/>
    <w:rsid w:val="00111050"/>
    <w:rsid w:val="0011112E"/>
    <w:rsid w:val="00111136"/>
    <w:rsid w:val="001113B0"/>
    <w:rsid w:val="001115D8"/>
    <w:rsid w:val="0011162E"/>
    <w:rsid w:val="001116B9"/>
    <w:rsid w:val="0011178C"/>
    <w:rsid w:val="00111802"/>
    <w:rsid w:val="00111857"/>
    <w:rsid w:val="00111963"/>
    <w:rsid w:val="0011196E"/>
    <w:rsid w:val="0011199D"/>
    <w:rsid w:val="001119BF"/>
    <w:rsid w:val="00111AF5"/>
    <w:rsid w:val="00111C14"/>
    <w:rsid w:val="00111C76"/>
    <w:rsid w:val="00111E5D"/>
    <w:rsid w:val="00111E97"/>
    <w:rsid w:val="00111F12"/>
    <w:rsid w:val="00112003"/>
    <w:rsid w:val="00112043"/>
    <w:rsid w:val="001120DF"/>
    <w:rsid w:val="0011213D"/>
    <w:rsid w:val="001122DD"/>
    <w:rsid w:val="00112350"/>
    <w:rsid w:val="001123D0"/>
    <w:rsid w:val="001123FF"/>
    <w:rsid w:val="00112437"/>
    <w:rsid w:val="00112452"/>
    <w:rsid w:val="001124F1"/>
    <w:rsid w:val="001126FD"/>
    <w:rsid w:val="00112762"/>
    <w:rsid w:val="00112816"/>
    <w:rsid w:val="00112953"/>
    <w:rsid w:val="001129B4"/>
    <w:rsid w:val="001129EA"/>
    <w:rsid w:val="00112A74"/>
    <w:rsid w:val="00112AF4"/>
    <w:rsid w:val="00112C69"/>
    <w:rsid w:val="00112CBF"/>
    <w:rsid w:val="00112CEA"/>
    <w:rsid w:val="00112CFE"/>
    <w:rsid w:val="00112D00"/>
    <w:rsid w:val="00112D38"/>
    <w:rsid w:val="00112D61"/>
    <w:rsid w:val="00112D86"/>
    <w:rsid w:val="00112E73"/>
    <w:rsid w:val="00112ED9"/>
    <w:rsid w:val="00112F4C"/>
    <w:rsid w:val="00113010"/>
    <w:rsid w:val="001130B6"/>
    <w:rsid w:val="0011311C"/>
    <w:rsid w:val="001131F3"/>
    <w:rsid w:val="001132AB"/>
    <w:rsid w:val="001132F0"/>
    <w:rsid w:val="00113489"/>
    <w:rsid w:val="0011348A"/>
    <w:rsid w:val="0011353A"/>
    <w:rsid w:val="00113728"/>
    <w:rsid w:val="001137F4"/>
    <w:rsid w:val="001137FC"/>
    <w:rsid w:val="00113896"/>
    <w:rsid w:val="00113931"/>
    <w:rsid w:val="0011396A"/>
    <w:rsid w:val="00113A3E"/>
    <w:rsid w:val="00113A91"/>
    <w:rsid w:val="00113BD2"/>
    <w:rsid w:val="00113C08"/>
    <w:rsid w:val="00113C26"/>
    <w:rsid w:val="00113CFC"/>
    <w:rsid w:val="00113DE1"/>
    <w:rsid w:val="00113E14"/>
    <w:rsid w:val="00113E6F"/>
    <w:rsid w:val="00113E95"/>
    <w:rsid w:val="00113F49"/>
    <w:rsid w:val="00113F70"/>
    <w:rsid w:val="00113F72"/>
    <w:rsid w:val="00114018"/>
    <w:rsid w:val="0011405C"/>
    <w:rsid w:val="00114171"/>
    <w:rsid w:val="00114196"/>
    <w:rsid w:val="001141DB"/>
    <w:rsid w:val="0011421F"/>
    <w:rsid w:val="001142ED"/>
    <w:rsid w:val="0011438B"/>
    <w:rsid w:val="001143D9"/>
    <w:rsid w:val="00114551"/>
    <w:rsid w:val="00114567"/>
    <w:rsid w:val="00114572"/>
    <w:rsid w:val="0011472A"/>
    <w:rsid w:val="0011489C"/>
    <w:rsid w:val="001148DE"/>
    <w:rsid w:val="00114914"/>
    <w:rsid w:val="0011494B"/>
    <w:rsid w:val="00114A66"/>
    <w:rsid w:val="00114B05"/>
    <w:rsid w:val="00114C01"/>
    <w:rsid w:val="00114D55"/>
    <w:rsid w:val="00114D98"/>
    <w:rsid w:val="00114EA0"/>
    <w:rsid w:val="00114EC5"/>
    <w:rsid w:val="00114ECE"/>
    <w:rsid w:val="00114EE4"/>
    <w:rsid w:val="00114F0F"/>
    <w:rsid w:val="00115085"/>
    <w:rsid w:val="001150A3"/>
    <w:rsid w:val="0011514A"/>
    <w:rsid w:val="0011531D"/>
    <w:rsid w:val="00115332"/>
    <w:rsid w:val="0011546E"/>
    <w:rsid w:val="001154DE"/>
    <w:rsid w:val="00115561"/>
    <w:rsid w:val="0011567D"/>
    <w:rsid w:val="001156E6"/>
    <w:rsid w:val="00115729"/>
    <w:rsid w:val="0011576B"/>
    <w:rsid w:val="00115772"/>
    <w:rsid w:val="001158DF"/>
    <w:rsid w:val="00115948"/>
    <w:rsid w:val="00115998"/>
    <w:rsid w:val="00115B77"/>
    <w:rsid w:val="00115CE8"/>
    <w:rsid w:val="00115CF9"/>
    <w:rsid w:val="00115CFC"/>
    <w:rsid w:val="00115D98"/>
    <w:rsid w:val="00115E6A"/>
    <w:rsid w:val="00116014"/>
    <w:rsid w:val="00116087"/>
    <w:rsid w:val="001161B5"/>
    <w:rsid w:val="001162BA"/>
    <w:rsid w:val="0011639B"/>
    <w:rsid w:val="00116447"/>
    <w:rsid w:val="0011647E"/>
    <w:rsid w:val="001164BD"/>
    <w:rsid w:val="001164FA"/>
    <w:rsid w:val="0011659F"/>
    <w:rsid w:val="001165A7"/>
    <w:rsid w:val="0011661D"/>
    <w:rsid w:val="0011663A"/>
    <w:rsid w:val="0011667F"/>
    <w:rsid w:val="001166AC"/>
    <w:rsid w:val="001166E0"/>
    <w:rsid w:val="001166EB"/>
    <w:rsid w:val="001167C8"/>
    <w:rsid w:val="00116801"/>
    <w:rsid w:val="00116906"/>
    <w:rsid w:val="00116A27"/>
    <w:rsid w:val="00116A28"/>
    <w:rsid w:val="00116AC1"/>
    <w:rsid w:val="00116BBC"/>
    <w:rsid w:val="00116BDA"/>
    <w:rsid w:val="00116C2F"/>
    <w:rsid w:val="00116D25"/>
    <w:rsid w:val="00116EA5"/>
    <w:rsid w:val="00116F70"/>
    <w:rsid w:val="001170A9"/>
    <w:rsid w:val="001172B6"/>
    <w:rsid w:val="0011732A"/>
    <w:rsid w:val="00117347"/>
    <w:rsid w:val="00117373"/>
    <w:rsid w:val="0011743C"/>
    <w:rsid w:val="0011745D"/>
    <w:rsid w:val="0011749C"/>
    <w:rsid w:val="001175EE"/>
    <w:rsid w:val="00117664"/>
    <w:rsid w:val="00117665"/>
    <w:rsid w:val="0011769D"/>
    <w:rsid w:val="00117746"/>
    <w:rsid w:val="0011779F"/>
    <w:rsid w:val="001177CB"/>
    <w:rsid w:val="001177D2"/>
    <w:rsid w:val="00117A2F"/>
    <w:rsid w:val="00117C2D"/>
    <w:rsid w:val="00117C36"/>
    <w:rsid w:val="00117C75"/>
    <w:rsid w:val="00117C8C"/>
    <w:rsid w:val="00117E29"/>
    <w:rsid w:val="00117E88"/>
    <w:rsid w:val="00117FDD"/>
    <w:rsid w:val="001202E2"/>
    <w:rsid w:val="00120402"/>
    <w:rsid w:val="00120442"/>
    <w:rsid w:val="00120460"/>
    <w:rsid w:val="001204BC"/>
    <w:rsid w:val="001207E4"/>
    <w:rsid w:val="001208BE"/>
    <w:rsid w:val="00120A64"/>
    <w:rsid w:val="00120A65"/>
    <w:rsid w:val="00120A68"/>
    <w:rsid w:val="00120CB3"/>
    <w:rsid w:val="00120FB8"/>
    <w:rsid w:val="00120FD7"/>
    <w:rsid w:val="00120FE9"/>
    <w:rsid w:val="00120FF8"/>
    <w:rsid w:val="001211F3"/>
    <w:rsid w:val="00121268"/>
    <w:rsid w:val="001212B1"/>
    <w:rsid w:val="001212E4"/>
    <w:rsid w:val="0012132C"/>
    <w:rsid w:val="001213A2"/>
    <w:rsid w:val="00121475"/>
    <w:rsid w:val="001214B3"/>
    <w:rsid w:val="001214C7"/>
    <w:rsid w:val="00121551"/>
    <w:rsid w:val="001216B3"/>
    <w:rsid w:val="00121861"/>
    <w:rsid w:val="0012186E"/>
    <w:rsid w:val="001218AA"/>
    <w:rsid w:val="001218C2"/>
    <w:rsid w:val="0012197B"/>
    <w:rsid w:val="00121A5E"/>
    <w:rsid w:val="00121AFA"/>
    <w:rsid w:val="00121B7C"/>
    <w:rsid w:val="00121C0A"/>
    <w:rsid w:val="00121C91"/>
    <w:rsid w:val="00121D0D"/>
    <w:rsid w:val="00121D2E"/>
    <w:rsid w:val="00121E0D"/>
    <w:rsid w:val="00121E94"/>
    <w:rsid w:val="00121F84"/>
    <w:rsid w:val="001220D8"/>
    <w:rsid w:val="00122143"/>
    <w:rsid w:val="0012219B"/>
    <w:rsid w:val="00122372"/>
    <w:rsid w:val="001223C1"/>
    <w:rsid w:val="001224AC"/>
    <w:rsid w:val="00122616"/>
    <w:rsid w:val="0012273E"/>
    <w:rsid w:val="0012276A"/>
    <w:rsid w:val="0012278D"/>
    <w:rsid w:val="001227A2"/>
    <w:rsid w:val="00122829"/>
    <w:rsid w:val="001228F6"/>
    <w:rsid w:val="001229DE"/>
    <w:rsid w:val="00122A2C"/>
    <w:rsid w:val="00122A33"/>
    <w:rsid w:val="00122AC3"/>
    <w:rsid w:val="00122AC4"/>
    <w:rsid w:val="00122BA3"/>
    <w:rsid w:val="00122C1F"/>
    <w:rsid w:val="00122E49"/>
    <w:rsid w:val="00122E9A"/>
    <w:rsid w:val="00122EE2"/>
    <w:rsid w:val="00123090"/>
    <w:rsid w:val="001230D5"/>
    <w:rsid w:val="001230F3"/>
    <w:rsid w:val="001231D0"/>
    <w:rsid w:val="0012324C"/>
    <w:rsid w:val="001232AC"/>
    <w:rsid w:val="001232D3"/>
    <w:rsid w:val="001232F5"/>
    <w:rsid w:val="001232F8"/>
    <w:rsid w:val="001234B0"/>
    <w:rsid w:val="0012350A"/>
    <w:rsid w:val="00123643"/>
    <w:rsid w:val="001236F0"/>
    <w:rsid w:val="00123746"/>
    <w:rsid w:val="00123776"/>
    <w:rsid w:val="00123892"/>
    <w:rsid w:val="0012389E"/>
    <w:rsid w:val="001239A5"/>
    <w:rsid w:val="001239BA"/>
    <w:rsid w:val="001239F9"/>
    <w:rsid w:val="00123A58"/>
    <w:rsid w:val="00123A78"/>
    <w:rsid w:val="00123AB0"/>
    <w:rsid w:val="00123B92"/>
    <w:rsid w:val="00123BCC"/>
    <w:rsid w:val="00123C00"/>
    <w:rsid w:val="00123C03"/>
    <w:rsid w:val="00123C4C"/>
    <w:rsid w:val="00123CAA"/>
    <w:rsid w:val="00123E20"/>
    <w:rsid w:val="00123F5B"/>
    <w:rsid w:val="00123F68"/>
    <w:rsid w:val="00123FC5"/>
    <w:rsid w:val="001240A1"/>
    <w:rsid w:val="001241D1"/>
    <w:rsid w:val="00124247"/>
    <w:rsid w:val="0012427C"/>
    <w:rsid w:val="00124401"/>
    <w:rsid w:val="00124465"/>
    <w:rsid w:val="0012446E"/>
    <w:rsid w:val="00124471"/>
    <w:rsid w:val="0012449A"/>
    <w:rsid w:val="00124750"/>
    <w:rsid w:val="0012478B"/>
    <w:rsid w:val="001247B8"/>
    <w:rsid w:val="001247CB"/>
    <w:rsid w:val="00124847"/>
    <w:rsid w:val="00124848"/>
    <w:rsid w:val="00124896"/>
    <w:rsid w:val="00124915"/>
    <w:rsid w:val="00124987"/>
    <w:rsid w:val="00124AA6"/>
    <w:rsid w:val="00124AE0"/>
    <w:rsid w:val="00124B18"/>
    <w:rsid w:val="00124B51"/>
    <w:rsid w:val="00124C75"/>
    <w:rsid w:val="00124CFE"/>
    <w:rsid w:val="00124DB4"/>
    <w:rsid w:val="00124DBC"/>
    <w:rsid w:val="00124E11"/>
    <w:rsid w:val="00125050"/>
    <w:rsid w:val="00125134"/>
    <w:rsid w:val="00125287"/>
    <w:rsid w:val="00125293"/>
    <w:rsid w:val="00125299"/>
    <w:rsid w:val="001252DF"/>
    <w:rsid w:val="00125303"/>
    <w:rsid w:val="0012532C"/>
    <w:rsid w:val="0012536D"/>
    <w:rsid w:val="0012545B"/>
    <w:rsid w:val="00125484"/>
    <w:rsid w:val="00125556"/>
    <w:rsid w:val="001255D7"/>
    <w:rsid w:val="00125636"/>
    <w:rsid w:val="00125876"/>
    <w:rsid w:val="001258D9"/>
    <w:rsid w:val="00125915"/>
    <w:rsid w:val="00125934"/>
    <w:rsid w:val="001259BC"/>
    <w:rsid w:val="00125A00"/>
    <w:rsid w:val="00125A24"/>
    <w:rsid w:val="00125A80"/>
    <w:rsid w:val="00125C3A"/>
    <w:rsid w:val="00125D06"/>
    <w:rsid w:val="00125D0C"/>
    <w:rsid w:val="00125D23"/>
    <w:rsid w:val="00125D69"/>
    <w:rsid w:val="00125E44"/>
    <w:rsid w:val="00125E6B"/>
    <w:rsid w:val="00125F24"/>
    <w:rsid w:val="00126057"/>
    <w:rsid w:val="001261B3"/>
    <w:rsid w:val="0012636B"/>
    <w:rsid w:val="0012645E"/>
    <w:rsid w:val="00126485"/>
    <w:rsid w:val="001264A8"/>
    <w:rsid w:val="001264AE"/>
    <w:rsid w:val="001264EF"/>
    <w:rsid w:val="001265D6"/>
    <w:rsid w:val="0012667E"/>
    <w:rsid w:val="001266A5"/>
    <w:rsid w:val="0012676C"/>
    <w:rsid w:val="001268A8"/>
    <w:rsid w:val="001268CE"/>
    <w:rsid w:val="00126B4E"/>
    <w:rsid w:val="00126BCE"/>
    <w:rsid w:val="00126C30"/>
    <w:rsid w:val="00126C66"/>
    <w:rsid w:val="00126D2F"/>
    <w:rsid w:val="00126E6D"/>
    <w:rsid w:val="00126EAB"/>
    <w:rsid w:val="00126F29"/>
    <w:rsid w:val="00126F30"/>
    <w:rsid w:val="00126F81"/>
    <w:rsid w:val="00126FB5"/>
    <w:rsid w:val="00126FF7"/>
    <w:rsid w:val="00127013"/>
    <w:rsid w:val="0012704C"/>
    <w:rsid w:val="00127050"/>
    <w:rsid w:val="001270A2"/>
    <w:rsid w:val="001270D4"/>
    <w:rsid w:val="001271B8"/>
    <w:rsid w:val="001271FC"/>
    <w:rsid w:val="0012720F"/>
    <w:rsid w:val="0012722A"/>
    <w:rsid w:val="00127278"/>
    <w:rsid w:val="001275B5"/>
    <w:rsid w:val="00127622"/>
    <w:rsid w:val="0012763F"/>
    <w:rsid w:val="001277C4"/>
    <w:rsid w:val="0012780E"/>
    <w:rsid w:val="001278A1"/>
    <w:rsid w:val="0012791A"/>
    <w:rsid w:val="00127932"/>
    <w:rsid w:val="0012796E"/>
    <w:rsid w:val="001279C7"/>
    <w:rsid w:val="00127A0D"/>
    <w:rsid w:val="00127A9F"/>
    <w:rsid w:val="00127AAA"/>
    <w:rsid w:val="00127C05"/>
    <w:rsid w:val="00127CC7"/>
    <w:rsid w:val="00127DE0"/>
    <w:rsid w:val="00127E19"/>
    <w:rsid w:val="00127E4F"/>
    <w:rsid w:val="00127E73"/>
    <w:rsid w:val="0013001A"/>
    <w:rsid w:val="0013013D"/>
    <w:rsid w:val="001301F3"/>
    <w:rsid w:val="00130230"/>
    <w:rsid w:val="001302A0"/>
    <w:rsid w:val="001302A5"/>
    <w:rsid w:val="0013031B"/>
    <w:rsid w:val="0013037B"/>
    <w:rsid w:val="00130440"/>
    <w:rsid w:val="00130491"/>
    <w:rsid w:val="001306D8"/>
    <w:rsid w:val="001307C7"/>
    <w:rsid w:val="001307EC"/>
    <w:rsid w:val="001307FF"/>
    <w:rsid w:val="001308F1"/>
    <w:rsid w:val="0013097D"/>
    <w:rsid w:val="00130A0D"/>
    <w:rsid w:val="00130A1A"/>
    <w:rsid w:val="00130A44"/>
    <w:rsid w:val="00130B98"/>
    <w:rsid w:val="00130C23"/>
    <w:rsid w:val="00130C82"/>
    <w:rsid w:val="00130C8E"/>
    <w:rsid w:val="00130CAD"/>
    <w:rsid w:val="00130D50"/>
    <w:rsid w:val="00130E2A"/>
    <w:rsid w:val="00130EA9"/>
    <w:rsid w:val="00130F2B"/>
    <w:rsid w:val="00130FE3"/>
    <w:rsid w:val="00131143"/>
    <w:rsid w:val="001311C6"/>
    <w:rsid w:val="0013120E"/>
    <w:rsid w:val="00131279"/>
    <w:rsid w:val="001312EB"/>
    <w:rsid w:val="00131353"/>
    <w:rsid w:val="001314D8"/>
    <w:rsid w:val="001314EC"/>
    <w:rsid w:val="001314FD"/>
    <w:rsid w:val="00131548"/>
    <w:rsid w:val="00131560"/>
    <w:rsid w:val="001315AC"/>
    <w:rsid w:val="001315EB"/>
    <w:rsid w:val="001316CB"/>
    <w:rsid w:val="00131884"/>
    <w:rsid w:val="001318C9"/>
    <w:rsid w:val="00131A1D"/>
    <w:rsid w:val="00131A57"/>
    <w:rsid w:val="00131CAA"/>
    <w:rsid w:val="00131D1B"/>
    <w:rsid w:val="00131D7E"/>
    <w:rsid w:val="00131F74"/>
    <w:rsid w:val="00131F89"/>
    <w:rsid w:val="00131FCF"/>
    <w:rsid w:val="00131FFF"/>
    <w:rsid w:val="001320D5"/>
    <w:rsid w:val="0013210B"/>
    <w:rsid w:val="0013221A"/>
    <w:rsid w:val="00132394"/>
    <w:rsid w:val="00132431"/>
    <w:rsid w:val="001324BA"/>
    <w:rsid w:val="00132748"/>
    <w:rsid w:val="0013293C"/>
    <w:rsid w:val="00132A89"/>
    <w:rsid w:val="00132B4C"/>
    <w:rsid w:val="00132D1A"/>
    <w:rsid w:val="00132D2E"/>
    <w:rsid w:val="00132D63"/>
    <w:rsid w:val="00132DA1"/>
    <w:rsid w:val="00132E1E"/>
    <w:rsid w:val="00132EAB"/>
    <w:rsid w:val="00132F15"/>
    <w:rsid w:val="00132F67"/>
    <w:rsid w:val="00132FA2"/>
    <w:rsid w:val="00132FD9"/>
    <w:rsid w:val="001330E3"/>
    <w:rsid w:val="001331F0"/>
    <w:rsid w:val="001332B3"/>
    <w:rsid w:val="001333AB"/>
    <w:rsid w:val="001334D6"/>
    <w:rsid w:val="001335C4"/>
    <w:rsid w:val="0013374A"/>
    <w:rsid w:val="001337C4"/>
    <w:rsid w:val="00133831"/>
    <w:rsid w:val="0013386B"/>
    <w:rsid w:val="00133A94"/>
    <w:rsid w:val="00133B5E"/>
    <w:rsid w:val="00133BF4"/>
    <w:rsid w:val="00133CC4"/>
    <w:rsid w:val="00133CF7"/>
    <w:rsid w:val="00133E3F"/>
    <w:rsid w:val="00133EA5"/>
    <w:rsid w:val="00133EA9"/>
    <w:rsid w:val="0013408A"/>
    <w:rsid w:val="0013412C"/>
    <w:rsid w:val="00134191"/>
    <w:rsid w:val="00134205"/>
    <w:rsid w:val="00134255"/>
    <w:rsid w:val="00134365"/>
    <w:rsid w:val="001343F5"/>
    <w:rsid w:val="00134530"/>
    <w:rsid w:val="00134588"/>
    <w:rsid w:val="0013466B"/>
    <w:rsid w:val="001346D1"/>
    <w:rsid w:val="0013472C"/>
    <w:rsid w:val="001347EB"/>
    <w:rsid w:val="0013499E"/>
    <w:rsid w:val="001349E4"/>
    <w:rsid w:val="00134A85"/>
    <w:rsid w:val="00134AC3"/>
    <w:rsid w:val="00134AFC"/>
    <w:rsid w:val="00134BBA"/>
    <w:rsid w:val="00134BE9"/>
    <w:rsid w:val="00134CA3"/>
    <w:rsid w:val="00134CB2"/>
    <w:rsid w:val="00134CBC"/>
    <w:rsid w:val="00134D7E"/>
    <w:rsid w:val="00134DC6"/>
    <w:rsid w:val="00134E42"/>
    <w:rsid w:val="00134EBF"/>
    <w:rsid w:val="00135192"/>
    <w:rsid w:val="001352C0"/>
    <w:rsid w:val="0013534F"/>
    <w:rsid w:val="00135466"/>
    <w:rsid w:val="00135483"/>
    <w:rsid w:val="001354BD"/>
    <w:rsid w:val="0013555D"/>
    <w:rsid w:val="00135605"/>
    <w:rsid w:val="001356BB"/>
    <w:rsid w:val="00135991"/>
    <w:rsid w:val="00135A3D"/>
    <w:rsid w:val="00135A44"/>
    <w:rsid w:val="00135BC6"/>
    <w:rsid w:val="00135C09"/>
    <w:rsid w:val="00135C0A"/>
    <w:rsid w:val="00135C25"/>
    <w:rsid w:val="00135C31"/>
    <w:rsid w:val="00135D12"/>
    <w:rsid w:val="00135DB3"/>
    <w:rsid w:val="00135E3E"/>
    <w:rsid w:val="00135E56"/>
    <w:rsid w:val="00135E64"/>
    <w:rsid w:val="00135F02"/>
    <w:rsid w:val="00135F41"/>
    <w:rsid w:val="00135FF6"/>
    <w:rsid w:val="00136033"/>
    <w:rsid w:val="00136035"/>
    <w:rsid w:val="001361A8"/>
    <w:rsid w:val="0013621E"/>
    <w:rsid w:val="00136232"/>
    <w:rsid w:val="00136296"/>
    <w:rsid w:val="001363BD"/>
    <w:rsid w:val="0013648B"/>
    <w:rsid w:val="0013648E"/>
    <w:rsid w:val="001364C8"/>
    <w:rsid w:val="00136573"/>
    <w:rsid w:val="00136640"/>
    <w:rsid w:val="00136681"/>
    <w:rsid w:val="0013669E"/>
    <w:rsid w:val="00136755"/>
    <w:rsid w:val="00136837"/>
    <w:rsid w:val="0013685C"/>
    <w:rsid w:val="0013686F"/>
    <w:rsid w:val="001368A6"/>
    <w:rsid w:val="001368FF"/>
    <w:rsid w:val="00136921"/>
    <w:rsid w:val="00136A42"/>
    <w:rsid w:val="00136B96"/>
    <w:rsid w:val="00136B9B"/>
    <w:rsid w:val="00136C23"/>
    <w:rsid w:val="00136CAD"/>
    <w:rsid w:val="00136D3E"/>
    <w:rsid w:val="00136D41"/>
    <w:rsid w:val="00136DCC"/>
    <w:rsid w:val="00136DD7"/>
    <w:rsid w:val="00136E31"/>
    <w:rsid w:val="00136E99"/>
    <w:rsid w:val="00136F79"/>
    <w:rsid w:val="00136F8A"/>
    <w:rsid w:val="00137021"/>
    <w:rsid w:val="00137029"/>
    <w:rsid w:val="001371B6"/>
    <w:rsid w:val="001371D3"/>
    <w:rsid w:val="0013724A"/>
    <w:rsid w:val="00137293"/>
    <w:rsid w:val="001372B6"/>
    <w:rsid w:val="00137389"/>
    <w:rsid w:val="001373CB"/>
    <w:rsid w:val="001373FE"/>
    <w:rsid w:val="00137431"/>
    <w:rsid w:val="001375A1"/>
    <w:rsid w:val="001375AF"/>
    <w:rsid w:val="001375D4"/>
    <w:rsid w:val="00137626"/>
    <w:rsid w:val="0013770E"/>
    <w:rsid w:val="00137725"/>
    <w:rsid w:val="001377AA"/>
    <w:rsid w:val="001377D2"/>
    <w:rsid w:val="001378B6"/>
    <w:rsid w:val="001378C0"/>
    <w:rsid w:val="001378DE"/>
    <w:rsid w:val="00137A6F"/>
    <w:rsid w:val="00137BAE"/>
    <w:rsid w:val="00137CE4"/>
    <w:rsid w:val="00137F1A"/>
    <w:rsid w:val="00137FCA"/>
    <w:rsid w:val="00137FD0"/>
    <w:rsid w:val="0014009C"/>
    <w:rsid w:val="001400A6"/>
    <w:rsid w:val="001404CB"/>
    <w:rsid w:val="001404E3"/>
    <w:rsid w:val="001404E4"/>
    <w:rsid w:val="001404FC"/>
    <w:rsid w:val="00140587"/>
    <w:rsid w:val="001405DC"/>
    <w:rsid w:val="001405DE"/>
    <w:rsid w:val="0014095A"/>
    <w:rsid w:val="001409E1"/>
    <w:rsid w:val="00140AAD"/>
    <w:rsid w:val="00140C36"/>
    <w:rsid w:val="00140C49"/>
    <w:rsid w:val="00140D44"/>
    <w:rsid w:val="00140D5F"/>
    <w:rsid w:val="00140D94"/>
    <w:rsid w:val="00140DE1"/>
    <w:rsid w:val="00140DF6"/>
    <w:rsid w:val="00140FAE"/>
    <w:rsid w:val="0014109F"/>
    <w:rsid w:val="00141169"/>
    <w:rsid w:val="001411E0"/>
    <w:rsid w:val="001411EA"/>
    <w:rsid w:val="0014124A"/>
    <w:rsid w:val="0014132A"/>
    <w:rsid w:val="001413C3"/>
    <w:rsid w:val="001413EC"/>
    <w:rsid w:val="001413FF"/>
    <w:rsid w:val="001414FD"/>
    <w:rsid w:val="00141734"/>
    <w:rsid w:val="00141814"/>
    <w:rsid w:val="0014190E"/>
    <w:rsid w:val="00141944"/>
    <w:rsid w:val="001419E8"/>
    <w:rsid w:val="001419FA"/>
    <w:rsid w:val="00141A87"/>
    <w:rsid w:val="00141ADA"/>
    <w:rsid w:val="00141B76"/>
    <w:rsid w:val="00141BC5"/>
    <w:rsid w:val="00141C24"/>
    <w:rsid w:val="00141E0B"/>
    <w:rsid w:val="00141E3C"/>
    <w:rsid w:val="00141EAB"/>
    <w:rsid w:val="00141EF1"/>
    <w:rsid w:val="00141F7C"/>
    <w:rsid w:val="00141F93"/>
    <w:rsid w:val="00141FBB"/>
    <w:rsid w:val="00142074"/>
    <w:rsid w:val="00142088"/>
    <w:rsid w:val="00142291"/>
    <w:rsid w:val="001422BA"/>
    <w:rsid w:val="00142400"/>
    <w:rsid w:val="0014253C"/>
    <w:rsid w:val="001425DB"/>
    <w:rsid w:val="001426E7"/>
    <w:rsid w:val="00142766"/>
    <w:rsid w:val="001427D2"/>
    <w:rsid w:val="001427E2"/>
    <w:rsid w:val="00142998"/>
    <w:rsid w:val="001429B6"/>
    <w:rsid w:val="001429C4"/>
    <w:rsid w:val="001429D4"/>
    <w:rsid w:val="001429E9"/>
    <w:rsid w:val="00142A8A"/>
    <w:rsid w:val="00142B5E"/>
    <w:rsid w:val="00142BA0"/>
    <w:rsid w:val="00142C48"/>
    <w:rsid w:val="00142DA0"/>
    <w:rsid w:val="00142FB9"/>
    <w:rsid w:val="00142FCC"/>
    <w:rsid w:val="00143005"/>
    <w:rsid w:val="001430BA"/>
    <w:rsid w:val="001431A3"/>
    <w:rsid w:val="0014339F"/>
    <w:rsid w:val="001433D3"/>
    <w:rsid w:val="0014344B"/>
    <w:rsid w:val="00143563"/>
    <w:rsid w:val="0014357A"/>
    <w:rsid w:val="00143672"/>
    <w:rsid w:val="00143730"/>
    <w:rsid w:val="00143751"/>
    <w:rsid w:val="00143780"/>
    <w:rsid w:val="001437EA"/>
    <w:rsid w:val="00143896"/>
    <w:rsid w:val="0014393B"/>
    <w:rsid w:val="00143B3D"/>
    <w:rsid w:val="00143B88"/>
    <w:rsid w:val="00143C15"/>
    <w:rsid w:val="00143C7A"/>
    <w:rsid w:val="00143CE3"/>
    <w:rsid w:val="00143EA3"/>
    <w:rsid w:val="00143F16"/>
    <w:rsid w:val="001442AD"/>
    <w:rsid w:val="00144407"/>
    <w:rsid w:val="0014448C"/>
    <w:rsid w:val="001444C6"/>
    <w:rsid w:val="001444E0"/>
    <w:rsid w:val="001446AC"/>
    <w:rsid w:val="00144ADF"/>
    <w:rsid w:val="00144B1A"/>
    <w:rsid w:val="00144BE4"/>
    <w:rsid w:val="00144BF3"/>
    <w:rsid w:val="00144C63"/>
    <w:rsid w:val="00144CB3"/>
    <w:rsid w:val="00144CF1"/>
    <w:rsid w:val="00144D00"/>
    <w:rsid w:val="00144D5E"/>
    <w:rsid w:val="00144E08"/>
    <w:rsid w:val="00144E39"/>
    <w:rsid w:val="00144EC7"/>
    <w:rsid w:val="00144EE3"/>
    <w:rsid w:val="00144FEA"/>
    <w:rsid w:val="00145054"/>
    <w:rsid w:val="0014507E"/>
    <w:rsid w:val="0014507F"/>
    <w:rsid w:val="00145132"/>
    <w:rsid w:val="001451A4"/>
    <w:rsid w:val="00145294"/>
    <w:rsid w:val="00145432"/>
    <w:rsid w:val="00145633"/>
    <w:rsid w:val="0014575C"/>
    <w:rsid w:val="0014576E"/>
    <w:rsid w:val="001457CC"/>
    <w:rsid w:val="00145815"/>
    <w:rsid w:val="001458CC"/>
    <w:rsid w:val="00145A64"/>
    <w:rsid w:val="00145BA9"/>
    <w:rsid w:val="00145C36"/>
    <w:rsid w:val="00145C4B"/>
    <w:rsid w:val="00145CA9"/>
    <w:rsid w:val="00145CF2"/>
    <w:rsid w:val="00145D41"/>
    <w:rsid w:val="00145E6F"/>
    <w:rsid w:val="00145F00"/>
    <w:rsid w:val="00146024"/>
    <w:rsid w:val="0014616A"/>
    <w:rsid w:val="0014628F"/>
    <w:rsid w:val="00146297"/>
    <w:rsid w:val="001463D1"/>
    <w:rsid w:val="001464B0"/>
    <w:rsid w:val="001466D0"/>
    <w:rsid w:val="00146763"/>
    <w:rsid w:val="001467BA"/>
    <w:rsid w:val="001467D0"/>
    <w:rsid w:val="00146845"/>
    <w:rsid w:val="0014693A"/>
    <w:rsid w:val="001469BB"/>
    <w:rsid w:val="00146E9A"/>
    <w:rsid w:val="00146EAF"/>
    <w:rsid w:val="00146F6C"/>
    <w:rsid w:val="00146FE2"/>
    <w:rsid w:val="0014700E"/>
    <w:rsid w:val="001470A8"/>
    <w:rsid w:val="001470F7"/>
    <w:rsid w:val="00147163"/>
    <w:rsid w:val="001471A1"/>
    <w:rsid w:val="00147291"/>
    <w:rsid w:val="0014741E"/>
    <w:rsid w:val="0014746F"/>
    <w:rsid w:val="00147470"/>
    <w:rsid w:val="00147510"/>
    <w:rsid w:val="00147586"/>
    <w:rsid w:val="001475DB"/>
    <w:rsid w:val="00147770"/>
    <w:rsid w:val="00147988"/>
    <w:rsid w:val="00147A0E"/>
    <w:rsid w:val="00147AF2"/>
    <w:rsid w:val="00147AFC"/>
    <w:rsid w:val="00147B23"/>
    <w:rsid w:val="00147B37"/>
    <w:rsid w:val="00147C07"/>
    <w:rsid w:val="00147C3F"/>
    <w:rsid w:val="00147CDE"/>
    <w:rsid w:val="00147CEE"/>
    <w:rsid w:val="00147DAC"/>
    <w:rsid w:val="00147EA8"/>
    <w:rsid w:val="00147F2E"/>
    <w:rsid w:val="00147F47"/>
    <w:rsid w:val="00147FB5"/>
    <w:rsid w:val="00147FC6"/>
    <w:rsid w:val="001500ED"/>
    <w:rsid w:val="001501B3"/>
    <w:rsid w:val="00150213"/>
    <w:rsid w:val="0015028D"/>
    <w:rsid w:val="00150290"/>
    <w:rsid w:val="001502D9"/>
    <w:rsid w:val="0015036D"/>
    <w:rsid w:val="00150534"/>
    <w:rsid w:val="00150612"/>
    <w:rsid w:val="00150917"/>
    <w:rsid w:val="00150962"/>
    <w:rsid w:val="001509D9"/>
    <w:rsid w:val="00150A21"/>
    <w:rsid w:val="00150AFD"/>
    <w:rsid w:val="00150C01"/>
    <w:rsid w:val="00150CF4"/>
    <w:rsid w:val="00150D04"/>
    <w:rsid w:val="00150E09"/>
    <w:rsid w:val="00150F28"/>
    <w:rsid w:val="00150F4F"/>
    <w:rsid w:val="0015105F"/>
    <w:rsid w:val="00151186"/>
    <w:rsid w:val="00151353"/>
    <w:rsid w:val="00151381"/>
    <w:rsid w:val="0015138E"/>
    <w:rsid w:val="00151422"/>
    <w:rsid w:val="001514B8"/>
    <w:rsid w:val="001514EF"/>
    <w:rsid w:val="001516E9"/>
    <w:rsid w:val="001517AE"/>
    <w:rsid w:val="001517ED"/>
    <w:rsid w:val="00151831"/>
    <w:rsid w:val="00151949"/>
    <w:rsid w:val="001519BB"/>
    <w:rsid w:val="00151BAC"/>
    <w:rsid w:val="00151D02"/>
    <w:rsid w:val="00151DA1"/>
    <w:rsid w:val="00151E27"/>
    <w:rsid w:val="00151E83"/>
    <w:rsid w:val="00151F59"/>
    <w:rsid w:val="00151FCC"/>
    <w:rsid w:val="00151FDC"/>
    <w:rsid w:val="00152090"/>
    <w:rsid w:val="001520D7"/>
    <w:rsid w:val="001521DF"/>
    <w:rsid w:val="00152234"/>
    <w:rsid w:val="0015233B"/>
    <w:rsid w:val="001523F1"/>
    <w:rsid w:val="001524FC"/>
    <w:rsid w:val="00152507"/>
    <w:rsid w:val="00152644"/>
    <w:rsid w:val="00152838"/>
    <w:rsid w:val="00152967"/>
    <w:rsid w:val="001529FE"/>
    <w:rsid w:val="00152A56"/>
    <w:rsid w:val="00152AA5"/>
    <w:rsid w:val="00152B1B"/>
    <w:rsid w:val="00152B1E"/>
    <w:rsid w:val="00152C64"/>
    <w:rsid w:val="00152C8F"/>
    <w:rsid w:val="00152D99"/>
    <w:rsid w:val="00153037"/>
    <w:rsid w:val="00153045"/>
    <w:rsid w:val="00153053"/>
    <w:rsid w:val="00153121"/>
    <w:rsid w:val="0015314F"/>
    <w:rsid w:val="0015316F"/>
    <w:rsid w:val="00153210"/>
    <w:rsid w:val="00153240"/>
    <w:rsid w:val="001532D1"/>
    <w:rsid w:val="0015338F"/>
    <w:rsid w:val="001533DD"/>
    <w:rsid w:val="0015340B"/>
    <w:rsid w:val="00153432"/>
    <w:rsid w:val="00153495"/>
    <w:rsid w:val="00153530"/>
    <w:rsid w:val="0015370A"/>
    <w:rsid w:val="00153720"/>
    <w:rsid w:val="001537E1"/>
    <w:rsid w:val="001538DC"/>
    <w:rsid w:val="0015394C"/>
    <w:rsid w:val="0015397C"/>
    <w:rsid w:val="00153A33"/>
    <w:rsid w:val="00153A5E"/>
    <w:rsid w:val="00153A7C"/>
    <w:rsid w:val="00153B18"/>
    <w:rsid w:val="00153B6F"/>
    <w:rsid w:val="00153C87"/>
    <w:rsid w:val="00153D8B"/>
    <w:rsid w:val="00153DDF"/>
    <w:rsid w:val="00153F6D"/>
    <w:rsid w:val="00153FD5"/>
    <w:rsid w:val="00154027"/>
    <w:rsid w:val="00154208"/>
    <w:rsid w:val="0015424E"/>
    <w:rsid w:val="00154259"/>
    <w:rsid w:val="0015425F"/>
    <w:rsid w:val="00154357"/>
    <w:rsid w:val="001543B2"/>
    <w:rsid w:val="00154611"/>
    <w:rsid w:val="00154615"/>
    <w:rsid w:val="001546D3"/>
    <w:rsid w:val="00154785"/>
    <w:rsid w:val="001547B8"/>
    <w:rsid w:val="001547F9"/>
    <w:rsid w:val="0015481E"/>
    <w:rsid w:val="00154841"/>
    <w:rsid w:val="001548B6"/>
    <w:rsid w:val="00154909"/>
    <w:rsid w:val="00154A64"/>
    <w:rsid w:val="00154B40"/>
    <w:rsid w:val="00154B75"/>
    <w:rsid w:val="00154B9B"/>
    <w:rsid w:val="00154BE5"/>
    <w:rsid w:val="00154C92"/>
    <w:rsid w:val="00154D30"/>
    <w:rsid w:val="00154F01"/>
    <w:rsid w:val="00154F0F"/>
    <w:rsid w:val="00154F8E"/>
    <w:rsid w:val="00155030"/>
    <w:rsid w:val="00155127"/>
    <w:rsid w:val="00155142"/>
    <w:rsid w:val="00155208"/>
    <w:rsid w:val="00155545"/>
    <w:rsid w:val="0015559F"/>
    <w:rsid w:val="0015562F"/>
    <w:rsid w:val="00155678"/>
    <w:rsid w:val="001556D8"/>
    <w:rsid w:val="001558E2"/>
    <w:rsid w:val="00155960"/>
    <w:rsid w:val="001559CC"/>
    <w:rsid w:val="00155B22"/>
    <w:rsid w:val="00155BDC"/>
    <w:rsid w:val="00155BE0"/>
    <w:rsid w:val="00155C3D"/>
    <w:rsid w:val="00155C65"/>
    <w:rsid w:val="00155CBF"/>
    <w:rsid w:val="00155CE3"/>
    <w:rsid w:val="00155CF5"/>
    <w:rsid w:val="00155D23"/>
    <w:rsid w:val="00155DBB"/>
    <w:rsid w:val="00155DE4"/>
    <w:rsid w:val="00155E0F"/>
    <w:rsid w:val="00155E6C"/>
    <w:rsid w:val="00155EF7"/>
    <w:rsid w:val="00155F3B"/>
    <w:rsid w:val="00156360"/>
    <w:rsid w:val="00156482"/>
    <w:rsid w:val="001564BB"/>
    <w:rsid w:val="001564D9"/>
    <w:rsid w:val="001565C8"/>
    <w:rsid w:val="0015669D"/>
    <w:rsid w:val="001566BA"/>
    <w:rsid w:val="0015681B"/>
    <w:rsid w:val="001568B8"/>
    <w:rsid w:val="001568FF"/>
    <w:rsid w:val="00156A0A"/>
    <w:rsid w:val="00156A31"/>
    <w:rsid w:val="00156A3D"/>
    <w:rsid w:val="00156CBF"/>
    <w:rsid w:val="00156CDF"/>
    <w:rsid w:val="00156D2B"/>
    <w:rsid w:val="00156E59"/>
    <w:rsid w:val="00156ECA"/>
    <w:rsid w:val="0015710B"/>
    <w:rsid w:val="0015713C"/>
    <w:rsid w:val="00157183"/>
    <w:rsid w:val="00157691"/>
    <w:rsid w:val="001576D0"/>
    <w:rsid w:val="00157701"/>
    <w:rsid w:val="0015776B"/>
    <w:rsid w:val="00157979"/>
    <w:rsid w:val="00157A4B"/>
    <w:rsid w:val="00157ABD"/>
    <w:rsid w:val="00157AD4"/>
    <w:rsid w:val="00157B04"/>
    <w:rsid w:val="00157B76"/>
    <w:rsid w:val="00157C85"/>
    <w:rsid w:val="00157CB8"/>
    <w:rsid w:val="00157CB9"/>
    <w:rsid w:val="00157D07"/>
    <w:rsid w:val="00157DD5"/>
    <w:rsid w:val="00157E3C"/>
    <w:rsid w:val="00160069"/>
    <w:rsid w:val="00160097"/>
    <w:rsid w:val="001602B7"/>
    <w:rsid w:val="00160315"/>
    <w:rsid w:val="00160375"/>
    <w:rsid w:val="00160533"/>
    <w:rsid w:val="00160544"/>
    <w:rsid w:val="00160561"/>
    <w:rsid w:val="00160653"/>
    <w:rsid w:val="00160675"/>
    <w:rsid w:val="001606CE"/>
    <w:rsid w:val="001606F2"/>
    <w:rsid w:val="00160749"/>
    <w:rsid w:val="001607BF"/>
    <w:rsid w:val="001607D3"/>
    <w:rsid w:val="00160851"/>
    <w:rsid w:val="0016087A"/>
    <w:rsid w:val="001608A0"/>
    <w:rsid w:val="001608A5"/>
    <w:rsid w:val="0016090C"/>
    <w:rsid w:val="0016091E"/>
    <w:rsid w:val="0016092E"/>
    <w:rsid w:val="00160932"/>
    <w:rsid w:val="001609A9"/>
    <w:rsid w:val="00160A09"/>
    <w:rsid w:val="00160A93"/>
    <w:rsid w:val="00160DCB"/>
    <w:rsid w:val="00160DE2"/>
    <w:rsid w:val="00160DF9"/>
    <w:rsid w:val="00160E2B"/>
    <w:rsid w:val="00160FA6"/>
    <w:rsid w:val="00160FC9"/>
    <w:rsid w:val="0016101A"/>
    <w:rsid w:val="00161097"/>
    <w:rsid w:val="001610D1"/>
    <w:rsid w:val="0016112F"/>
    <w:rsid w:val="0016143A"/>
    <w:rsid w:val="0016143F"/>
    <w:rsid w:val="0016149A"/>
    <w:rsid w:val="0016151C"/>
    <w:rsid w:val="00161586"/>
    <w:rsid w:val="001615FB"/>
    <w:rsid w:val="0016166B"/>
    <w:rsid w:val="00161696"/>
    <w:rsid w:val="001616AB"/>
    <w:rsid w:val="001617FC"/>
    <w:rsid w:val="0016180B"/>
    <w:rsid w:val="001618E5"/>
    <w:rsid w:val="00161915"/>
    <w:rsid w:val="0016199F"/>
    <w:rsid w:val="00161A6D"/>
    <w:rsid w:val="00161B28"/>
    <w:rsid w:val="00161BC6"/>
    <w:rsid w:val="00161BE3"/>
    <w:rsid w:val="00161CA5"/>
    <w:rsid w:val="00161CB0"/>
    <w:rsid w:val="00161F14"/>
    <w:rsid w:val="00161F49"/>
    <w:rsid w:val="001620AC"/>
    <w:rsid w:val="00162150"/>
    <w:rsid w:val="00162267"/>
    <w:rsid w:val="00162274"/>
    <w:rsid w:val="00162276"/>
    <w:rsid w:val="00162286"/>
    <w:rsid w:val="001622D2"/>
    <w:rsid w:val="0016232E"/>
    <w:rsid w:val="001623D9"/>
    <w:rsid w:val="001624A4"/>
    <w:rsid w:val="0016265D"/>
    <w:rsid w:val="0016282B"/>
    <w:rsid w:val="00162990"/>
    <w:rsid w:val="001629E5"/>
    <w:rsid w:val="00162A21"/>
    <w:rsid w:val="00162A67"/>
    <w:rsid w:val="00162A7A"/>
    <w:rsid w:val="00162AED"/>
    <w:rsid w:val="00162AEE"/>
    <w:rsid w:val="00162B89"/>
    <w:rsid w:val="00162C39"/>
    <w:rsid w:val="00162C6D"/>
    <w:rsid w:val="00162D42"/>
    <w:rsid w:val="00162D47"/>
    <w:rsid w:val="00162D8F"/>
    <w:rsid w:val="00162DF2"/>
    <w:rsid w:val="00162E34"/>
    <w:rsid w:val="00162E8D"/>
    <w:rsid w:val="00162ECC"/>
    <w:rsid w:val="00162F06"/>
    <w:rsid w:val="00162F91"/>
    <w:rsid w:val="00162FB9"/>
    <w:rsid w:val="0016303E"/>
    <w:rsid w:val="00163058"/>
    <w:rsid w:val="00163092"/>
    <w:rsid w:val="001631CD"/>
    <w:rsid w:val="001631F3"/>
    <w:rsid w:val="00163260"/>
    <w:rsid w:val="001633A3"/>
    <w:rsid w:val="001633EE"/>
    <w:rsid w:val="0016340C"/>
    <w:rsid w:val="00163481"/>
    <w:rsid w:val="001634C2"/>
    <w:rsid w:val="00163559"/>
    <w:rsid w:val="00163581"/>
    <w:rsid w:val="0016358E"/>
    <w:rsid w:val="001635D6"/>
    <w:rsid w:val="00163612"/>
    <w:rsid w:val="00163672"/>
    <w:rsid w:val="001636DF"/>
    <w:rsid w:val="001636F6"/>
    <w:rsid w:val="0016382A"/>
    <w:rsid w:val="00163854"/>
    <w:rsid w:val="001638CB"/>
    <w:rsid w:val="0016390D"/>
    <w:rsid w:val="00163929"/>
    <w:rsid w:val="001639E8"/>
    <w:rsid w:val="00163ACB"/>
    <w:rsid w:val="00163BE3"/>
    <w:rsid w:val="00163C1A"/>
    <w:rsid w:val="00163CF6"/>
    <w:rsid w:val="00163DDE"/>
    <w:rsid w:val="00163DE6"/>
    <w:rsid w:val="001640DA"/>
    <w:rsid w:val="00164139"/>
    <w:rsid w:val="00164143"/>
    <w:rsid w:val="00164186"/>
    <w:rsid w:val="00164248"/>
    <w:rsid w:val="001642FF"/>
    <w:rsid w:val="001643C5"/>
    <w:rsid w:val="0016441C"/>
    <w:rsid w:val="00164441"/>
    <w:rsid w:val="00164464"/>
    <w:rsid w:val="001644DD"/>
    <w:rsid w:val="00164514"/>
    <w:rsid w:val="0016451F"/>
    <w:rsid w:val="001645BF"/>
    <w:rsid w:val="001645CC"/>
    <w:rsid w:val="001646B2"/>
    <w:rsid w:val="001646F6"/>
    <w:rsid w:val="00164842"/>
    <w:rsid w:val="0016486D"/>
    <w:rsid w:val="001648CC"/>
    <w:rsid w:val="001649C1"/>
    <w:rsid w:val="00164A4E"/>
    <w:rsid w:val="00164AE9"/>
    <w:rsid w:val="00164B73"/>
    <w:rsid w:val="00164BE0"/>
    <w:rsid w:val="00164BE7"/>
    <w:rsid w:val="00164CF2"/>
    <w:rsid w:val="00164D56"/>
    <w:rsid w:val="00164DA0"/>
    <w:rsid w:val="00164F11"/>
    <w:rsid w:val="00164F66"/>
    <w:rsid w:val="00165138"/>
    <w:rsid w:val="00165173"/>
    <w:rsid w:val="001652B2"/>
    <w:rsid w:val="00165334"/>
    <w:rsid w:val="0016533D"/>
    <w:rsid w:val="001653E0"/>
    <w:rsid w:val="001654A5"/>
    <w:rsid w:val="0016553E"/>
    <w:rsid w:val="00165762"/>
    <w:rsid w:val="00165864"/>
    <w:rsid w:val="001658F8"/>
    <w:rsid w:val="00165908"/>
    <w:rsid w:val="0016590B"/>
    <w:rsid w:val="0016594E"/>
    <w:rsid w:val="00165992"/>
    <w:rsid w:val="00165A08"/>
    <w:rsid w:val="00165A8D"/>
    <w:rsid w:val="00165B3A"/>
    <w:rsid w:val="00165C3D"/>
    <w:rsid w:val="00165D84"/>
    <w:rsid w:val="00165DE9"/>
    <w:rsid w:val="00165E4B"/>
    <w:rsid w:val="00165FA1"/>
    <w:rsid w:val="00165FAB"/>
    <w:rsid w:val="001660B8"/>
    <w:rsid w:val="0016610E"/>
    <w:rsid w:val="0016620D"/>
    <w:rsid w:val="001665B2"/>
    <w:rsid w:val="0016665C"/>
    <w:rsid w:val="001666DF"/>
    <w:rsid w:val="0016676A"/>
    <w:rsid w:val="001667BC"/>
    <w:rsid w:val="0016680C"/>
    <w:rsid w:val="0016694C"/>
    <w:rsid w:val="00166A60"/>
    <w:rsid w:val="00166AFB"/>
    <w:rsid w:val="00166B75"/>
    <w:rsid w:val="00166B9B"/>
    <w:rsid w:val="00166BB2"/>
    <w:rsid w:val="00166CF9"/>
    <w:rsid w:val="00166E9C"/>
    <w:rsid w:val="00166EB0"/>
    <w:rsid w:val="0016703F"/>
    <w:rsid w:val="0016719B"/>
    <w:rsid w:val="0016722D"/>
    <w:rsid w:val="0016726B"/>
    <w:rsid w:val="00167284"/>
    <w:rsid w:val="001673F8"/>
    <w:rsid w:val="00167432"/>
    <w:rsid w:val="001674BF"/>
    <w:rsid w:val="00167536"/>
    <w:rsid w:val="00167572"/>
    <w:rsid w:val="001675A7"/>
    <w:rsid w:val="00167648"/>
    <w:rsid w:val="001676EB"/>
    <w:rsid w:val="00167708"/>
    <w:rsid w:val="0016774C"/>
    <w:rsid w:val="0016779C"/>
    <w:rsid w:val="00167801"/>
    <w:rsid w:val="00167835"/>
    <w:rsid w:val="00167AA1"/>
    <w:rsid w:val="00167B0F"/>
    <w:rsid w:val="00167B42"/>
    <w:rsid w:val="00167B4A"/>
    <w:rsid w:val="00167B78"/>
    <w:rsid w:val="00167BFF"/>
    <w:rsid w:val="00167C0F"/>
    <w:rsid w:val="00167C59"/>
    <w:rsid w:val="00167D5A"/>
    <w:rsid w:val="00167D83"/>
    <w:rsid w:val="00167D9C"/>
    <w:rsid w:val="00167DDD"/>
    <w:rsid w:val="00167E72"/>
    <w:rsid w:val="00167EE0"/>
    <w:rsid w:val="00167F18"/>
    <w:rsid w:val="00167F2F"/>
    <w:rsid w:val="00167F55"/>
    <w:rsid w:val="00167F62"/>
    <w:rsid w:val="001700FF"/>
    <w:rsid w:val="00170181"/>
    <w:rsid w:val="001701E5"/>
    <w:rsid w:val="001702C2"/>
    <w:rsid w:val="0017034F"/>
    <w:rsid w:val="001705D4"/>
    <w:rsid w:val="00170602"/>
    <w:rsid w:val="00170675"/>
    <w:rsid w:val="001706A0"/>
    <w:rsid w:val="00170761"/>
    <w:rsid w:val="00170768"/>
    <w:rsid w:val="0017079B"/>
    <w:rsid w:val="00170A36"/>
    <w:rsid w:val="00170A46"/>
    <w:rsid w:val="00170A5E"/>
    <w:rsid w:val="00170AF7"/>
    <w:rsid w:val="00170D01"/>
    <w:rsid w:val="00170D0A"/>
    <w:rsid w:val="00171082"/>
    <w:rsid w:val="0017108B"/>
    <w:rsid w:val="001710B0"/>
    <w:rsid w:val="001710DF"/>
    <w:rsid w:val="00171102"/>
    <w:rsid w:val="001711FA"/>
    <w:rsid w:val="0017122B"/>
    <w:rsid w:val="0017125A"/>
    <w:rsid w:val="0017127F"/>
    <w:rsid w:val="001712E8"/>
    <w:rsid w:val="001712FA"/>
    <w:rsid w:val="001713C0"/>
    <w:rsid w:val="00171437"/>
    <w:rsid w:val="0017147D"/>
    <w:rsid w:val="0017157C"/>
    <w:rsid w:val="001715AA"/>
    <w:rsid w:val="001715AE"/>
    <w:rsid w:val="00171638"/>
    <w:rsid w:val="001716D5"/>
    <w:rsid w:val="00171844"/>
    <w:rsid w:val="001718E0"/>
    <w:rsid w:val="0017197C"/>
    <w:rsid w:val="00171A07"/>
    <w:rsid w:val="00171B40"/>
    <w:rsid w:val="00171B63"/>
    <w:rsid w:val="00171B78"/>
    <w:rsid w:val="00171BB9"/>
    <w:rsid w:val="00171C33"/>
    <w:rsid w:val="00171CF0"/>
    <w:rsid w:val="00171D72"/>
    <w:rsid w:val="00171EC8"/>
    <w:rsid w:val="00172151"/>
    <w:rsid w:val="0017217F"/>
    <w:rsid w:val="001721D5"/>
    <w:rsid w:val="00172250"/>
    <w:rsid w:val="00172390"/>
    <w:rsid w:val="0017248D"/>
    <w:rsid w:val="00172557"/>
    <w:rsid w:val="001725E1"/>
    <w:rsid w:val="00172718"/>
    <w:rsid w:val="0017271C"/>
    <w:rsid w:val="00172733"/>
    <w:rsid w:val="0017287F"/>
    <w:rsid w:val="0017295C"/>
    <w:rsid w:val="00172ACF"/>
    <w:rsid w:val="00172B46"/>
    <w:rsid w:val="00172BDE"/>
    <w:rsid w:val="00172C93"/>
    <w:rsid w:val="00172E0B"/>
    <w:rsid w:val="00172E65"/>
    <w:rsid w:val="00172FF7"/>
    <w:rsid w:val="00173084"/>
    <w:rsid w:val="00173140"/>
    <w:rsid w:val="00173191"/>
    <w:rsid w:val="001731C3"/>
    <w:rsid w:val="0017332E"/>
    <w:rsid w:val="0017335F"/>
    <w:rsid w:val="001733E4"/>
    <w:rsid w:val="00173490"/>
    <w:rsid w:val="0017357B"/>
    <w:rsid w:val="001735BB"/>
    <w:rsid w:val="001737E3"/>
    <w:rsid w:val="001737E8"/>
    <w:rsid w:val="001737F0"/>
    <w:rsid w:val="001738D6"/>
    <w:rsid w:val="00173928"/>
    <w:rsid w:val="00173939"/>
    <w:rsid w:val="0017393B"/>
    <w:rsid w:val="00173B52"/>
    <w:rsid w:val="00173B90"/>
    <w:rsid w:val="00173BFB"/>
    <w:rsid w:val="00173CF5"/>
    <w:rsid w:val="00173D32"/>
    <w:rsid w:val="00173F70"/>
    <w:rsid w:val="00173FE7"/>
    <w:rsid w:val="00174059"/>
    <w:rsid w:val="00174127"/>
    <w:rsid w:val="001741C1"/>
    <w:rsid w:val="00174228"/>
    <w:rsid w:val="00174250"/>
    <w:rsid w:val="001742E5"/>
    <w:rsid w:val="0017433E"/>
    <w:rsid w:val="00174364"/>
    <w:rsid w:val="001743D4"/>
    <w:rsid w:val="00174491"/>
    <w:rsid w:val="001745AA"/>
    <w:rsid w:val="001745FD"/>
    <w:rsid w:val="001747AB"/>
    <w:rsid w:val="001748A3"/>
    <w:rsid w:val="00174918"/>
    <w:rsid w:val="00174B02"/>
    <w:rsid w:val="00174B39"/>
    <w:rsid w:val="00174D50"/>
    <w:rsid w:val="00174DA2"/>
    <w:rsid w:val="00174E2D"/>
    <w:rsid w:val="00174E85"/>
    <w:rsid w:val="00174F4F"/>
    <w:rsid w:val="00174FCF"/>
    <w:rsid w:val="00175034"/>
    <w:rsid w:val="00175064"/>
    <w:rsid w:val="001750F6"/>
    <w:rsid w:val="00175168"/>
    <w:rsid w:val="001751B7"/>
    <w:rsid w:val="001751E9"/>
    <w:rsid w:val="001752A9"/>
    <w:rsid w:val="00175330"/>
    <w:rsid w:val="00175384"/>
    <w:rsid w:val="00175622"/>
    <w:rsid w:val="00175660"/>
    <w:rsid w:val="001756B9"/>
    <w:rsid w:val="001756D0"/>
    <w:rsid w:val="001757C5"/>
    <w:rsid w:val="001757D3"/>
    <w:rsid w:val="0017589E"/>
    <w:rsid w:val="001758C6"/>
    <w:rsid w:val="001759AF"/>
    <w:rsid w:val="001759CE"/>
    <w:rsid w:val="001759E4"/>
    <w:rsid w:val="00175B3A"/>
    <w:rsid w:val="00175BE7"/>
    <w:rsid w:val="00175BFE"/>
    <w:rsid w:val="00175C64"/>
    <w:rsid w:val="00175CCD"/>
    <w:rsid w:val="00175FA7"/>
    <w:rsid w:val="00175FD8"/>
    <w:rsid w:val="00176036"/>
    <w:rsid w:val="00176073"/>
    <w:rsid w:val="001760F6"/>
    <w:rsid w:val="00176114"/>
    <w:rsid w:val="00176136"/>
    <w:rsid w:val="001761C2"/>
    <w:rsid w:val="001763C5"/>
    <w:rsid w:val="0017658A"/>
    <w:rsid w:val="001765BD"/>
    <w:rsid w:val="00176730"/>
    <w:rsid w:val="001767CF"/>
    <w:rsid w:val="0017689D"/>
    <w:rsid w:val="0017694B"/>
    <w:rsid w:val="00176A1E"/>
    <w:rsid w:val="00176A3C"/>
    <w:rsid w:val="00176A5E"/>
    <w:rsid w:val="00176AE0"/>
    <w:rsid w:val="00176B6F"/>
    <w:rsid w:val="00176C1E"/>
    <w:rsid w:val="00176E3E"/>
    <w:rsid w:val="00176F53"/>
    <w:rsid w:val="00176F83"/>
    <w:rsid w:val="00176FA7"/>
    <w:rsid w:val="00176FAD"/>
    <w:rsid w:val="00176FF4"/>
    <w:rsid w:val="00177007"/>
    <w:rsid w:val="0017701C"/>
    <w:rsid w:val="001770FE"/>
    <w:rsid w:val="00177139"/>
    <w:rsid w:val="0017719F"/>
    <w:rsid w:val="00177228"/>
    <w:rsid w:val="0017726D"/>
    <w:rsid w:val="0017735F"/>
    <w:rsid w:val="00177417"/>
    <w:rsid w:val="001774AC"/>
    <w:rsid w:val="001774BF"/>
    <w:rsid w:val="001774C9"/>
    <w:rsid w:val="001775A1"/>
    <w:rsid w:val="001776F7"/>
    <w:rsid w:val="00177757"/>
    <w:rsid w:val="00177815"/>
    <w:rsid w:val="00177976"/>
    <w:rsid w:val="00177AB8"/>
    <w:rsid w:val="00177ABD"/>
    <w:rsid w:val="00177AD8"/>
    <w:rsid w:val="00177B58"/>
    <w:rsid w:val="00177B7C"/>
    <w:rsid w:val="00177C45"/>
    <w:rsid w:val="00177CB3"/>
    <w:rsid w:val="00177CE6"/>
    <w:rsid w:val="00177E0A"/>
    <w:rsid w:val="00177ED1"/>
    <w:rsid w:val="00177F62"/>
    <w:rsid w:val="0018000E"/>
    <w:rsid w:val="00180074"/>
    <w:rsid w:val="001800C4"/>
    <w:rsid w:val="001803B9"/>
    <w:rsid w:val="0018046F"/>
    <w:rsid w:val="0018061B"/>
    <w:rsid w:val="00180679"/>
    <w:rsid w:val="00180743"/>
    <w:rsid w:val="00180871"/>
    <w:rsid w:val="00180886"/>
    <w:rsid w:val="001808BC"/>
    <w:rsid w:val="00180950"/>
    <w:rsid w:val="001809A2"/>
    <w:rsid w:val="001809C4"/>
    <w:rsid w:val="001809F9"/>
    <w:rsid w:val="00180A04"/>
    <w:rsid w:val="00180AAC"/>
    <w:rsid w:val="00180AE7"/>
    <w:rsid w:val="00180B63"/>
    <w:rsid w:val="00180CD4"/>
    <w:rsid w:val="00180CF5"/>
    <w:rsid w:val="00180D64"/>
    <w:rsid w:val="00180D7F"/>
    <w:rsid w:val="00180DF1"/>
    <w:rsid w:val="00181074"/>
    <w:rsid w:val="00181081"/>
    <w:rsid w:val="0018114B"/>
    <w:rsid w:val="001813D1"/>
    <w:rsid w:val="001813FC"/>
    <w:rsid w:val="00181421"/>
    <w:rsid w:val="00181573"/>
    <w:rsid w:val="0018169E"/>
    <w:rsid w:val="001816AF"/>
    <w:rsid w:val="00181887"/>
    <w:rsid w:val="0018194C"/>
    <w:rsid w:val="0018198F"/>
    <w:rsid w:val="00181AD0"/>
    <w:rsid w:val="00181CFB"/>
    <w:rsid w:val="00181D98"/>
    <w:rsid w:val="00181DA6"/>
    <w:rsid w:val="00181FBE"/>
    <w:rsid w:val="00181FF8"/>
    <w:rsid w:val="00182148"/>
    <w:rsid w:val="00182187"/>
    <w:rsid w:val="00182292"/>
    <w:rsid w:val="001822F5"/>
    <w:rsid w:val="00182305"/>
    <w:rsid w:val="00182339"/>
    <w:rsid w:val="001823D5"/>
    <w:rsid w:val="0018244D"/>
    <w:rsid w:val="001824BD"/>
    <w:rsid w:val="001824E1"/>
    <w:rsid w:val="00182543"/>
    <w:rsid w:val="001825E7"/>
    <w:rsid w:val="001827A4"/>
    <w:rsid w:val="001828A7"/>
    <w:rsid w:val="001828A8"/>
    <w:rsid w:val="00182914"/>
    <w:rsid w:val="00182A78"/>
    <w:rsid w:val="00182AC4"/>
    <w:rsid w:val="00182CF9"/>
    <w:rsid w:val="00182E83"/>
    <w:rsid w:val="00183004"/>
    <w:rsid w:val="0018301A"/>
    <w:rsid w:val="001831B4"/>
    <w:rsid w:val="00183251"/>
    <w:rsid w:val="0018341D"/>
    <w:rsid w:val="00183473"/>
    <w:rsid w:val="00183494"/>
    <w:rsid w:val="001834F8"/>
    <w:rsid w:val="00183585"/>
    <w:rsid w:val="001835A0"/>
    <w:rsid w:val="001835B7"/>
    <w:rsid w:val="00183810"/>
    <w:rsid w:val="00183870"/>
    <w:rsid w:val="001838C1"/>
    <w:rsid w:val="001838CB"/>
    <w:rsid w:val="001839FD"/>
    <w:rsid w:val="00183AF3"/>
    <w:rsid w:val="00183B66"/>
    <w:rsid w:val="00183BD1"/>
    <w:rsid w:val="00183C39"/>
    <w:rsid w:val="00183CD2"/>
    <w:rsid w:val="00183D93"/>
    <w:rsid w:val="00183DB0"/>
    <w:rsid w:val="00183DD1"/>
    <w:rsid w:val="00183DEB"/>
    <w:rsid w:val="00183F87"/>
    <w:rsid w:val="00183F93"/>
    <w:rsid w:val="00183FAB"/>
    <w:rsid w:val="00183FAD"/>
    <w:rsid w:val="00184097"/>
    <w:rsid w:val="0018414D"/>
    <w:rsid w:val="00184158"/>
    <w:rsid w:val="00184263"/>
    <w:rsid w:val="00184275"/>
    <w:rsid w:val="0018437A"/>
    <w:rsid w:val="00184552"/>
    <w:rsid w:val="0018455C"/>
    <w:rsid w:val="0018460E"/>
    <w:rsid w:val="0018469F"/>
    <w:rsid w:val="00184765"/>
    <w:rsid w:val="00184826"/>
    <w:rsid w:val="00184957"/>
    <w:rsid w:val="001849C3"/>
    <w:rsid w:val="001849CE"/>
    <w:rsid w:val="001849FB"/>
    <w:rsid w:val="00184A08"/>
    <w:rsid w:val="00184A47"/>
    <w:rsid w:val="00184B92"/>
    <w:rsid w:val="00184B9F"/>
    <w:rsid w:val="00184C27"/>
    <w:rsid w:val="00184C72"/>
    <w:rsid w:val="00184CDF"/>
    <w:rsid w:val="00184E0D"/>
    <w:rsid w:val="00184E2C"/>
    <w:rsid w:val="00184E97"/>
    <w:rsid w:val="00184F27"/>
    <w:rsid w:val="00184F40"/>
    <w:rsid w:val="00184F85"/>
    <w:rsid w:val="00184FD1"/>
    <w:rsid w:val="00185114"/>
    <w:rsid w:val="00185115"/>
    <w:rsid w:val="001852D4"/>
    <w:rsid w:val="001853A6"/>
    <w:rsid w:val="001853D7"/>
    <w:rsid w:val="001853EE"/>
    <w:rsid w:val="001853FA"/>
    <w:rsid w:val="0018563A"/>
    <w:rsid w:val="0018577B"/>
    <w:rsid w:val="0018577C"/>
    <w:rsid w:val="0018577D"/>
    <w:rsid w:val="00185929"/>
    <w:rsid w:val="00185B4B"/>
    <w:rsid w:val="00185B55"/>
    <w:rsid w:val="00185C18"/>
    <w:rsid w:val="00185C73"/>
    <w:rsid w:val="00185C7C"/>
    <w:rsid w:val="00185CF3"/>
    <w:rsid w:val="00185CFA"/>
    <w:rsid w:val="00185D04"/>
    <w:rsid w:val="00185E8C"/>
    <w:rsid w:val="00185E8E"/>
    <w:rsid w:val="00185EB8"/>
    <w:rsid w:val="00185F03"/>
    <w:rsid w:val="00185FC6"/>
    <w:rsid w:val="00186088"/>
    <w:rsid w:val="001860AD"/>
    <w:rsid w:val="00186117"/>
    <w:rsid w:val="0018625D"/>
    <w:rsid w:val="00186409"/>
    <w:rsid w:val="00186414"/>
    <w:rsid w:val="0018645E"/>
    <w:rsid w:val="0018646E"/>
    <w:rsid w:val="00186495"/>
    <w:rsid w:val="001865DD"/>
    <w:rsid w:val="001865EE"/>
    <w:rsid w:val="00186610"/>
    <w:rsid w:val="00186673"/>
    <w:rsid w:val="001866EE"/>
    <w:rsid w:val="0018685D"/>
    <w:rsid w:val="00186AEB"/>
    <w:rsid w:val="00186B65"/>
    <w:rsid w:val="00186B72"/>
    <w:rsid w:val="00186C46"/>
    <w:rsid w:val="00186CB9"/>
    <w:rsid w:val="00186CD5"/>
    <w:rsid w:val="00186E4F"/>
    <w:rsid w:val="0018710E"/>
    <w:rsid w:val="0018710F"/>
    <w:rsid w:val="001871D9"/>
    <w:rsid w:val="001871F5"/>
    <w:rsid w:val="00187231"/>
    <w:rsid w:val="0018723B"/>
    <w:rsid w:val="001872B3"/>
    <w:rsid w:val="001872E2"/>
    <w:rsid w:val="001872F8"/>
    <w:rsid w:val="001873A9"/>
    <w:rsid w:val="001873F2"/>
    <w:rsid w:val="00187462"/>
    <w:rsid w:val="00187658"/>
    <w:rsid w:val="001876B1"/>
    <w:rsid w:val="001876D7"/>
    <w:rsid w:val="00187783"/>
    <w:rsid w:val="00187849"/>
    <w:rsid w:val="001878E5"/>
    <w:rsid w:val="00187903"/>
    <w:rsid w:val="001879AB"/>
    <w:rsid w:val="001879B2"/>
    <w:rsid w:val="001879D2"/>
    <w:rsid w:val="00187A1E"/>
    <w:rsid w:val="00187A7B"/>
    <w:rsid w:val="00187AA2"/>
    <w:rsid w:val="00187AE8"/>
    <w:rsid w:val="00187C33"/>
    <w:rsid w:val="00187DF0"/>
    <w:rsid w:val="00187E01"/>
    <w:rsid w:val="00187F72"/>
    <w:rsid w:val="001900C9"/>
    <w:rsid w:val="0019011A"/>
    <w:rsid w:val="001901E4"/>
    <w:rsid w:val="00190274"/>
    <w:rsid w:val="00190382"/>
    <w:rsid w:val="001903F1"/>
    <w:rsid w:val="00190470"/>
    <w:rsid w:val="00190566"/>
    <w:rsid w:val="00190584"/>
    <w:rsid w:val="001905A8"/>
    <w:rsid w:val="001906F4"/>
    <w:rsid w:val="0019072E"/>
    <w:rsid w:val="00190760"/>
    <w:rsid w:val="001909B7"/>
    <w:rsid w:val="00190A1C"/>
    <w:rsid w:val="00190ACC"/>
    <w:rsid w:val="00190C34"/>
    <w:rsid w:val="00190D63"/>
    <w:rsid w:val="00190EC6"/>
    <w:rsid w:val="0019104C"/>
    <w:rsid w:val="00191090"/>
    <w:rsid w:val="001910AF"/>
    <w:rsid w:val="0019118B"/>
    <w:rsid w:val="00191222"/>
    <w:rsid w:val="001912AD"/>
    <w:rsid w:val="001912DB"/>
    <w:rsid w:val="0019138B"/>
    <w:rsid w:val="001913D7"/>
    <w:rsid w:val="001913DB"/>
    <w:rsid w:val="001913E1"/>
    <w:rsid w:val="00191513"/>
    <w:rsid w:val="00191567"/>
    <w:rsid w:val="0019158F"/>
    <w:rsid w:val="00191619"/>
    <w:rsid w:val="0019163F"/>
    <w:rsid w:val="0019166C"/>
    <w:rsid w:val="001916B5"/>
    <w:rsid w:val="00191707"/>
    <w:rsid w:val="001917B9"/>
    <w:rsid w:val="0019194A"/>
    <w:rsid w:val="001919B2"/>
    <w:rsid w:val="00191B77"/>
    <w:rsid w:val="00191C51"/>
    <w:rsid w:val="00191D03"/>
    <w:rsid w:val="00191D1C"/>
    <w:rsid w:val="00191D53"/>
    <w:rsid w:val="00191ED0"/>
    <w:rsid w:val="00191EFD"/>
    <w:rsid w:val="00191F41"/>
    <w:rsid w:val="00191FC4"/>
    <w:rsid w:val="00192130"/>
    <w:rsid w:val="00192276"/>
    <w:rsid w:val="00192374"/>
    <w:rsid w:val="0019237F"/>
    <w:rsid w:val="00192389"/>
    <w:rsid w:val="001923BA"/>
    <w:rsid w:val="0019242F"/>
    <w:rsid w:val="001924C0"/>
    <w:rsid w:val="001924F6"/>
    <w:rsid w:val="00192605"/>
    <w:rsid w:val="00192650"/>
    <w:rsid w:val="0019266E"/>
    <w:rsid w:val="0019268A"/>
    <w:rsid w:val="00192755"/>
    <w:rsid w:val="0019276C"/>
    <w:rsid w:val="001927EE"/>
    <w:rsid w:val="00192811"/>
    <w:rsid w:val="00192A75"/>
    <w:rsid w:val="00192B3D"/>
    <w:rsid w:val="00192C6D"/>
    <w:rsid w:val="00192D61"/>
    <w:rsid w:val="00192DE9"/>
    <w:rsid w:val="00192EAE"/>
    <w:rsid w:val="0019300F"/>
    <w:rsid w:val="0019310E"/>
    <w:rsid w:val="0019311F"/>
    <w:rsid w:val="001931CA"/>
    <w:rsid w:val="00193273"/>
    <w:rsid w:val="00193393"/>
    <w:rsid w:val="001933BD"/>
    <w:rsid w:val="001933F2"/>
    <w:rsid w:val="0019340D"/>
    <w:rsid w:val="00193487"/>
    <w:rsid w:val="0019348D"/>
    <w:rsid w:val="001934C5"/>
    <w:rsid w:val="001934C8"/>
    <w:rsid w:val="0019377D"/>
    <w:rsid w:val="001938A4"/>
    <w:rsid w:val="001938A9"/>
    <w:rsid w:val="001938DB"/>
    <w:rsid w:val="001938EE"/>
    <w:rsid w:val="00193A92"/>
    <w:rsid w:val="00193AB3"/>
    <w:rsid w:val="00193B2C"/>
    <w:rsid w:val="00193C92"/>
    <w:rsid w:val="00193F48"/>
    <w:rsid w:val="00193F91"/>
    <w:rsid w:val="00193F95"/>
    <w:rsid w:val="00193F96"/>
    <w:rsid w:val="00193FF7"/>
    <w:rsid w:val="001940ED"/>
    <w:rsid w:val="00194182"/>
    <w:rsid w:val="001941A1"/>
    <w:rsid w:val="001941C3"/>
    <w:rsid w:val="00194256"/>
    <w:rsid w:val="00194278"/>
    <w:rsid w:val="001942B4"/>
    <w:rsid w:val="001942E6"/>
    <w:rsid w:val="00194333"/>
    <w:rsid w:val="0019455F"/>
    <w:rsid w:val="001945E1"/>
    <w:rsid w:val="00194602"/>
    <w:rsid w:val="0019464C"/>
    <w:rsid w:val="001946FC"/>
    <w:rsid w:val="001947C3"/>
    <w:rsid w:val="0019484D"/>
    <w:rsid w:val="0019489D"/>
    <w:rsid w:val="00194942"/>
    <w:rsid w:val="00194986"/>
    <w:rsid w:val="001949D7"/>
    <w:rsid w:val="00194AE2"/>
    <w:rsid w:val="00194D1D"/>
    <w:rsid w:val="00194D7F"/>
    <w:rsid w:val="00194DA4"/>
    <w:rsid w:val="00194E71"/>
    <w:rsid w:val="00194F55"/>
    <w:rsid w:val="00194F82"/>
    <w:rsid w:val="00194FB5"/>
    <w:rsid w:val="00194FF9"/>
    <w:rsid w:val="001950D4"/>
    <w:rsid w:val="00195136"/>
    <w:rsid w:val="00195209"/>
    <w:rsid w:val="001952C6"/>
    <w:rsid w:val="00195335"/>
    <w:rsid w:val="0019538F"/>
    <w:rsid w:val="00195459"/>
    <w:rsid w:val="001955C8"/>
    <w:rsid w:val="0019566F"/>
    <w:rsid w:val="001956EA"/>
    <w:rsid w:val="00195723"/>
    <w:rsid w:val="001957DC"/>
    <w:rsid w:val="001958A1"/>
    <w:rsid w:val="00195BE0"/>
    <w:rsid w:val="00195BE9"/>
    <w:rsid w:val="00195C81"/>
    <w:rsid w:val="00195DDC"/>
    <w:rsid w:val="00195EB1"/>
    <w:rsid w:val="00195F5D"/>
    <w:rsid w:val="00195FB4"/>
    <w:rsid w:val="0019609A"/>
    <w:rsid w:val="0019612D"/>
    <w:rsid w:val="0019614F"/>
    <w:rsid w:val="0019620B"/>
    <w:rsid w:val="00196238"/>
    <w:rsid w:val="001962BB"/>
    <w:rsid w:val="001962D1"/>
    <w:rsid w:val="001962E7"/>
    <w:rsid w:val="00196335"/>
    <w:rsid w:val="00196343"/>
    <w:rsid w:val="0019634D"/>
    <w:rsid w:val="001963CB"/>
    <w:rsid w:val="0019649D"/>
    <w:rsid w:val="00196565"/>
    <w:rsid w:val="00196566"/>
    <w:rsid w:val="00196608"/>
    <w:rsid w:val="001967A8"/>
    <w:rsid w:val="00196A1B"/>
    <w:rsid w:val="00196AFF"/>
    <w:rsid w:val="00196B07"/>
    <w:rsid w:val="00196BB7"/>
    <w:rsid w:val="00196CA6"/>
    <w:rsid w:val="00196D42"/>
    <w:rsid w:val="00196D56"/>
    <w:rsid w:val="00196DDA"/>
    <w:rsid w:val="00196E0B"/>
    <w:rsid w:val="00196E44"/>
    <w:rsid w:val="00196F81"/>
    <w:rsid w:val="00196FDE"/>
    <w:rsid w:val="0019713A"/>
    <w:rsid w:val="0019733A"/>
    <w:rsid w:val="0019740F"/>
    <w:rsid w:val="00197455"/>
    <w:rsid w:val="001975A2"/>
    <w:rsid w:val="001975AF"/>
    <w:rsid w:val="00197631"/>
    <w:rsid w:val="001976DA"/>
    <w:rsid w:val="001976E1"/>
    <w:rsid w:val="001976F2"/>
    <w:rsid w:val="001977F0"/>
    <w:rsid w:val="001978FF"/>
    <w:rsid w:val="0019795A"/>
    <w:rsid w:val="001979B6"/>
    <w:rsid w:val="001979C6"/>
    <w:rsid w:val="001979E4"/>
    <w:rsid w:val="00197A4A"/>
    <w:rsid w:val="00197B4A"/>
    <w:rsid w:val="00197BD8"/>
    <w:rsid w:val="00197D01"/>
    <w:rsid w:val="00197D57"/>
    <w:rsid w:val="00197EDA"/>
    <w:rsid w:val="00197EF2"/>
    <w:rsid w:val="00197F80"/>
    <w:rsid w:val="00197F93"/>
    <w:rsid w:val="001A01A6"/>
    <w:rsid w:val="001A02DB"/>
    <w:rsid w:val="001A02F7"/>
    <w:rsid w:val="001A0338"/>
    <w:rsid w:val="001A04FD"/>
    <w:rsid w:val="001A0577"/>
    <w:rsid w:val="001A05BC"/>
    <w:rsid w:val="001A06AE"/>
    <w:rsid w:val="001A0731"/>
    <w:rsid w:val="001A075C"/>
    <w:rsid w:val="001A08EB"/>
    <w:rsid w:val="001A091C"/>
    <w:rsid w:val="001A099D"/>
    <w:rsid w:val="001A0B27"/>
    <w:rsid w:val="001A0B5A"/>
    <w:rsid w:val="001A0BDC"/>
    <w:rsid w:val="001A0CF2"/>
    <w:rsid w:val="001A0D15"/>
    <w:rsid w:val="001A0E1B"/>
    <w:rsid w:val="001A0E8C"/>
    <w:rsid w:val="001A0F6F"/>
    <w:rsid w:val="001A0FA9"/>
    <w:rsid w:val="001A1160"/>
    <w:rsid w:val="001A11C6"/>
    <w:rsid w:val="001A11CB"/>
    <w:rsid w:val="001A1223"/>
    <w:rsid w:val="001A12EE"/>
    <w:rsid w:val="001A1368"/>
    <w:rsid w:val="001A1375"/>
    <w:rsid w:val="001A1470"/>
    <w:rsid w:val="001A1498"/>
    <w:rsid w:val="001A1543"/>
    <w:rsid w:val="001A154B"/>
    <w:rsid w:val="001A1615"/>
    <w:rsid w:val="001A164F"/>
    <w:rsid w:val="001A165C"/>
    <w:rsid w:val="001A1663"/>
    <w:rsid w:val="001A1695"/>
    <w:rsid w:val="001A17BC"/>
    <w:rsid w:val="001A17FF"/>
    <w:rsid w:val="001A18CA"/>
    <w:rsid w:val="001A18EE"/>
    <w:rsid w:val="001A1973"/>
    <w:rsid w:val="001A19C8"/>
    <w:rsid w:val="001A19DA"/>
    <w:rsid w:val="001A19DD"/>
    <w:rsid w:val="001A1A87"/>
    <w:rsid w:val="001A1AE6"/>
    <w:rsid w:val="001A1B22"/>
    <w:rsid w:val="001A1B56"/>
    <w:rsid w:val="001A1BA0"/>
    <w:rsid w:val="001A1C24"/>
    <w:rsid w:val="001A1D66"/>
    <w:rsid w:val="001A1D79"/>
    <w:rsid w:val="001A1DDE"/>
    <w:rsid w:val="001A1E28"/>
    <w:rsid w:val="001A1EA0"/>
    <w:rsid w:val="001A20EC"/>
    <w:rsid w:val="001A21A8"/>
    <w:rsid w:val="001A2290"/>
    <w:rsid w:val="001A23D8"/>
    <w:rsid w:val="001A25FD"/>
    <w:rsid w:val="001A269E"/>
    <w:rsid w:val="001A26C3"/>
    <w:rsid w:val="001A2746"/>
    <w:rsid w:val="001A27C6"/>
    <w:rsid w:val="001A27D0"/>
    <w:rsid w:val="001A2841"/>
    <w:rsid w:val="001A2A19"/>
    <w:rsid w:val="001A2AC0"/>
    <w:rsid w:val="001A2B99"/>
    <w:rsid w:val="001A2CEB"/>
    <w:rsid w:val="001A2ECA"/>
    <w:rsid w:val="001A2F9E"/>
    <w:rsid w:val="001A318F"/>
    <w:rsid w:val="001A31AD"/>
    <w:rsid w:val="001A31C0"/>
    <w:rsid w:val="001A330A"/>
    <w:rsid w:val="001A338A"/>
    <w:rsid w:val="001A34DA"/>
    <w:rsid w:val="001A3563"/>
    <w:rsid w:val="001A366D"/>
    <w:rsid w:val="001A367E"/>
    <w:rsid w:val="001A379A"/>
    <w:rsid w:val="001A37BD"/>
    <w:rsid w:val="001A3805"/>
    <w:rsid w:val="001A3864"/>
    <w:rsid w:val="001A38B1"/>
    <w:rsid w:val="001A3914"/>
    <w:rsid w:val="001A3959"/>
    <w:rsid w:val="001A3A63"/>
    <w:rsid w:val="001A3A6E"/>
    <w:rsid w:val="001A3B16"/>
    <w:rsid w:val="001A3B2A"/>
    <w:rsid w:val="001A3D30"/>
    <w:rsid w:val="001A3DB4"/>
    <w:rsid w:val="001A3DE6"/>
    <w:rsid w:val="001A3E03"/>
    <w:rsid w:val="001A3F45"/>
    <w:rsid w:val="001A40ED"/>
    <w:rsid w:val="001A4397"/>
    <w:rsid w:val="001A4486"/>
    <w:rsid w:val="001A44AA"/>
    <w:rsid w:val="001A44B9"/>
    <w:rsid w:val="001A4861"/>
    <w:rsid w:val="001A4936"/>
    <w:rsid w:val="001A4A11"/>
    <w:rsid w:val="001A4B33"/>
    <w:rsid w:val="001A4C7C"/>
    <w:rsid w:val="001A4DF9"/>
    <w:rsid w:val="001A50CC"/>
    <w:rsid w:val="001A50FE"/>
    <w:rsid w:val="001A516F"/>
    <w:rsid w:val="001A5294"/>
    <w:rsid w:val="001A52DE"/>
    <w:rsid w:val="001A52F4"/>
    <w:rsid w:val="001A53A3"/>
    <w:rsid w:val="001A5499"/>
    <w:rsid w:val="001A5564"/>
    <w:rsid w:val="001A5733"/>
    <w:rsid w:val="001A5737"/>
    <w:rsid w:val="001A57F0"/>
    <w:rsid w:val="001A58B8"/>
    <w:rsid w:val="001A5AC8"/>
    <w:rsid w:val="001A5B04"/>
    <w:rsid w:val="001A5C79"/>
    <w:rsid w:val="001A5EC7"/>
    <w:rsid w:val="001A5FC7"/>
    <w:rsid w:val="001A601F"/>
    <w:rsid w:val="001A6120"/>
    <w:rsid w:val="001A6193"/>
    <w:rsid w:val="001A61D8"/>
    <w:rsid w:val="001A6218"/>
    <w:rsid w:val="001A6333"/>
    <w:rsid w:val="001A633D"/>
    <w:rsid w:val="001A63AD"/>
    <w:rsid w:val="001A63C0"/>
    <w:rsid w:val="001A644A"/>
    <w:rsid w:val="001A653B"/>
    <w:rsid w:val="001A6565"/>
    <w:rsid w:val="001A6640"/>
    <w:rsid w:val="001A6689"/>
    <w:rsid w:val="001A67BC"/>
    <w:rsid w:val="001A67F9"/>
    <w:rsid w:val="001A69F4"/>
    <w:rsid w:val="001A6A4B"/>
    <w:rsid w:val="001A6A55"/>
    <w:rsid w:val="001A6B65"/>
    <w:rsid w:val="001A6B75"/>
    <w:rsid w:val="001A6D06"/>
    <w:rsid w:val="001A6D14"/>
    <w:rsid w:val="001A6DC1"/>
    <w:rsid w:val="001A6E2F"/>
    <w:rsid w:val="001A6E33"/>
    <w:rsid w:val="001A6F65"/>
    <w:rsid w:val="001A6FA8"/>
    <w:rsid w:val="001A708B"/>
    <w:rsid w:val="001A70E7"/>
    <w:rsid w:val="001A7178"/>
    <w:rsid w:val="001A721B"/>
    <w:rsid w:val="001A7249"/>
    <w:rsid w:val="001A75AD"/>
    <w:rsid w:val="001A7749"/>
    <w:rsid w:val="001A7883"/>
    <w:rsid w:val="001A78E5"/>
    <w:rsid w:val="001A7966"/>
    <w:rsid w:val="001A796F"/>
    <w:rsid w:val="001A7987"/>
    <w:rsid w:val="001A7AEB"/>
    <w:rsid w:val="001A7AFF"/>
    <w:rsid w:val="001A7C39"/>
    <w:rsid w:val="001A7C84"/>
    <w:rsid w:val="001A7D4D"/>
    <w:rsid w:val="001A7D71"/>
    <w:rsid w:val="001A7F47"/>
    <w:rsid w:val="001A7FC2"/>
    <w:rsid w:val="001A7FCC"/>
    <w:rsid w:val="001B0020"/>
    <w:rsid w:val="001B0045"/>
    <w:rsid w:val="001B0077"/>
    <w:rsid w:val="001B00AC"/>
    <w:rsid w:val="001B00FF"/>
    <w:rsid w:val="001B017E"/>
    <w:rsid w:val="001B02F7"/>
    <w:rsid w:val="001B02FA"/>
    <w:rsid w:val="001B0364"/>
    <w:rsid w:val="001B0604"/>
    <w:rsid w:val="001B0622"/>
    <w:rsid w:val="001B0798"/>
    <w:rsid w:val="001B091C"/>
    <w:rsid w:val="001B0929"/>
    <w:rsid w:val="001B096B"/>
    <w:rsid w:val="001B098E"/>
    <w:rsid w:val="001B099F"/>
    <w:rsid w:val="001B09AC"/>
    <w:rsid w:val="001B0A03"/>
    <w:rsid w:val="001B0A37"/>
    <w:rsid w:val="001B0A43"/>
    <w:rsid w:val="001B0BA6"/>
    <w:rsid w:val="001B0CF1"/>
    <w:rsid w:val="001B0E0F"/>
    <w:rsid w:val="001B0E8A"/>
    <w:rsid w:val="001B0F32"/>
    <w:rsid w:val="001B10A7"/>
    <w:rsid w:val="001B1131"/>
    <w:rsid w:val="001B1196"/>
    <w:rsid w:val="001B12B5"/>
    <w:rsid w:val="001B136A"/>
    <w:rsid w:val="001B13C3"/>
    <w:rsid w:val="001B14D0"/>
    <w:rsid w:val="001B14E5"/>
    <w:rsid w:val="001B14F1"/>
    <w:rsid w:val="001B15D7"/>
    <w:rsid w:val="001B16D5"/>
    <w:rsid w:val="001B170B"/>
    <w:rsid w:val="001B1726"/>
    <w:rsid w:val="001B1768"/>
    <w:rsid w:val="001B1813"/>
    <w:rsid w:val="001B1860"/>
    <w:rsid w:val="001B1898"/>
    <w:rsid w:val="001B1A02"/>
    <w:rsid w:val="001B1A6D"/>
    <w:rsid w:val="001B1A82"/>
    <w:rsid w:val="001B1ABB"/>
    <w:rsid w:val="001B1B57"/>
    <w:rsid w:val="001B1D70"/>
    <w:rsid w:val="001B1F1E"/>
    <w:rsid w:val="001B1F40"/>
    <w:rsid w:val="001B1F78"/>
    <w:rsid w:val="001B1FCA"/>
    <w:rsid w:val="001B207B"/>
    <w:rsid w:val="001B2107"/>
    <w:rsid w:val="001B210F"/>
    <w:rsid w:val="001B219F"/>
    <w:rsid w:val="001B21B8"/>
    <w:rsid w:val="001B222C"/>
    <w:rsid w:val="001B222E"/>
    <w:rsid w:val="001B2294"/>
    <w:rsid w:val="001B2415"/>
    <w:rsid w:val="001B2462"/>
    <w:rsid w:val="001B249D"/>
    <w:rsid w:val="001B24BE"/>
    <w:rsid w:val="001B24DE"/>
    <w:rsid w:val="001B26A5"/>
    <w:rsid w:val="001B27C7"/>
    <w:rsid w:val="001B285F"/>
    <w:rsid w:val="001B28FF"/>
    <w:rsid w:val="001B29D7"/>
    <w:rsid w:val="001B29EF"/>
    <w:rsid w:val="001B2A30"/>
    <w:rsid w:val="001B2A75"/>
    <w:rsid w:val="001B2ABE"/>
    <w:rsid w:val="001B2B47"/>
    <w:rsid w:val="001B2BE1"/>
    <w:rsid w:val="001B2C49"/>
    <w:rsid w:val="001B2CBF"/>
    <w:rsid w:val="001B2E41"/>
    <w:rsid w:val="001B2F41"/>
    <w:rsid w:val="001B2FBF"/>
    <w:rsid w:val="001B2FF6"/>
    <w:rsid w:val="001B3003"/>
    <w:rsid w:val="001B3055"/>
    <w:rsid w:val="001B306E"/>
    <w:rsid w:val="001B31B3"/>
    <w:rsid w:val="001B3214"/>
    <w:rsid w:val="001B32C0"/>
    <w:rsid w:val="001B334F"/>
    <w:rsid w:val="001B3357"/>
    <w:rsid w:val="001B3459"/>
    <w:rsid w:val="001B34B1"/>
    <w:rsid w:val="001B35FB"/>
    <w:rsid w:val="001B363A"/>
    <w:rsid w:val="001B3684"/>
    <w:rsid w:val="001B36D4"/>
    <w:rsid w:val="001B3753"/>
    <w:rsid w:val="001B380D"/>
    <w:rsid w:val="001B3834"/>
    <w:rsid w:val="001B391E"/>
    <w:rsid w:val="001B3BE5"/>
    <w:rsid w:val="001B3C47"/>
    <w:rsid w:val="001B3C83"/>
    <w:rsid w:val="001B3C9C"/>
    <w:rsid w:val="001B3CE3"/>
    <w:rsid w:val="001B3E9F"/>
    <w:rsid w:val="001B3EC4"/>
    <w:rsid w:val="001B3EDB"/>
    <w:rsid w:val="001B3EE8"/>
    <w:rsid w:val="001B3F1B"/>
    <w:rsid w:val="001B3F54"/>
    <w:rsid w:val="001B3F76"/>
    <w:rsid w:val="001B3F78"/>
    <w:rsid w:val="001B3FD1"/>
    <w:rsid w:val="001B400C"/>
    <w:rsid w:val="001B405E"/>
    <w:rsid w:val="001B40F8"/>
    <w:rsid w:val="001B411B"/>
    <w:rsid w:val="001B4145"/>
    <w:rsid w:val="001B41B6"/>
    <w:rsid w:val="001B42A8"/>
    <w:rsid w:val="001B4393"/>
    <w:rsid w:val="001B4454"/>
    <w:rsid w:val="001B448E"/>
    <w:rsid w:val="001B44E8"/>
    <w:rsid w:val="001B4599"/>
    <w:rsid w:val="001B45CD"/>
    <w:rsid w:val="001B46E7"/>
    <w:rsid w:val="001B4902"/>
    <w:rsid w:val="001B49A3"/>
    <w:rsid w:val="001B4A54"/>
    <w:rsid w:val="001B4B8E"/>
    <w:rsid w:val="001B4BF9"/>
    <w:rsid w:val="001B4C48"/>
    <w:rsid w:val="001B4CB4"/>
    <w:rsid w:val="001B4CD9"/>
    <w:rsid w:val="001B4CDE"/>
    <w:rsid w:val="001B4DBF"/>
    <w:rsid w:val="001B4E21"/>
    <w:rsid w:val="001B4F56"/>
    <w:rsid w:val="001B4F5A"/>
    <w:rsid w:val="001B4F86"/>
    <w:rsid w:val="001B4FF2"/>
    <w:rsid w:val="001B5041"/>
    <w:rsid w:val="001B5190"/>
    <w:rsid w:val="001B5345"/>
    <w:rsid w:val="001B5380"/>
    <w:rsid w:val="001B5439"/>
    <w:rsid w:val="001B54A7"/>
    <w:rsid w:val="001B5530"/>
    <w:rsid w:val="001B555F"/>
    <w:rsid w:val="001B55D5"/>
    <w:rsid w:val="001B5864"/>
    <w:rsid w:val="001B58AB"/>
    <w:rsid w:val="001B5903"/>
    <w:rsid w:val="001B596A"/>
    <w:rsid w:val="001B5983"/>
    <w:rsid w:val="001B59E6"/>
    <w:rsid w:val="001B5AAB"/>
    <w:rsid w:val="001B5C7E"/>
    <w:rsid w:val="001B5D29"/>
    <w:rsid w:val="001B5F03"/>
    <w:rsid w:val="001B5F89"/>
    <w:rsid w:val="001B604A"/>
    <w:rsid w:val="001B6059"/>
    <w:rsid w:val="001B6081"/>
    <w:rsid w:val="001B60A4"/>
    <w:rsid w:val="001B6184"/>
    <w:rsid w:val="001B621C"/>
    <w:rsid w:val="001B62F0"/>
    <w:rsid w:val="001B6444"/>
    <w:rsid w:val="001B6471"/>
    <w:rsid w:val="001B64CE"/>
    <w:rsid w:val="001B64D3"/>
    <w:rsid w:val="001B64EF"/>
    <w:rsid w:val="001B651C"/>
    <w:rsid w:val="001B65E2"/>
    <w:rsid w:val="001B6630"/>
    <w:rsid w:val="001B6766"/>
    <w:rsid w:val="001B67AC"/>
    <w:rsid w:val="001B67D8"/>
    <w:rsid w:val="001B6942"/>
    <w:rsid w:val="001B6A0E"/>
    <w:rsid w:val="001B6A3A"/>
    <w:rsid w:val="001B6A6B"/>
    <w:rsid w:val="001B6A82"/>
    <w:rsid w:val="001B6AB7"/>
    <w:rsid w:val="001B6AD7"/>
    <w:rsid w:val="001B6B29"/>
    <w:rsid w:val="001B6B80"/>
    <w:rsid w:val="001B6B87"/>
    <w:rsid w:val="001B6B95"/>
    <w:rsid w:val="001B6C7D"/>
    <w:rsid w:val="001B6E3F"/>
    <w:rsid w:val="001B6E88"/>
    <w:rsid w:val="001B6E8E"/>
    <w:rsid w:val="001B7005"/>
    <w:rsid w:val="001B70CB"/>
    <w:rsid w:val="001B70FB"/>
    <w:rsid w:val="001B714D"/>
    <w:rsid w:val="001B72FB"/>
    <w:rsid w:val="001B73B2"/>
    <w:rsid w:val="001B741F"/>
    <w:rsid w:val="001B75D8"/>
    <w:rsid w:val="001B75E7"/>
    <w:rsid w:val="001B761A"/>
    <w:rsid w:val="001B76C0"/>
    <w:rsid w:val="001B776B"/>
    <w:rsid w:val="001B7802"/>
    <w:rsid w:val="001B7817"/>
    <w:rsid w:val="001B7866"/>
    <w:rsid w:val="001B79A4"/>
    <w:rsid w:val="001B7A17"/>
    <w:rsid w:val="001B7A7B"/>
    <w:rsid w:val="001B7CA6"/>
    <w:rsid w:val="001B7CAC"/>
    <w:rsid w:val="001B7D03"/>
    <w:rsid w:val="001B7D2F"/>
    <w:rsid w:val="001B7F78"/>
    <w:rsid w:val="001C0009"/>
    <w:rsid w:val="001C0030"/>
    <w:rsid w:val="001C007F"/>
    <w:rsid w:val="001C00B3"/>
    <w:rsid w:val="001C02EC"/>
    <w:rsid w:val="001C034A"/>
    <w:rsid w:val="001C03CC"/>
    <w:rsid w:val="001C0411"/>
    <w:rsid w:val="001C0415"/>
    <w:rsid w:val="001C0758"/>
    <w:rsid w:val="001C0929"/>
    <w:rsid w:val="001C095A"/>
    <w:rsid w:val="001C09AB"/>
    <w:rsid w:val="001C0B21"/>
    <w:rsid w:val="001C0B4D"/>
    <w:rsid w:val="001C0B67"/>
    <w:rsid w:val="001C0DCC"/>
    <w:rsid w:val="001C0E56"/>
    <w:rsid w:val="001C0F13"/>
    <w:rsid w:val="001C0FA6"/>
    <w:rsid w:val="001C11DA"/>
    <w:rsid w:val="001C127B"/>
    <w:rsid w:val="001C1281"/>
    <w:rsid w:val="001C12B1"/>
    <w:rsid w:val="001C14B0"/>
    <w:rsid w:val="001C15A4"/>
    <w:rsid w:val="001C15BD"/>
    <w:rsid w:val="001C167D"/>
    <w:rsid w:val="001C175E"/>
    <w:rsid w:val="001C181C"/>
    <w:rsid w:val="001C18AD"/>
    <w:rsid w:val="001C1922"/>
    <w:rsid w:val="001C198E"/>
    <w:rsid w:val="001C1B2B"/>
    <w:rsid w:val="001C1B45"/>
    <w:rsid w:val="001C1BC5"/>
    <w:rsid w:val="001C1C2B"/>
    <w:rsid w:val="001C1CAA"/>
    <w:rsid w:val="001C1CE0"/>
    <w:rsid w:val="001C1D64"/>
    <w:rsid w:val="001C1E58"/>
    <w:rsid w:val="001C1F29"/>
    <w:rsid w:val="001C1F45"/>
    <w:rsid w:val="001C1FF2"/>
    <w:rsid w:val="001C2007"/>
    <w:rsid w:val="001C206F"/>
    <w:rsid w:val="001C2088"/>
    <w:rsid w:val="001C2166"/>
    <w:rsid w:val="001C21A0"/>
    <w:rsid w:val="001C21F1"/>
    <w:rsid w:val="001C22D0"/>
    <w:rsid w:val="001C23FE"/>
    <w:rsid w:val="001C2467"/>
    <w:rsid w:val="001C2484"/>
    <w:rsid w:val="001C24CA"/>
    <w:rsid w:val="001C24E5"/>
    <w:rsid w:val="001C251E"/>
    <w:rsid w:val="001C2574"/>
    <w:rsid w:val="001C2585"/>
    <w:rsid w:val="001C25A8"/>
    <w:rsid w:val="001C25EB"/>
    <w:rsid w:val="001C26F8"/>
    <w:rsid w:val="001C2821"/>
    <w:rsid w:val="001C29FE"/>
    <w:rsid w:val="001C2A35"/>
    <w:rsid w:val="001C2A7E"/>
    <w:rsid w:val="001C2B39"/>
    <w:rsid w:val="001C2C3B"/>
    <w:rsid w:val="001C2E9B"/>
    <w:rsid w:val="001C2EEE"/>
    <w:rsid w:val="001C2F27"/>
    <w:rsid w:val="001C2F80"/>
    <w:rsid w:val="001C2FBD"/>
    <w:rsid w:val="001C3027"/>
    <w:rsid w:val="001C31BD"/>
    <w:rsid w:val="001C324A"/>
    <w:rsid w:val="001C328C"/>
    <w:rsid w:val="001C331A"/>
    <w:rsid w:val="001C3390"/>
    <w:rsid w:val="001C3398"/>
    <w:rsid w:val="001C33EC"/>
    <w:rsid w:val="001C3466"/>
    <w:rsid w:val="001C3558"/>
    <w:rsid w:val="001C35B6"/>
    <w:rsid w:val="001C363A"/>
    <w:rsid w:val="001C3716"/>
    <w:rsid w:val="001C3806"/>
    <w:rsid w:val="001C389B"/>
    <w:rsid w:val="001C38E4"/>
    <w:rsid w:val="001C38EA"/>
    <w:rsid w:val="001C39DF"/>
    <w:rsid w:val="001C39E9"/>
    <w:rsid w:val="001C3A46"/>
    <w:rsid w:val="001C3C50"/>
    <w:rsid w:val="001C3C7D"/>
    <w:rsid w:val="001C3E12"/>
    <w:rsid w:val="001C3EF4"/>
    <w:rsid w:val="001C3F56"/>
    <w:rsid w:val="001C3F7D"/>
    <w:rsid w:val="001C3FA7"/>
    <w:rsid w:val="001C4040"/>
    <w:rsid w:val="001C417D"/>
    <w:rsid w:val="001C4294"/>
    <w:rsid w:val="001C42A5"/>
    <w:rsid w:val="001C42AF"/>
    <w:rsid w:val="001C43A1"/>
    <w:rsid w:val="001C43CC"/>
    <w:rsid w:val="001C43E1"/>
    <w:rsid w:val="001C44EC"/>
    <w:rsid w:val="001C4567"/>
    <w:rsid w:val="001C45A5"/>
    <w:rsid w:val="001C4618"/>
    <w:rsid w:val="001C477A"/>
    <w:rsid w:val="001C4792"/>
    <w:rsid w:val="001C4876"/>
    <w:rsid w:val="001C49C1"/>
    <w:rsid w:val="001C4A32"/>
    <w:rsid w:val="001C4A4E"/>
    <w:rsid w:val="001C4B52"/>
    <w:rsid w:val="001C4B5F"/>
    <w:rsid w:val="001C4BB5"/>
    <w:rsid w:val="001C4BE9"/>
    <w:rsid w:val="001C4BFF"/>
    <w:rsid w:val="001C4C44"/>
    <w:rsid w:val="001C4CC9"/>
    <w:rsid w:val="001C4D76"/>
    <w:rsid w:val="001C4D7D"/>
    <w:rsid w:val="001C4F5C"/>
    <w:rsid w:val="001C4FB2"/>
    <w:rsid w:val="001C502F"/>
    <w:rsid w:val="001C503B"/>
    <w:rsid w:val="001C5077"/>
    <w:rsid w:val="001C546A"/>
    <w:rsid w:val="001C55A6"/>
    <w:rsid w:val="001C5671"/>
    <w:rsid w:val="001C56EA"/>
    <w:rsid w:val="001C57F0"/>
    <w:rsid w:val="001C5991"/>
    <w:rsid w:val="001C5B92"/>
    <w:rsid w:val="001C5BC4"/>
    <w:rsid w:val="001C5BE0"/>
    <w:rsid w:val="001C5C70"/>
    <w:rsid w:val="001C5DC7"/>
    <w:rsid w:val="001C5DDB"/>
    <w:rsid w:val="001C5DF0"/>
    <w:rsid w:val="001C5E0B"/>
    <w:rsid w:val="001C5EC4"/>
    <w:rsid w:val="001C60BF"/>
    <w:rsid w:val="001C60F5"/>
    <w:rsid w:val="001C61A4"/>
    <w:rsid w:val="001C6201"/>
    <w:rsid w:val="001C628B"/>
    <w:rsid w:val="001C631B"/>
    <w:rsid w:val="001C6412"/>
    <w:rsid w:val="001C6439"/>
    <w:rsid w:val="001C647F"/>
    <w:rsid w:val="001C656F"/>
    <w:rsid w:val="001C65B3"/>
    <w:rsid w:val="001C663B"/>
    <w:rsid w:val="001C668B"/>
    <w:rsid w:val="001C66E6"/>
    <w:rsid w:val="001C66F3"/>
    <w:rsid w:val="001C6737"/>
    <w:rsid w:val="001C67BC"/>
    <w:rsid w:val="001C6818"/>
    <w:rsid w:val="001C68C8"/>
    <w:rsid w:val="001C6962"/>
    <w:rsid w:val="001C6964"/>
    <w:rsid w:val="001C69CB"/>
    <w:rsid w:val="001C6A65"/>
    <w:rsid w:val="001C6B11"/>
    <w:rsid w:val="001C6B6E"/>
    <w:rsid w:val="001C6BE8"/>
    <w:rsid w:val="001C6CAC"/>
    <w:rsid w:val="001C6D26"/>
    <w:rsid w:val="001C6DD3"/>
    <w:rsid w:val="001C6DEF"/>
    <w:rsid w:val="001C6E02"/>
    <w:rsid w:val="001C6E18"/>
    <w:rsid w:val="001C6ED2"/>
    <w:rsid w:val="001C6F71"/>
    <w:rsid w:val="001C6FE4"/>
    <w:rsid w:val="001C6FF7"/>
    <w:rsid w:val="001C700E"/>
    <w:rsid w:val="001C7205"/>
    <w:rsid w:val="001C7207"/>
    <w:rsid w:val="001C7211"/>
    <w:rsid w:val="001C7224"/>
    <w:rsid w:val="001C73CF"/>
    <w:rsid w:val="001C75E7"/>
    <w:rsid w:val="001C76C1"/>
    <w:rsid w:val="001C772E"/>
    <w:rsid w:val="001C773C"/>
    <w:rsid w:val="001C775B"/>
    <w:rsid w:val="001C776A"/>
    <w:rsid w:val="001C777E"/>
    <w:rsid w:val="001C77D9"/>
    <w:rsid w:val="001C7862"/>
    <w:rsid w:val="001C78F6"/>
    <w:rsid w:val="001C78FF"/>
    <w:rsid w:val="001C79F9"/>
    <w:rsid w:val="001C7A36"/>
    <w:rsid w:val="001C7B5D"/>
    <w:rsid w:val="001C7C89"/>
    <w:rsid w:val="001C7CD8"/>
    <w:rsid w:val="001C7D25"/>
    <w:rsid w:val="001C7D80"/>
    <w:rsid w:val="001C7E3B"/>
    <w:rsid w:val="001D0133"/>
    <w:rsid w:val="001D0306"/>
    <w:rsid w:val="001D031A"/>
    <w:rsid w:val="001D0381"/>
    <w:rsid w:val="001D0389"/>
    <w:rsid w:val="001D042F"/>
    <w:rsid w:val="001D0533"/>
    <w:rsid w:val="001D0535"/>
    <w:rsid w:val="001D0587"/>
    <w:rsid w:val="001D05D4"/>
    <w:rsid w:val="001D06D5"/>
    <w:rsid w:val="001D089A"/>
    <w:rsid w:val="001D0917"/>
    <w:rsid w:val="001D095B"/>
    <w:rsid w:val="001D099A"/>
    <w:rsid w:val="001D0A43"/>
    <w:rsid w:val="001D0A64"/>
    <w:rsid w:val="001D0A8B"/>
    <w:rsid w:val="001D0A99"/>
    <w:rsid w:val="001D0B5F"/>
    <w:rsid w:val="001D0BA7"/>
    <w:rsid w:val="001D0C31"/>
    <w:rsid w:val="001D0C89"/>
    <w:rsid w:val="001D0D5A"/>
    <w:rsid w:val="001D0D97"/>
    <w:rsid w:val="001D0DCE"/>
    <w:rsid w:val="001D0EAF"/>
    <w:rsid w:val="001D0F5A"/>
    <w:rsid w:val="001D10E5"/>
    <w:rsid w:val="001D11A5"/>
    <w:rsid w:val="001D12A6"/>
    <w:rsid w:val="001D13EE"/>
    <w:rsid w:val="001D13FF"/>
    <w:rsid w:val="001D1448"/>
    <w:rsid w:val="001D14A3"/>
    <w:rsid w:val="001D14C6"/>
    <w:rsid w:val="001D14D3"/>
    <w:rsid w:val="001D15D6"/>
    <w:rsid w:val="001D15FB"/>
    <w:rsid w:val="001D1605"/>
    <w:rsid w:val="001D16B2"/>
    <w:rsid w:val="001D16E7"/>
    <w:rsid w:val="001D16EC"/>
    <w:rsid w:val="001D1854"/>
    <w:rsid w:val="001D188A"/>
    <w:rsid w:val="001D199F"/>
    <w:rsid w:val="001D1A58"/>
    <w:rsid w:val="001D1AC5"/>
    <w:rsid w:val="001D1B66"/>
    <w:rsid w:val="001D1D75"/>
    <w:rsid w:val="001D1DA7"/>
    <w:rsid w:val="001D1DCB"/>
    <w:rsid w:val="001D1E52"/>
    <w:rsid w:val="001D1EAD"/>
    <w:rsid w:val="001D1F81"/>
    <w:rsid w:val="001D1FC9"/>
    <w:rsid w:val="001D1FDD"/>
    <w:rsid w:val="001D2010"/>
    <w:rsid w:val="001D20BC"/>
    <w:rsid w:val="001D20E1"/>
    <w:rsid w:val="001D212F"/>
    <w:rsid w:val="001D2183"/>
    <w:rsid w:val="001D2213"/>
    <w:rsid w:val="001D224B"/>
    <w:rsid w:val="001D227A"/>
    <w:rsid w:val="001D22E6"/>
    <w:rsid w:val="001D23BB"/>
    <w:rsid w:val="001D2423"/>
    <w:rsid w:val="001D2496"/>
    <w:rsid w:val="001D2568"/>
    <w:rsid w:val="001D25C9"/>
    <w:rsid w:val="001D270C"/>
    <w:rsid w:val="001D2728"/>
    <w:rsid w:val="001D2825"/>
    <w:rsid w:val="001D28CB"/>
    <w:rsid w:val="001D2905"/>
    <w:rsid w:val="001D2983"/>
    <w:rsid w:val="001D2A84"/>
    <w:rsid w:val="001D2AC4"/>
    <w:rsid w:val="001D2B0A"/>
    <w:rsid w:val="001D2B89"/>
    <w:rsid w:val="001D2BD7"/>
    <w:rsid w:val="001D2C1B"/>
    <w:rsid w:val="001D2C37"/>
    <w:rsid w:val="001D2E39"/>
    <w:rsid w:val="001D300F"/>
    <w:rsid w:val="001D30B3"/>
    <w:rsid w:val="001D3125"/>
    <w:rsid w:val="001D322C"/>
    <w:rsid w:val="001D3232"/>
    <w:rsid w:val="001D3274"/>
    <w:rsid w:val="001D335E"/>
    <w:rsid w:val="001D340A"/>
    <w:rsid w:val="001D343D"/>
    <w:rsid w:val="001D349F"/>
    <w:rsid w:val="001D34F5"/>
    <w:rsid w:val="001D3504"/>
    <w:rsid w:val="001D3535"/>
    <w:rsid w:val="001D3585"/>
    <w:rsid w:val="001D358A"/>
    <w:rsid w:val="001D35A8"/>
    <w:rsid w:val="001D35E7"/>
    <w:rsid w:val="001D365B"/>
    <w:rsid w:val="001D3691"/>
    <w:rsid w:val="001D371F"/>
    <w:rsid w:val="001D3803"/>
    <w:rsid w:val="001D3859"/>
    <w:rsid w:val="001D38E0"/>
    <w:rsid w:val="001D3943"/>
    <w:rsid w:val="001D3946"/>
    <w:rsid w:val="001D39D8"/>
    <w:rsid w:val="001D3A0F"/>
    <w:rsid w:val="001D3BC0"/>
    <w:rsid w:val="001D3DED"/>
    <w:rsid w:val="001D3E26"/>
    <w:rsid w:val="001D3E3A"/>
    <w:rsid w:val="001D3F7A"/>
    <w:rsid w:val="001D4125"/>
    <w:rsid w:val="001D4241"/>
    <w:rsid w:val="001D4273"/>
    <w:rsid w:val="001D4276"/>
    <w:rsid w:val="001D42A8"/>
    <w:rsid w:val="001D42F5"/>
    <w:rsid w:val="001D4340"/>
    <w:rsid w:val="001D4370"/>
    <w:rsid w:val="001D4371"/>
    <w:rsid w:val="001D4384"/>
    <w:rsid w:val="001D4423"/>
    <w:rsid w:val="001D455D"/>
    <w:rsid w:val="001D4590"/>
    <w:rsid w:val="001D45A5"/>
    <w:rsid w:val="001D4765"/>
    <w:rsid w:val="001D4811"/>
    <w:rsid w:val="001D4827"/>
    <w:rsid w:val="001D4901"/>
    <w:rsid w:val="001D493A"/>
    <w:rsid w:val="001D4986"/>
    <w:rsid w:val="001D4D30"/>
    <w:rsid w:val="001D4D62"/>
    <w:rsid w:val="001D4DED"/>
    <w:rsid w:val="001D4E31"/>
    <w:rsid w:val="001D4FED"/>
    <w:rsid w:val="001D503F"/>
    <w:rsid w:val="001D51BB"/>
    <w:rsid w:val="001D51CA"/>
    <w:rsid w:val="001D51FC"/>
    <w:rsid w:val="001D52D0"/>
    <w:rsid w:val="001D5331"/>
    <w:rsid w:val="001D533A"/>
    <w:rsid w:val="001D541A"/>
    <w:rsid w:val="001D5490"/>
    <w:rsid w:val="001D554B"/>
    <w:rsid w:val="001D55C1"/>
    <w:rsid w:val="001D55FD"/>
    <w:rsid w:val="001D574C"/>
    <w:rsid w:val="001D57A6"/>
    <w:rsid w:val="001D5813"/>
    <w:rsid w:val="001D5826"/>
    <w:rsid w:val="001D58EF"/>
    <w:rsid w:val="001D5981"/>
    <w:rsid w:val="001D5AA7"/>
    <w:rsid w:val="001D5B22"/>
    <w:rsid w:val="001D5B72"/>
    <w:rsid w:val="001D5BA4"/>
    <w:rsid w:val="001D5BD6"/>
    <w:rsid w:val="001D5D6C"/>
    <w:rsid w:val="001D5ED8"/>
    <w:rsid w:val="001D5EEB"/>
    <w:rsid w:val="001D5F2E"/>
    <w:rsid w:val="001D5F68"/>
    <w:rsid w:val="001D5F83"/>
    <w:rsid w:val="001D60FA"/>
    <w:rsid w:val="001D6106"/>
    <w:rsid w:val="001D61F8"/>
    <w:rsid w:val="001D622E"/>
    <w:rsid w:val="001D643A"/>
    <w:rsid w:val="001D6446"/>
    <w:rsid w:val="001D646A"/>
    <w:rsid w:val="001D64C9"/>
    <w:rsid w:val="001D679E"/>
    <w:rsid w:val="001D67CA"/>
    <w:rsid w:val="001D67DD"/>
    <w:rsid w:val="001D6954"/>
    <w:rsid w:val="001D69C2"/>
    <w:rsid w:val="001D69DF"/>
    <w:rsid w:val="001D6A67"/>
    <w:rsid w:val="001D6A95"/>
    <w:rsid w:val="001D6AEF"/>
    <w:rsid w:val="001D6B14"/>
    <w:rsid w:val="001D6B51"/>
    <w:rsid w:val="001D6B70"/>
    <w:rsid w:val="001D6BAE"/>
    <w:rsid w:val="001D6F2D"/>
    <w:rsid w:val="001D6F52"/>
    <w:rsid w:val="001D7109"/>
    <w:rsid w:val="001D711E"/>
    <w:rsid w:val="001D7147"/>
    <w:rsid w:val="001D731E"/>
    <w:rsid w:val="001D734B"/>
    <w:rsid w:val="001D74CC"/>
    <w:rsid w:val="001D75D1"/>
    <w:rsid w:val="001D75FA"/>
    <w:rsid w:val="001D76AA"/>
    <w:rsid w:val="001D774D"/>
    <w:rsid w:val="001D7792"/>
    <w:rsid w:val="001D7809"/>
    <w:rsid w:val="001D78D0"/>
    <w:rsid w:val="001D7958"/>
    <w:rsid w:val="001D7CCC"/>
    <w:rsid w:val="001D7CCE"/>
    <w:rsid w:val="001D7E73"/>
    <w:rsid w:val="001D7FA8"/>
    <w:rsid w:val="001E002E"/>
    <w:rsid w:val="001E0033"/>
    <w:rsid w:val="001E02C9"/>
    <w:rsid w:val="001E0302"/>
    <w:rsid w:val="001E0411"/>
    <w:rsid w:val="001E044C"/>
    <w:rsid w:val="001E0635"/>
    <w:rsid w:val="001E06A0"/>
    <w:rsid w:val="001E06BB"/>
    <w:rsid w:val="001E06C7"/>
    <w:rsid w:val="001E07C5"/>
    <w:rsid w:val="001E07E0"/>
    <w:rsid w:val="001E07E2"/>
    <w:rsid w:val="001E0831"/>
    <w:rsid w:val="001E0877"/>
    <w:rsid w:val="001E0A01"/>
    <w:rsid w:val="001E0A24"/>
    <w:rsid w:val="001E0AD3"/>
    <w:rsid w:val="001E0B1D"/>
    <w:rsid w:val="001E0B67"/>
    <w:rsid w:val="001E0BFE"/>
    <w:rsid w:val="001E0C41"/>
    <w:rsid w:val="001E0C7F"/>
    <w:rsid w:val="001E0E22"/>
    <w:rsid w:val="001E0ECC"/>
    <w:rsid w:val="001E101A"/>
    <w:rsid w:val="001E112A"/>
    <w:rsid w:val="001E117F"/>
    <w:rsid w:val="001E118D"/>
    <w:rsid w:val="001E11CA"/>
    <w:rsid w:val="001E1261"/>
    <w:rsid w:val="001E130C"/>
    <w:rsid w:val="001E131C"/>
    <w:rsid w:val="001E1349"/>
    <w:rsid w:val="001E1406"/>
    <w:rsid w:val="001E1412"/>
    <w:rsid w:val="001E141B"/>
    <w:rsid w:val="001E148B"/>
    <w:rsid w:val="001E1507"/>
    <w:rsid w:val="001E1544"/>
    <w:rsid w:val="001E1546"/>
    <w:rsid w:val="001E15C7"/>
    <w:rsid w:val="001E15D9"/>
    <w:rsid w:val="001E16F4"/>
    <w:rsid w:val="001E171A"/>
    <w:rsid w:val="001E1735"/>
    <w:rsid w:val="001E1776"/>
    <w:rsid w:val="001E188B"/>
    <w:rsid w:val="001E18F9"/>
    <w:rsid w:val="001E1A2B"/>
    <w:rsid w:val="001E1B45"/>
    <w:rsid w:val="001E1B5E"/>
    <w:rsid w:val="001E1C44"/>
    <w:rsid w:val="001E1CA6"/>
    <w:rsid w:val="001E1CD1"/>
    <w:rsid w:val="001E1D5E"/>
    <w:rsid w:val="001E1DE3"/>
    <w:rsid w:val="001E1E58"/>
    <w:rsid w:val="001E1EB3"/>
    <w:rsid w:val="001E1F53"/>
    <w:rsid w:val="001E204F"/>
    <w:rsid w:val="001E206B"/>
    <w:rsid w:val="001E210F"/>
    <w:rsid w:val="001E23DC"/>
    <w:rsid w:val="001E254F"/>
    <w:rsid w:val="001E2630"/>
    <w:rsid w:val="001E2690"/>
    <w:rsid w:val="001E26CB"/>
    <w:rsid w:val="001E279B"/>
    <w:rsid w:val="001E280B"/>
    <w:rsid w:val="001E2875"/>
    <w:rsid w:val="001E2953"/>
    <w:rsid w:val="001E2962"/>
    <w:rsid w:val="001E2A8A"/>
    <w:rsid w:val="001E2AA2"/>
    <w:rsid w:val="001E2AE4"/>
    <w:rsid w:val="001E2B1A"/>
    <w:rsid w:val="001E2CFB"/>
    <w:rsid w:val="001E2E14"/>
    <w:rsid w:val="001E2E71"/>
    <w:rsid w:val="001E2F8A"/>
    <w:rsid w:val="001E30AC"/>
    <w:rsid w:val="001E30CE"/>
    <w:rsid w:val="001E30EF"/>
    <w:rsid w:val="001E3253"/>
    <w:rsid w:val="001E32BA"/>
    <w:rsid w:val="001E3344"/>
    <w:rsid w:val="001E33F8"/>
    <w:rsid w:val="001E34D4"/>
    <w:rsid w:val="001E3532"/>
    <w:rsid w:val="001E3562"/>
    <w:rsid w:val="001E36B9"/>
    <w:rsid w:val="001E36BA"/>
    <w:rsid w:val="001E379A"/>
    <w:rsid w:val="001E381D"/>
    <w:rsid w:val="001E3864"/>
    <w:rsid w:val="001E3889"/>
    <w:rsid w:val="001E3A0A"/>
    <w:rsid w:val="001E3A9E"/>
    <w:rsid w:val="001E3ABB"/>
    <w:rsid w:val="001E3B0C"/>
    <w:rsid w:val="001E3B33"/>
    <w:rsid w:val="001E3B48"/>
    <w:rsid w:val="001E3B66"/>
    <w:rsid w:val="001E3D0A"/>
    <w:rsid w:val="001E413B"/>
    <w:rsid w:val="001E41CB"/>
    <w:rsid w:val="001E41F0"/>
    <w:rsid w:val="001E42CF"/>
    <w:rsid w:val="001E4445"/>
    <w:rsid w:val="001E4582"/>
    <w:rsid w:val="001E45DF"/>
    <w:rsid w:val="001E45EB"/>
    <w:rsid w:val="001E4631"/>
    <w:rsid w:val="001E476F"/>
    <w:rsid w:val="001E47D4"/>
    <w:rsid w:val="001E493A"/>
    <w:rsid w:val="001E4ADF"/>
    <w:rsid w:val="001E4AF1"/>
    <w:rsid w:val="001E4B44"/>
    <w:rsid w:val="001E4B61"/>
    <w:rsid w:val="001E4C6E"/>
    <w:rsid w:val="001E4D29"/>
    <w:rsid w:val="001E4DAC"/>
    <w:rsid w:val="001E4DC1"/>
    <w:rsid w:val="001E4DF9"/>
    <w:rsid w:val="001E4E2D"/>
    <w:rsid w:val="001E4F75"/>
    <w:rsid w:val="001E4FE0"/>
    <w:rsid w:val="001E5131"/>
    <w:rsid w:val="001E517A"/>
    <w:rsid w:val="001E517B"/>
    <w:rsid w:val="001E5410"/>
    <w:rsid w:val="001E541A"/>
    <w:rsid w:val="001E54C7"/>
    <w:rsid w:val="001E5542"/>
    <w:rsid w:val="001E554D"/>
    <w:rsid w:val="001E55B1"/>
    <w:rsid w:val="001E5629"/>
    <w:rsid w:val="001E5662"/>
    <w:rsid w:val="001E5726"/>
    <w:rsid w:val="001E589E"/>
    <w:rsid w:val="001E5A4A"/>
    <w:rsid w:val="001E5C4C"/>
    <w:rsid w:val="001E5D22"/>
    <w:rsid w:val="001E5D2D"/>
    <w:rsid w:val="001E5D37"/>
    <w:rsid w:val="001E5DE5"/>
    <w:rsid w:val="001E5F17"/>
    <w:rsid w:val="001E5F2B"/>
    <w:rsid w:val="001E5F83"/>
    <w:rsid w:val="001E6080"/>
    <w:rsid w:val="001E6111"/>
    <w:rsid w:val="001E6274"/>
    <w:rsid w:val="001E6371"/>
    <w:rsid w:val="001E6485"/>
    <w:rsid w:val="001E6520"/>
    <w:rsid w:val="001E6537"/>
    <w:rsid w:val="001E65AB"/>
    <w:rsid w:val="001E65C3"/>
    <w:rsid w:val="001E6623"/>
    <w:rsid w:val="001E666F"/>
    <w:rsid w:val="001E66A1"/>
    <w:rsid w:val="001E671E"/>
    <w:rsid w:val="001E67F5"/>
    <w:rsid w:val="001E6B33"/>
    <w:rsid w:val="001E6B8E"/>
    <w:rsid w:val="001E6BA4"/>
    <w:rsid w:val="001E6BAE"/>
    <w:rsid w:val="001E6CFB"/>
    <w:rsid w:val="001E6D2D"/>
    <w:rsid w:val="001E6D97"/>
    <w:rsid w:val="001E6ED9"/>
    <w:rsid w:val="001E6F64"/>
    <w:rsid w:val="001E7051"/>
    <w:rsid w:val="001E70BC"/>
    <w:rsid w:val="001E716C"/>
    <w:rsid w:val="001E7171"/>
    <w:rsid w:val="001E72A4"/>
    <w:rsid w:val="001E7432"/>
    <w:rsid w:val="001E74BC"/>
    <w:rsid w:val="001E76BA"/>
    <w:rsid w:val="001E7932"/>
    <w:rsid w:val="001E793D"/>
    <w:rsid w:val="001E7BDF"/>
    <w:rsid w:val="001E7C07"/>
    <w:rsid w:val="001E7C94"/>
    <w:rsid w:val="001E7DA4"/>
    <w:rsid w:val="001E7DCB"/>
    <w:rsid w:val="001E7DDB"/>
    <w:rsid w:val="001F009D"/>
    <w:rsid w:val="001F012C"/>
    <w:rsid w:val="001F0164"/>
    <w:rsid w:val="001F0226"/>
    <w:rsid w:val="001F02AF"/>
    <w:rsid w:val="001F02DE"/>
    <w:rsid w:val="001F0337"/>
    <w:rsid w:val="001F0464"/>
    <w:rsid w:val="001F0482"/>
    <w:rsid w:val="001F0483"/>
    <w:rsid w:val="001F053C"/>
    <w:rsid w:val="001F061F"/>
    <w:rsid w:val="001F0709"/>
    <w:rsid w:val="001F077F"/>
    <w:rsid w:val="001F085B"/>
    <w:rsid w:val="001F08D0"/>
    <w:rsid w:val="001F090E"/>
    <w:rsid w:val="001F092F"/>
    <w:rsid w:val="001F09BD"/>
    <w:rsid w:val="001F0B69"/>
    <w:rsid w:val="001F0D36"/>
    <w:rsid w:val="001F0F9D"/>
    <w:rsid w:val="001F10B8"/>
    <w:rsid w:val="001F1189"/>
    <w:rsid w:val="001F1308"/>
    <w:rsid w:val="001F1309"/>
    <w:rsid w:val="001F1385"/>
    <w:rsid w:val="001F13D6"/>
    <w:rsid w:val="001F1460"/>
    <w:rsid w:val="001F14AC"/>
    <w:rsid w:val="001F154E"/>
    <w:rsid w:val="001F1576"/>
    <w:rsid w:val="001F15A5"/>
    <w:rsid w:val="001F15F0"/>
    <w:rsid w:val="001F1644"/>
    <w:rsid w:val="001F172D"/>
    <w:rsid w:val="001F185F"/>
    <w:rsid w:val="001F18C2"/>
    <w:rsid w:val="001F19EA"/>
    <w:rsid w:val="001F1A0D"/>
    <w:rsid w:val="001F1A8C"/>
    <w:rsid w:val="001F1C0C"/>
    <w:rsid w:val="001F1C5B"/>
    <w:rsid w:val="001F1C8A"/>
    <w:rsid w:val="001F1C8E"/>
    <w:rsid w:val="001F1D4A"/>
    <w:rsid w:val="001F1D9D"/>
    <w:rsid w:val="001F1DDF"/>
    <w:rsid w:val="001F1E58"/>
    <w:rsid w:val="001F1E72"/>
    <w:rsid w:val="001F1EE8"/>
    <w:rsid w:val="001F1F0E"/>
    <w:rsid w:val="001F1FBE"/>
    <w:rsid w:val="001F2075"/>
    <w:rsid w:val="001F2317"/>
    <w:rsid w:val="001F236A"/>
    <w:rsid w:val="001F242B"/>
    <w:rsid w:val="001F2573"/>
    <w:rsid w:val="001F2595"/>
    <w:rsid w:val="001F2613"/>
    <w:rsid w:val="001F27E4"/>
    <w:rsid w:val="001F28F2"/>
    <w:rsid w:val="001F2907"/>
    <w:rsid w:val="001F2911"/>
    <w:rsid w:val="001F299E"/>
    <w:rsid w:val="001F2A1E"/>
    <w:rsid w:val="001F2BBD"/>
    <w:rsid w:val="001F2CE0"/>
    <w:rsid w:val="001F2D46"/>
    <w:rsid w:val="001F2D67"/>
    <w:rsid w:val="001F2EFA"/>
    <w:rsid w:val="001F2F32"/>
    <w:rsid w:val="001F2FD5"/>
    <w:rsid w:val="001F3076"/>
    <w:rsid w:val="001F3159"/>
    <w:rsid w:val="001F319B"/>
    <w:rsid w:val="001F31B5"/>
    <w:rsid w:val="001F325D"/>
    <w:rsid w:val="001F32A8"/>
    <w:rsid w:val="001F3381"/>
    <w:rsid w:val="001F33C0"/>
    <w:rsid w:val="001F3438"/>
    <w:rsid w:val="001F34B8"/>
    <w:rsid w:val="001F34BB"/>
    <w:rsid w:val="001F3512"/>
    <w:rsid w:val="001F35B5"/>
    <w:rsid w:val="001F3600"/>
    <w:rsid w:val="001F3622"/>
    <w:rsid w:val="001F363D"/>
    <w:rsid w:val="001F3730"/>
    <w:rsid w:val="001F38C3"/>
    <w:rsid w:val="001F38F1"/>
    <w:rsid w:val="001F3905"/>
    <w:rsid w:val="001F3935"/>
    <w:rsid w:val="001F3974"/>
    <w:rsid w:val="001F3B69"/>
    <w:rsid w:val="001F3D50"/>
    <w:rsid w:val="001F3DE2"/>
    <w:rsid w:val="001F3E1D"/>
    <w:rsid w:val="001F3E20"/>
    <w:rsid w:val="001F3E56"/>
    <w:rsid w:val="001F3E7D"/>
    <w:rsid w:val="001F3E83"/>
    <w:rsid w:val="001F3F18"/>
    <w:rsid w:val="001F3F84"/>
    <w:rsid w:val="001F3FFF"/>
    <w:rsid w:val="001F4041"/>
    <w:rsid w:val="001F4094"/>
    <w:rsid w:val="001F41B3"/>
    <w:rsid w:val="001F41C6"/>
    <w:rsid w:val="001F4227"/>
    <w:rsid w:val="001F4457"/>
    <w:rsid w:val="001F45B9"/>
    <w:rsid w:val="001F45D8"/>
    <w:rsid w:val="001F462F"/>
    <w:rsid w:val="001F465F"/>
    <w:rsid w:val="001F47D0"/>
    <w:rsid w:val="001F47D5"/>
    <w:rsid w:val="001F47ED"/>
    <w:rsid w:val="001F482E"/>
    <w:rsid w:val="001F4941"/>
    <w:rsid w:val="001F4957"/>
    <w:rsid w:val="001F4974"/>
    <w:rsid w:val="001F4976"/>
    <w:rsid w:val="001F4A60"/>
    <w:rsid w:val="001F4AD2"/>
    <w:rsid w:val="001F4B0A"/>
    <w:rsid w:val="001F4B60"/>
    <w:rsid w:val="001F4BAA"/>
    <w:rsid w:val="001F4BEB"/>
    <w:rsid w:val="001F4CEB"/>
    <w:rsid w:val="001F4D0C"/>
    <w:rsid w:val="001F4D23"/>
    <w:rsid w:val="001F4D38"/>
    <w:rsid w:val="001F4DA5"/>
    <w:rsid w:val="001F4E0B"/>
    <w:rsid w:val="001F4E3E"/>
    <w:rsid w:val="001F4E88"/>
    <w:rsid w:val="001F4ECA"/>
    <w:rsid w:val="001F4ECD"/>
    <w:rsid w:val="001F4F0A"/>
    <w:rsid w:val="001F4F33"/>
    <w:rsid w:val="001F507E"/>
    <w:rsid w:val="001F514E"/>
    <w:rsid w:val="001F51DB"/>
    <w:rsid w:val="001F5380"/>
    <w:rsid w:val="001F53ED"/>
    <w:rsid w:val="001F5411"/>
    <w:rsid w:val="001F5478"/>
    <w:rsid w:val="001F54D6"/>
    <w:rsid w:val="001F55BB"/>
    <w:rsid w:val="001F56F7"/>
    <w:rsid w:val="001F5722"/>
    <w:rsid w:val="001F57EB"/>
    <w:rsid w:val="001F581B"/>
    <w:rsid w:val="001F597D"/>
    <w:rsid w:val="001F5AA1"/>
    <w:rsid w:val="001F5BE8"/>
    <w:rsid w:val="001F5DA9"/>
    <w:rsid w:val="001F5F13"/>
    <w:rsid w:val="001F60E6"/>
    <w:rsid w:val="001F610E"/>
    <w:rsid w:val="001F61F3"/>
    <w:rsid w:val="001F62BB"/>
    <w:rsid w:val="001F6344"/>
    <w:rsid w:val="001F6401"/>
    <w:rsid w:val="001F645A"/>
    <w:rsid w:val="001F6512"/>
    <w:rsid w:val="001F6597"/>
    <w:rsid w:val="001F6933"/>
    <w:rsid w:val="001F6B42"/>
    <w:rsid w:val="001F6BF6"/>
    <w:rsid w:val="001F6DFE"/>
    <w:rsid w:val="001F6E39"/>
    <w:rsid w:val="001F6E4A"/>
    <w:rsid w:val="001F6F9F"/>
    <w:rsid w:val="001F6FFC"/>
    <w:rsid w:val="001F703E"/>
    <w:rsid w:val="001F70EA"/>
    <w:rsid w:val="001F7170"/>
    <w:rsid w:val="001F739E"/>
    <w:rsid w:val="001F740A"/>
    <w:rsid w:val="001F7417"/>
    <w:rsid w:val="001F74FC"/>
    <w:rsid w:val="001F758E"/>
    <w:rsid w:val="001F7703"/>
    <w:rsid w:val="001F7761"/>
    <w:rsid w:val="001F77B7"/>
    <w:rsid w:val="001F77F6"/>
    <w:rsid w:val="001F77FD"/>
    <w:rsid w:val="001F781B"/>
    <w:rsid w:val="001F7828"/>
    <w:rsid w:val="001F7A7E"/>
    <w:rsid w:val="001F7B65"/>
    <w:rsid w:val="001F7B6B"/>
    <w:rsid w:val="001F7D49"/>
    <w:rsid w:val="001F7D59"/>
    <w:rsid w:val="001F7D8B"/>
    <w:rsid w:val="001F7DE4"/>
    <w:rsid w:val="001F7E10"/>
    <w:rsid w:val="001F7E4D"/>
    <w:rsid w:val="001F7E75"/>
    <w:rsid w:val="001F7EC3"/>
    <w:rsid w:val="001F7EE6"/>
    <w:rsid w:val="001F7FDC"/>
    <w:rsid w:val="00200004"/>
    <w:rsid w:val="00200197"/>
    <w:rsid w:val="002002D2"/>
    <w:rsid w:val="0020036C"/>
    <w:rsid w:val="002003A8"/>
    <w:rsid w:val="002003E4"/>
    <w:rsid w:val="0020052A"/>
    <w:rsid w:val="00200530"/>
    <w:rsid w:val="00200535"/>
    <w:rsid w:val="00200565"/>
    <w:rsid w:val="0020060F"/>
    <w:rsid w:val="00200646"/>
    <w:rsid w:val="00200650"/>
    <w:rsid w:val="00200669"/>
    <w:rsid w:val="0020066D"/>
    <w:rsid w:val="0020079F"/>
    <w:rsid w:val="00200905"/>
    <w:rsid w:val="00200917"/>
    <w:rsid w:val="00200965"/>
    <w:rsid w:val="00200ABB"/>
    <w:rsid w:val="00200B62"/>
    <w:rsid w:val="00200B74"/>
    <w:rsid w:val="00200B89"/>
    <w:rsid w:val="00200BA5"/>
    <w:rsid w:val="00200D20"/>
    <w:rsid w:val="00200D2F"/>
    <w:rsid w:val="00200DC3"/>
    <w:rsid w:val="00200E82"/>
    <w:rsid w:val="00200FFC"/>
    <w:rsid w:val="00201000"/>
    <w:rsid w:val="00201090"/>
    <w:rsid w:val="00201099"/>
    <w:rsid w:val="002010A4"/>
    <w:rsid w:val="002010E7"/>
    <w:rsid w:val="0020112D"/>
    <w:rsid w:val="00201133"/>
    <w:rsid w:val="00201138"/>
    <w:rsid w:val="002012AA"/>
    <w:rsid w:val="002012AC"/>
    <w:rsid w:val="0020153D"/>
    <w:rsid w:val="00201803"/>
    <w:rsid w:val="0020183F"/>
    <w:rsid w:val="00201934"/>
    <w:rsid w:val="0020196A"/>
    <w:rsid w:val="00201AF9"/>
    <w:rsid w:val="00201D86"/>
    <w:rsid w:val="00201DD1"/>
    <w:rsid w:val="00201ED8"/>
    <w:rsid w:val="00201EDA"/>
    <w:rsid w:val="00202045"/>
    <w:rsid w:val="0020211A"/>
    <w:rsid w:val="0020223C"/>
    <w:rsid w:val="00202255"/>
    <w:rsid w:val="002022E2"/>
    <w:rsid w:val="00202318"/>
    <w:rsid w:val="002023D2"/>
    <w:rsid w:val="00202474"/>
    <w:rsid w:val="002024C2"/>
    <w:rsid w:val="00202508"/>
    <w:rsid w:val="0020260F"/>
    <w:rsid w:val="00202653"/>
    <w:rsid w:val="0020269A"/>
    <w:rsid w:val="002026B0"/>
    <w:rsid w:val="00202723"/>
    <w:rsid w:val="00202732"/>
    <w:rsid w:val="00202A4A"/>
    <w:rsid w:val="00202A58"/>
    <w:rsid w:val="00202ABE"/>
    <w:rsid w:val="00202ADB"/>
    <w:rsid w:val="00202B8A"/>
    <w:rsid w:val="00202B98"/>
    <w:rsid w:val="00202BC7"/>
    <w:rsid w:val="00202BEC"/>
    <w:rsid w:val="00202C82"/>
    <w:rsid w:val="00202E6B"/>
    <w:rsid w:val="00202E92"/>
    <w:rsid w:val="00202E99"/>
    <w:rsid w:val="00202FDE"/>
    <w:rsid w:val="00203065"/>
    <w:rsid w:val="002031AD"/>
    <w:rsid w:val="00203226"/>
    <w:rsid w:val="0020323C"/>
    <w:rsid w:val="00203240"/>
    <w:rsid w:val="00203246"/>
    <w:rsid w:val="00203320"/>
    <w:rsid w:val="002035A6"/>
    <w:rsid w:val="002037EB"/>
    <w:rsid w:val="0020380B"/>
    <w:rsid w:val="00203904"/>
    <w:rsid w:val="00203A8D"/>
    <w:rsid w:val="00203AF4"/>
    <w:rsid w:val="00203C21"/>
    <w:rsid w:val="00203C39"/>
    <w:rsid w:val="00203C65"/>
    <w:rsid w:val="00203D79"/>
    <w:rsid w:val="00203D80"/>
    <w:rsid w:val="00203D99"/>
    <w:rsid w:val="00203E64"/>
    <w:rsid w:val="00203E66"/>
    <w:rsid w:val="00203FAC"/>
    <w:rsid w:val="002041A4"/>
    <w:rsid w:val="0020428A"/>
    <w:rsid w:val="00204333"/>
    <w:rsid w:val="00204341"/>
    <w:rsid w:val="002043B2"/>
    <w:rsid w:val="0020455D"/>
    <w:rsid w:val="002045D5"/>
    <w:rsid w:val="0020474A"/>
    <w:rsid w:val="00204942"/>
    <w:rsid w:val="0020498E"/>
    <w:rsid w:val="00204A02"/>
    <w:rsid w:val="00204A8C"/>
    <w:rsid w:val="00204AAF"/>
    <w:rsid w:val="00204AE6"/>
    <w:rsid w:val="00204B32"/>
    <w:rsid w:val="00204D00"/>
    <w:rsid w:val="00204DA4"/>
    <w:rsid w:val="00204DCD"/>
    <w:rsid w:val="00204E72"/>
    <w:rsid w:val="00204FA4"/>
    <w:rsid w:val="00204FFB"/>
    <w:rsid w:val="002050B7"/>
    <w:rsid w:val="002050EE"/>
    <w:rsid w:val="0020525C"/>
    <w:rsid w:val="00205264"/>
    <w:rsid w:val="002052A3"/>
    <w:rsid w:val="002052AB"/>
    <w:rsid w:val="00205339"/>
    <w:rsid w:val="002053DB"/>
    <w:rsid w:val="00205482"/>
    <w:rsid w:val="002054BC"/>
    <w:rsid w:val="002055E5"/>
    <w:rsid w:val="00205643"/>
    <w:rsid w:val="002056A3"/>
    <w:rsid w:val="0020578E"/>
    <w:rsid w:val="00205802"/>
    <w:rsid w:val="00205853"/>
    <w:rsid w:val="00205886"/>
    <w:rsid w:val="0020595E"/>
    <w:rsid w:val="00205BD5"/>
    <w:rsid w:val="00205C6D"/>
    <w:rsid w:val="00205CB8"/>
    <w:rsid w:val="00205D17"/>
    <w:rsid w:val="00205DFB"/>
    <w:rsid w:val="00205E0C"/>
    <w:rsid w:val="00205F42"/>
    <w:rsid w:val="00205FFC"/>
    <w:rsid w:val="00206063"/>
    <w:rsid w:val="00206131"/>
    <w:rsid w:val="002063D0"/>
    <w:rsid w:val="0020641D"/>
    <w:rsid w:val="002064BB"/>
    <w:rsid w:val="002065A2"/>
    <w:rsid w:val="0020662C"/>
    <w:rsid w:val="00206719"/>
    <w:rsid w:val="002067BD"/>
    <w:rsid w:val="00206800"/>
    <w:rsid w:val="002068A5"/>
    <w:rsid w:val="00206942"/>
    <w:rsid w:val="00206A06"/>
    <w:rsid w:val="00206B62"/>
    <w:rsid w:val="00206B89"/>
    <w:rsid w:val="00206BB3"/>
    <w:rsid w:val="00206BDC"/>
    <w:rsid w:val="00206C14"/>
    <w:rsid w:val="00206C41"/>
    <w:rsid w:val="00206CA6"/>
    <w:rsid w:val="00206D3A"/>
    <w:rsid w:val="00206D8D"/>
    <w:rsid w:val="00206DD5"/>
    <w:rsid w:val="00206F10"/>
    <w:rsid w:val="00207099"/>
    <w:rsid w:val="002070B0"/>
    <w:rsid w:val="00207136"/>
    <w:rsid w:val="0020728B"/>
    <w:rsid w:val="002072C1"/>
    <w:rsid w:val="00207532"/>
    <w:rsid w:val="00207556"/>
    <w:rsid w:val="00207753"/>
    <w:rsid w:val="002077CA"/>
    <w:rsid w:val="0020795F"/>
    <w:rsid w:val="002079B3"/>
    <w:rsid w:val="00207A06"/>
    <w:rsid w:val="00207A35"/>
    <w:rsid w:val="00207A9B"/>
    <w:rsid w:val="00207B15"/>
    <w:rsid w:val="00207C87"/>
    <w:rsid w:val="00207FB6"/>
    <w:rsid w:val="00207FB9"/>
    <w:rsid w:val="00210019"/>
    <w:rsid w:val="00210085"/>
    <w:rsid w:val="002100B3"/>
    <w:rsid w:val="002100D4"/>
    <w:rsid w:val="00210157"/>
    <w:rsid w:val="0021015D"/>
    <w:rsid w:val="0021017B"/>
    <w:rsid w:val="002101B9"/>
    <w:rsid w:val="002101CE"/>
    <w:rsid w:val="002101DE"/>
    <w:rsid w:val="00210275"/>
    <w:rsid w:val="00210314"/>
    <w:rsid w:val="0021031A"/>
    <w:rsid w:val="00210393"/>
    <w:rsid w:val="00210422"/>
    <w:rsid w:val="002105C6"/>
    <w:rsid w:val="0021066E"/>
    <w:rsid w:val="002106F1"/>
    <w:rsid w:val="00210795"/>
    <w:rsid w:val="00210801"/>
    <w:rsid w:val="0021083D"/>
    <w:rsid w:val="002108FB"/>
    <w:rsid w:val="00210959"/>
    <w:rsid w:val="00210990"/>
    <w:rsid w:val="002109D4"/>
    <w:rsid w:val="00210A59"/>
    <w:rsid w:val="00210AAE"/>
    <w:rsid w:val="00210C21"/>
    <w:rsid w:val="00210C29"/>
    <w:rsid w:val="00210DC6"/>
    <w:rsid w:val="00210E90"/>
    <w:rsid w:val="00210F7D"/>
    <w:rsid w:val="00211033"/>
    <w:rsid w:val="00211081"/>
    <w:rsid w:val="00211090"/>
    <w:rsid w:val="00211109"/>
    <w:rsid w:val="0021115A"/>
    <w:rsid w:val="002111D6"/>
    <w:rsid w:val="002112EB"/>
    <w:rsid w:val="002114AF"/>
    <w:rsid w:val="002115E9"/>
    <w:rsid w:val="0021169D"/>
    <w:rsid w:val="002116E6"/>
    <w:rsid w:val="0021176D"/>
    <w:rsid w:val="00211786"/>
    <w:rsid w:val="002117DD"/>
    <w:rsid w:val="002119E9"/>
    <w:rsid w:val="00211A12"/>
    <w:rsid w:val="00211B43"/>
    <w:rsid w:val="00211C45"/>
    <w:rsid w:val="00211CAF"/>
    <w:rsid w:val="00211D47"/>
    <w:rsid w:val="00211E08"/>
    <w:rsid w:val="00211EBA"/>
    <w:rsid w:val="00211ED1"/>
    <w:rsid w:val="00211FFA"/>
    <w:rsid w:val="002120CB"/>
    <w:rsid w:val="002121E1"/>
    <w:rsid w:val="0021224B"/>
    <w:rsid w:val="00212267"/>
    <w:rsid w:val="002122AE"/>
    <w:rsid w:val="002122B1"/>
    <w:rsid w:val="002122EC"/>
    <w:rsid w:val="00212314"/>
    <w:rsid w:val="00212330"/>
    <w:rsid w:val="0021238D"/>
    <w:rsid w:val="0021242F"/>
    <w:rsid w:val="002124A0"/>
    <w:rsid w:val="002125A0"/>
    <w:rsid w:val="002125FA"/>
    <w:rsid w:val="002126ED"/>
    <w:rsid w:val="0021276B"/>
    <w:rsid w:val="00212854"/>
    <w:rsid w:val="00212893"/>
    <w:rsid w:val="00212969"/>
    <w:rsid w:val="0021297D"/>
    <w:rsid w:val="00212A6E"/>
    <w:rsid w:val="00212B50"/>
    <w:rsid w:val="00212B64"/>
    <w:rsid w:val="00212BA0"/>
    <w:rsid w:val="00212BCE"/>
    <w:rsid w:val="00212BDB"/>
    <w:rsid w:val="00212C3F"/>
    <w:rsid w:val="00212CFA"/>
    <w:rsid w:val="00212D9F"/>
    <w:rsid w:val="00212E5A"/>
    <w:rsid w:val="00212E8A"/>
    <w:rsid w:val="00212E93"/>
    <w:rsid w:val="00212EF5"/>
    <w:rsid w:val="00212F79"/>
    <w:rsid w:val="0021313E"/>
    <w:rsid w:val="00213142"/>
    <w:rsid w:val="0021318B"/>
    <w:rsid w:val="0021319E"/>
    <w:rsid w:val="002131AB"/>
    <w:rsid w:val="00213209"/>
    <w:rsid w:val="002132E8"/>
    <w:rsid w:val="0021338C"/>
    <w:rsid w:val="0021342C"/>
    <w:rsid w:val="002134DA"/>
    <w:rsid w:val="002134EB"/>
    <w:rsid w:val="0021353E"/>
    <w:rsid w:val="0021356D"/>
    <w:rsid w:val="002135B5"/>
    <w:rsid w:val="00213609"/>
    <w:rsid w:val="0021361D"/>
    <w:rsid w:val="0021369A"/>
    <w:rsid w:val="00213788"/>
    <w:rsid w:val="002137DA"/>
    <w:rsid w:val="0021381D"/>
    <w:rsid w:val="00213840"/>
    <w:rsid w:val="0021388E"/>
    <w:rsid w:val="0021389E"/>
    <w:rsid w:val="002138E1"/>
    <w:rsid w:val="0021394A"/>
    <w:rsid w:val="00213ABC"/>
    <w:rsid w:val="00213BBF"/>
    <w:rsid w:val="00213D6E"/>
    <w:rsid w:val="00213DA2"/>
    <w:rsid w:val="00213E01"/>
    <w:rsid w:val="00213E53"/>
    <w:rsid w:val="00213F68"/>
    <w:rsid w:val="00213F85"/>
    <w:rsid w:val="00214169"/>
    <w:rsid w:val="0021416F"/>
    <w:rsid w:val="002141FB"/>
    <w:rsid w:val="002142C5"/>
    <w:rsid w:val="00214324"/>
    <w:rsid w:val="002144CE"/>
    <w:rsid w:val="0021454B"/>
    <w:rsid w:val="00214707"/>
    <w:rsid w:val="00214784"/>
    <w:rsid w:val="00214823"/>
    <w:rsid w:val="00214827"/>
    <w:rsid w:val="00214909"/>
    <w:rsid w:val="00214A0D"/>
    <w:rsid w:val="00214A1D"/>
    <w:rsid w:val="00214A91"/>
    <w:rsid w:val="00214BDC"/>
    <w:rsid w:val="00214DCF"/>
    <w:rsid w:val="00214EB9"/>
    <w:rsid w:val="00214EE0"/>
    <w:rsid w:val="00214F39"/>
    <w:rsid w:val="00215025"/>
    <w:rsid w:val="002150EB"/>
    <w:rsid w:val="00215153"/>
    <w:rsid w:val="002152D7"/>
    <w:rsid w:val="00215337"/>
    <w:rsid w:val="00215340"/>
    <w:rsid w:val="00215494"/>
    <w:rsid w:val="002154A9"/>
    <w:rsid w:val="002154E6"/>
    <w:rsid w:val="002154EA"/>
    <w:rsid w:val="00215551"/>
    <w:rsid w:val="002155CB"/>
    <w:rsid w:val="00215683"/>
    <w:rsid w:val="00215766"/>
    <w:rsid w:val="00215893"/>
    <w:rsid w:val="00215934"/>
    <w:rsid w:val="002159D9"/>
    <w:rsid w:val="00215A2F"/>
    <w:rsid w:val="00215A72"/>
    <w:rsid w:val="00215B72"/>
    <w:rsid w:val="00215BC6"/>
    <w:rsid w:val="00215C29"/>
    <w:rsid w:val="00215CA2"/>
    <w:rsid w:val="00215E85"/>
    <w:rsid w:val="00215EBC"/>
    <w:rsid w:val="00215EF6"/>
    <w:rsid w:val="00215F20"/>
    <w:rsid w:val="00215F36"/>
    <w:rsid w:val="00215FBC"/>
    <w:rsid w:val="00216124"/>
    <w:rsid w:val="002161FD"/>
    <w:rsid w:val="002162E1"/>
    <w:rsid w:val="0021631C"/>
    <w:rsid w:val="00216350"/>
    <w:rsid w:val="002163B6"/>
    <w:rsid w:val="002164CD"/>
    <w:rsid w:val="00216541"/>
    <w:rsid w:val="002165FB"/>
    <w:rsid w:val="00216601"/>
    <w:rsid w:val="00216666"/>
    <w:rsid w:val="00216706"/>
    <w:rsid w:val="0021678A"/>
    <w:rsid w:val="0021678F"/>
    <w:rsid w:val="002168CC"/>
    <w:rsid w:val="00216981"/>
    <w:rsid w:val="002169CE"/>
    <w:rsid w:val="00216BA6"/>
    <w:rsid w:val="00216BFB"/>
    <w:rsid w:val="00216C4F"/>
    <w:rsid w:val="00216C95"/>
    <w:rsid w:val="00216D27"/>
    <w:rsid w:val="00217008"/>
    <w:rsid w:val="0021717B"/>
    <w:rsid w:val="002171B9"/>
    <w:rsid w:val="002171DC"/>
    <w:rsid w:val="002171FC"/>
    <w:rsid w:val="00217203"/>
    <w:rsid w:val="00217235"/>
    <w:rsid w:val="002172BB"/>
    <w:rsid w:val="00217340"/>
    <w:rsid w:val="0021738C"/>
    <w:rsid w:val="002173A0"/>
    <w:rsid w:val="0021743E"/>
    <w:rsid w:val="00217469"/>
    <w:rsid w:val="002175BA"/>
    <w:rsid w:val="002176E6"/>
    <w:rsid w:val="002179F6"/>
    <w:rsid w:val="00217A45"/>
    <w:rsid w:val="00217A50"/>
    <w:rsid w:val="00217A96"/>
    <w:rsid w:val="00217C62"/>
    <w:rsid w:val="00217C9B"/>
    <w:rsid w:val="00217CE2"/>
    <w:rsid w:val="00217DC3"/>
    <w:rsid w:val="00217E17"/>
    <w:rsid w:val="00217E49"/>
    <w:rsid w:val="00217E4E"/>
    <w:rsid w:val="0022001C"/>
    <w:rsid w:val="00220132"/>
    <w:rsid w:val="002202B3"/>
    <w:rsid w:val="002202DA"/>
    <w:rsid w:val="00220374"/>
    <w:rsid w:val="00220376"/>
    <w:rsid w:val="0022037C"/>
    <w:rsid w:val="002203EC"/>
    <w:rsid w:val="00220471"/>
    <w:rsid w:val="00220501"/>
    <w:rsid w:val="0022051F"/>
    <w:rsid w:val="002205BD"/>
    <w:rsid w:val="00220632"/>
    <w:rsid w:val="00220661"/>
    <w:rsid w:val="002206E2"/>
    <w:rsid w:val="002206FE"/>
    <w:rsid w:val="0022077C"/>
    <w:rsid w:val="002207F1"/>
    <w:rsid w:val="002208AE"/>
    <w:rsid w:val="002209F0"/>
    <w:rsid w:val="00220A5A"/>
    <w:rsid w:val="00220AFC"/>
    <w:rsid w:val="00220BE2"/>
    <w:rsid w:val="00220C17"/>
    <w:rsid w:val="00220C82"/>
    <w:rsid w:val="00220CC6"/>
    <w:rsid w:val="00220CEC"/>
    <w:rsid w:val="00220D1E"/>
    <w:rsid w:val="00220D24"/>
    <w:rsid w:val="00220D8B"/>
    <w:rsid w:val="00220DFB"/>
    <w:rsid w:val="00220E1F"/>
    <w:rsid w:val="00220E3C"/>
    <w:rsid w:val="00220E58"/>
    <w:rsid w:val="00220F49"/>
    <w:rsid w:val="00220F4B"/>
    <w:rsid w:val="0022122A"/>
    <w:rsid w:val="002213CE"/>
    <w:rsid w:val="00221449"/>
    <w:rsid w:val="00221579"/>
    <w:rsid w:val="0022158D"/>
    <w:rsid w:val="0022159D"/>
    <w:rsid w:val="00221692"/>
    <w:rsid w:val="002216FC"/>
    <w:rsid w:val="00221722"/>
    <w:rsid w:val="002218D1"/>
    <w:rsid w:val="00221902"/>
    <w:rsid w:val="00221952"/>
    <w:rsid w:val="00221A60"/>
    <w:rsid w:val="00221AA0"/>
    <w:rsid w:val="00221AC0"/>
    <w:rsid w:val="00221BFC"/>
    <w:rsid w:val="00221C10"/>
    <w:rsid w:val="00221C29"/>
    <w:rsid w:val="00221CC2"/>
    <w:rsid w:val="00221DC2"/>
    <w:rsid w:val="00221E86"/>
    <w:rsid w:val="00221EB6"/>
    <w:rsid w:val="00221FBA"/>
    <w:rsid w:val="00221FC2"/>
    <w:rsid w:val="00222060"/>
    <w:rsid w:val="0022215D"/>
    <w:rsid w:val="002221AF"/>
    <w:rsid w:val="0022221D"/>
    <w:rsid w:val="002222B4"/>
    <w:rsid w:val="002222F2"/>
    <w:rsid w:val="002223A2"/>
    <w:rsid w:val="002223B6"/>
    <w:rsid w:val="0022244D"/>
    <w:rsid w:val="002224A8"/>
    <w:rsid w:val="002224FA"/>
    <w:rsid w:val="00222501"/>
    <w:rsid w:val="0022252E"/>
    <w:rsid w:val="00222565"/>
    <w:rsid w:val="00222584"/>
    <w:rsid w:val="002226B5"/>
    <w:rsid w:val="002226F9"/>
    <w:rsid w:val="00222738"/>
    <w:rsid w:val="0022275F"/>
    <w:rsid w:val="002228E2"/>
    <w:rsid w:val="002228E4"/>
    <w:rsid w:val="002228F1"/>
    <w:rsid w:val="0022295A"/>
    <w:rsid w:val="002229B3"/>
    <w:rsid w:val="00222A5B"/>
    <w:rsid w:val="00222A73"/>
    <w:rsid w:val="00222A76"/>
    <w:rsid w:val="00222B3C"/>
    <w:rsid w:val="00222C14"/>
    <w:rsid w:val="00222C22"/>
    <w:rsid w:val="00222D35"/>
    <w:rsid w:val="00222DD2"/>
    <w:rsid w:val="00222E6D"/>
    <w:rsid w:val="00222F3A"/>
    <w:rsid w:val="00222FDD"/>
    <w:rsid w:val="002230E9"/>
    <w:rsid w:val="00223146"/>
    <w:rsid w:val="00223164"/>
    <w:rsid w:val="002231D7"/>
    <w:rsid w:val="002232BE"/>
    <w:rsid w:val="002233E0"/>
    <w:rsid w:val="002234AD"/>
    <w:rsid w:val="0022361F"/>
    <w:rsid w:val="00223712"/>
    <w:rsid w:val="00223856"/>
    <w:rsid w:val="00223927"/>
    <w:rsid w:val="0022393D"/>
    <w:rsid w:val="0022395D"/>
    <w:rsid w:val="00223989"/>
    <w:rsid w:val="00223A65"/>
    <w:rsid w:val="00223A89"/>
    <w:rsid w:val="00223ABA"/>
    <w:rsid w:val="00223AE5"/>
    <w:rsid w:val="00223AEB"/>
    <w:rsid w:val="00223C4C"/>
    <w:rsid w:val="00223D24"/>
    <w:rsid w:val="00223D71"/>
    <w:rsid w:val="00223D7A"/>
    <w:rsid w:val="00223DB5"/>
    <w:rsid w:val="00223E75"/>
    <w:rsid w:val="00223EF6"/>
    <w:rsid w:val="00223F1D"/>
    <w:rsid w:val="00223F44"/>
    <w:rsid w:val="0022405B"/>
    <w:rsid w:val="00224072"/>
    <w:rsid w:val="002242BD"/>
    <w:rsid w:val="0022432B"/>
    <w:rsid w:val="00224358"/>
    <w:rsid w:val="002243D1"/>
    <w:rsid w:val="00224446"/>
    <w:rsid w:val="002246E2"/>
    <w:rsid w:val="0022479A"/>
    <w:rsid w:val="0022490B"/>
    <w:rsid w:val="00224A39"/>
    <w:rsid w:val="00224BB6"/>
    <w:rsid w:val="00224CBC"/>
    <w:rsid w:val="00224CD6"/>
    <w:rsid w:val="00224D7B"/>
    <w:rsid w:val="00224E1C"/>
    <w:rsid w:val="00224E66"/>
    <w:rsid w:val="00224EC0"/>
    <w:rsid w:val="00224EF7"/>
    <w:rsid w:val="00224FBC"/>
    <w:rsid w:val="00225161"/>
    <w:rsid w:val="0022518D"/>
    <w:rsid w:val="00225346"/>
    <w:rsid w:val="00225486"/>
    <w:rsid w:val="0022551E"/>
    <w:rsid w:val="00225571"/>
    <w:rsid w:val="00225572"/>
    <w:rsid w:val="002255C1"/>
    <w:rsid w:val="002255D7"/>
    <w:rsid w:val="002257AB"/>
    <w:rsid w:val="0022587E"/>
    <w:rsid w:val="002259E6"/>
    <w:rsid w:val="00225A41"/>
    <w:rsid w:val="00225AC8"/>
    <w:rsid w:val="00225B19"/>
    <w:rsid w:val="00225B89"/>
    <w:rsid w:val="00225BFA"/>
    <w:rsid w:val="00225D1A"/>
    <w:rsid w:val="00225D61"/>
    <w:rsid w:val="00225F63"/>
    <w:rsid w:val="00225FA8"/>
    <w:rsid w:val="0022606B"/>
    <w:rsid w:val="0022606D"/>
    <w:rsid w:val="002260D8"/>
    <w:rsid w:val="00226147"/>
    <w:rsid w:val="0022615D"/>
    <w:rsid w:val="00226174"/>
    <w:rsid w:val="00226184"/>
    <w:rsid w:val="0022619B"/>
    <w:rsid w:val="0022622E"/>
    <w:rsid w:val="002262E1"/>
    <w:rsid w:val="0022650C"/>
    <w:rsid w:val="0022656F"/>
    <w:rsid w:val="002266B0"/>
    <w:rsid w:val="002267C1"/>
    <w:rsid w:val="00226824"/>
    <w:rsid w:val="0022683A"/>
    <w:rsid w:val="002268C5"/>
    <w:rsid w:val="002268E0"/>
    <w:rsid w:val="00226907"/>
    <w:rsid w:val="00226994"/>
    <w:rsid w:val="002269A3"/>
    <w:rsid w:val="00226AC4"/>
    <w:rsid w:val="00226AFC"/>
    <w:rsid w:val="00226BD8"/>
    <w:rsid w:val="00226BFB"/>
    <w:rsid w:val="00226C7C"/>
    <w:rsid w:val="00226CCA"/>
    <w:rsid w:val="00226DFF"/>
    <w:rsid w:val="00226FDA"/>
    <w:rsid w:val="002270B1"/>
    <w:rsid w:val="002270C7"/>
    <w:rsid w:val="00227173"/>
    <w:rsid w:val="002271AF"/>
    <w:rsid w:val="0022726A"/>
    <w:rsid w:val="00227286"/>
    <w:rsid w:val="00227365"/>
    <w:rsid w:val="0022746F"/>
    <w:rsid w:val="002275AE"/>
    <w:rsid w:val="002275F7"/>
    <w:rsid w:val="00227691"/>
    <w:rsid w:val="002276E1"/>
    <w:rsid w:val="00227729"/>
    <w:rsid w:val="00227791"/>
    <w:rsid w:val="00227897"/>
    <w:rsid w:val="002279A1"/>
    <w:rsid w:val="00227A18"/>
    <w:rsid w:val="00227AB0"/>
    <w:rsid w:val="00227C66"/>
    <w:rsid w:val="00227C7D"/>
    <w:rsid w:val="00227D04"/>
    <w:rsid w:val="00227DDF"/>
    <w:rsid w:val="00227E6B"/>
    <w:rsid w:val="00227ECB"/>
    <w:rsid w:val="00230171"/>
    <w:rsid w:val="00230327"/>
    <w:rsid w:val="00230373"/>
    <w:rsid w:val="002303BF"/>
    <w:rsid w:val="002303CA"/>
    <w:rsid w:val="002303E2"/>
    <w:rsid w:val="00230481"/>
    <w:rsid w:val="00230485"/>
    <w:rsid w:val="002304F7"/>
    <w:rsid w:val="00230512"/>
    <w:rsid w:val="00230643"/>
    <w:rsid w:val="00230740"/>
    <w:rsid w:val="002308BF"/>
    <w:rsid w:val="002308EC"/>
    <w:rsid w:val="00230BAF"/>
    <w:rsid w:val="00230C15"/>
    <w:rsid w:val="00230DA6"/>
    <w:rsid w:val="00230E71"/>
    <w:rsid w:val="00230FB7"/>
    <w:rsid w:val="002310EE"/>
    <w:rsid w:val="002311DD"/>
    <w:rsid w:val="00231236"/>
    <w:rsid w:val="002314B9"/>
    <w:rsid w:val="00231556"/>
    <w:rsid w:val="002315DC"/>
    <w:rsid w:val="0023162B"/>
    <w:rsid w:val="00231646"/>
    <w:rsid w:val="0023179A"/>
    <w:rsid w:val="00231806"/>
    <w:rsid w:val="00231808"/>
    <w:rsid w:val="00231980"/>
    <w:rsid w:val="002319CA"/>
    <w:rsid w:val="002319EF"/>
    <w:rsid w:val="00231A37"/>
    <w:rsid w:val="00231A5B"/>
    <w:rsid w:val="00231ABD"/>
    <w:rsid w:val="00231AF5"/>
    <w:rsid w:val="00231BB0"/>
    <w:rsid w:val="00231C0D"/>
    <w:rsid w:val="00231C12"/>
    <w:rsid w:val="00231DC9"/>
    <w:rsid w:val="00231E4B"/>
    <w:rsid w:val="00231E92"/>
    <w:rsid w:val="00231EC7"/>
    <w:rsid w:val="00231F03"/>
    <w:rsid w:val="00231FB1"/>
    <w:rsid w:val="00231FD4"/>
    <w:rsid w:val="0023211B"/>
    <w:rsid w:val="002321B7"/>
    <w:rsid w:val="002321F7"/>
    <w:rsid w:val="0023220C"/>
    <w:rsid w:val="00232281"/>
    <w:rsid w:val="002322B6"/>
    <w:rsid w:val="0023236A"/>
    <w:rsid w:val="00232510"/>
    <w:rsid w:val="00232530"/>
    <w:rsid w:val="0023256C"/>
    <w:rsid w:val="002325E7"/>
    <w:rsid w:val="00232698"/>
    <w:rsid w:val="0023273B"/>
    <w:rsid w:val="002327AF"/>
    <w:rsid w:val="0023289F"/>
    <w:rsid w:val="00232970"/>
    <w:rsid w:val="00232972"/>
    <w:rsid w:val="002329B3"/>
    <w:rsid w:val="00232A6C"/>
    <w:rsid w:val="00232ABB"/>
    <w:rsid w:val="00232B12"/>
    <w:rsid w:val="00232B60"/>
    <w:rsid w:val="00232B7D"/>
    <w:rsid w:val="00232B80"/>
    <w:rsid w:val="00232B97"/>
    <w:rsid w:val="00232C6D"/>
    <w:rsid w:val="00232D59"/>
    <w:rsid w:val="00232D61"/>
    <w:rsid w:val="00232D7E"/>
    <w:rsid w:val="00232E9B"/>
    <w:rsid w:val="00232F1C"/>
    <w:rsid w:val="00232F3C"/>
    <w:rsid w:val="00232F7B"/>
    <w:rsid w:val="0023303C"/>
    <w:rsid w:val="002330C7"/>
    <w:rsid w:val="00233222"/>
    <w:rsid w:val="002332DA"/>
    <w:rsid w:val="002333EE"/>
    <w:rsid w:val="00233690"/>
    <w:rsid w:val="0023373B"/>
    <w:rsid w:val="0023380E"/>
    <w:rsid w:val="00233873"/>
    <w:rsid w:val="00233878"/>
    <w:rsid w:val="002338A2"/>
    <w:rsid w:val="00233B60"/>
    <w:rsid w:val="00233BDE"/>
    <w:rsid w:val="00233C10"/>
    <w:rsid w:val="00233D72"/>
    <w:rsid w:val="00233E4B"/>
    <w:rsid w:val="002340DC"/>
    <w:rsid w:val="002340E0"/>
    <w:rsid w:val="00234182"/>
    <w:rsid w:val="002341BD"/>
    <w:rsid w:val="002342CC"/>
    <w:rsid w:val="002342F4"/>
    <w:rsid w:val="00234470"/>
    <w:rsid w:val="00234513"/>
    <w:rsid w:val="0023453B"/>
    <w:rsid w:val="002345D6"/>
    <w:rsid w:val="00234607"/>
    <w:rsid w:val="00234683"/>
    <w:rsid w:val="00234717"/>
    <w:rsid w:val="00234880"/>
    <w:rsid w:val="00234A33"/>
    <w:rsid w:val="00234B83"/>
    <w:rsid w:val="00234BF0"/>
    <w:rsid w:val="00234C50"/>
    <w:rsid w:val="00234CB1"/>
    <w:rsid w:val="00234D4D"/>
    <w:rsid w:val="00234D60"/>
    <w:rsid w:val="00234DB2"/>
    <w:rsid w:val="00234DB6"/>
    <w:rsid w:val="00234EAA"/>
    <w:rsid w:val="00234F38"/>
    <w:rsid w:val="002350A2"/>
    <w:rsid w:val="00235138"/>
    <w:rsid w:val="00235184"/>
    <w:rsid w:val="0023518D"/>
    <w:rsid w:val="00235277"/>
    <w:rsid w:val="002352B5"/>
    <w:rsid w:val="002353A7"/>
    <w:rsid w:val="002353CD"/>
    <w:rsid w:val="002355B1"/>
    <w:rsid w:val="00235637"/>
    <w:rsid w:val="00235645"/>
    <w:rsid w:val="002356D0"/>
    <w:rsid w:val="0023572E"/>
    <w:rsid w:val="002357C6"/>
    <w:rsid w:val="00235836"/>
    <w:rsid w:val="0023591E"/>
    <w:rsid w:val="002359C4"/>
    <w:rsid w:val="002359DE"/>
    <w:rsid w:val="00235A1B"/>
    <w:rsid w:val="00235A3A"/>
    <w:rsid w:val="00235A69"/>
    <w:rsid w:val="00235A86"/>
    <w:rsid w:val="00235AF7"/>
    <w:rsid w:val="00235B99"/>
    <w:rsid w:val="00235C3F"/>
    <w:rsid w:val="00235C74"/>
    <w:rsid w:val="00235D94"/>
    <w:rsid w:val="00235F08"/>
    <w:rsid w:val="00235F89"/>
    <w:rsid w:val="00236046"/>
    <w:rsid w:val="0023615C"/>
    <w:rsid w:val="002361B9"/>
    <w:rsid w:val="002361ED"/>
    <w:rsid w:val="002362C3"/>
    <w:rsid w:val="00236348"/>
    <w:rsid w:val="002363BC"/>
    <w:rsid w:val="002363DC"/>
    <w:rsid w:val="00236567"/>
    <w:rsid w:val="002365FF"/>
    <w:rsid w:val="002366D3"/>
    <w:rsid w:val="002369F3"/>
    <w:rsid w:val="00236A5B"/>
    <w:rsid w:val="00236AB1"/>
    <w:rsid w:val="00236B15"/>
    <w:rsid w:val="00236B20"/>
    <w:rsid w:val="00236B68"/>
    <w:rsid w:val="00236B85"/>
    <w:rsid w:val="00236B92"/>
    <w:rsid w:val="00236BF6"/>
    <w:rsid w:val="00236C67"/>
    <w:rsid w:val="00236D85"/>
    <w:rsid w:val="00236D86"/>
    <w:rsid w:val="00236EA9"/>
    <w:rsid w:val="00236F02"/>
    <w:rsid w:val="00236FE9"/>
    <w:rsid w:val="002371A7"/>
    <w:rsid w:val="0023721C"/>
    <w:rsid w:val="0023723B"/>
    <w:rsid w:val="00237267"/>
    <w:rsid w:val="00237356"/>
    <w:rsid w:val="002373C7"/>
    <w:rsid w:val="0023742F"/>
    <w:rsid w:val="0023743D"/>
    <w:rsid w:val="00237444"/>
    <w:rsid w:val="0023747C"/>
    <w:rsid w:val="00237541"/>
    <w:rsid w:val="0023761E"/>
    <w:rsid w:val="0023771A"/>
    <w:rsid w:val="00237AB4"/>
    <w:rsid w:val="00237ADB"/>
    <w:rsid w:val="00237B13"/>
    <w:rsid w:val="00237D6E"/>
    <w:rsid w:val="00237DA2"/>
    <w:rsid w:val="00237E1F"/>
    <w:rsid w:val="00237E8D"/>
    <w:rsid w:val="00237EDE"/>
    <w:rsid w:val="00237F4C"/>
    <w:rsid w:val="00237FA5"/>
    <w:rsid w:val="0024002B"/>
    <w:rsid w:val="00240259"/>
    <w:rsid w:val="00240282"/>
    <w:rsid w:val="00240469"/>
    <w:rsid w:val="00240488"/>
    <w:rsid w:val="002405C2"/>
    <w:rsid w:val="002405D4"/>
    <w:rsid w:val="0024062D"/>
    <w:rsid w:val="0024064A"/>
    <w:rsid w:val="00240746"/>
    <w:rsid w:val="00240782"/>
    <w:rsid w:val="00240827"/>
    <w:rsid w:val="0024094D"/>
    <w:rsid w:val="00240AA2"/>
    <w:rsid w:val="00240B13"/>
    <w:rsid w:val="00240B50"/>
    <w:rsid w:val="00240BBB"/>
    <w:rsid w:val="00240C1A"/>
    <w:rsid w:val="00240C3D"/>
    <w:rsid w:val="00240CB9"/>
    <w:rsid w:val="00240D2F"/>
    <w:rsid w:val="00240D30"/>
    <w:rsid w:val="00240DC2"/>
    <w:rsid w:val="00240DE2"/>
    <w:rsid w:val="00240ECA"/>
    <w:rsid w:val="0024103E"/>
    <w:rsid w:val="0024109D"/>
    <w:rsid w:val="002410E9"/>
    <w:rsid w:val="00241190"/>
    <w:rsid w:val="002413C9"/>
    <w:rsid w:val="0024141A"/>
    <w:rsid w:val="0024143F"/>
    <w:rsid w:val="0024169F"/>
    <w:rsid w:val="00241784"/>
    <w:rsid w:val="002419F0"/>
    <w:rsid w:val="002419F7"/>
    <w:rsid w:val="00241B53"/>
    <w:rsid w:val="00241BA3"/>
    <w:rsid w:val="00241C39"/>
    <w:rsid w:val="00241C62"/>
    <w:rsid w:val="00241C80"/>
    <w:rsid w:val="00241E41"/>
    <w:rsid w:val="00241E8A"/>
    <w:rsid w:val="00241EA9"/>
    <w:rsid w:val="00241F61"/>
    <w:rsid w:val="00241FCC"/>
    <w:rsid w:val="0024213D"/>
    <w:rsid w:val="00242304"/>
    <w:rsid w:val="002423BF"/>
    <w:rsid w:val="002423DA"/>
    <w:rsid w:val="002423F6"/>
    <w:rsid w:val="0024247F"/>
    <w:rsid w:val="00242484"/>
    <w:rsid w:val="002424F5"/>
    <w:rsid w:val="00242533"/>
    <w:rsid w:val="00242556"/>
    <w:rsid w:val="00242592"/>
    <w:rsid w:val="002425A4"/>
    <w:rsid w:val="00242627"/>
    <w:rsid w:val="00242734"/>
    <w:rsid w:val="0024281D"/>
    <w:rsid w:val="002428DB"/>
    <w:rsid w:val="002429B7"/>
    <w:rsid w:val="00242B25"/>
    <w:rsid w:val="00242B3A"/>
    <w:rsid w:val="00242CFE"/>
    <w:rsid w:val="00242DA0"/>
    <w:rsid w:val="00242DA5"/>
    <w:rsid w:val="00242E8A"/>
    <w:rsid w:val="00242F04"/>
    <w:rsid w:val="00242F43"/>
    <w:rsid w:val="00242F4A"/>
    <w:rsid w:val="0024303E"/>
    <w:rsid w:val="002430DA"/>
    <w:rsid w:val="002430DB"/>
    <w:rsid w:val="002430E3"/>
    <w:rsid w:val="0024319D"/>
    <w:rsid w:val="002431C2"/>
    <w:rsid w:val="0024321B"/>
    <w:rsid w:val="002432DB"/>
    <w:rsid w:val="0024343E"/>
    <w:rsid w:val="00243572"/>
    <w:rsid w:val="0024357C"/>
    <w:rsid w:val="002436EA"/>
    <w:rsid w:val="0024389E"/>
    <w:rsid w:val="0024391F"/>
    <w:rsid w:val="002439AD"/>
    <w:rsid w:val="00243A13"/>
    <w:rsid w:val="00243DBD"/>
    <w:rsid w:val="00243E27"/>
    <w:rsid w:val="00243E69"/>
    <w:rsid w:val="00243EAD"/>
    <w:rsid w:val="00243F3A"/>
    <w:rsid w:val="00243F3D"/>
    <w:rsid w:val="0024409D"/>
    <w:rsid w:val="002440BF"/>
    <w:rsid w:val="002440C9"/>
    <w:rsid w:val="002440EA"/>
    <w:rsid w:val="0024415B"/>
    <w:rsid w:val="002441BC"/>
    <w:rsid w:val="00244288"/>
    <w:rsid w:val="002442F1"/>
    <w:rsid w:val="002443B5"/>
    <w:rsid w:val="0024447D"/>
    <w:rsid w:val="00244517"/>
    <w:rsid w:val="00244558"/>
    <w:rsid w:val="0024456D"/>
    <w:rsid w:val="002445DD"/>
    <w:rsid w:val="00244707"/>
    <w:rsid w:val="0024484E"/>
    <w:rsid w:val="002448ED"/>
    <w:rsid w:val="002449F3"/>
    <w:rsid w:val="00244A83"/>
    <w:rsid w:val="00244B17"/>
    <w:rsid w:val="00244B2D"/>
    <w:rsid w:val="00244B4E"/>
    <w:rsid w:val="00244C76"/>
    <w:rsid w:val="00244D04"/>
    <w:rsid w:val="00244D8B"/>
    <w:rsid w:val="00244F31"/>
    <w:rsid w:val="0024504F"/>
    <w:rsid w:val="0024510A"/>
    <w:rsid w:val="002451AE"/>
    <w:rsid w:val="00245253"/>
    <w:rsid w:val="002452A4"/>
    <w:rsid w:val="002452B9"/>
    <w:rsid w:val="00245337"/>
    <w:rsid w:val="00245397"/>
    <w:rsid w:val="0024549B"/>
    <w:rsid w:val="002454A8"/>
    <w:rsid w:val="0024552B"/>
    <w:rsid w:val="002456DE"/>
    <w:rsid w:val="002456EE"/>
    <w:rsid w:val="002456F5"/>
    <w:rsid w:val="00245757"/>
    <w:rsid w:val="0024576F"/>
    <w:rsid w:val="002457CF"/>
    <w:rsid w:val="0024582F"/>
    <w:rsid w:val="002458BF"/>
    <w:rsid w:val="002458CB"/>
    <w:rsid w:val="002458EC"/>
    <w:rsid w:val="002458F0"/>
    <w:rsid w:val="00245953"/>
    <w:rsid w:val="00245985"/>
    <w:rsid w:val="0024598B"/>
    <w:rsid w:val="002459E8"/>
    <w:rsid w:val="00245A3A"/>
    <w:rsid w:val="00245B3A"/>
    <w:rsid w:val="00245B45"/>
    <w:rsid w:val="00245B78"/>
    <w:rsid w:val="00245B9E"/>
    <w:rsid w:val="00245C90"/>
    <w:rsid w:val="00245CFE"/>
    <w:rsid w:val="00245D53"/>
    <w:rsid w:val="00245E0A"/>
    <w:rsid w:val="00245E2A"/>
    <w:rsid w:val="00245E2B"/>
    <w:rsid w:val="00245E82"/>
    <w:rsid w:val="00245F14"/>
    <w:rsid w:val="00245F18"/>
    <w:rsid w:val="00245F95"/>
    <w:rsid w:val="00246041"/>
    <w:rsid w:val="0024605F"/>
    <w:rsid w:val="00246089"/>
    <w:rsid w:val="002460B8"/>
    <w:rsid w:val="00246109"/>
    <w:rsid w:val="00246121"/>
    <w:rsid w:val="002462FF"/>
    <w:rsid w:val="00246365"/>
    <w:rsid w:val="002463F2"/>
    <w:rsid w:val="002463FA"/>
    <w:rsid w:val="0024640D"/>
    <w:rsid w:val="00246529"/>
    <w:rsid w:val="002465F0"/>
    <w:rsid w:val="002465F6"/>
    <w:rsid w:val="00246673"/>
    <w:rsid w:val="0024671F"/>
    <w:rsid w:val="0024674A"/>
    <w:rsid w:val="0024686C"/>
    <w:rsid w:val="002468AF"/>
    <w:rsid w:val="002468C0"/>
    <w:rsid w:val="0024693F"/>
    <w:rsid w:val="0024698B"/>
    <w:rsid w:val="00246AC2"/>
    <w:rsid w:val="00246C3A"/>
    <w:rsid w:val="00246C73"/>
    <w:rsid w:val="00246C93"/>
    <w:rsid w:val="00246EAE"/>
    <w:rsid w:val="00246EF1"/>
    <w:rsid w:val="00247158"/>
    <w:rsid w:val="002471A4"/>
    <w:rsid w:val="00247232"/>
    <w:rsid w:val="00247355"/>
    <w:rsid w:val="00247403"/>
    <w:rsid w:val="00247429"/>
    <w:rsid w:val="00247539"/>
    <w:rsid w:val="00247556"/>
    <w:rsid w:val="002475C3"/>
    <w:rsid w:val="0024767F"/>
    <w:rsid w:val="002476D2"/>
    <w:rsid w:val="00247868"/>
    <w:rsid w:val="002479D0"/>
    <w:rsid w:val="00247A66"/>
    <w:rsid w:val="00247AF1"/>
    <w:rsid w:val="00247CB2"/>
    <w:rsid w:val="00247EB1"/>
    <w:rsid w:val="00247F67"/>
    <w:rsid w:val="00247FC2"/>
    <w:rsid w:val="00250009"/>
    <w:rsid w:val="00250047"/>
    <w:rsid w:val="00250085"/>
    <w:rsid w:val="0025009F"/>
    <w:rsid w:val="00250121"/>
    <w:rsid w:val="0025023A"/>
    <w:rsid w:val="00250269"/>
    <w:rsid w:val="002502C9"/>
    <w:rsid w:val="002502D9"/>
    <w:rsid w:val="00250318"/>
    <w:rsid w:val="00250398"/>
    <w:rsid w:val="002503AA"/>
    <w:rsid w:val="002503BA"/>
    <w:rsid w:val="002503E9"/>
    <w:rsid w:val="002505B6"/>
    <w:rsid w:val="00250629"/>
    <w:rsid w:val="00250668"/>
    <w:rsid w:val="00250694"/>
    <w:rsid w:val="0025077F"/>
    <w:rsid w:val="002507F9"/>
    <w:rsid w:val="00250917"/>
    <w:rsid w:val="00250A86"/>
    <w:rsid w:val="00250AA6"/>
    <w:rsid w:val="00250AB3"/>
    <w:rsid w:val="00250C22"/>
    <w:rsid w:val="00250C79"/>
    <w:rsid w:val="00250C9A"/>
    <w:rsid w:val="00250D03"/>
    <w:rsid w:val="00250D2D"/>
    <w:rsid w:val="00250D86"/>
    <w:rsid w:val="00250D92"/>
    <w:rsid w:val="00250E60"/>
    <w:rsid w:val="00250F70"/>
    <w:rsid w:val="00250F9A"/>
    <w:rsid w:val="00251035"/>
    <w:rsid w:val="0025104D"/>
    <w:rsid w:val="00251104"/>
    <w:rsid w:val="00251225"/>
    <w:rsid w:val="002513CF"/>
    <w:rsid w:val="002513EE"/>
    <w:rsid w:val="00251422"/>
    <w:rsid w:val="002514EE"/>
    <w:rsid w:val="00251589"/>
    <w:rsid w:val="002515C6"/>
    <w:rsid w:val="00251668"/>
    <w:rsid w:val="0025193B"/>
    <w:rsid w:val="0025194C"/>
    <w:rsid w:val="00251AFE"/>
    <w:rsid w:val="00251B08"/>
    <w:rsid w:val="00251B4C"/>
    <w:rsid w:val="00251BCD"/>
    <w:rsid w:val="00251C54"/>
    <w:rsid w:val="00251C59"/>
    <w:rsid w:val="00251DCD"/>
    <w:rsid w:val="00251E09"/>
    <w:rsid w:val="00251EA0"/>
    <w:rsid w:val="00251ED1"/>
    <w:rsid w:val="00251ED7"/>
    <w:rsid w:val="00251EE0"/>
    <w:rsid w:val="00251F52"/>
    <w:rsid w:val="00251FCD"/>
    <w:rsid w:val="00251FFE"/>
    <w:rsid w:val="0025207B"/>
    <w:rsid w:val="002520EA"/>
    <w:rsid w:val="0025213F"/>
    <w:rsid w:val="00252216"/>
    <w:rsid w:val="00252233"/>
    <w:rsid w:val="00252243"/>
    <w:rsid w:val="002523BC"/>
    <w:rsid w:val="002523F1"/>
    <w:rsid w:val="002523F2"/>
    <w:rsid w:val="002523FE"/>
    <w:rsid w:val="00252470"/>
    <w:rsid w:val="002525AC"/>
    <w:rsid w:val="002525E8"/>
    <w:rsid w:val="00252626"/>
    <w:rsid w:val="00252637"/>
    <w:rsid w:val="002526FE"/>
    <w:rsid w:val="00252705"/>
    <w:rsid w:val="00252882"/>
    <w:rsid w:val="002528B5"/>
    <w:rsid w:val="002528BA"/>
    <w:rsid w:val="00252AB0"/>
    <w:rsid w:val="00252B37"/>
    <w:rsid w:val="00252E5D"/>
    <w:rsid w:val="00252E62"/>
    <w:rsid w:val="00252E77"/>
    <w:rsid w:val="00252F79"/>
    <w:rsid w:val="00252FE7"/>
    <w:rsid w:val="00253056"/>
    <w:rsid w:val="00253083"/>
    <w:rsid w:val="00253097"/>
    <w:rsid w:val="0025317F"/>
    <w:rsid w:val="0025327B"/>
    <w:rsid w:val="0025329A"/>
    <w:rsid w:val="00253454"/>
    <w:rsid w:val="00253568"/>
    <w:rsid w:val="00253791"/>
    <w:rsid w:val="002537E3"/>
    <w:rsid w:val="002538CC"/>
    <w:rsid w:val="00253914"/>
    <w:rsid w:val="0025392E"/>
    <w:rsid w:val="00253941"/>
    <w:rsid w:val="002539E6"/>
    <w:rsid w:val="00253AD4"/>
    <w:rsid w:val="00253B78"/>
    <w:rsid w:val="00253C35"/>
    <w:rsid w:val="00253C9E"/>
    <w:rsid w:val="00253CB6"/>
    <w:rsid w:val="00253E88"/>
    <w:rsid w:val="00253EAB"/>
    <w:rsid w:val="00253ED1"/>
    <w:rsid w:val="00253F3D"/>
    <w:rsid w:val="00253F92"/>
    <w:rsid w:val="00253FF3"/>
    <w:rsid w:val="00254094"/>
    <w:rsid w:val="00254176"/>
    <w:rsid w:val="002541B2"/>
    <w:rsid w:val="002542B1"/>
    <w:rsid w:val="00254355"/>
    <w:rsid w:val="0025456D"/>
    <w:rsid w:val="00254610"/>
    <w:rsid w:val="00254632"/>
    <w:rsid w:val="0025467E"/>
    <w:rsid w:val="002546B6"/>
    <w:rsid w:val="002546F9"/>
    <w:rsid w:val="00254875"/>
    <w:rsid w:val="0025487F"/>
    <w:rsid w:val="0025499D"/>
    <w:rsid w:val="00254BBA"/>
    <w:rsid w:val="00254C5D"/>
    <w:rsid w:val="00254C71"/>
    <w:rsid w:val="00254C9F"/>
    <w:rsid w:val="00254CF4"/>
    <w:rsid w:val="00254D3C"/>
    <w:rsid w:val="00254D72"/>
    <w:rsid w:val="00254E3F"/>
    <w:rsid w:val="00254E84"/>
    <w:rsid w:val="00254F95"/>
    <w:rsid w:val="00254FC4"/>
    <w:rsid w:val="00254FE5"/>
    <w:rsid w:val="00254FF0"/>
    <w:rsid w:val="00255042"/>
    <w:rsid w:val="002550AE"/>
    <w:rsid w:val="002551F9"/>
    <w:rsid w:val="00255291"/>
    <w:rsid w:val="002552B3"/>
    <w:rsid w:val="002554A3"/>
    <w:rsid w:val="00255509"/>
    <w:rsid w:val="0025550D"/>
    <w:rsid w:val="00255569"/>
    <w:rsid w:val="002555A3"/>
    <w:rsid w:val="002555C0"/>
    <w:rsid w:val="002556D0"/>
    <w:rsid w:val="002558F8"/>
    <w:rsid w:val="00255AF8"/>
    <w:rsid w:val="00255BEF"/>
    <w:rsid w:val="00255D4C"/>
    <w:rsid w:val="00255D52"/>
    <w:rsid w:val="00255DDA"/>
    <w:rsid w:val="00255F2C"/>
    <w:rsid w:val="00255FE9"/>
    <w:rsid w:val="00256095"/>
    <w:rsid w:val="002560CB"/>
    <w:rsid w:val="002560FF"/>
    <w:rsid w:val="002561CE"/>
    <w:rsid w:val="002562B2"/>
    <w:rsid w:val="002562B9"/>
    <w:rsid w:val="00256351"/>
    <w:rsid w:val="002566A6"/>
    <w:rsid w:val="0025683E"/>
    <w:rsid w:val="0025685B"/>
    <w:rsid w:val="00256997"/>
    <w:rsid w:val="002569C8"/>
    <w:rsid w:val="002569EB"/>
    <w:rsid w:val="00256A2E"/>
    <w:rsid w:val="00256B31"/>
    <w:rsid w:val="00256B70"/>
    <w:rsid w:val="00256BC2"/>
    <w:rsid w:val="00256D49"/>
    <w:rsid w:val="00256DBE"/>
    <w:rsid w:val="00256E65"/>
    <w:rsid w:val="00256F9B"/>
    <w:rsid w:val="00256FC8"/>
    <w:rsid w:val="0025700A"/>
    <w:rsid w:val="0025715A"/>
    <w:rsid w:val="0025716F"/>
    <w:rsid w:val="00257194"/>
    <w:rsid w:val="00257273"/>
    <w:rsid w:val="002573D9"/>
    <w:rsid w:val="002573E2"/>
    <w:rsid w:val="0025743C"/>
    <w:rsid w:val="00257555"/>
    <w:rsid w:val="002576AB"/>
    <w:rsid w:val="0025774D"/>
    <w:rsid w:val="002577FB"/>
    <w:rsid w:val="00257821"/>
    <w:rsid w:val="00257856"/>
    <w:rsid w:val="002579EE"/>
    <w:rsid w:val="00257C21"/>
    <w:rsid w:val="00257C28"/>
    <w:rsid w:val="00257C8D"/>
    <w:rsid w:val="00257DE7"/>
    <w:rsid w:val="00257EC6"/>
    <w:rsid w:val="00257F8B"/>
    <w:rsid w:val="00257FC9"/>
    <w:rsid w:val="0026006E"/>
    <w:rsid w:val="002600F4"/>
    <w:rsid w:val="00260104"/>
    <w:rsid w:val="00260116"/>
    <w:rsid w:val="002601A0"/>
    <w:rsid w:val="0026022E"/>
    <w:rsid w:val="00260316"/>
    <w:rsid w:val="002603EF"/>
    <w:rsid w:val="00260404"/>
    <w:rsid w:val="002604E0"/>
    <w:rsid w:val="0026054C"/>
    <w:rsid w:val="00260621"/>
    <w:rsid w:val="002606B6"/>
    <w:rsid w:val="0026074F"/>
    <w:rsid w:val="002607A6"/>
    <w:rsid w:val="0026081B"/>
    <w:rsid w:val="00260864"/>
    <w:rsid w:val="00260893"/>
    <w:rsid w:val="002608D0"/>
    <w:rsid w:val="00260A4C"/>
    <w:rsid w:val="00260B27"/>
    <w:rsid w:val="00260B35"/>
    <w:rsid w:val="00260BF3"/>
    <w:rsid w:val="00260C3F"/>
    <w:rsid w:val="00260C57"/>
    <w:rsid w:val="00260D04"/>
    <w:rsid w:val="00260D1C"/>
    <w:rsid w:val="00260D5E"/>
    <w:rsid w:val="00260D79"/>
    <w:rsid w:val="00260DCE"/>
    <w:rsid w:val="00260F66"/>
    <w:rsid w:val="00261045"/>
    <w:rsid w:val="002610C7"/>
    <w:rsid w:val="0026118F"/>
    <w:rsid w:val="00261368"/>
    <w:rsid w:val="0026142F"/>
    <w:rsid w:val="00261543"/>
    <w:rsid w:val="0026154B"/>
    <w:rsid w:val="0026158B"/>
    <w:rsid w:val="002615EC"/>
    <w:rsid w:val="00261641"/>
    <w:rsid w:val="0026171E"/>
    <w:rsid w:val="002617B6"/>
    <w:rsid w:val="002617FF"/>
    <w:rsid w:val="002618E2"/>
    <w:rsid w:val="002619BC"/>
    <w:rsid w:val="002619D8"/>
    <w:rsid w:val="00261A7E"/>
    <w:rsid w:val="00261A9B"/>
    <w:rsid w:val="00261B38"/>
    <w:rsid w:val="00261C51"/>
    <w:rsid w:val="00261C6C"/>
    <w:rsid w:val="00261CC0"/>
    <w:rsid w:val="00261D4F"/>
    <w:rsid w:val="00261FCB"/>
    <w:rsid w:val="0026200B"/>
    <w:rsid w:val="002620FD"/>
    <w:rsid w:val="00262139"/>
    <w:rsid w:val="002623A0"/>
    <w:rsid w:val="002623BF"/>
    <w:rsid w:val="002623DB"/>
    <w:rsid w:val="002624C5"/>
    <w:rsid w:val="002625FA"/>
    <w:rsid w:val="002626DF"/>
    <w:rsid w:val="00262721"/>
    <w:rsid w:val="002628E4"/>
    <w:rsid w:val="0026291E"/>
    <w:rsid w:val="0026293F"/>
    <w:rsid w:val="002629F6"/>
    <w:rsid w:val="00262B0F"/>
    <w:rsid w:val="00262BC8"/>
    <w:rsid w:val="00262CD3"/>
    <w:rsid w:val="00262D6A"/>
    <w:rsid w:val="00262D84"/>
    <w:rsid w:val="00262FA3"/>
    <w:rsid w:val="0026312D"/>
    <w:rsid w:val="00263144"/>
    <w:rsid w:val="00263180"/>
    <w:rsid w:val="00263289"/>
    <w:rsid w:val="002632A6"/>
    <w:rsid w:val="002632AE"/>
    <w:rsid w:val="00263310"/>
    <w:rsid w:val="00263390"/>
    <w:rsid w:val="002633F7"/>
    <w:rsid w:val="00263468"/>
    <w:rsid w:val="0026353F"/>
    <w:rsid w:val="00263594"/>
    <w:rsid w:val="002635BE"/>
    <w:rsid w:val="002635CE"/>
    <w:rsid w:val="00263624"/>
    <w:rsid w:val="00263642"/>
    <w:rsid w:val="00263875"/>
    <w:rsid w:val="00263890"/>
    <w:rsid w:val="002638DE"/>
    <w:rsid w:val="0026397B"/>
    <w:rsid w:val="002639BC"/>
    <w:rsid w:val="00263AC3"/>
    <w:rsid w:val="00263AEF"/>
    <w:rsid w:val="00263B94"/>
    <w:rsid w:val="00263BBC"/>
    <w:rsid w:val="00263BF4"/>
    <w:rsid w:val="00263CFA"/>
    <w:rsid w:val="00263D65"/>
    <w:rsid w:val="00263D6F"/>
    <w:rsid w:val="00263E61"/>
    <w:rsid w:val="00263ECB"/>
    <w:rsid w:val="00263F7D"/>
    <w:rsid w:val="00263FA5"/>
    <w:rsid w:val="0026403C"/>
    <w:rsid w:val="002640C6"/>
    <w:rsid w:val="002640F4"/>
    <w:rsid w:val="0026415D"/>
    <w:rsid w:val="0026421F"/>
    <w:rsid w:val="002642D1"/>
    <w:rsid w:val="002642F5"/>
    <w:rsid w:val="00264411"/>
    <w:rsid w:val="002644A8"/>
    <w:rsid w:val="0026491B"/>
    <w:rsid w:val="00264930"/>
    <w:rsid w:val="0026494A"/>
    <w:rsid w:val="00264AA4"/>
    <w:rsid w:val="00264C73"/>
    <w:rsid w:val="00264C9D"/>
    <w:rsid w:val="00264CF2"/>
    <w:rsid w:val="00264D27"/>
    <w:rsid w:val="00264D43"/>
    <w:rsid w:val="00264D49"/>
    <w:rsid w:val="00264D53"/>
    <w:rsid w:val="00264DA1"/>
    <w:rsid w:val="00264EDE"/>
    <w:rsid w:val="00265184"/>
    <w:rsid w:val="002651AE"/>
    <w:rsid w:val="0026535F"/>
    <w:rsid w:val="00265370"/>
    <w:rsid w:val="0026541B"/>
    <w:rsid w:val="0026542E"/>
    <w:rsid w:val="00265484"/>
    <w:rsid w:val="002654BC"/>
    <w:rsid w:val="002656ED"/>
    <w:rsid w:val="00265745"/>
    <w:rsid w:val="00265788"/>
    <w:rsid w:val="00265804"/>
    <w:rsid w:val="002658D4"/>
    <w:rsid w:val="002659E1"/>
    <w:rsid w:val="002659EF"/>
    <w:rsid w:val="00265B12"/>
    <w:rsid w:val="00265B3F"/>
    <w:rsid w:val="00265B48"/>
    <w:rsid w:val="00265B86"/>
    <w:rsid w:val="00265BA9"/>
    <w:rsid w:val="00265C2D"/>
    <w:rsid w:val="00265D52"/>
    <w:rsid w:val="00265DA4"/>
    <w:rsid w:val="00265EAB"/>
    <w:rsid w:val="00265EBA"/>
    <w:rsid w:val="00265EBE"/>
    <w:rsid w:val="00265EFC"/>
    <w:rsid w:val="0026606A"/>
    <w:rsid w:val="0026608E"/>
    <w:rsid w:val="00266164"/>
    <w:rsid w:val="002662B4"/>
    <w:rsid w:val="00266478"/>
    <w:rsid w:val="0026649D"/>
    <w:rsid w:val="002664DF"/>
    <w:rsid w:val="00266522"/>
    <w:rsid w:val="0026658F"/>
    <w:rsid w:val="00266666"/>
    <w:rsid w:val="002666B6"/>
    <w:rsid w:val="00266710"/>
    <w:rsid w:val="002668EA"/>
    <w:rsid w:val="00266951"/>
    <w:rsid w:val="00266A23"/>
    <w:rsid w:val="00266AE0"/>
    <w:rsid w:val="00266AF6"/>
    <w:rsid w:val="00266B1A"/>
    <w:rsid w:val="00266C17"/>
    <w:rsid w:val="00266C23"/>
    <w:rsid w:val="00266DA3"/>
    <w:rsid w:val="00266DFD"/>
    <w:rsid w:val="00266E1E"/>
    <w:rsid w:val="00266E7F"/>
    <w:rsid w:val="00266E94"/>
    <w:rsid w:val="00266EFA"/>
    <w:rsid w:val="00266F36"/>
    <w:rsid w:val="002670FF"/>
    <w:rsid w:val="00267126"/>
    <w:rsid w:val="00267174"/>
    <w:rsid w:val="0026718C"/>
    <w:rsid w:val="00267242"/>
    <w:rsid w:val="0026729A"/>
    <w:rsid w:val="00267303"/>
    <w:rsid w:val="00267309"/>
    <w:rsid w:val="00267492"/>
    <w:rsid w:val="002674EA"/>
    <w:rsid w:val="00267685"/>
    <w:rsid w:val="002676FF"/>
    <w:rsid w:val="002677A9"/>
    <w:rsid w:val="00267A05"/>
    <w:rsid w:val="00267AE8"/>
    <w:rsid w:val="00267AF4"/>
    <w:rsid w:val="00267B53"/>
    <w:rsid w:val="00267BCD"/>
    <w:rsid w:val="00267BFE"/>
    <w:rsid w:val="00267C41"/>
    <w:rsid w:val="00267C67"/>
    <w:rsid w:val="00267D26"/>
    <w:rsid w:val="00267E5F"/>
    <w:rsid w:val="00267E8B"/>
    <w:rsid w:val="00267EBD"/>
    <w:rsid w:val="00267ECF"/>
    <w:rsid w:val="00267ED4"/>
    <w:rsid w:val="00267F1C"/>
    <w:rsid w:val="00267F54"/>
    <w:rsid w:val="00267FB0"/>
    <w:rsid w:val="0027009E"/>
    <w:rsid w:val="002701C9"/>
    <w:rsid w:val="002701DD"/>
    <w:rsid w:val="0027034C"/>
    <w:rsid w:val="00270464"/>
    <w:rsid w:val="0027046A"/>
    <w:rsid w:val="00270525"/>
    <w:rsid w:val="00270617"/>
    <w:rsid w:val="00270699"/>
    <w:rsid w:val="002706CB"/>
    <w:rsid w:val="002709AD"/>
    <w:rsid w:val="00270B6F"/>
    <w:rsid w:val="00270BBC"/>
    <w:rsid w:val="00270BCF"/>
    <w:rsid w:val="00270DE9"/>
    <w:rsid w:val="00270EF1"/>
    <w:rsid w:val="00270F23"/>
    <w:rsid w:val="00270F4C"/>
    <w:rsid w:val="00270FBF"/>
    <w:rsid w:val="002710A5"/>
    <w:rsid w:val="002710D8"/>
    <w:rsid w:val="002711A8"/>
    <w:rsid w:val="002711E3"/>
    <w:rsid w:val="0027121A"/>
    <w:rsid w:val="00271577"/>
    <w:rsid w:val="00271678"/>
    <w:rsid w:val="002716DE"/>
    <w:rsid w:val="00271720"/>
    <w:rsid w:val="00271809"/>
    <w:rsid w:val="002718C0"/>
    <w:rsid w:val="00271932"/>
    <w:rsid w:val="00271941"/>
    <w:rsid w:val="002719BC"/>
    <w:rsid w:val="00271C66"/>
    <w:rsid w:val="00271C7A"/>
    <w:rsid w:val="00271EE3"/>
    <w:rsid w:val="00271F20"/>
    <w:rsid w:val="00272004"/>
    <w:rsid w:val="00272232"/>
    <w:rsid w:val="0027226C"/>
    <w:rsid w:val="002723CB"/>
    <w:rsid w:val="0027247C"/>
    <w:rsid w:val="0027252A"/>
    <w:rsid w:val="00272587"/>
    <w:rsid w:val="002725BD"/>
    <w:rsid w:val="00272696"/>
    <w:rsid w:val="002726A1"/>
    <w:rsid w:val="00272709"/>
    <w:rsid w:val="002727EA"/>
    <w:rsid w:val="002728FC"/>
    <w:rsid w:val="0027295A"/>
    <w:rsid w:val="00272A64"/>
    <w:rsid w:val="00272A6D"/>
    <w:rsid w:val="00272B04"/>
    <w:rsid w:val="00272B18"/>
    <w:rsid w:val="00272B1F"/>
    <w:rsid w:val="00272B2C"/>
    <w:rsid w:val="00272B3D"/>
    <w:rsid w:val="00272C02"/>
    <w:rsid w:val="00272C5B"/>
    <w:rsid w:val="00272D34"/>
    <w:rsid w:val="00272E6D"/>
    <w:rsid w:val="00272EA3"/>
    <w:rsid w:val="00272ECC"/>
    <w:rsid w:val="00272ED7"/>
    <w:rsid w:val="00272FC8"/>
    <w:rsid w:val="00273025"/>
    <w:rsid w:val="00273076"/>
    <w:rsid w:val="002730F6"/>
    <w:rsid w:val="002731E4"/>
    <w:rsid w:val="00273453"/>
    <w:rsid w:val="0027350A"/>
    <w:rsid w:val="00273518"/>
    <w:rsid w:val="002736A4"/>
    <w:rsid w:val="002737F3"/>
    <w:rsid w:val="00273828"/>
    <w:rsid w:val="00273876"/>
    <w:rsid w:val="0027391D"/>
    <w:rsid w:val="00273A1F"/>
    <w:rsid w:val="00273A50"/>
    <w:rsid w:val="00273AB8"/>
    <w:rsid w:val="00273B0D"/>
    <w:rsid w:val="00273C60"/>
    <w:rsid w:val="00273CFD"/>
    <w:rsid w:val="00273D3D"/>
    <w:rsid w:val="00273D53"/>
    <w:rsid w:val="00273EAE"/>
    <w:rsid w:val="00273ECB"/>
    <w:rsid w:val="0027410B"/>
    <w:rsid w:val="0027412A"/>
    <w:rsid w:val="0027417A"/>
    <w:rsid w:val="002741DD"/>
    <w:rsid w:val="00274282"/>
    <w:rsid w:val="0027430B"/>
    <w:rsid w:val="002743C1"/>
    <w:rsid w:val="00274478"/>
    <w:rsid w:val="00274516"/>
    <w:rsid w:val="002745EB"/>
    <w:rsid w:val="00274682"/>
    <w:rsid w:val="00274683"/>
    <w:rsid w:val="0027489B"/>
    <w:rsid w:val="002748B2"/>
    <w:rsid w:val="00274923"/>
    <w:rsid w:val="00274934"/>
    <w:rsid w:val="002749F1"/>
    <w:rsid w:val="00274A49"/>
    <w:rsid w:val="00274AC1"/>
    <w:rsid w:val="00274C26"/>
    <w:rsid w:val="00274C8B"/>
    <w:rsid w:val="00274D15"/>
    <w:rsid w:val="00274E0A"/>
    <w:rsid w:val="00274FF5"/>
    <w:rsid w:val="00275010"/>
    <w:rsid w:val="002750B0"/>
    <w:rsid w:val="002750E1"/>
    <w:rsid w:val="00275102"/>
    <w:rsid w:val="00275144"/>
    <w:rsid w:val="00275220"/>
    <w:rsid w:val="0027529D"/>
    <w:rsid w:val="002752AD"/>
    <w:rsid w:val="00275431"/>
    <w:rsid w:val="002754FA"/>
    <w:rsid w:val="002757E2"/>
    <w:rsid w:val="0027583C"/>
    <w:rsid w:val="00275996"/>
    <w:rsid w:val="00275B52"/>
    <w:rsid w:val="00275C1E"/>
    <w:rsid w:val="00275C70"/>
    <w:rsid w:val="00275CEF"/>
    <w:rsid w:val="00275D3A"/>
    <w:rsid w:val="00275E68"/>
    <w:rsid w:val="00275E98"/>
    <w:rsid w:val="00275FB1"/>
    <w:rsid w:val="00276104"/>
    <w:rsid w:val="0027612E"/>
    <w:rsid w:val="0027619A"/>
    <w:rsid w:val="002761DD"/>
    <w:rsid w:val="002761FC"/>
    <w:rsid w:val="00276277"/>
    <w:rsid w:val="00276329"/>
    <w:rsid w:val="0027633F"/>
    <w:rsid w:val="00276456"/>
    <w:rsid w:val="0027646E"/>
    <w:rsid w:val="00276478"/>
    <w:rsid w:val="002764BC"/>
    <w:rsid w:val="002764F3"/>
    <w:rsid w:val="0027676C"/>
    <w:rsid w:val="00276775"/>
    <w:rsid w:val="00276787"/>
    <w:rsid w:val="002767A0"/>
    <w:rsid w:val="00276804"/>
    <w:rsid w:val="00276983"/>
    <w:rsid w:val="00276A19"/>
    <w:rsid w:val="00276AE4"/>
    <w:rsid w:val="00276B28"/>
    <w:rsid w:val="00276C5A"/>
    <w:rsid w:val="00276C9C"/>
    <w:rsid w:val="00276DC6"/>
    <w:rsid w:val="00276DDC"/>
    <w:rsid w:val="00276F14"/>
    <w:rsid w:val="00277148"/>
    <w:rsid w:val="0027715D"/>
    <w:rsid w:val="0027722F"/>
    <w:rsid w:val="0027728F"/>
    <w:rsid w:val="002774A7"/>
    <w:rsid w:val="00277551"/>
    <w:rsid w:val="0027756A"/>
    <w:rsid w:val="002775AE"/>
    <w:rsid w:val="002775FA"/>
    <w:rsid w:val="0027762E"/>
    <w:rsid w:val="0027763E"/>
    <w:rsid w:val="00277669"/>
    <w:rsid w:val="0027771A"/>
    <w:rsid w:val="00277754"/>
    <w:rsid w:val="0027775D"/>
    <w:rsid w:val="002777B9"/>
    <w:rsid w:val="00277879"/>
    <w:rsid w:val="00277885"/>
    <w:rsid w:val="002778A6"/>
    <w:rsid w:val="0027792D"/>
    <w:rsid w:val="00277A1B"/>
    <w:rsid w:val="00277BDC"/>
    <w:rsid w:val="00277CE4"/>
    <w:rsid w:val="00277D18"/>
    <w:rsid w:val="00277D5A"/>
    <w:rsid w:val="00277E7F"/>
    <w:rsid w:val="00277E90"/>
    <w:rsid w:val="00277F38"/>
    <w:rsid w:val="00277FDE"/>
    <w:rsid w:val="00277FEB"/>
    <w:rsid w:val="002800A5"/>
    <w:rsid w:val="00280120"/>
    <w:rsid w:val="00280187"/>
    <w:rsid w:val="002801BC"/>
    <w:rsid w:val="0028020D"/>
    <w:rsid w:val="00280269"/>
    <w:rsid w:val="002802CC"/>
    <w:rsid w:val="002802F0"/>
    <w:rsid w:val="002802FD"/>
    <w:rsid w:val="00280329"/>
    <w:rsid w:val="00280412"/>
    <w:rsid w:val="0028041D"/>
    <w:rsid w:val="00280512"/>
    <w:rsid w:val="00280522"/>
    <w:rsid w:val="00280528"/>
    <w:rsid w:val="002805AA"/>
    <w:rsid w:val="002806C6"/>
    <w:rsid w:val="002807AB"/>
    <w:rsid w:val="002807FA"/>
    <w:rsid w:val="00280A52"/>
    <w:rsid w:val="00280AAB"/>
    <w:rsid w:val="00280AD1"/>
    <w:rsid w:val="00280BB5"/>
    <w:rsid w:val="00280BCF"/>
    <w:rsid w:val="00280BD7"/>
    <w:rsid w:val="00280EA2"/>
    <w:rsid w:val="00280EC7"/>
    <w:rsid w:val="00280EFF"/>
    <w:rsid w:val="00280F39"/>
    <w:rsid w:val="00280F9F"/>
    <w:rsid w:val="00281026"/>
    <w:rsid w:val="0028108B"/>
    <w:rsid w:val="00281259"/>
    <w:rsid w:val="0028133C"/>
    <w:rsid w:val="0028137A"/>
    <w:rsid w:val="00281441"/>
    <w:rsid w:val="00281641"/>
    <w:rsid w:val="0028177C"/>
    <w:rsid w:val="00281854"/>
    <w:rsid w:val="00281976"/>
    <w:rsid w:val="00281C78"/>
    <w:rsid w:val="00281C98"/>
    <w:rsid w:val="00281CA1"/>
    <w:rsid w:val="00281DD3"/>
    <w:rsid w:val="00282008"/>
    <w:rsid w:val="0028207C"/>
    <w:rsid w:val="002820A7"/>
    <w:rsid w:val="00282170"/>
    <w:rsid w:val="002821FD"/>
    <w:rsid w:val="002822E1"/>
    <w:rsid w:val="00282307"/>
    <w:rsid w:val="0028230A"/>
    <w:rsid w:val="00282373"/>
    <w:rsid w:val="00282399"/>
    <w:rsid w:val="002823BB"/>
    <w:rsid w:val="00282470"/>
    <w:rsid w:val="00282490"/>
    <w:rsid w:val="002824C6"/>
    <w:rsid w:val="00282594"/>
    <w:rsid w:val="002825D6"/>
    <w:rsid w:val="00282617"/>
    <w:rsid w:val="00282651"/>
    <w:rsid w:val="00282699"/>
    <w:rsid w:val="00282722"/>
    <w:rsid w:val="0028284E"/>
    <w:rsid w:val="0028287C"/>
    <w:rsid w:val="00282938"/>
    <w:rsid w:val="0028299C"/>
    <w:rsid w:val="002829A9"/>
    <w:rsid w:val="002829EB"/>
    <w:rsid w:val="00282AB2"/>
    <w:rsid w:val="00282B55"/>
    <w:rsid w:val="00282BBB"/>
    <w:rsid w:val="00282C0C"/>
    <w:rsid w:val="00282D44"/>
    <w:rsid w:val="00282DAF"/>
    <w:rsid w:val="00282DBE"/>
    <w:rsid w:val="00282DBF"/>
    <w:rsid w:val="00282E18"/>
    <w:rsid w:val="0028310D"/>
    <w:rsid w:val="0028315D"/>
    <w:rsid w:val="002831FA"/>
    <w:rsid w:val="002831FF"/>
    <w:rsid w:val="0028322E"/>
    <w:rsid w:val="00283243"/>
    <w:rsid w:val="0028332B"/>
    <w:rsid w:val="002833A3"/>
    <w:rsid w:val="002833FC"/>
    <w:rsid w:val="00283412"/>
    <w:rsid w:val="00283435"/>
    <w:rsid w:val="00283539"/>
    <w:rsid w:val="00283734"/>
    <w:rsid w:val="002837B8"/>
    <w:rsid w:val="002839FD"/>
    <w:rsid w:val="00283A6F"/>
    <w:rsid w:val="00283B06"/>
    <w:rsid w:val="00283DD9"/>
    <w:rsid w:val="00283DDD"/>
    <w:rsid w:val="00283FA9"/>
    <w:rsid w:val="0028412B"/>
    <w:rsid w:val="00284210"/>
    <w:rsid w:val="00284327"/>
    <w:rsid w:val="0028453F"/>
    <w:rsid w:val="002845CA"/>
    <w:rsid w:val="002845D2"/>
    <w:rsid w:val="00284618"/>
    <w:rsid w:val="00284696"/>
    <w:rsid w:val="002847C5"/>
    <w:rsid w:val="0028481D"/>
    <w:rsid w:val="00284968"/>
    <w:rsid w:val="00284979"/>
    <w:rsid w:val="002849E7"/>
    <w:rsid w:val="00284A27"/>
    <w:rsid w:val="00284AEE"/>
    <w:rsid w:val="00284D50"/>
    <w:rsid w:val="00284DF5"/>
    <w:rsid w:val="00284E89"/>
    <w:rsid w:val="00284EE2"/>
    <w:rsid w:val="002850E6"/>
    <w:rsid w:val="00285103"/>
    <w:rsid w:val="002853CF"/>
    <w:rsid w:val="00285556"/>
    <w:rsid w:val="00285590"/>
    <w:rsid w:val="002857C0"/>
    <w:rsid w:val="00285800"/>
    <w:rsid w:val="002858D1"/>
    <w:rsid w:val="0028590A"/>
    <w:rsid w:val="00285A1B"/>
    <w:rsid w:val="00285A9E"/>
    <w:rsid w:val="00285ACD"/>
    <w:rsid w:val="00285B01"/>
    <w:rsid w:val="00285B04"/>
    <w:rsid w:val="00285BAA"/>
    <w:rsid w:val="00285C42"/>
    <w:rsid w:val="00285C58"/>
    <w:rsid w:val="00285E0C"/>
    <w:rsid w:val="00285F3A"/>
    <w:rsid w:val="00285F50"/>
    <w:rsid w:val="0028602B"/>
    <w:rsid w:val="002860BB"/>
    <w:rsid w:val="002860FF"/>
    <w:rsid w:val="00286223"/>
    <w:rsid w:val="002862FE"/>
    <w:rsid w:val="00286388"/>
    <w:rsid w:val="002863BF"/>
    <w:rsid w:val="002864E5"/>
    <w:rsid w:val="002865CF"/>
    <w:rsid w:val="0028662D"/>
    <w:rsid w:val="00286668"/>
    <w:rsid w:val="002867C1"/>
    <w:rsid w:val="002867D3"/>
    <w:rsid w:val="002867E5"/>
    <w:rsid w:val="00286837"/>
    <w:rsid w:val="00286854"/>
    <w:rsid w:val="00286953"/>
    <w:rsid w:val="0028695D"/>
    <w:rsid w:val="002869D9"/>
    <w:rsid w:val="002869FA"/>
    <w:rsid w:val="00286A43"/>
    <w:rsid w:val="00286A52"/>
    <w:rsid w:val="00286A57"/>
    <w:rsid w:val="00286B5B"/>
    <w:rsid w:val="00286BBC"/>
    <w:rsid w:val="00286BBD"/>
    <w:rsid w:val="00286D80"/>
    <w:rsid w:val="00286DA0"/>
    <w:rsid w:val="00286DCC"/>
    <w:rsid w:val="00286DD2"/>
    <w:rsid w:val="00286DD5"/>
    <w:rsid w:val="00286E79"/>
    <w:rsid w:val="00286F17"/>
    <w:rsid w:val="00286FD7"/>
    <w:rsid w:val="00287015"/>
    <w:rsid w:val="00287048"/>
    <w:rsid w:val="002870FB"/>
    <w:rsid w:val="00287179"/>
    <w:rsid w:val="00287208"/>
    <w:rsid w:val="00287246"/>
    <w:rsid w:val="0028743E"/>
    <w:rsid w:val="00287452"/>
    <w:rsid w:val="002874CC"/>
    <w:rsid w:val="00287550"/>
    <w:rsid w:val="00287623"/>
    <w:rsid w:val="002877CD"/>
    <w:rsid w:val="00287933"/>
    <w:rsid w:val="00287960"/>
    <w:rsid w:val="00287972"/>
    <w:rsid w:val="00287A20"/>
    <w:rsid w:val="00287A78"/>
    <w:rsid w:val="00287A9C"/>
    <w:rsid w:val="00287B42"/>
    <w:rsid w:val="00287B79"/>
    <w:rsid w:val="00287B88"/>
    <w:rsid w:val="00287C7F"/>
    <w:rsid w:val="00287D63"/>
    <w:rsid w:val="00287F2C"/>
    <w:rsid w:val="00287F98"/>
    <w:rsid w:val="002900C0"/>
    <w:rsid w:val="0029010F"/>
    <w:rsid w:val="002902AF"/>
    <w:rsid w:val="00290435"/>
    <w:rsid w:val="00290439"/>
    <w:rsid w:val="00290505"/>
    <w:rsid w:val="0029053B"/>
    <w:rsid w:val="00290597"/>
    <w:rsid w:val="00290643"/>
    <w:rsid w:val="00290B88"/>
    <w:rsid w:val="00290BB6"/>
    <w:rsid w:val="00290C60"/>
    <w:rsid w:val="00290C68"/>
    <w:rsid w:val="00290CBA"/>
    <w:rsid w:val="00290D25"/>
    <w:rsid w:val="00290D54"/>
    <w:rsid w:val="00290EE0"/>
    <w:rsid w:val="00290F0C"/>
    <w:rsid w:val="00290F0E"/>
    <w:rsid w:val="00290F54"/>
    <w:rsid w:val="00291001"/>
    <w:rsid w:val="0029103F"/>
    <w:rsid w:val="00291071"/>
    <w:rsid w:val="002911E1"/>
    <w:rsid w:val="002912A7"/>
    <w:rsid w:val="002912E7"/>
    <w:rsid w:val="00291373"/>
    <w:rsid w:val="002913E4"/>
    <w:rsid w:val="0029148A"/>
    <w:rsid w:val="002914BC"/>
    <w:rsid w:val="00291511"/>
    <w:rsid w:val="0029159C"/>
    <w:rsid w:val="002915A5"/>
    <w:rsid w:val="00291619"/>
    <w:rsid w:val="0029178A"/>
    <w:rsid w:val="0029184E"/>
    <w:rsid w:val="002918BE"/>
    <w:rsid w:val="00291910"/>
    <w:rsid w:val="0029198C"/>
    <w:rsid w:val="002919CB"/>
    <w:rsid w:val="00291A70"/>
    <w:rsid w:val="00291BA2"/>
    <w:rsid w:val="00291C0D"/>
    <w:rsid w:val="00291C12"/>
    <w:rsid w:val="00291C19"/>
    <w:rsid w:val="00291CA6"/>
    <w:rsid w:val="00291CBE"/>
    <w:rsid w:val="00291D3D"/>
    <w:rsid w:val="00291DEE"/>
    <w:rsid w:val="002920EF"/>
    <w:rsid w:val="0029226D"/>
    <w:rsid w:val="00292342"/>
    <w:rsid w:val="0029259B"/>
    <w:rsid w:val="00292648"/>
    <w:rsid w:val="00292688"/>
    <w:rsid w:val="002926D0"/>
    <w:rsid w:val="002926D1"/>
    <w:rsid w:val="00292762"/>
    <w:rsid w:val="00292871"/>
    <w:rsid w:val="00292928"/>
    <w:rsid w:val="0029292C"/>
    <w:rsid w:val="00292A1A"/>
    <w:rsid w:val="00292C00"/>
    <w:rsid w:val="00292C6E"/>
    <w:rsid w:val="00292CB5"/>
    <w:rsid w:val="00292DCF"/>
    <w:rsid w:val="00292F67"/>
    <w:rsid w:val="00293003"/>
    <w:rsid w:val="00293017"/>
    <w:rsid w:val="002930BB"/>
    <w:rsid w:val="00293107"/>
    <w:rsid w:val="002931BE"/>
    <w:rsid w:val="002931C4"/>
    <w:rsid w:val="00293272"/>
    <w:rsid w:val="0029327B"/>
    <w:rsid w:val="00293311"/>
    <w:rsid w:val="0029334F"/>
    <w:rsid w:val="0029342D"/>
    <w:rsid w:val="002934A4"/>
    <w:rsid w:val="00293580"/>
    <w:rsid w:val="00293678"/>
    <w:rsid w:val="0029384D"/>
    <w:rsid w:val="0029394A"/>
    <w:rsid w:val="00293B35"/>
    <w:rsid w:val="00293CB4"/>
    <w:rsid w:val="00293D07"/>
    <w:rsid w:val="00293DE2"/>
    <w:rsid w:val="00293EA3"/>
    <w:rsid w:val="00293EA5"/>
    <w:rsid w:val="00293F19"/>
    <w:rsid w:val="00293F2D"/>
    <w:rsid w:val="00293F3E"/>
    <w:rsid w:val="00293F3F"/>
    <w:rsid w:val="00293FA2"/>
    <w:rsid w:val="00293FDA"/>
    <w:rsid w:val="00294010"/>
    <w:rsid w:val="0029401D"/>
    <w:rsid w:val="00294021"/>
    <w:rsid w:val="0029412D"/>
    <w:rsid w:val="0029433F"/>
    <w:rsid w:val="00294341"/>
    <w:rsid w:val="0029436B"/>
    <w:rsid w:val="002943DE"/>
    <w:rsid w:val="002943E8"/>
    <w:rsid w:val="0029441B"/>
    <w:rsid w:val="002944A7"/>
    <w:rsid w:val="002944E4"/>
    <w:rsid w:val="002944F4"/>
    <w:rsid w:val="00294585"/>
    <w:rsid w:val="00294713"/>
    <w:rsid w:val="00294730"/>
    <w:rsid w:val="002947D2"/>
    <w:rsid w:val="002949B5"/>
    <w:rsid w:val="00294A65"/>
    <w:rsid w:val="00294A96"/>
    <w:rsid w:val="00294C0D"/>
    <w:rsid w:val="00294C11"/>
    <w:rsid w:val="00294C24"/>
    <w:rsid w:val="00294CBA"/>
    <w:rsid w:val="00294CE6"/>
    <w:rsid w:val="00294CF8"/>
    <w:rsid w:val="00294E27"/>
    <w:rsid w:val="00294E58"/>
    <w:rsid w:val="00294E78"/>
    <w:rsid w:val="00294E9A"/>
    <w:rsid w:val="00294FD5"/>
    <w:rsid w:val="0029501D"/>
    <w:rsid w:val="002950BF"/>
    <w:rsid w:val="00295167"/>
    <w:rsid w:val="00295263"/>
    <w:rsid w:val="00295357"/>
    <w:rsid w:val="002953E6"/>
    <w:rsid w:val="00295428"/>
    <w:rsid w:val="0029546F"/>
    <w:rsid w:val="002954E8"/>
    <w:rsid w:val="00295632"/>
    <w:rsid w:val="00295668"/>
    <w:rsid w:val="002956B8"/>
    <w:rsid w:val="00295820"/>
    <w:rsid w:val="0029582B"/>
    <w:rsid w:val="0029599D"/>
    <w:rsid w:val="00295A28"/>
    <w:rsid w:val="00295B1A"/>
    <w:rsid w:val="00295B5E"/>
    <w:rsid w:val="00295BB3"/>
    <w:rsid w:val="00295BD1"/>
    <w:rsid w:val="00295C4C"/>
    <w:rsid w:val="00295D2E"/>
    <w:rsid w:val="00295D9B"/>
    <w:rsid w:val="00295DF5"/>
    <w:rsid w:val="00295FBA"/>
    <w:rsid w:val="00296005"/>
    <w:rsid w:val="00296168"/>
    <w:rsid w:val="00296256"/>
    <w:rsid w:val="002962F1"/>
    <w:rsid w:val="00296517"/>
    <w:rsid w:val="002965AB"/>
    <w:rsid w:val="00296615"/>
    <w:rsid w:val="002967FC"/>
    <w:rsid w:val="00296BBA"/>
    <w:rsid w:val="00296CBF"/>
    <w:rsid w:val="00296DBD"/>
    <w:rsid w:val="00296E30"/>
    <w:rsid w:val="00296E35"/>
    <w:rsid w:val="00296FBE"/>
    <w:rsid w:val="00296FCF"/>
    <w:rsid w:val="0029726D"/>
    <w:rsid w:val="002973C8"/>
    <w:rsid w:val="0029755E"/>
    <w:rsid w:val="00297584"/>
    <w:rsid w:val="00297598"/>
    <w:rsid w:val="0029761A"/>
    <w:rsid w:val="0029777D"/>
    <w:rsid w:val="0029787E"/>
    <w:rsid w:val="002978D1"/>
    <w:rsid w:val="00297909"/>
    <w:rsid w:val="00297A40"/>
    <w:rsid w:val="00297AF9"/>
    <w:rsid w:val="00297D41"/>
    <w:rsid w:val="00297D91"/>
    <w:rsid w:val="00297DB3"/>
    <w:rsid w:val="00297E74"/>
    <w:rsid w:val="00297E9B"/>
    <w:rsid w:val="00297F33"/>
    <w:rsid w:val="00297FBC"/>
    <w:rsid w:val="002A00AD"/>
    <w:rsid w:val="002A00C6"/>
    <w:rsid w:val="002A016E"/>
    <w:rsid w:val="002A0187"/>
    <w:rsid w:val="002A02E0"/>
    <w:rsid w:val="002A04A4"/>
    <w:rsid w:val="002A0511"/>
    <w:rsid w:val="002A0512"/>
    <w:rsid w:val="002A067C"/>
    <w:rsid w:val="002A0873"/>
    <w:rsid w:val="002A0A2A"/>
    <w:rsid w:val="002A0B25"/>
    <w:rsid w:val="002A0B3A"/>
    <w:rsid w:val="002A0C3E"/>
    <w:rsid w:val="002A0CDB"/>
    <w:rsid w:val="002A0D22"/>
    <w:rsid w:val="002A0D36"/>
    <w:rsid w:val="002A0D41"/>
    <w:rsid w:val="002A0E31"/>
    <w:rsid w:val="002A0E5A"/>
    <w:rsid w:val="002A0EA4"/>
    <w:rsid w:val="002A0EBC"/>
    <w:rsid w:val="002A0ED9"/>
    <w:rsid w:val="002A0FDD"/>
    <w:rsid w:val="002A0FFD"/>
    <w:rsid w:val="002A1050"/>
    <w:rsid w:val="002A115E"/>
    <w:rsid w:val="002A1339"/>
    <w:rsid w:val="002A15C0"/>
    <w:rsid w:val="002A1671"/>
    <w:rsid w:val="002A17D2"/>
    <w:rsid w:val="002A1945"/>
    <w:rsid w:val="002A1A50"/>
    <w:rsid w:val="002A1A59"/>
    <w:rsid w:val="002A1A6C"/>
    <w:rsid w:val="002A1A9B"/>
    <w:rsid w:val="002A1B78"/>
    <w:rsid w:val="002A1B8A"/>
    <w:rsid w:val="002A1C12"/>
    <w:rsid w:val="002A1CD7"/>
    <w:rsid w:val="002A1CFA"/>
    <w:rsid w:val="002A1D3B"/>
    <w:rsid w:val="002A1EAF"/>
    <w:rsid w:val="002A1F48"/>
    <w:rsid w:val="002A1F84"/>
    <w:rsid w:val="002A2040"/>
    <w:rsid w:val="002A20F3"/>
    <w:rsid w:val="002A2128"/>
    <w:rsid w:val="002A21AE"/>
    <w:rsid w:val="002A21BC"/>
    <w:rsid w:val="002A238D"/>
    <w:rsid w:val="002A2432"/>
    <w:rsid w:val="002A2575"/>
    <w:rsid w:val="002A25B4"/>
    <w:rsid w:val="002A278E"/>
    <w:rsid w:val="002A2828"/>
    <w:rsid w:val="002A2873"/>
    <w:rsid w:val="002A2917"/>
    <w:rsid w:val="002A29B0"/>
    <w:rsid w:val="002A2A19"/>
    <w:rsid w:val="002A2A38"/>
    <w:rsid w:val="002A2AC9"/>
    <w:rsid w:val="002A2AF9"/>
    <w:rsid w:val="002A2B32"/>
    <w:rsid w:val="002A2B46"/>
    <w:rsid w:val="002A2D08"/>
    <w:rsid w:val="002A2D44"/>
    <w:rsid w:val="002A2D4C"/>
    <w:rsid w:val="002A2DFA"/>
    <w:rsid w:val="002A2E6B"/>
    <w:rsid w:val="002A2E7F"/>
    <w:rsid w:val="002A2ED8"/>
    <w:rsid w:val="002A2EDD"/>
    <w:rsid w:val="002A2EFA"/>
    <w:rsid w:val="002A2F28"/>
    <w:rsid w:val="002A3038"/>
    <w:rsid w:val="002A305E"/>
    <w:rsid w:val="002A3076"/>
    <w:rsid w:val="002A3077"/>
    <w:rsid w:val="002A31D6"/>
    <w:rsid w:val="002A3200"/>
    <w:rsid w:val="002A3339"/>
    <w:rsid w:val="002A345A"/>
    <w:rsid w:val="002A3529"/>
    <w:rsid w:val="002A35E5"/>
    <w:rsid w:val="002A370A"/>
    <w:rsid w:val="002A3716"/>
    <w:rsid w:val="002A3843"/>
    <w:rsid w:val="002A38B7"/>
    <w:rsid w:val="002A39E8"/>
    <w:rsid w:val="002A3A2C"/>
    <w:rsid w:val="002A3B9A"/>
    <w:rsid w:val="002A3BFB"/>
    <w:rsid w:val="002A3CE5"/>
    <w:rsid w:val="002A3D4D"/>
    <w:rsid w:val="002A3DA1"/>
    <w:rsid w:val="002A3F49"/>
    <w:rsid w:val="002A3F57"/>
    <w:rsid w:val="002A4062"/>
    <w:rsid w:val="002A415E"/>
    <w:rsid w:val="002A4185"/>
    <w:rsid w:val="002A4221"/>
    <w:rsid w:val="002A4333"/>
    <w:rsid w:val="002A4442"/>
    <w:rsid w:val="002A4461"/>
    <w:rsid w:val="002A4475"/>
    <w:rsid w:val="002A4557"/>
    <w:rsid w:val="002A45CF"/>
    <w:rsid w:val="002A466C"/>
    <w:rsid w:val="002A46B8"/>
    <w:rsid w:val="002A46D0"/>
    <w:rsid w:val="002A4744"/>
    <w:rsid w:val="002A4775"/>
    <w:rsid w:val="002A47A2"/>
    <w:rsid w:val="002A485F"/>
    <w:rsid w:val="002A49D1"/>
    <w:rsid w:val="002A4A8A"/>
    <w:rsid w:val="002A4C8B"/>
    <w:rsid w:val="002A4D96"/>
    <w:rsid w:val="002A4DAD"/>
    <w:rsid w:val="002A4DEE"/>
    <w:rsid w:val="002A4FFE"/>
    <w:rsid w:val="002A50DB"/>
    <w:rsid w:val="002A5102"/>
    <w:rsid w:val="002A5182"/>
    <w:rsid w:val="002A5204"/>
    <w:rsid w:val="002A5228"/>
    <w:rsid w:val="002A5309"/>
    <w:rsid w:val="002A53A6"/>
    <w:rsid w:val="002A5493"/>
    <w:rsid w:val="002A54F7"/>
    <w:rsid w:val="002A55D9"/>
    <w:rsid w:val="002A567E"/>
    <w:rsid w:val="002A5716"/>
    <w:rsid w:val="002A5773"/>
    <w:rsid w:val="002A579E"/>
    <w:rsid w:val="002A5933"/>
    <w:rsid w:val="002A596B"/>
    <w:rsid w:val="002A5A1F"/>
    <w:rsid w:val="002A5AA0"/>
    <w:rsid w:val="002A5BEF"/>
    <w:rsid w:val="002A5C10"/>
    <w:rsid w:val="002A5C36"/>
    <w:rsid w:val="002A5DD3"/>
    <w:rsid w:val="002A5E7B"/>
    <w:rsid w:val="002A5EAD"/>
    <w:rsid w:val="002A5EC6"/>
    <w:rsid w:val="002A5FA5"/>
    <w:rsid w:val="002A606B"/>
    <w:rsid w:val="002A60C4"/>
    <w:rsid w:val="002A610D"/>
    <w:rsid w:val="002A6130"/>
    <w:rsid w:val="002A61AE"/>
    <w:rsid w:val="002A62AC"/>
    <w:rsid w:val="002A6357"/>
    <w:rsid w:val="002A6360"/>
    <w:rsid w:val="002A644A"/>
    <w:rsid w:val="002A6496"/>
    <w:rsid w:val="002A668F"/>
    <w:rsid w:val="002A66C9"/>
    <w:rsid w:val="002A66D7"/>
    <w:rsid w:val="002A66D9"/>
    <w:rsid w:val="002A6826"/>
    <w:rsid w:val="002A688E"/>
    <w:rsid w:val="002A68D9"/>
    <w:rsid w:val="002A696C"/>
    <w:rsid w:val="002A69BF"/>
    <w:rsid w:val="002A6CE8"/>
    <w:rsid w:val="002A6D61"/>
    <w:rsid w:val="002A6DAC"/>
    <w:rsid w:val="002A6DF5"/>
    <w:rsid w:val="002A6E44"/>
    <w:rsid w:val="002A6E6D"/>
    <w:rsid w:val="002A6FED"/>
    <w:rsid w:val="002A7059"/>
    <w:rsid w:val="002A714A"/>
    <w:rsid w:val="002A71C1"/>
    <w:rsid w:val="002A7290"/>
    <w:rsid w:val="002A72AC"/>
    <w:rsid w:val="002A72D9"/>
    <w:rsid w:val="002A736C"/>
    <w:rsid w:val="002A743E"/>
    <w:rsid w:val="002A74A3"/>
    <w:rsid w:val="002A74C9"/>
    <w:rsid w:val="002A757B"/>
    <w:rsid w:val="002A75B6"/>
    <w:rsid w:val="002A76A0"/>
    <w:rsid w:val="002A7716"/>
    <w:rsid w:val="002A77C1"/>
    <w:rsid w:val="002A77F0"/>
    <w:rsid w:val="002A7987"/>
    <w:rsid w:val="002A79C7"/>
    <w:rsid w:val="002A79DE"/>
    <w:rsid w:val="002A7A4F"/>
    <w:rsid w:val="002A7B87"/>
    <w:rsid w:val="002A7C25"/>
    <w:rsid w:val="002A7D4E"/>
    <w:rsid w:val="002A7E0A"/>
    <w:rsid w:val="002A7E48"/>
    <w:rsid w:val="002A7FA0"/>
    <w:rsid w:val="002B03B9"/>
    <w:rsid w:val="002B03CF"/>
    <w:rsid w:val="002B0453"/>
    <w:rsid w:val="002B055C"/>
    <w:rsid w:val="002B0608"/>
    <w:rsid w:val="002B06D6"/>
    <w:rsid w:val="002B072E"/>
    <w:rsid w:val="002B075F"/>
    <w:rsid w:val="002B0833"/>
    <w:rsid w:val="002B0921"/>
    <w:rsid w:val="002B09D2"/>
    <w:rsid w:val="002B0A5F"/>
    <w:rsid w:val="002B0A85"/>
    <w:rsid w:val="002B0CE9"/>
    <w:rsid w:val="002B0D61"/>
    <w:rsid w:val="002B0D70"/>
    <w:rsid w:val="002B0DE6"/>
    <w:rsid w:val="002B0E4C"/>
    <w:rsid w:val="002B0E64"/>
    <w:rsid w:val="002B0EE2"/>
    <w:rsid w:val="002B0F28"/>
    <w:rsid w:val="002B0FC8"/>
    <w:rsid w:val="002B0FE0"/>
    <w:rsid w:val="002B1059"/>
    <w:rsid w:val="002B1136"/>
    <w:rsid w:val="002B1187"/>
    <w:rsid w:val="002B1192"/>
    <w:rsid w:val="002B1288"/>
    <w:rsid w:val="002B12BF"/>
    <w:rsid w:val="002B1354"/>
    <w:rsid w:val="002B1449"/>
    <w:rsid w:val="002B14B6"/>
    <w:rsid w:val="002B14F6"/>
    <w:rsid w:val="002B1510"/>
    <w:rsid w:val="002B15C5"/>
    <w:rsid w:val="002B1745"/>
    <w:rsid w:val="002B1786"/>
    <w:rsid w:val="002B1791"/>
    <w:rsid w:val="002B18A8"/>
    <w:rsid w:val="002B18B2"/>
    <w:rsid w:val="002B1927"/>
    <w:rsid w:val="002B1A06"/>
    <w:rsid w:val="002B1A1B"/>
    <w:rsid w:val="002B1C10"/>
    <w:rsid w:val="002B1C24"/>
    <w:rsid w:val="002B1C93"/>
    <w:rsid w:val="002B1CD5"/>
    <w:rsid w:val="002B1E3E"/>
    <w:rsid w:val="002B1EB4"/>
    <w:rsid w:val="002B1FA2"/>
    <w:rsid w:val="002B2044"/>
    <w:rsid w:val="002B21B5"/>
    <w:rsid w:val="002B221D"/>
    <w:rsid w:val="002B2272"/>
    <w:rsid w:val="002B2284"/>
    <w:rsid w:val="002B2350"/>
    <w:rsid w:val="002B2366"/>
    <w:rsid w:val="002B23B1"/>
    <w:rsid w:val="002B253A"/>
    <w:rsid w:val="002B25C6"/>
    <w:rsid w:val="002B28D3"/>
    <w:rsid w:val="002B28EB"/>
    <w:rsid w:val="002B28FD"/>
    <w:rsid w:val="002B2986"/>
    <w:rsid w:val="002B29C3"/>
    <w:rsid w:val="002B2A07"/>
    <w:rsid w:val="002B2A6A"/>
    <w:rsid w:val="002B2A74"/>
    <w:rsid w:val="002B2B91"/>
    <w:rsid w:val="002B2C65"/>
    <w:rsid w:val="002B2C81"/>
    <w:rsid w:val="002B2CBF"/>
    <w:rsid w:val="002B2DC0"/>
    <w:rsid w:val="002B2E3C"/>
    <w:rsid w:val="002B2E55"/>
    <w:rsid w:val="002B2EB0"/>
    <w:rsid w:val="002B2F5D"/>
    <w:rsid w:val="002B2F6E"/>
    <w:rsid w:val="002B2F9E"/>
    <w:rsid w:val="002B3008"/>
    <w:rsid w:val="002B300A"/>
    <w:rsid w:val="002B3070"/>
    <w:rsid w:val="002B313E"/>
    <w:rsid w:val="002B3298"/>
    <w:rsid w:val="002B331E"/>
    <w:rsid w:val="002B33DF"/>
    <w:rsid w:val="002B35F1"/>
    <w:rsid w:val="002B3886"/>
    <w:rsid w:val="002B3964"/>
    <w:rsid w:val="002B3A77"/>
    <w:rsid w:val="002B3BEF"/>
    <w:rsid w:val="002B3CD1"/>
    <w:rsid w:val="002B3D99"/>
    <w:rsid w:val="002B3DA6"/>
    <w:rsid w:val="002B3DEF"/>
    <w:rsid w:val="002B3E60"/>
    <w:rsid w:val="002B3EAA"/>
    <w:rsid w:val="002B405E"/>
    <w:rsid w:val="002B415E"/>
    <w:rsid w:val="002B431B"/>
    <w:rsid w:val="002B4417"/>
    <w:rsid w:val="002B46B0"/>
    <w:rsid w:val="002B46DF"/>
    <w:rsid w:val="002B46F4"/>
    <w:rsid w:val="002B48B7"/>
    <w:rsid w:val="002B4AFF"/>
    <w:rsid w:val="002B4B10"/>
    <w:rsid w:val="002B4C4C"/>
    <w:rsid w:val="002B4CA6"/>
    <w:rsid w:val="002B4F40"/>
    <w:rsid w:val="002B4FAF"/>
    <w:rsid w:val="002B4FBC"/>
    <w:rsid w:val="002B4FDD"/>
    <w:rsid w:val="002B524A"/>
    <w:rsid w:val="002B5297"/>
    <w:rsid w:val="002B52EA"/>
    <w:rsid w:val="002B5358"/>
    <w:rsid w:val="002B5383"/>
    <w:rsid w:val="002B5430"/>
    <w:rsid w:val="002B5695"/>
    <w:rsid w:val="002B56B9"/>
    <w:rsid w:val="002B576F"/>
    <w:rsid w:val="002B584B"/>
    <w:rsid w:val="002B5A2A"/>
    <w:rsid w:val="002B5A83"/>
    <w:rsid w:val="002B5AA1"/>
    <w:rsid w:val="002B5AD2"/>
    <w:rsid w:val="002B5AF7"/>
    <w:rsid w:val="002B5B9F"/>
    <w:rsid w:val="002B5CDF"/>
    <w:rsid w:val="002B5D02"/>
    <w:rsid w:val="002B5D88"/>
    <w:rsid w:val="002B5EDB"/>
    <w:rsid w:val="002B6043"/>
    <w:rsid w:val="002B6081"/>
    <w:rsid w:val="002B617B"/>
    <w:rsid w:val="002B61BA"/>
    <w:rsid w:val="002B6249"/>
    <w:rsid w:val="002B6319"/>
    <w:rsid w:val="002B6333"/>
    <w:rsid w:val="002B686F"/>
    <w:rsid w:val="002B6963"/>
    <w:rsid w:val="002B6A06"/>
    <w:rsid w:val="002B6AD1"/>
    <w:rsid w:val="002B6B31"/>
    <w:rsid w:val="002B6D33"/>
    <w:rsid w:val="002B6D99"/>
    <w:rsid w:val="002B6DC3"/>
    <w:rsid w:val="002B6F27"/>
    <w:rsid w:val="002B6F64"/>
    <w:rsid w:val="002B6FA3"/>
    <w:rsid w:val="002B7038"/>
    <w:rsid w:val="002B7171"/>
    <w:rsid w:val="002B7367"/>
    <w:rsid w:val="002B7377"/>
    <w:rsid w:val="002B7427"/>
    <w:rsid w:val="002B76AA"/>
    <w:rsid w:val="002B782B"/>
    <w:rsid w:val="002B7895"/>
    <w:rsid w:val="002B7980"/>
    <w:rsid w:val="002B7993"/>
    <w:rsid w:val="002B79B8"/>
    <w:rsid w:val="002B79D6"/>
    <w:rsid w:val="002B7A87"/>
    <w:rsid w:val="002B7B23"/>
    <w:rsid w:val="002B7BCF"/>
    <w:rsid w:val="002B7C41"/>
    <w:rsid w:val="002B7E01"/>
    <w:rsid w:val="002B7F40"/>
    <w:rsid w:val="002C000E"/>
    <w:rsid w:val="002C0091"/>
    <w:rsid w:val="002C0092"/>
    <w:rsid w:val="002C0123"/>
    <w:rsid w:val="002C01C0"/>
    <w:rsid w:val="002C01CA"/>
    <w:rsid w:val="002C02A0"/>
    <w:rsid w:val="002C0357"/>
    <w:rsid w:val="002C05DF"/>
    <w:rsid w:val="002C062D"/>
    <w:rsid w:val="002C0645"/>
    <w:rsid w:val="002C0699"/>
    <w:rsid w:val="002C0742"/>
    <w:rsid w:val="002C08D3"/>
    <w:rsid w:val="002C09A7"/>
    <w:rsid w:val="002C0A3A"/>
    <w:rsid w:val="002C0CA9"/>
    <w:rsid w:val="002C0E01"/>
    <w:rsid w:val="002C0E0C"/>
    <w:rsid w:val="002C0E61"/>
    <w:rsid w:val="002C0F3A"/>
    <w:rsid w:val="002C107E"/>
    <w:rsid w:val="002C10B2"/>
    <w:rsid w:val="002C10DA"/>
    <w:rsid w:val="002C11FA"/>
    <w:rsid w:val="002C1330"/>
    <w:rsid w:val="002C1355"/>
    <w:rsid w:val="002C1443"/>
    <w:rsid w:val="002C14D8"/>
    <w:rsid w:val="002C1619"/>
    <w:rsid w:val="002C164B"/>
    <w:rsid w:val="002C168F"/>
    <w:rsid w:val="002C1747"/>
    <w:rsid w:val="002C175E"/>
    <w:rsid w:val="002C17C4"/>
    <w:rsid w:val="002C17DF"/>
    <w:rsid w:val="002C1817"/>
    <w:rsid w:val="002C1878"/>
    <w:rsid w:val="002C1A28"/>
    <w:rsid w:val="002C1AD8"/>
    <w:rsid w:val="002C1C3E"/>
    <w:rsid w:val="002C1C50"/>
    <w:rsid w:val="002C1DD0"/>
    <w:rsid w:val="002C1E4F"/>
    <w:rsid w:val="002C203F"/>
    <w:rsid w:val="002C20B9"/>
    <w:rsid w:val="002C20BB"/>
    <w:rsid w:val="002C20EF"/>
    <w:rsid w:val="002C21C4"/>
    <w:rsid w:val="002C2246"/>
    <w:rsid w:val="002C2306"/>
    <w:rsid w:val="002C2409"/>
    <w:rsid w:val="002C24B7"/>
    <w:rsid w:val="002C25AC"/>
    <w:rsid w:val="002C25E8"/>
    <w:rsid w:val="002C2611"/>
    <w:rsid w:val="002C2773"/>
    <w:rsid w:val="002C28E8"/>
    <w:rsid w:val="002C2958"/>
    <w:rsid w:val="002C297A"/>
    <w:rsid w:val="002C2A92"/>
    <w:rsid w:val="002C2AFA"/>
    <w:rsid w:val="002C2C1E"/>
    <w:rsid w:val="002C2C29"/>
    <w:rsid w:val="002C2C4C"/>
    <w:rsid w:val="002C2C8E"/>
    <w:rsid w:val="002C2CDE"/>
    <w:rsid w:val="002C2CED"/>
    <w:rsid w:val="002C2D35"/>
    <w:rsid w:val="002C2DAC"/>
    <w:rsid w:val="002C2DDC"/>
    <w:rsid w:val="002C2E5E"/>
    <w:rsid w:val="002C2EB2"/>
    <w:rsid w:val="002C2F36"/>
    <w:rsid w:val="002C2F40"/>
    <w:rsid w:val="002C2F6E"/>
    <w:rsid w:val="002C2FDC"/>
    <w:rsid w:val="002C30F3"/>
    <w:rsid w:val="002C32DD"/>
    <w:rsid w:val="002C32F9"/>
    <w:rsid w:val="002C3335"/>
    <w:rsid w:val="002C3399"/>
    <w:rsid w:val="002C33CF"/>
    <w:rsid w:val="002C3471"/>
    <w:rsid w:val="002C357A"/>
    <w:rsid w:val="002C3585"/>
    <w:rsid w:val="002C3627"/>
    <w:rsid w:val="002C3654"/>
    <w:rsid w:val="002C3668"/>
    <w:rsid w:val="002C37B3"/>
    <w:rsid w:val="002C37FF"/>
    <w:rsid w:val="002C38E9"/>
    <w:rsid w:val="002C39CD"/>
    <w:rsid w:val="002C3A4C"/>
    <w:rsid w:val="002C3A8E"/>
    <w:rsid w:val="002C3C45"/>
    <w:rsid w:val="002C3C7C"/>
    <w:rsid w:val="002C3CB8"/>
    <w:rsid w:val="002C3CF5"/>
    <w:rsid w:val="002C3D04"/>
    <w:rsid w:val="002C3E0D"/>
    <w:rsid w:val="002C3E46"/>
    <w:rsid w:val="002C3E70"/>
    <w:rsid w:val="002C3EC6"/>
    <w:rsid w:val="002C3EF5"/>
    <w:rsid w:val="002C3F01"/>
    <w:rsid w:val="002C3F12"/>
    <w:rsid w:val="002C4051"/>
    <w:rsid w:val="002C406E"/>
    <w:rsid w:val="002C416A"/>
    <w:rsid w:val="002C4184"/>
    <w:rsid w:val="002C4556"/>
    <w:rsid w:val="002C46DB"/>
    <w:rsid w:val="002C47A6"/>
    <w:rsid w:val="002C486F"/>
    <w:rsid w:val="002C48CA"/>
    <w:rsid w:val="002C492E"/>
    <w:rsid w:val="002C49C9"/>
    <w:rsid w:val="002C49D2"/>
    <w:rsid w:val="002C4A02"/>
    <w:rsid w:val="002C4A3B"/>
    <w:rsid w:val="002C4A3E"/>
    <w:rsid w:val="002C4C08"/>
    <w:rsid w:val="002C4E57"/>
    <w:rsid w:val="002C4E77"/>
    <w:rsid w:val="002C4E8F"/>
    <w:rsid w:val="002C4E9B"/>
    <w:rsid w:val="002C4FD2"/>
    <w:rsid w:val="002C5058"/>
    <w:rsid w:val="002C5060"/>
    <w:rsid w:val="002C5195"/>
    <w:rsid w:val="002C5204"/>
    <w:rsid w:val="002C523A"/>
    <w:rsid w:val="002C523F"/>
    <w:rsid w:val="002C5288"/>
    <w:rsid w:val="002C5429"/>
    <w:rsid w:val="002C5538"/>
    <w:rsid w:val="002C5728"/>
    <w:rsid w:val="002C57EB"/>
    <w:rsid w:val="002C580C"/>
    <w:rsid w:val="002C5830"/>
    <w:rsid w:val="002C5886"/>
    <w:rsid w:val="002C58EC"/>
    <w:rsid w:val="002C5A73"/>
    <w:rsid w:val="002C5AD7"/>
    <w:rsid w:val="002C5C2E"/>
    <w:rsid w:val="002C5E5D"/>
    <w:rsid w:val="002C5E8F"/>
    <w:rsid w:val="002C5F05"/>
    <w:rsid w:val="002C5F42"/>
    <w:rsid w:val="002C5F5E"/>
    <w:rsid w:val="002C5FF7"/>
    <w:rsid w:val="002C6056"/>
    <w:rsid w:val="002C60B2"/>
    <w:rsid w:val="002C6105"/>
    <w:rsid w:val="002C6146"/>
    <w:rsid w:val="002C617F"/>
    <w:rsid w:val="002C6375"/>
    <w:rsid w:val="002C63D3"/>
    <w:rsid w:val="002C6418"/>
    <w:rsid w:val="002C655B"/>
    <w:rsid w:val="002C6575"/>
    <w:rsid w:val="002C65ED"/>
    <w:rsid w:val="002C675B"/>
    <w:rsid w:val="002C67B4"/>
    <w:rsid w:val="002C67E7"/>
    <w:rsid w:val="002C67F7"/>
    <w:rsid w:val="002C6805"/>
    <w:rsid w:val="002C68CA"/>
    <w:rsid w:val="002C6997"/>
    <w:rsid w:val="002C6A1B"/>
    <w:rsid w:val="002C6B0D"/>
    <w:rsid w:val="002C6BA8"/>
    <w:rsid w:val="002C6BFC"/>
    <w:rsid w:val="002C6C06"/>
    <w:rsid w:val="002C6CCA"/>
    <w:rsid w:val="002C6E34"/>
    <w:rsid w:val="002C6E5F"/>
    <w:rsid w:val="002C6ECF"/>
    <w:rsid w:val="002C6EEB"/>
    <w:rsid w:val="002C6F03"/>
    <w:rsid w:val="002C6F32"/>
    <w:rsid w:val="002C6FAE"/>
    <w:rsid w:val="002C7058"/>
    <w:rsid w:val="002C71E2"/>
    <w:rsid w:val="002C7264"/>
    <w:rsid w:val="002C7302"/>
    <w:rsid w:val="002C7340"/>
    <w:rsid w:val="002C7362"/>
    <w:rsid w:val="002C7371"/>
    <w:rsid w:val="002C7377"/>
    <w:rsid w:val="002C77D3"/>
    <w:rsid w:val="002C780F"/>
    <w:rsid w:val="002C781B"/>
    <w:rsid w:val="002C79E5"/>
    <w:rsid w:val="002C7A7D"/>
    <w:rsid w:val="002C7C22"/>
    <w:rsid w:val="002C7C31"/>
    <w:rsid w:val="002C7DFD"/>
    <w:rsid w:val="002C7E48"/>
    <w:rsid w:val="002C7E75"/>
    <w:rsid w:val="002C7EF9"/>
    <w:rsid w:val="002C7FED"/>
    <w:rsid w:val="002D01EB"/>
    <w:rsid w:val="002D02B1"/>
    <w:rsid w:val="002D0350"/>
    <w:rsid w:val="002D046D"/>
    <w:rsid w:val="002D0512"/>
    <w:rsid w:val="002D063E"/>
    <w:rsid w:val="002D06EB"/>
    <w:rsid w:val="002D0753"/>
    <w:rsid w:val="002D0781"/>
    <w:rsid w:val="002D0824"/>
    <w:rsid w:val="002D0843"/>
    <w:rsid w:val="002D0866"/>
    <w:rsid w:val="002D090F"/>
    <w:rsid w:val="002D0985"/>
    <w:rsid w:val="002D0B5E"/>
    <w:rsid w:val="002D0B77"/>
    <w:rsid w:val="002D0BFA"/>
    <w:rsid w:val="002D0DA3"/>
    <w:rsid w:val="002D0DB1"/>
    <w:rsid w:val="002D0EE7"/>
    <w:rsid w:val="002D0F75"/>
    <w:rsid w:val="002D0F96"/>
    <w:rsid w:val="002D1079"/>
    <w:rsid w:val="002D108B"/>
    <w:rsid w:val="002D1133"/>
    <w:rsid w:val="002D1199"/>
    <w:rsid w:val="002D11E3"/>
    <w:rsid w:val="002D1276"/>
    <w:rsid w:val="002D12D4"/>
    <w:rsid w:val="002D1319"/>
    <w:rsid w:val="002D1347"/>
    <w:rsid w:val="002D141F"/>
    <w:rsid w:val="002D143B"/>
    <w:rsid w:val="002D1592"/>
    <w:rsid w:val="002D1639"/>
    <w:rsid w:val="002D171A"/>
    <w:rsid w:val="002D17C5"/>
    <w:rsid w:val="002D17E3"/>
    <w:rsid w:val="002D18B5"/>
    <w:rsid w:val="002D19D7"/>
    <w:rsid w:val="002D1A2E"/>
    <w:rsid w:val="002D1A61"/>
    <w:rsid w:val="002D1B35"/>
    <w:rsid w:val="002D1C6A"/>
    <w:rsid w:val="002D1CBE"/>
    <w:rsid w:val="002D1D6F"/>
    <w:rsid w:val="002D1D71"/>
    <w:rsid w:val="002D1D7B"/>
    <w:rsid w:val="002D1E0A"/>
    <w:rsid w:val="002D1E8E"/>
    <w:rsid w:val="002D1EFD"/>
    <w:rsid w:val="002D1FA5"/>
    <w:rsid w:val="002D1FE7"/>
    <w:rsid w:val="002D21BB"/>
    <w:rsid w:val="002D2277"/>
    <w:rsid w:val="002D22D1"/>
    <w:rsid w:val="002D2421"/>
    <w:rsid w:val="002D2446"/>
    <w:rsid w:val="002D2540"/>
    <w:rsid w:val="002D2870"/>
    <w:rsid w:val="002D28F2"/>
    <w:rsid w:val="002D2A2A"/>
    <w:rsid w:val="002D2A2D"/>
    <w:rsid w:val="002D2A72"/>
    <w:rsid w:val="002D2A7E"/>
    <w:rsid w:val="002D2B5D"/>
    <w:rsid w:val="002D2BF0"/>
    <w:rsid w:val="002D2D0A"/>
    <w:rsid w:val="002D2D28"/>
    <w:rsid w:val="002D2E1F"/>
    <w:rsid w:val="002D2E3E"/>
    <w:rsid w:val="002D31C5"/>
    <w:rsid w:val="002D31DD"/>
    <w:rsid w:val="002D321C"/>
    <w:rsid w:val="002D3220"/>
    <w:rsid w:val="002D32E1"/>
    <w:rsid w:val="002D334B"/>
    <w:rsid w:val="002D3411"/>
    <w:rsid w:val="002D3496"/>
    <w:rsid w:val="002D3550"/>
    <w:rsid w:val="002D3561"/>
    <w:rsid w:val="002D35CD"/>
    <w:rsid w:val="002D3665"/>
    <w:rsid w:val="002D37B8"/>
    <w:rsid w:val="002D3996"/>
    <w:rsid w:val="002D3A0C"/>
    <w:rsid w:val="002D3A5B"/>
    <w:rsid w:val="002D3A99"/>
    <w:rsid w:val="002D3BAF"/>
    <w:rsid w:val="002D3CB4"/>
    <w:rsid w:val="002D3D36"/>
    <w:rsid w:val="002D3D5C"/>
    <w:rsid w:val="002D3E25"/>
    <w:rsid w:val="002D3E70"/>
    <w:rsid w:val="002D3EE0"/>
    <w:rsid w:val="002D3EF5"/>
    <w:rsid w:val="002D3FEF"/>
    <w:rsid w:val="002D4020"/>
    <w:rsid w:val="002D40AC"/>
    <w:rsid w:val="002D40AF"/>
    <w:rsid w:val="002D4170"/>
    <w:rsid w:val="002D4267"/>
    <w:rsid w:val="002D434F"/>
    <w:rsid w:val="002D448B"/>
    <w:rsid w:val="002D4525"/>
    <w:rsid w:val="002D4562"/>
    <w:rsid w:val="002D45E3"/>
    <w:rsid w:val="002D475A"/>
    <w:rsid w:val="002D47FA"/>
    <w:rsid w:val="002D47FB"/>
    <w:rsid w:val="002D47FC"/>
    <w:rsid w:val="002D4829"/>
    <w:rsid w:val="002D4958"/>
    <w:rsid w:val="002D49F2"/>
    <w:rsid w:val="002D4D4C"/>
    <w:rsid w:val="002D4DBD"/>
    <w:rsid w:val="002D4E8E"/>
    <w:rsid w:val="002D4FA2"/>
    <w:rsid w:val="002D50ED"/>
    <w:rsid w:val="002D5174"/>
    <w:rsid w:val="002D51DB"/>
    <w:rsid w:val="002D528B"/>
    <w:rsid w:val="002D5291"/>
    <w:rsid w:val="002D531B"/>
    <w:rsid w:val="002D5394"/>
    <w:rsid w:val="002D53BA"/>
    <w:rsid w:val="002D5485"/>
    <w:rsid w:val="002D5502"/>
    <w:rsid w:val="002D555A"/>
    <w:rsid w:val="002D55A8"/>
    <w:rsid w:val="002D55D9"/>
    <w:rsid w:val="002D5661"/>
    <w:rsid w:val="002D56AF"/>
    <w:rsid w:val="002D57D0"/>
    <w:rsid w:val="002D5811"/>
    <w:rsid w:val="002D58AA"/>
    <w:rsid w:val="002D58DA"/>
    <w:rsid w:val="002D5906"/>
    <w:rsid w:val="002D59DE"/>
    <w:rsid w:val="002D5C12"/>
    <w:rsid w:val="002D5C1C"/>
    <w:rsid w:val="002D5C2D"/>
    <w:rsid w:val="002D5C3C"/>
    <w:rsid w:val="002D5D60"/>
    <w:rsid w:val="002D5E5E"/>
    <w:rsid w:val="002D5E9D"/>
    <w:rsid w:val="002D5F5B"/>
    <w:rsid w:val="002D5F88"/>
    <w:rsid w:val="002D5FC0"/>
    <w:rsid w:val="002D626E"/>
    <w:rsid w:val="002D62E2"/>
    <w:rsid w:val="002D631A"/>
    <w:rsid w:val="002D6336"/>
    <w:rsid w:val="002D6369"/>
    <w:rsid w:val="002D6403"/>
    <w:rsid w:val="002D648A"/>
    <w:rsid w:val="002D6611"/>
    <w:rsid w:val="002D661E"/>
    <w:rsid w:val="002D6645"/>
    <w:rsid w:val="002D668F"/>
    <w:rsid w:val="002D66E4"/>
    <w:rsid w:val="002D6715"/>
    <w:rsid w:val="002D674B"/>
    <w:rsid w:val="002D674E"/>
    <w:rsid w:val="002D678E"/>
    <w:rsid w:val="002D692E"/>
    <w:rsid w:val="002D6950"/>
    <w:rsid w:val="002D6960"/>
    <w:rsid w:val="002D6980"/>
    <w:rsid w:val="002D6B30"/>
    <w:rsid w:val="002D6C86"/>
    <w:rsid w:val="002D6D3C"/>
    <w:rsid w:val="002D6E1A"/>
    <w:rsid w:val="002D6E6D"/>
    <w:rsid w:val="002D6F33"/>
    <w:rsid w:val="002D7075"/>
    <w:rsid w:val="002D711E"/>
    <w:rsid w:val="002D724C"/>
    <w:rsid w:val="002D72D7"/>
    <w:rsid w:val="002D732A"/>
    <w:rsid w:val="002D7512"/>
    <w:rsid w:val="002D7520"/>
    <w:rsid w:val="002D75E9"/>
    <w:rsid w:val="002D766D"/>
    <w:rsid w:val="002D7811"/>
    <w:rsid w:val="002D7833"/>
    <w:rsid w:val="002D7853"/>
    <w:rsid w:val="002D7858"/>
    <w:rsid w:val="002D790A"/>
    <w:rsid w:val="002D790B"/>
    <w:rsid w:val="002D7965"/>
    <w:rsid w:val="002D7A5B"/>
    <w:rsid w:val="002D7BF6"/>
    <w:rsid w:val="002D7C2A"/>
    <w:rsid w:val="002D7C39"/>
    <w:rsid w:val="002D7C71"/>
    <w:rsid w:val="002D7EA9"/>
    <w:rsid w:val="002D7FE1"/>
    <w:rsid w:val="002E003B"/>
    <w:rsid w:val="002E0065"/>
    <w:rsid w:val="002E0154"/>
    <w:rsid w:val="002E016D"/>
    <w:rsid w:val="002E0179"/>
    <w:rsid w:val="002E01BA"/>
    <w:rsid w:val="002E01BD"/>
    <w:rsid w:val="002E023A"/>
    <w:rsid w:val="002E0286"/>
    <w:rsid w:val="002E02BC"/>
    <w:rsid w:val="002E0351"/>
    <w:rsid w:val="002E0363"/>
    <w:rsid w:val="002E0397"/>
    <w:rsid w:val="002E048A"/>
    <w:rsid w:val="002E04D9"/>
    <w:rsid w:val="002E055B"/>
    <w:rsid w:val="002E05E7"/>
    <w:rsid w:val="002E070B"/>
    <w:rsid w:val="002E072D"/>
    <w:rsid w:val="002E072E"/>
    <w:rsid w:val="002E0792"/>
    <w:rsid w:val="002E07D5"/>
    <w:rsid w:val="002E085A"/>
    <w:rsid w:val="002E0B98"/>
    <w:rsid w:val="002E0BAA"/>
    <w:rsid w:val="002E0C7D"/>
    <w:rsid w:val="002E0D27"/>
    <w:rsid w:val="002E0D6A"/>
    <w:rsid w:val="002E0D7B"/>
    <w:rsid w:val="002E0DDF"/>
    <w:rsid w:val="002E0F57"/>
    <w:rsid w:val="002E0FD9"/>
    <w:rsid w:val="002E1014"/>
    <w:rsid w:val="002E10A8"/>
    <w:rsid w:val="002E10DD"/>
    <w:rsid w:val="002E1180"/>
    <w:rsid w:val="002E120D"/>
    <w:rsid w:val="002E126A"/>
    <w:rsid w:val="002E12E2"/>
    <w:rsid w:val="002E149A"/>
    <w:rsid w:val="002E15DD"/>
    <w:rsid w:val="002E1621"/>
    <w:rsid w:val="002E1798"/>
    <w:rsid w:val="002E17D2"/>
    <w:rsid w:val="002E17DA"/>
    <w:rsid w:val="002E1811"/>
    <w:rsid w:val="002E194B"/>
    <w:rsid w:val="002E1950"/>
    <w:rsid w:val="002E1976"/>
    <w:rsid w:val="002E19D5"/>
    <w:rsid w:val="002E19FB"/>
    <w:rsid w:val="002E1AC5"/>
    <w:rsid w:val="002E1BAC"/>
    <w:rsid w:val="002E1C78"/>
    <w:rsid w:val="002E1C90"/>
    <w:rsid w:val="002E1CEA"/>
    <w:rsid w:val="002E1D2C"/>
    <w:rsid w:val="002E1E00"/>
    <w:rsid w:val="002E1E20"/>
    <w:rsid w:val="002E1F0F"/>
    <w:rsid w:val="002E1F62"/>
    <w:rsid w:val="002E21BE"/>
    <w:rsid w:val="002E21C6"/>
    <w:rsid w:val="002E221D"/>
    <w:rsid w:val="002E244C"/>
    <w:rsid w:val="002E24FE"/>
    <w:rsid w:val="002E25CF"/>
    <w:rsid w:val="002E25F6"/>
    <w:rsid w:val="002E2722"/>
    <w:rsid w:val="002E27CD"/>
    <w:rsid w:val="002E28B0"/>
    <w:rsid w:val="002E2940"/>
    <w:rsid w:val="002E294A"/>
    <w:rsid w:val="002E2AC5"/>
    <w:rsid w:val="002E2B29"/>
    <w:rsid w:val="002E2C5D"/>
    <w:rsid w:val="002E2F53"/>
    <w:rsid w:val="002E2F87"/>
    <w:rsid w:val="002E30E7"/>
    <w:rsid w:val="002E31B7"/>
    <w:rsid w:val="002E3373"/>
    <w:rsid w:val="002E33E4"/>
    <w:rsid w:val="002E345A"/>
    <w:rsid w:val="002E356E"/>
    <w:rsid w:val="002E35DA"/>
    <w:rsid w:val="002E3881"/>
    <w:rsid w:val="002E3908"/>
    <w:rsid w:val="002E39C8"/>
    <w:rsid w:val="002E39FE"/>
    <w:rsid w:val="002E3A40"/>
    <w:rsid w:val="002E3A5B"/>
    <w:rsid w:val="002E3B5B"/>
    <w:rsid w:val="002E3D26"/>
    <w:rsid w:val="002E3D94"/>
    <w:rsid w:val="002E3DCC"/>
    <w:rsid w:val="002E3E2B"/>
    <w:rsid w:val="002E3E2D"/>
    <w:rsid w:val="002E3E7C"/>
    <w:rsid w:val="002E3EBC"/>
    <w:rsid w:val="002E3F05"/>
    <w:rsid w:val="002E411E"/>
    <w:rsid w:val="002E41F1"/>
    <w:rsid w:val="002E4222"/>
    <w:rsid w:val="002E426C"/>
    <w:rsid w:val="002E42AE"/>
    <w:rsid w:val="002E4349"/>
    <w:rsid w:val="002E43C3"/>
    <w:rsid w:val="002E43E3"/>
    <w:rsid w:val="002E43FE"/>
    <w:rsid w:val="002E4492"/>
    <w:rsid w:val="002E44F8"/>
    <w:rsid w:val="002E450B"/>
    <w:rsid w:val="002E460A"/>
    <w:rsid w:val="002E4658"/>
    <w:rsid w:val="002E470C"/>
    <w:rsid w:val="002E4795"/>
    <w:rsid w:val="002E483E"/>
    <w:rsid w:val="002E48F1"/>
    <w:rsid w:val="002E49AF"/>
    <w:rsid w:val="002E4A12"/>
    <w:rsid w:val="002E4A45"/>
    <w:rsid w:val="002E4A54"/>
    <w:rsid w:val="002E4AE2"/>
    <w:rsid w:val="002E4C07"/>
    <w:rsid w:val="002E4C3F"/>
    <w:rsid w:val="002E4CCB"/>
    <w:rsid w:val="002E4D88"/>
    <w:rsid w:val="002E4F4D"/>
    <w:rsid w:val="002E5049"/>
    <w:rsid w:val="002E50C2"/>
    <w:rsid w:val="002E5154"/>
    <w:rsid w:val="002E5174"/>
    <w:rsid w:val="002E51E4"/>
    <w:rsid w:val="002E5343"/>
    <w:rsid w:val="002E546B"/>
    <w:rsid w:val="002E54AC"/>
    <w:rsid w:val="002E55CB"/>
    <w:rsid w:val="002E564B"/>
    <w:rsid w:val="002E5745"/>
    <w:rsid w:val="002E585E"/>
    <w:rsid w:val="002E5BA3"/>
    <w:rsid w:val="002E5C01"/>
    <w:rsid w:val="002E5C4B"/>
    <w:rsid w:val="002E5CC9"/>
    <w:rsid w:val="002E5CE2"/>
    <w:rsid w:val="002E5D65"/>
    <w:rsid w:val="002E5D7F"/>
    <w:rsid w:val="002E5D89"/>
    <w:rsid w:val="002E5DB0"/>
    <w:rsid w:val="002E5E2A"/>
    <w:rsid w:val="002E5E7C"/>
    <w:rsid w:val="002E6003"/>
    <w:rsid w:val="002E6100"/>
    <w:rsid w:val="002E6149"/>
    <w:rsid w:val="002E6258"/>
    <w:rsid w:val="002E62C9"/>
    <w:rsid w:val="002E62D4"/>
    <w:rsid w:val="002E632F"/>
    <w:rsid w:val="002E64BB"/>
    <w:rsid w:val="002E64F4"/>
    <w:rsid w:val="002E6599"/>
    <w:rsid w:val="002E6626"/>
    <w:rsid w:val="002E662F"/>
    <w:rsid w:val="002E6643"/>
    <w:rsid w:val="002E672C"/>
    <w:rsid w:val="002E6739"/>
    <w:rsid w:val="002E6757"/>
    <w:rsid w:val="002E679F"/>
    <w:rsid w:val="002E67F0"/>
    <w:rsid w:val="002E68AE"/>
    <w:rsid w:val="002E68F0"/>
    <w:rsid w:val="002E6B61"/>
    <w:rsid w:val="002E6B78"/>
    <w:rsid w:val="002E6DC0"/>
    <w:rsid w:val="002E6F0D"/>
    <w:rsid w:val="002E6FF6"/>
    <w:rsid w:val="002E7162"/>
    <w:rsid w:val="002E71F5"/>
    <w:rsid w:val="002E724A"/>
    <w:rsid w:val="002E72B1"/>
    <w:rsid w:val="002E73D7"/>
    <w:rsid w:val="002E73FB"/>
    <w:rsid w:val="002E7438"/>
    <w:rsid w:val="002E74D0"/>
    <w:rsid w:val="002E75C0"/>
    <w:rsid w:val="002E76C4"/>
    <w:rsid w:val="002E7709"/>
    <w:rsid w:val="002E7819"/>
    <w:rsid w:val="002E7852"/>
    <w:rsid w:val="002E7861"/>
    <w:rsid w:val="002E7925"/>
    <w:rsid w:val="002E7A65"/>
    <w:rsid w:val="002E7BB0"/>
    <w:rsid w:val="002E7C24"/>
    <w:rsid w:val="002E7CA7"/>
    <w:rsid w:val="002E7D7C"/>
    <w:rsid w:val="002E7F47"/>
    <w:rsid w:val="002F00DC"/>
    <w:rsid w:val="002F01A6"/>
    <w:rsid w:val="002F0230"/>
    <w:rsid w:val="002F0262"/>
    <w:rsid w:val="002F0293"/>
    <w:rsid w:val="002F0548"/>
    <w:rsid w:val="002F054C"/>
    <w:rsid w:val="002F0593"/>
    <w:rsid w:val="002F0648"/>
    <w:rsid w:val="002F0657"/>
    <w:rsid w:val="002F0689"/>
    <w:rsid w:val="002F0756"/>
    <w:rsid w:val="002F075C"/>
    <w:rsid w:val="002F078A"/>
    <w:rsid w:val="002F078D"/>
    <w:rsid w:val="002F07D9"/>
    <w:rsid w:val="002F086F"/>
    <w:rsid w:val="002F0921"/>
    <w:rsid w:val="002F09BF"/>
    <w:rsid w:val="002F0AB3"/>
    <w:rsid w:val="002F0AE4"/>
    <w:rsid w:val="002F0B2D"/>
    <w:rsid w:val="002F0B44"/>
    <w:rsid w:val="002F0B48"/>
    <w:rsid w:val="002F0D5E"/>
    <w:rsid w:val="002F0F03"/>
    <w:rsid w:val="002F0FEA"/>
    <w:rsid w:val="002F10BA"/>
    <w:rsid w:val="002F112F"/>
    <w:rsid w:val="002F115D"/>
    <w:rsid w:val="002F1437"/>
    <w:rsid w:val="002F1486"/>
    <w:rsid w:val="002F1537"/>
    <w:rsid w:val="002F1538"/>
    <w:rsid w:val="002F1625"/>
    <w:rsid w:val="002F1641"/>
    <w:rsid w:val="002F16F0"/>
    <w:rsid w:val="002F171E"/>
    <w:rsid w:val="002F17B2"/>
    <w:rsid w:val="002F181D"/>
    <w:rsid w:val="002F188D"/>
    <w:rsid w:val="002F198E"/>
    <w:rsid w:val="002F19A1"/>
    <w:rsid w:val="002F1C64"/>
    <w:rsid w:val="002F1D49"/>
    <w:rsid w:val="002F1DBB"/>
    <w:rsid w:val="002F1E37"/>
    <w:rsid w:val="002F1E76"/>
    <w:rsid w:val="002F1EC5"/>
    <w:rsid w:val="002F2044"/>
    <w:rsid w:val="002F20A3"/>
    <w:rsid w:val="002F20D5"/>
    <w:rsid w:val="002F2132"/>
    <w:rsid w:val="002F2234"/>
    <w:rsid w:val="002F2249"/>
    <w:rsid w:val="002F22D1"/>
    <w:rsid w:val="002F23C6"/>
    <w:rsid w:val="002F2507"/>
    <w:rsid w:val="002F2668"/>
    <w:rsid w:val="002F26C6"/>
    <w:rsid w:val="002F275D"/>
    <w:rsid w:val="002F285D"/>
    <w:rsid w:val="002F290B"/>
    <w:rsid w:val="002F2910"/>
    <w:rsid w:val="002F292B"/>
    <w:rsid w:val="002F294C"/>
    <w:rsid w:val="002F29C4"/>
    <w:rsid w:val="002F2A59"/>
    <w:rsid w:val="002F2B6B"/>
    <w:rsid w:val="002F2C29"/>
    <w:rsid w:val="002F2D4B"/>
    <w:rsid w:val="002F2E05"/>
    <w:rsid w:val="002F2E3D"/>
    <w:rsid w:val="002F2E56"/>
    <w:rsid w:val="002F300F"/>
    <w:rsid w:val="002F3036"/>
    <w:rsid w:val="002F3072"/>
    <w:rsid w:val="002F3094"/>
    <w:rsid w:val="002F32C6"/>
    <w:rsid w:val="002F336A"/>
    <w:rsid w:val="002F33CD"/>
    <w:rsid w:val="002F343E"/>
    <w:rsid w:val="002F3525"/>
    <w:rsid w:val="002F3632"/>
    <w:rsid w:val="002F3640"/>
    <w:rsid w:val="002F3702"/>
    <w:rsid w:val="002F3738"/>
    <w:rsid w:val="002F3942"/>
    <w:rsid w:val="002F397D"/>
    <w:rsid w:val="002F39A1"/>
    <w:rsid w:val="002F39B1"/>
    <w:rsid w:val="002F3A2D"/>
    <w:rsid w:val="002F3A4B"/>
    <w:rsid w:val="002F3DCF"/>
    <w:rsid w:val="002F3E22"/>
    <w:rsid w:val="002F3F74"/>
    <w:rsid w:val="002F4098"/>
    <w:rsid w:val="002F410E"/>
    <w:rsid w:val="002F4120"/>
    <w:rsid w:val="002F412C"/>
    <w:rsid w:val="002F415F"/>
    <w:rsid w:val="002F4161"/>
    <w:rsid w:val="002F41B7"/>
    <w:rsid w:val="002F41D3"/>
    <w:rsid w:val="002F421B"/>
    <w:rsid w:val="002F4260"/>
    <w:rsid w:val="002F42F0"/>
    <w:rsid w:val="002F42F2"/>
    <w:rsid w:val="002F4381"/>
    <w:rsid w:val="002F43C4"/>
    <w:rsid w:val="002F4426"/>
    <w:rsid w:val="002F4433"/>
    <w:rsid w:val="002F452E"/>
    <w:rsid w:val="002F4580"/>
    <w:rsid w:val="002F462C"/>
    <w:rsid w:val="002F46DD"/>
    <w:rsid w:val="002F47BF"/>
    <w:rsid w:val="002F47F5"/>
    <w:rsid w:val="002F4844"/>
    <w:rsid w:val="002F4903"/>
    <w:rsid w:val="002F4A19"/>
    <w:rsid w:val="002F4A2C"/>
    <w:rsid w:val="002F4ABD"/>
    <w:rsid w:val="002F4B52"/>
    <w:rsid w:val="002F4BEC"/>
    <w:rsid w:val="002F4C3D"/>
    <w:rsid w:val="002F4C8E"/>
    <w:rsid w:val="002F4CBF"/>
    <w:rsid w:val="002F4D1B"/>
    <w:rsid w:val="002F4E4A"/>
    <w:rsid w:val="002F4E61"/>
    <w:rsid w:val="002F4EF5"/>
    <w:rsid w:val="002F4F47"/>
    <w:rsid w:val="002F4FC0"/>
    <w:rsid w:val="002F50A9"/>
    <w:rsid w:val="002F50FB"/>
    <w:rsid w:val="002F5138"/>
    <w:rsid w:val="002F513B"/>
    <w:rsid w:val="002F5142"/>
    <w:rsid w:val="002F51F6"/>
    <w:rsid w:val="002F5293"/>
    <w:rsid w:val="002F52F9"/>
    <w:rsid w:val="002F5437"/>
    <w:rsid w:val="002F5449"/>
    <w:rsid w:val="002F548B"/>
    <w:rsid w:val="002F5501"/>
    <w:rsid w:val="002F554F"/>
    <w:rsid w:val="002F5553"/>
    <w:rsid w:val="002F5593"/>
    <w:rsid w:val="002F5761"/>
    <w:rsid w:val="002F582A"/>
    <w:rsid w:val="002F5873"/>
    <w:rsid w:val="002F58B2"/>
    <w:rsid w:val="002F5936"/>
    <w:rsid w:val="002F5A80"/>
    <w:rsid w:val="002F5A9D"/>
    <w:rsid w:val="002F5CAB"/>
    <w:rsid w:val="002F5D28"/>
    <w:rsid w:val="002F5D8E"/>
    <w:rsid w:val="002F5E6D"/>
    <w:rsid w:val="002F5F53"/>
    <w:rsid w:val="002F5F88"/>
    <w:rsid w:val="002F61D4"/>
    <w:rsid w:val="002F627B"/>
    <w:rsid w:val="002F633A"/>
    <w:rsid w:val="002F634B"/>
    <w:rsid w:val="002F638D"/>
    <w:rsid w:val="002F63FF"/>
    <w:rsid w:val="002F6561"/>
    <w:rsid w:val="002F658E"/>
    <w:rsid w:val="002F660C"/>
    <w:rsid w:val="002F663B"/>
    <w:rsid w:val="002F67F4"/>
    <w:rsid w:val="002F683F"/>
    <w:rsid w:val="002F6AFB"/>
    <w:rsid w:val="002F6B8A"/>
    <w:rsid w:val="002F6CE4"/>
    <w:rsid w:val="002F6DDD"/>
    <w:rsid w:val="002F6F03"/>
    <w:rsid w:val="002F6F79"/>
    <w:rsid w:val="002F7062"/>
    <w:rsid w:val="002F70FD"/>
    <w:rsid w:val="002F710F"/>
    <w:rsid w:val="002F7144"/>
    <w:rsid w:val="002F71EA"/>
    <w:rsid w:val="002F7321"/>
    <w:rsid w:val="002F74A5"/>
    <w:rsid w:val="002F7526"/>
    <w:rsid w:val="002F763E"/>
    <w:rsid w:val="002F7671"/>
    <w:rsid w:val="002F7747"/>
    <w:rsid w:val="002F789A"/>
    <w:rsid w:val="002F78BC"/>
    <w:rsid w:val="002F7953"/>
    <w:rsid w:val="002F7A50"/>
    <w:rsid w:val="002F7A71"/>
    <w:rsid w:val="002F7A78"/>
    <w:rsid w:val="002F7BD9"/>
    <w:rsid w:val="002F7C39"/>
    <w:rsid w:val="002F7E22"/>
    <w:rsid w:val="002F7E78"/>
    <w:rsid w:val="002F7E8A"/>
    <w:rsid w:val="002F7FF2"/>
    <w:rsid w:val="00300020"/>
    <w:rsid w:val="00300042"/>
    <w:rsid w:val="0030012D"/>
    <w:rsid w:val="003001D0"/>
    <w:rsid w:val="00300260"/>
    <w:rsid w:val="0030036A"/>
    <w:rsid w:val="0030045F"/>
    <w:rsid w:val="003004A2"/>
    <w:rsid w:val="003005A7"/>
    <w:rsid w:val="003007C2"/>
    <w:rsid w:val="003007E6"/>
    <w:rsid w:val="003008AA"/>
    <w:rsid w:val="00300939"/>
    <w:rsid w:val="00300A0D"/>
    <w:rsid w:val="00300A53"/>
    <w:rsid w:val="00300AA8"/>
    <w:rsid w:val="00300AC2"/>
    <w:rsid w:val="00300AE6"/>
    <w:rsid w:val="00300AFE"/>
    <w:rsid w:val="00300BE6"/>
    <w:rsid w:val="00300CC4"/>
    <w:rsid w:val="00300DB7"/>
    <w:rsid w:val="00300E27"/>
    <w:rsid w:val="00300ED6"/>
    <w:rsid w:val="00300F41"/>
    <w:rsid w:val="00300F54"/>
    <w:rsid w:val="00300F9B"/>
    <w:rsid w:val="00300FAB"/>
    <w:rsid w:val="00301054"/>
    <w:rsid w:val="003011E6"/>
    <w:rsid w:val="00301400"/>
    <w:rsid w:val="003019EC"/>
    <w:rsid w:val="003019F1"/>
    <w:rsid w:val="00301A21"/>
    <w:rsid w:val="00301A65"/>
    <w:rsid w:val="00301AD7"/>
    <w:rsid w:val="00301C2F"/>
    <w:rsid w:val="00301C80"/>
    <w:rsid w:val="00301D1E"/>
    <w:rsid w:val="00301D59"/>
    <w:rsid w:val="00301EB4"/>
    <w:rsid w:val="00301F35"/>
    <w:rsid w:val="00301F4D"/>
    <w:rsid w:val="00301F61"/>
    <w:rsid w:val="00301FC5"/>
    <w:rsid w:val="00302044"/>
    <w:rsid w:val="003021EC"/>
    <w:rsid w:val="003022E6"/>
    <w:rsid w:val="00302328"/>
    <w:rsid w:val="00302359"/>
    <w:rsid w:val="00302530"/>
    <w:rsid w:val="00302717"/>
    <w:rsid w:val="00302766"/>
    <w:rsid w:val="003028CF"/>
    <w:rsid w:val="00302919"/>
    <w:rsid w:val="00302937"/>
    <w:rsid w:val="00302942"/>
    <w:rsid w:val="003029E3"/>
    <w:rsid w:val="00302AD5"/>
    <w:rsid w:val="00302B00"/>
    <w:rsid w:val="00302B71"/>
    <w:rsid w:val="00302BB9"/>
    <w:rsid w:val="00302C43"/>
    <w:rsid w:val="00302CCA"/>
    <w:rsid w:val="00302CDA"/>
    <w:rsid w:val="00302D33"/>
    <w:rsid w:val="00302D43"/>
    <w:rsid w:val="00302DFD"/>
    <w:rsid w:val="00302E21"/>
    <w:rsid w:val="00302E94"/>
    <w:rsid w:val="0030303A"/>
    <w:rsid w:val="003030D6"/>
    <w:rsid w:val="00303221"/>
    <w:rsid w:val="003032B5"/>
    <w:rsid w:val="00303302"/>
    <w:rsid w:val="0030334F"/>
    <w:rsid w:val="00303568"/>
    <w:rsid w:val="00303618"/>
    <w:rsid w:val="003036EF"/>
    <w:rsid w:val="003037E5"/>
    <w:rsid w:val="00303A40"/>
    <w:rsid w:val="00303B0C"/>
    <w:rsid w:val="00303B1B"/>
    <w:rsid w:val="00303B93"/>
    <w:rsid w:val="00303BE0"/>
    <w:rsid w:val="00303BFF"/>
    <w:rsid w:val="00303DAE"/>
    <w:rsid w:val="00303EBF"/>
    <w:rsid w:val="00303F34"/>
    <w:rsid w:val="00303F4E"/>
    <w:rsid w:val="00303FD5"/>
    <w:rsid w:val="00304038"/>
    <w:rsid w:val="003040B1"/>
    <w:rsid w:val="003040FD"/>
    <w:rsid w:val="003041A5"/>
    <w:rsid w:val="00304314"/>
    <w:rsid w:val="00304414"/>
    <w:rsid w:val="00304458"/>
    <w:rsid w:val="00304584"/>
    <w:rsid w:val="003046C4"/>
    <w:rsid w:val="0030488F"/>
    <w:rsid w:val="003049F0"/>
    <w:rsid w:val="00304A1B"/>
    <w:rsid w:val="00304AFB"/>
    <w:rsid w:val="00304B77"/>
    <w:rsid w:val="00304C30"/>
    <w:rsid w:val="00304CCE"/>
    <w:rsid w:val="00304DD7"/>
    <w:rsid w:val="00304E52"/>
    <w:rsid w:val="00304E8D"/>
    <w:rsid w:val="00304E92"/>
    <w:rsid w:val="00304F68"/>
    <w:rsid w:val="00305019"/>
    <w:rsid w:val="0030502F"/>
    <w:rsid w:val="00305035"/>
    <w:rsid w:val="00305043"/>
    <w:rsid w:val="00305104"/>
    <w:rsid w:val="00305210"/>
    <w:rsid w:val="00305276"/>
    <w:rsid w:val="003052BC"/>
    <w:rsid w:val="00305367"/>
    <w:rsid w:val="0030537A"/>
    <w:rsid w:val="0030546E"/>
    <w:rsid w:val="003054B3"/>
    <w:rsid w:val="003056C0"/>
    <w:rsid w:val="003056F8"/>
    <w:rsid w:val="0030571D"/>
    <w:rsid w:val="0030574E"/>
    <w:rsid w:val="00305767"/>
    <w:rsid w:val="00305965"/>
    <w:rsid w:val="003059F7"/>
    <w:rsid w:val="003059FA"/>
    <w:rsid w:val="00305A12"/>
    <w:rsid w:val="00305A43"/>
    <w:rsid w:val="00305B41"/>
    <w:rsid w:val="00305B8E"/>
    <w:rsid w:val="00305BCA"/>
    <w:rsid w:val="00305D60"/>
    <w:rsid w:val="00305D82"/>
    <w:rsid w:val="00305DC2"/>
    <w:rsid w:val="00305EA4"/>
    <w:rsid w:val="00305EB7"/>
    <w:rsid w:val="00305F47"/>
    <w:rsid w:val="00305FE0"/>
    <w:rsid w:val="0030603B"/>
    <w:rsid w:val="003060D2"/>
    <w:rsid w:val="0030614D"/>
    <w:rsid w:val="003061D4"/>
    <w:rsid w:val="00306253"/>
    <w:rsid w:val="0030626A"/>
    <w:rsid w:val="0030627C"/>
    <w:rsid w:val="0030629B"/>
    <w:rsid w:val="003063CE"/>
    <w:rsid w:val="0030644E"/>
    <w:rsid w:val="00306482"/>
    <w:rsid w:val="003064D2"/>
    <w:rsid w:val="003065CE"/>
    <w:rsid w:val="00306697"/>
    <w:rsid w:val="003066F6"/>
    <w:rsid w:val="00306838"/>
    <w:rsid w:val="003068A6"/>
    <w:rsid w:val="00306A41"/>
    <w:rsid w:val="00306B07"/>
    <w:rsid w:val="00306C78"/>
    <w:rsid w:val="00306CB0"/>
    <w:rsid w:val="00306D88"/>
    <w:rsid w:val="00306DF0"/>
    <w:rsid w:val="00306E54"/>
    <w:rsid w:val="00306E6F"/>
    <w:rsid w:val="00306ED7"/>
    <w:rsid w:val="00306FDC"/>
    <w:rsid w:val="00307001"/>
    <w:rsid w:val="00307086"/>
    <w:rsid w:val="00307162"/>
    <w:rsid w:val="003071A0"/>
    <w:rsid w:val="003071F0"/>
    <w:rsid w:val="0030722F"/>
    <w:rsid w:val="00307495"/>
    <w:rsid w:val="00307528"/>
    <w:rsid w:val="00307585"/>
    <w:rsid w:val="003075E3"/>
    <w:rsid w:val="003076B9"/>
    <w:rsid w:val="003076FE"/>
    <w:rsid w:val="0030771F"/>
    <w:rsid w:val="003078B7"/>
    <w:rsid w:val="00307AB6"/>
    <w:rsid w:val="00307B90"/>
    <w:rsid w:val="00307BAF"/>
    <w:rsid w:val="00307BEF"/>
    <w:rsid w:val="00307C1B"/>
    <w:rsid w:val="00307C47"/>
    <w:rsid w:val="00307C61"/>
    <w:rsid w:val="00307C68"/>
    <w:rsid w:val="00307D4F"/>
    <w:rsid w:val="00307D6C"/>
    <w:rsid w:val="00307F23"/>
    <w:rsid w:val="00307F5A"/>
    <w:rsid w:val="00307FA9"/>
    <w:rsid w:val="00307FCB"/>
    <w:rsid w:val="00307FF3"/>
    <w:rsid w:val="0031007B"/>
    <w:rsid w:val="0031008F"/>
    <w:rsid w:val="0031027D"/>
    <w:rsid w:val="003103F3"/>
    <w:rsid w:val="00310462"/>
    <w:rsid w:val="0031048E"/>
    <w:rsid w:val="00310608"/>
    <w:rsid w:val="0031063A"/>
    <w:rsid w:val="0031065E"/>
    <w:rsid w:val="00310716"/>
    <w:rsid w:val="00310745"/>
    <w:rsid w:val="003108B7"/>
    <w:rsid w:val="00310934"/>
    <w:rsid w:val="00310948"/>
    <w:rsid w:val="00310984"/>
    <w:rsid w:val="003109CD"/>
    <w:rsid w:val="00310A25"/>
    <w:rsid w:val="00310B57"/>
    <w:rsid w:val="00310B89"/>
    <w:rsid w:val="00310C71"/>
    <w:rsid w:val="00310C83"/>
    <w:rsid w:val="00311038"/>
    <w:rsid w:val="003110E8"/>
    <w:rsid w:val="0031117A"/>
    <w:rsid w:val="003111B4"/>
    <w:rsid w:val="003111E9"/>
    <w:rsid w:val="0031126C"/>
    <w:rsid w:val="003112C2"/>
    <w:rsid w:val="003113D8"/>
    <w:rsid w:val="00311425"/>
    <w:rsid w:val="0031149E"/>
    <w:rsid w:val="003114EB"/>
    <w:rsid w:val="00311505"/>
    <w:rsid w:val="00311570"/>
    <w:rsid w:val="003115B1"/>
    <w:rsid w:val="003116E4"/>
    <w:rsid w:val="00311776"/>
    <w:rsid w:val="0031182C"/>
    <w:rsid w:val="00311988"/>
    <w:rsid w:val="00311A05"/>
    <w:rsid w:val="00311CEF"/>
    <w:rsid w:val="00311D18"/>
    <w:rsid w:val="00311DBA"/>
    <w:rsid w:val="00311DC6"/>
    <w:rsid w:val="00311E28"/>
    <w:rsid w:val="00311E3D"/>
    <w:rsid w:val="003120F3"/>
    <w:rsid w:val="0031210B"/>
    <w:rsid w:val="0031214E"/>
    <w:rsid w:val="00312236"/>
    <w:rsid w:val="003122B0"/>
    <w:rsid w:val="0031236C"/>
    <w:rsid w:val="003123E6"/>
    <w:rsid w:val="0031242C"/>
    <w:rsid w:val="00312524"/>
    <w:rsid w:val="00312543"/>
    <w:rsid w:val="0031270F"/>
    <w:rsid w:val="0031271D"/>
    <w:rsid w:val="00312894"/>
    <w:rsid w:val="0031289E"/>
    <w:rsid w:val="003128AB"/>
    <w:rsid w:val="003128BC"/>
    <w:rsid w:val="003128E2"/>
    <w:rsid w:val="0031296F"/>
    <w:rsid w:val="003129E4"/>
    <w:rsid w:val="00312B19"/>
    <w:rsid w:val="00312B41"/>
    <w:rsid w:val="00312B84"/>
    <w:rsid w:val="00312BDC"/>
    <w:rsid w:val="00312CAD"/>
    <w:rsid w:val="00312CCD"/>
    <w:rsid w:val="00312D5A"/>
    <w:rsid w:val="00312E0A"/>
    <w:rsid w:val="00312E1C"/>
    <w:rsid w:val="00312ED4"/>
    <w:rsid w:val="00312F32"/>
    <w:rsid w:val="00312F83"/>
    <w:rsid w:val="00312FC7"/>
    <w:rsid w:val="00313155"/>
    <w:rsid w:val="003134AE"/>
    <w:rsid w:val="003134B4"/>
    <w:rsid w:val="003134D0"/>
    <w:rsid w:val="0031357C"/>
    <w:rsid w:val="0031373F"/>
    <w:rsid w:val="00313741"/>
    <w:rsid w:val="00313797"/>
    <w:rsid w:val="003137DA"/>
    <w:rsid w:val="00313842"/>
    <w:rsid w:val="00313953"/>
    <w:rsid w:val="0031398F"/>
    <w:rsid w:val="00313B3A"/>
    <w:rsid w:val="00313BBF"/>
    <w:rsid w:val="00313CBE"/>
    <w:rsid w:val="00313E77"/>
    <w:rsid w:val="00314024"/>
    <w:rsid w:val="00314068"/>
    <w:rsid w:val="0031413C"/>
    <w:rsid w:val="00314153"/>
    <w:rsid w:val="00314162"/>
    <w:rsid w:val="00314176"/>
    <w:rsid w:val="003141B4"/>
    <w:rsid w:val="003142AA"/>
    <w:rsid w:val="003142E4"/>
    <w:rsid w:val="00314407"/>
    <w:rsid w:val="003144C6"/>
    <w:rsid w:val="00314518"/>
    <w:rsid w:val="003146C1"/>
    <w:rsid w:val="00314742"/>
    <w:rsid w:val="003147EF"/>
    <w:rsid w:val="00314A06"/>
    <w:rsid w:val="00314B8A"/>
    <w:rsid w:val="00314C7A"/>
    <w:rsid w:val="00314DAE"/>
    <w:rsid w:val="00314DF1"/>
    <w:rsid w:val="00314DFA"/>
    <w:rsid w:val="00314E36"/>
    <w:rsid w:val="00315097"/>
    <w:rsid w:val="00315135"/>
    <w:rsid w:val="0031514C"/>
    <w:rsid w:val="00315159"/>
    <w:rsid w:val="00315198"/>
    <w:rsid w:val="003153D7"/>
    <w:rsid w:val="00315569"/>
    <w:rsid w:val="0031562F"/>
    <w:rsid w:val="003156D7"/>
    <w:rsid w:val="0031577C"/>
    <w:rsid w:val="00315850"/>
    <w:rsid w:val="00315A02"/>
    <w:rsid w:val="00315A7E"/>
    <w:rsid w:val="00315B93"/>
    <w:rsid w:val="00315BE6"/>
    <w:rsid w:val="00315D72"/>
    <w:rsid w:val="00315E5D"/>
    <w:rsid w:val="00315FC3"/>
    <w:rsid w:val="00316088"/>
    <w:rsid w:val="003160B6"/>
    <w:rsid w:val="00316101"/>
    <w:rsid w:val="00316106"/>
    <w:rsid w:val="0031627C"/>
    <w:rsid w:val="0031632F"/>
    <w:rsid w:val="003163BF"/>
    <w:rsid w:val="003165B5"/>
    <w:rsid w:val="003166E2"/>
    <w:rsid w:val="00316720"/>
    <w:rsid w:val="003167C8"/>
    <w:rsid w:val="003168BA"/>
    <w:rsid w:val="00316A06"/>
    <w:rsid w:val="00316A24"/>
    <w:rsid w:val="00316A7C"/>
    <w:rsid w:val="00316BFC"/>
    <w:rsid w:val="00316E27"/>
    <w:rsid w:val="00316EE1"/>
    <w:rsid w:val="00316EF3"/>
    <w:rsid w:val="0031700D"/>
    <w:rsid w:val="003170FA"/>
    <w:rsid w:val="0031716D"/>
    <w:rsid w:val="003171A3"/>
    <w:rsid w:val="003171F3"/>
    <w:rsid w:val="0031727E"/>
    <w:rsid w:val="00317692"/>
    <w:rsid w:val="00317740"/>
    <w:rsid w:val="00317783"/>
    <w:rsid w:val="00317806"/>
    <w:rsid w:val="00317892"/>
    <w:rsid w:val="00317900"/>
    <w:rsid w:val="00317907"/>
    <w:rsid w:val="003179B1"/>
    <w:rsid w:val="003179BE"/>
    <w:rsid w:val="00317B3E"/>
    <w:rsid w:val="00317BA1"/>
    <w:rsid w:val="00320155"/>
    <w:rsid w:val="0032036B"/>
    <w:rsid w:val="0032044D"/>
    <w:rsid w:val="003204AD"/>
    <w:rsid w:val="003204D1"/>
    <w:rsid w:val="00320511"/>
    <w:rsid w:val="00320512"/>
    <w:rsid w:val="0032056E"/>
    <w:rsid w:val="003205EB"/>
    <w:rsid w:val="003206A8"/>
    <w:rsid w:val="003206C8"/>
    <w:rsid w:val="00320932"/>
    <w:rsid w:val="00320A75"/>
    <w:rsid w:val="00320A9D"/>
    <w:rsid w:val="00320B00"/>
    <w:rsid w:val="00320B07"/>
    <w:rsid w:val="00320B4D"/>
    <w:rsid w:val="00320BB9"/>
    <w:rsid w:val="00320E37"/>
    <w:rsid w:val="00320E6A"/>
    <w:rsid w:val="00320EBC"/>
    <w:rsid w:val="00320F88"/>
    <w:rsid w:val="00320F8F"/>
    <w:rsid w:val="0032104D"/>
    <w:rsid w:val="003210C6"/>
    <w:rsid w:val="003210D2"/>
    <w:rsid w:val="0032119F"/>
    <w:rsid w:val="003211CF"/>
    <w:rsid w:val="003211D6"/>
    <w:rsid w:val="00321243"/>
    <w:rsid w:val="003214F2"/>
    <w:rsid w:val="003214FA"/>
    <w:rsid w:val="0032153C"/>
    <w:rsid w:val="00321548"/>
    <w:rsid w:val="00321B50"/>
    <w:rsid w:val="00321BBC"/>
    <w:rsid w:val="00321BE5"/>
    <w:rsid w:val="00321D5D"/>
    <w:rsid w:val="00321DD6"/>
    <w:rsid w:val="00321E49"/>
    <w:rsid w:val="00321E50"/>
    <w:rsid w:val="003220D1"/>
    <w:rsid w:val="0032213C"/>
    <w:rsid w:val="00322295"/>
    <w:rsid w:val="003222B8"/>
    <w:rsid w:val="00322525"/>
    <w:rsid w:val="00322540"/>
    <w:rsid w:val="00322567"/>
    <w:rsid w:val="0032256C"/>
    <w:rsid w:val="003225BC"/>
    <w:rsid w:val="00322613"/>
    <w:rsid w:val="003226C3"/>
    <w:rsid w:val="003226EF"/>
    <w:rsid w:val="0032271B"/>
    <w:rsid w:val="0032272F"/>
    <w:rsid w:val="003227D7"/>
    <w:rsid w:val="00322956"/>
    <w:rsid w:val="0032297D"/>
    <w:rsid w:val="0032299B"/>
    <w:rsid w:val="00322B01"/>
    <w:rsid w:val="00322BCC"/>
    <w:rsid w:val="00322CA4"/>
    <w:rsid w:val="00322CF6"/>
    <w:rsid w:val="00322D62"/>
    <w:rsid w:val="00322DB0"/>
    <w:rsid w:val="00322E15"/>
    <w:rsid w:val="00322E1F"/>
    <w:rsid w:val="00322E9B"/>
    <w:rsid w:val="00322F02"/>
    <w:rsid w:val="00322F97"/>
    <w:rsid w:val="0032306D"/>
    <w:rsid w:val="00323168"/>
    <w:rsid w:val="0032333F"/>
    <w:rsid w:val="0032334A"/>
    <w:rsid w:val="003233EB"/>
    <w:rsid w:val="0032340C"/>
    <w:rsid w:val="00323457"/>
    <w:rsid w:val="00323536"/>
    <w:rsid w:val="00323558"/>
    <w:rsid w:val="00323728"/>
    <w:rsid w:val="0032374E"/>
    <w:rsid w:val="003237E2"/>
    <w:rsid w:val="00323838"/>
    <w:rsid w:val="0032385F"/>
    <w:rsid w:val="003238D2"/>
    <w:rsid w:val="00323929"/>
    <w:rsid w:val="003239D3"/>
    <w:rsid w:val="00323AA9"/>
    <w:rsid w:val="00323B45"/>
    <w:rsid w:val="00323C8D"/>
    <w:rsid w:val="00323CFF"/>
    <w:rsid w:val="00323D60"/>
    <w:rsid w:val="00323DF4"/>
    <w:rsid w:val="00323E40"/>
    <w:rsid w:val="00323E7F"/>
    <w:rsid w:val="00323F08"/>
    <w:rsid w:val="00323F7C"/>
    <w:rsid w:val="00323F81"/>
    <w:rsid w:val="00323FBA"/>
    <w:rsid w:val="00323FCC"/>
    <w:rsid w:val="00323FFD"/>
    <w:rsid w:val="003240AE"/>
    <w:rsid w:val="00324102"/>
    <w:rsid w:val="0032430A"/>
    <w:rsid w:val="0032431C"/>
    <w:rsid w:val="003243C2"/>
    <w:rsid w:val="00324452"/>
    <w:rsid w:val="00324474"/>
    <w:rsid w:val="00324733"/>
    <w:rsid w:val="00324817"/>
    <w:rsid w:val="0032495C"/>
    <w:rsid w:val="00324AC6"/>
    <w:rsid w:val="00324D54"/>
    <w:rsid w:val="00324DCB"/>
    <w:rsid w:val="00324E5C"/>
    <w:rsid w:val="00324E7E"/>
    <w:rsid w:val="00324E99"/>
    <w:rsid w:val="00324F18"/>
    <w:rsid w:val="00324FC0"/>
    <w:rsid w:val="003250CA"/>
    <w:rsid w:val="00325172"/>
    <w:rsid w:val="003251D3"/>
    <w:rsid w:val="003251FB"/>
    <w:rsid w:val="0032526F"/>
    <w:rsid w:val="00325292"/>
    <w:rsid w:val="00325386"/>
    <w:rsid w:val="0032545D"/>
    <w:rsid w:val="0032546E"/>
    <w:rsid w:val="00325496"/>
    <w:rsid w:val="003254DC"/>
    <w:rsid w:val="00325527"/>
    <w:rsid w:val="0032565F"/>
    <w:rsid w:val="003257F8"/>
    <w:rsid w:val="00325891"/>
    <w:rsid w:val="003258DB"/>
    <w:rsid w:val="00325901"/>
    <w:rsid w:val="0032598E"/>
    <w:rsid w:val="003259DF"/>
    <w:rsid w:val="00325AAD"/>
    <w:rsid w:val="00325B48"/>
    <w:rsid w:val="00325DCF"/>
    <w:rsid w:val="00325E4B"/>
    <w:rsid w:val="00325E9C"/>
    <w:rsid w:val="00325EB2"/>
    <w:rsid w:val="00325F30"/>
    <w:rsid w:val="00325FC6"/>
    <w:rsid w:val="00326060"/>
    <w:rsid w:val="003261B2"/>
    <w:rsid w:val="00326321"/>
    <w:rsid w:val="003263EC"/>
    <w:rsid w:val="0032640A"/>
    <w:rsid w:val="00326431"/>
    <w:rsid w:val="003264B5"/>
    <w:rsid w:val="0032659F"/>
    <w:rsid w:val="0032672C"/>
    <w:rsid w:val="003267CB"/>
    <w:rsid w:val="003268CD"/>
    <w:rsid w:val="00326905"/>
    <w:rsid w:val="00326B88"/>
    <w:rsid w:val="00326D05"/>
    <w:rsid w:val="00326D0D"/>
    <w:rsid w:val="00326D7D"/>
    <w:rsid w:val="00326DD9"/>
    <w:rsid w:val="00326DED"/>
    <w:rsid w:val="00326F9B"/>
    <w:rsid w:val="00326FAF"/>
    <w:rsid w:val="00326FD1"/>
    <w:rsid w:val="0032702A"/>
    <w:rsid w:val="003270EF"/>
    <w:rsid w:val="0032711B"/>
    <w:rsid w:val="0032711F"/>
    <w:rsid w:val="00327157"/>
    <w:rsid w:val="0032719F"/>
    <w:rsid w:val="0032722E"/>
    <w:rsid w:val="0032724F"/>
    <w:rsid w:val="00327426"/>
    <w:rsid w:val="003274A0"/>
    <w:rsid w:val="003274C9"/>
    <w:rsid w:val="003274E0"/>
    <w:rsid w:val="003276E1"/>
    <w:rsid w:val="003277E2"/>
    <w:rsid w:val="003278B3"/>
    <w:rsid w:val="003278DA"/>
    <w:rsid w:val="00327927"/>
    <w:rsid w:val="00327B23"/>
    <w:rsid w:val="00327B34"/>
    <w:rsid w:val="00327B38"/>
    <w:rsid w:val="00327B6D"/>
    <w:rsid w:val="00327B7C"/>
    <w:rsid w:val="00327B95"/>
    <w:rsid w:val="00327BB0"/>
    <w:rsid w:val="00327BBB"/>
    <w:rsid w:val="00327E02"/>
    <w:rsid w:val="00327E5B"/>
    <w:rsid w:val="00327F92"/>
    <w:rsid w:val="00327FEB"/>
    <w:rsid w:val="00330296"/>
    <w:rsid w:val="00330300"/>
    <w:rsid w:val="0033039B"/>
    <w:rsid w:val="003303C3"/>
    <w:rsid w:val="003304DD"/>
    <w:rsid w:val="003305AF"/>
    <w:rsid w:val="003305DC"/>
    <w:rsid w:val="003306D3"/>
    <w:rsid w:val="00330721"/>
    <w:rsid w:val="00330726"/>
    <w:rsid w:val="0033094F"/>
    <w:rsid w:val="003309B5"/>
    <w:rsid w:val="003309F6"/>
    <w:rsid w:val="00330A9A"/>
    <w:rsid w:val="00330CCE"/>
    <w:rsid w:val="00330DF4"/>
    <w:rsid w:val="00330E17"/>
    <w:rsid w:val="00330ECD"/>
    <w:rsid w:val="00330FCA"/>
    <w:rsid w:val="0033112F"/>
    <w:rsid w:val="00331163"/>
    <w:rsid w:val="00331179"/>
    <w:rsid w:val="003311D7"/>
    <w:rsid w:val="00331351"/>
    <w:rsid w:val="003313F1"/>
    <w:rsid w:val="00331520"/>
    <w:rsid w:val="00331614"/>
    <w:rsid w:val="00331662"/>
    <w:rsid w:val="003316E5"/>
    <w:rsid w:val="0033170A"/>
    <w:rsid w:val="0033182E"/>
    <w:rsid w:val="00331877"/>
    <w:rsid w:val="003318B5"/>
    <w:rsid w:val="00331916"/>
    <w:rsid w:val="00331A5A"/>
    <w:rsid w:val="00331AD8"/>
    <w:rsid w:val="00331AF1"/>
    <w:rsid w:val="00331BB0"/>
    <w:rsid w:val="00331C47"/>
    <w:rsid w:val="00331DB8"/>
    <w:rsid w:val="00331DD0"/>
    <w:rsid w:val="00332175"/>
    <w:rsid w:val="00332277"/>
    <w:rsid w:val="00332560"/>
    <w:rsid w:val="0033261D"/>
    <w:rsid w:val="0033268C"/>
    <w:rsid w:val="0033274E"/>
    <w:rsid w:val="00332769"/>
    <w:rsid w:val="00332838"/>
    <w:rsid w:val="0033288F"/>
    <w:rsid w:val="00332AA4"/>
    <w:rsid w:val="00332AA5"/>
    <w:rsid w:val="00332AED"/>
    <w:rsid w:val="00332B77"/>
    <w:rsid w:val="00332C50"/>
    <w:rsid w:val="00332C74"/>
    <w:rsid w:val="00332E1E"/>
    <w:rsid w:val="00332E6E"/>
    <w:rsid w:val="00332E7A"/>
    <w:rsid w:val="00332F6D"/>
    <w:rsid w:val="00332F72"/>
    <w:rsid w:val="0033305D"/>
    <w:rsid w:val="00333104"/>
    <w:rsid w:val="00333181"/>
    <w:rsid w:val="003331C3"/>
    <w:rsid w:val="003331F2"/>
    <w:rsid w:val="0033326D"/>
    <w:rsid w:val="003333F5"/>
    <w:rsid w:val="0033340D"/>
    <w:rsid w:val="00333488"/>
    <w:rsid w:val="003334A5"/>
    <w:rsid w:val="003334D4"/>
    <w:rsid w:val="003334F0"/>
    <w:rsid w:val="0033356A"/>
    <w:rsid w:val="003335AF"/>
    <w:rsid w:val="00333602"/>
    <w:rsid w:val="003336E4"/>
    <w:rsid w:val="00333798"/>
    <w:rsid w:val="0033379D"/>
    <w:rsid w:val="00333812"/>
    <w:rsid w:val="00333828"/>
    <w:rsid w:val="003338AD"/>
    <w:rsid w:val="0033397A"/>
    <w:rsid w:val="003339BD"/>
    <w:rsid w:val="00333AEC"/>
    <w:rsid w:val="00333B9F"/>
    <w:rsid w:val="00333C0F"/>
    <w:rsid w:val="00333CDE"/>
    <w:rsid w:val="00333D89"/>
    <w:rsid w:val="00333D8F"/>
    <w:rsid w:val="00333DB0"/>
    <w:rsid w:val="00333EBE"/>
    <w:rsid w:val="00333EC2"/>
    <w:rsid w:val="00333F4E"/>
    <w:rsid w:val="00333F5F"/>
    <w:rsid w:val="00334169"/>
    <w:rsid w:val="0033424E"/>
    <w:rsid w:val="00334392"/>
    <w:rsid w:val="00334546"/>
    <w:rsid w:val="00334560"/>
    <w:rsid w:val="00334738"/>
    <w:rsid w:val="00334925"/>
    <w:rsid w:val="00334941"/>
    <w:rsid w:val="003349C5"/>
    <w:rsid w:val="00334A10"/>
    <w:rsid w:val="00334AB0"/>
    <w:rsid w:val="00334AC1"/>
    <w:rsid w:val="00334B22"/>
    <w:rsid w:val="00334B48"/>
    <w:rsid w:val="00334B69"/>
    <w:rsid w:val="00334C1B"/>
    <w:rsid w:val="00334C36"/>
    <w:rsid w:val="00334C83"/>
    <w:rsid w:val="00334CD5"/>
    <w:rsid w:val="00334D38"/>
    <w:rsid w:val="00334E40"/>
    <w:rsid w:val="00334E80"/>
    <w:rsid w:val="00334F0F"/>
    <w:rsid w:val="0033514A"/>
    <w:rsid w:val="003353B1"/>
    <w:rsid w:val="003354CA"/>
    <w:rsid w:val="00335513"/>
    <w:rsid w:val="0033570B"/>
    <w:rsid w:val="0033576F"/>
    <w:rsid w:val="0033581E"/>
    <w:rsid w:val="00335867"/>
    <w:rsid w:val="003359C2"/>
    <w:rsid w:val="003359E6"/>
    <w:rsid w:val="00335A77"/>
    <w:rsid w:val="00335AFA"/>
    <w:rsid w:val="00335B4E"/>
    <w:rsid w:val="00335B70"/>
    <w:rsid w:val="00335C05"/>
    <w:rsid w:val="00335C5B"/>
    <w:rsid w:val="00335C68"/>
    <w:rsid w:val="00335C89"/>
    <w:rsid w:val="00335D42"/>
    <w:rsid w:val="00335D4F"/>
    <w:rsid w:val="00335D99"/>
    <w:rsid w:val="00335EB1"/>
    <w:rsid w:val="00336044"/>
    <w:rsid w:val="0033609E"/>
    <w:rsid w:val="0033633E"/>
    <w:rsid w:val="00336381"/>
    <w:rsid w:val="0033647D"/>
    <w:rsid w:val="003365E2"/>
    <w:rsid w:val="00336648"/>
    <w:rsid w:val="003366D8"/>
    <w:rsid w:val="00336870"/>
    <w:rsid w:val="00336A2F"/>
    <w:rsid w:val="00336A64"/>
    <w:rsid w:val="00336B2B"/>
    <w:rsid w:val="00336B47"/>
    <w:rsid w:val="00336B4A"/>
    <w:rsid w:val="00336BD0"/>
    <w:rsid w:val="00336C41"/>
    <w:rsid w:val="00336C60"/>
    <w:rsid w:val="00336ED4"/>
    <w:rsid w:val="00337023"/>
    <w:rsid w:val="003371CA"/>
    <w:rsid w:val="00337246"/>
    <w:rsid w:val="0033727E"/>
    <w:rsid w:val="00337293"/>
    <w:rsid w:val="00337334"/>
    <w:rsid w:val="003373A0"/>
    <w:rsid w:val="0033741D"/>
    <w:rsid w:val="0033742D"/>
    <w:rsid w:val="00337473"/>
    <w:rsid w:val="00337484"/>
    <w:rsid w:val="003374EA"/>
    <w:rsid w:val="00337634"/>
    <w:rsid w:val="00337673"/>
    <w:rsid w:val="0033768D"/>
    <w:rsid w:val="00337781"/>
    <w:rsid w:val="0033779B"/>
    <w:rsid w:val="003377D0"/>
    <w:rsid w:val="0033784B"/>
    <w:rsid w:val="00337860"/>
    <w:rsid w:val="00337998"/>
    <w:rsid w:val="00337A81"/>
    <w:rsid w:val="00337BEE"/>
    <w:rsid w:val="00337E41"/>
    <w:rsid w:val="00337E44"/>
    <w:rsid w:val="00337E5C"/>
    <w:rsid w:val="00337EB8"/>
    <w:rsid w:val="00337EFF"/>
    <w:rsid w:val="00340064"/>
    <w:rsid w:val="003400A9"/>
    <w:rsid w:val="00340216"/>
    <w:rsid w:val="00340290"/>
    <w:rsid w:val="003402BC"/>
    <w:rsid w:val="00340376"/>
    <w:rsid w:val="00340496"/>
    <w:rsid w:val="003404D9"/>
    <w:rsid w:val="0034056D"/>
    <w:rsid w:val="003405D4"/>
    <w:rsid w:val="0034062C"/>
    <w:rsid w:val="00340734"/>
    <w:rsid w:val="003407C5"/>
    <w:rsid w:val="003407E9"/>
    <w:rsid w:val="003407F6"/>
    <w:rsid w:val="00340847"/>
    <w:rsid w:val="00340922"/>
    <w:rsid w:val="00340952"/>
    <w:rsid w:val="00340AE1"/>
    <w:rsid w:val="00340B0F"/>
    <w:rsid w:val="00340B2C"/>
    <w:rsid w:val="00340C8B"/>
    <w:rsid w:val="00340CF6"/>
    <w:rsid w:val="00340DAA"/>
    <w:rsid w:val="00340E20"/>
    <w:rsid w:val="00340E53"/>
    <w:rsid w:val="00340F55"/>
    <w:rsid w:val="00340FC2"/>
    <w:rsid w:val="00341099"/>
    <w:rsid w:val="00341198"/>
    <w:rsid w:val="00341219"/>
    <w:rsid w:val="003413C9"/>
    <w:rsid w:val="00341621"/>
    <w:rsid w:val="00341651"/>
    <w:rsid w:val="0034184C"/>
    <w:rsid w:val="003418FB"/>
    <w:rsid w:val="0034194A"/>
    <w:rsid w:val="00341B14"/>
    <w:rsid w:val="00341CC7"/>
    <w:rsid w:val="00341DDE"/>
    <w:rsid w:val="00341EBC"/>
    <w:rsid w:val="00341EE8"/>
    <w:rsid w:val="00342046"/>
    <w:rsid w:val="003420A2"/>
    <w:rsid w:val="003420AC"/>
    <w:rsid w:val="00342182"/>
    <w:rsid w:val="003421A3"/>
    <w:rsid w:val="003421A6"/>
    <w:rsid w:val="00342218"/>
    <w:rsid w:val="00342226"/>
    <w:rsid w:val="0034229C"/>
    <w:rsid w:val="00342336"/>
    <w:rsid w:val="003423E1"/>
    <w:rsid w:val="003424D8"/>
    <w:rsid w:val="003424E5"/>
    <w:rsid w:val="003426A9"/>
    <w:rsid w:val="003426AE"/>
    <w:rsid w:val="003426FE"/>
    <w:rsid w:val="00342777"/>
    <w:rsid w:val="00342831"/>
    <w:rsid w:val="0034289A"/>
    <w:rsid w:val="0034299C"/>
    <w:rsid w:val="003429CB"/>
    <w:rsid w:val="00342A5E"/>
    <w:rsid w:val="00342ACB"/>
    <w:rsid w:val="00342B48"/>
    <w:rsid w:val="00342BCE"/>
    <w:rsid w:val="00342BFB"/>
    <w:rsid w:val="00342CF5"/>
    <w:rsid w:val="00342D7F"/>
    <w:rsid w:val="00342D84"/>
    <w:rsid w:val="00342D96"/>
    <w:rsid w:val="00342E88"/>
    <w:rsid w:val="00342F06"/>
    <w:rsid w:val="00342FA6"/>
    <w:rsid w:val="00343028"/>
    <w:rsid w:val="00343096"/>
    <w:rsid w:val="003431D9"/>
    <w:rsid w:val="003431E3"/>
    <w:rsid w:val="00343261"/>
    <w:rsid w:val="0034330B"/>
    <w:rsid w:val="00343342"/>
    <w:rsid w:val="0034342E"/>
    <w:rsid w:val="00343528"/>
    <w:rsid w:val="0034361F"/>
    <w:rsid w:val="0034368D"/>
    <w:rsid w:val="00343759"/>
    <w:rsid w:val="003437D7"/>
    <w:rsid w:val="003437F3"/>
    <w:rsid w:val="003439DB"/>
    <w:rsid w:val="00343AD4"/>
    <w:rsid w:val="00343B36"/>
    <w:rsid w:val="00343B54"/>
    <w:rsid w:val="00343B87"/>
    <w:rsid w:val="00343BDA"/>
    <w:rsid w:val="00343C1F"/>
    <w:rsid w:val="00343C4C"/>
    <w:rsid w:val="00343C9A"/>
    <w:rsid w:val="00343D4C"/>
    <w:rsid w:val="00343EA0"/>
    <w:rsid w:val="00343F68"/>
    <w:rsid w:val="0034407C"/>
    <w:rsid w:val="00344176"/>
    <w:rsid w:val="0034419F"/>
    <w:rsid w:val="0034434B"/>
    <w:rsid w:val="003443E6"/>
    <w:rsid w:val="00344402"/>
    <w:rsid w:val="003444EF"/>
    <w:rsid w:val="003444FE"/>
    <w:rsid w:val="003445F5"/>
    <w:rsid w:val="0034467C"/>
    <w:rsid w:val="003446EC"/>
    <w:rsid w:val="00344703"/>
    <w:rsid w:val="00344A6A"/>
    <w:rsid w:val="00344AAF"/>
    <w:rsid w:val="00344BE7"/>
    <w:rsid w:val="00344CCD"/>
    <w:rsid w:val="00344D46"/>
    <w:rsid w:val="00344DBC"/>
    <w:rsid w:val="00344E20"/>
    <w:rsid w:val="00344ECF"/>
    <w:rsid w:val="00344F08"/>
    <w:rsid w:val="00344F11"/>
    <w:rsid w:val="00344FB0"/>
    <w:rsid w:val="00344FE5"/>
    <w:rsid w:val="00345002"/>
    <w:rsid w:val="0034504A"/>
    <w:rsid w:val="003450BA"/>
    <w:rsid w:val="003450E9"/>
    <w:rsid w:val="003450F4"/>
    <w:rsid w:val="00345335"/>
    <w:rsid w:val="0034538A"/>
    <w:rsid w:val="003453E7"/>
    <w:rsid w:val="003454B3"/>
    <w:rsid w:val="003455A9"/>
    <w:rsid w:val="00345621"/>
    <w:rsid w:val="003456C3"/>
    <w:rsid w:val="0034583D"/>
    <w:rsid w:val="00345853"/>
    <w:rsid w:val="003458DC"/>
    <w:rsid w:val="003458E8"/>
    <w:rsid w:val="003458FA"/>
    <w:rsid w:val="0034599D"/>
    <w:rsid w:val="003459BA"/>
    <w:rsid w:val="003459F8"/>
    <w:rsid w:val="00345A5E"/>
    <w:rsid w:val="00345AD7"/>
    <w:rsid w:val="00345B47"/>
    <w:rsid w:val="00345BF9"/>
    <w:rsid w:val="00345C36"/>
    <w:rsid w:val="00345C40"/>
    <w:rsid w:val="00345C5A"/>
    <w:rsid w:val="00345C9D"/>
    <w:rsid w:val="00345CAF"/>
    <w:rsid w:val="00345D2A"/>
    <w:rsid w:val="00345E22"/>
    <w:rsid w:val="00345FAD"/>
    <w:rsid w:val="00346025"/>
    <w:rsid w:val="003460B9"/>
    <w:rsid w:val="003460FE"/>
    <w:rsid w:val="0034640A"/>
    <w:rsid w:val="00346471"/>
    <w:rsid w:val="00346623"/>
    <w:rsid w:val="00346789"/>
    <w:rsid w:val="00346791"/>
    <w:rsid w:val="003467FB"/>
    <w:rsid w:val="00346897"/>
    <w:rsid w:val="003469D0"/>
    <w:rsid w:val="00346A4C"/>
    <w:rsid w:val="00346B5C"/>
    <w:rsid w:val="00346C05"/>
    <w:rsid w:val="00346C0B"/>
    <w:rsid w:val="00346C84"/>
    <w:rsid w:val="00346D53"/>
    <w:rsid w:val="00346D6E"/>
    <w:rsid w:val="00346DCD"/>
    <w:rsid w:val="00346E02"/>
    <w:rsid w:val="00346E1E"/>
    <w:rsid w:val="00346E8E"/>
    <w:rsid w:val="00346E98"/>
    <w:rsid w:val="00346FC6"/>
    <w:rsid w:val="003470C2"/>
    <w:rsid w:val="00347169"/>
    <w:rsid w:val="0034719E"/>
    <w:rsid w:val="0034724D"/>
    <w:rsid w:val="0034725C"/>
    <w:rsid w:val="003472B0"/>
    <w:rsid w:val="00347469"/>
    <w:rsid w:val="00347493"/>
    <w:rsid w:val="00347527"/>
    <w:rsid w:val="003476DA"/>
    <w:rsid w:val="00347765"/>
    <w:rsid w:val="0034778E"/>
    <w:rsid w:val="0034782F"/>
    <w:rsid w:val="00347835"/>
    <w:rsid w:val="00347A65"/>
    <w:rsid w:val="00347B0F"/>
    <w:rsid w:val="00347B45"/>
    <w:rsid w:val="00347D98"/>
    <w:rsid w:val="00347E1C"/>
    <w:rsid w:val="00347F09"/>
    <w:rsid w:val="00347F64"/>
    <w:rsid w:val="00347F7E"/>
    <w:rsid w:val="003500A2"/>
    <w:rsid w:val="0035011A"/>
    <w:rsid w:val="0035011E"/>
    <w:rsid w:val="003501A5"/>
    <w:rsid w:val="00350320"/>
    <w:rsid w:val="0035049C"/>
    <w:rsid w:val="0035052F"/>
    <w:rsid w:val="00350672"/>
    <w:rsid w:val="003507BA"/>
    <w:rsid w:val="00350829"/>
    <w:rsid w:val="0035083F"/>
    <w:rsid w:val="0035085B"/>
    <w:rsid w:val="003508E7"/>
    <w:rsid w:val="00350966"/>
    <w:rsid w:val="00350A2B"/>
    <w:rsid w:val="00350A2D"/>
    <w:rsid w:val="00350AC9"/>
    <w:rsid w:val="00350AD4"/>
    <w:rsid w:val="00350AFB"/>
    <w:rsid w:val="00350B1D"/>
    <w:rsid w:val="00350B9D"/>
    <w:rsid w:val="00350C5A"/>
    <w:rsid w:val="00350D80"/>
    <w:rsid w:val="00350E03"/>
    <w:rsid w:val="00350E78"/>
    <w:rsid w:val="00350EB9"/>
    <w:rsid w:val="00350F24"/>
    <w:rsid w:val="00350F46"/>
    <w:rsid w:val="00350FD5"/>
    <w:rsid w:val="00350FD9"/>
    <w:rsid w:val="00351035"/>
    <w:rsid w:val="00351110"/>
    <w:rsid w:val="00351156"/>
    <w:rsid w:val="003514C0"/>
    <w:rsid w:val="00351534"/>
    <w:rsid w:val="00351598"/>
    <w:rsid w:val="003516B4"/>
    <w:rsid w:val="003516E6"/>
    <w:rsid w:val="0035184F"/>
    <w:rsid w:val="003518CD"/>
    <w:rsid w:val="003518DA"/>
    <w:rsid w:val="0035190D"/>
    <w:rsid w:val="00351A15"/>
    <w:rsid w:val="00351A1F"/>
    <w:rsid w:val="00351C25"/>
    <w:rsid w:val="00351CFB"/>
    <w:rsid w:val="00351DB6"/>
    <w:rsid w:val="00351DFB"/>
    <w:rsid w:val="00351E57"/>
    <w:rsid w:val="00351E9A"/>
    <w:rsid w:val="00351EA9"/>
    <w:rsid w:val="00351EB0"/>
    <w:rsid w:val="00351EF7"/>
    <w:rsid w:val="0035208F"/>
    <w:rsid w:val="00352115"/>
    <w:rsid w:val="0035214C"/>
    <w:rsid w:val="0035214F"/>
    <w:rsid w:val="00352206"/>
    <w:rsid w:val="0035226B"/>
    <w:rsid w:val="003523C9"/>
    <w:rsid w:val="003523D1"/>
    <w:rsid w:val="00352435"/>
    <w:rsid w:val="0035243D"/>
    <w:rsid w:val="003524F1"/>
    <w:rsid w:val="00352519"/>
    <w:rsid w:val="003525A4"/>
    <w:rsid w:val="003526C2"/>
    <w:rsid w:val="00352773"/>
    <w:rsid w:val="00352863"/>
    <w:rsid w:val="003528B7"/>
    <w:rsid w:val="00352923"/>
    <w:rsid w:val="003529BF"/>
    <w:rsid w:val="003529E1"/>
    <w:rsid w:val="00352A48"/>
    <w:rsid w:val="00352A61"/>
    <w:rsid w:val="00352ADF"/>
    <w:rsid w:val="00352B05"/>
    <w:rsid w:val="00352BA5"/>
    <w:rsid w:val="00352BB5"/>
    <w:rsid w:val="00352BC2"/>
    <w:rsid w:val="00352BD6"/>
    <w:rsid w:val="00352C11"/>
    <w:rsid w:val="00352CD3"/>
    <w:rsid w:val="00352D06"/>
    <w:rsid w:val="00352D2F"/>
    <w:rsid w:val="00352D86"/>
    <w:rsid w:val="00353010"/>
    <w:rsid w:val="00353017"/>
    <w:rsid w:val="0035301B"/>
    <w:rsid w:val="00353098"/>
    <w:rsid w:val="003530E1"/>
    <w:rsid w:val="003530E7"/>
    <w:rsid w:val="00353135"/>
    <w:rsid w:val="00353184"/>
    <w:rsid w:val="00353248"/>
    <w:rsid w:val="003532F1"/>
    <w:rsid w:val="003532F5"/>
    <w:rsid w:val="00353386"/>
    <w:rsid w:val="00353457"/>
    <w:rsid w:val="00353635"/>
    <w:rsid w:val="0035366D"/>
    <w:rsid w:val="00353698"/>
    <w:rsid w:val="003538FA"/>
    <w:rsid w:val="00353936"/>
    <w:rsid w:val="00353A53"/>
    <w:rsid w:val="00353A98"/>
    <w:rsid w:val="00353AC7"/>
    <w:rsid w:val="00353AE1"/>
    <w:rsid w:val="00353B28"/>
    <w:rsid w:val="00353C0A"/>
    <w:rsid w:val="00353DA5"/>
    <w:rsid w:val="00353DEE"/>
    <w:rsid w:val="00353E17"/>
    <w:rsid w:val="00353E3F"/>
    <w:rsid w:val="0035403F"/>
    <w:rsid w:val="003540F0"/>
    <w:rsid w:val="00354168"/>
    <w:rsid w:val="003541DD"/>
    <w:rsid w:val="00354260"/>
    <w:rsid w:val="0035430B"/>
    <w:rsid w:val="00354367"/>
    <w:rsid w:val="00354382"/>
    <w:rsid w:val="00354410"/>
    <w:rsid w:val="00354538"/>
    <w:rsid w:val="00354668"/>
    <w:rsid w:val="0035466F"/>
    <w:rsid w:val="0035488F"/>
    <w:rsid w:val="003548B2"/>
    <w:rsid w:val="00354906"/>
    <w:rsid w:val="003549F2"/>
    <w:rsid w:val="00354B08"/>
    <w:rsid w:val="00354B52"/>
    <w:rsid w:val="00354BA2"/>
    <w:rsid w:val="00354C11"/>
    <w:rsid w:val="00354C58"/>
    <w:rsid w:val="00354EA1"/>
    <w:rsid w:val="00354EBD"/>
    <w:rsid w:val="00354F01"/>
    <w:rsid w:val="00355061"/>
    <w:rsid w:val="003550FF"/>
    <w:rsid w:val="0035514F"/>
    <w:rsid w:val="00355154"/>
    <w:rsid w:val="003551F4"/>
    <w:rsid w:val="00355275"/>
    <w:rsid w:val="00355276"/>
    <w:rsid w:val="00355645"/>
    <w:rsid w:val="003557AF"/>
    <w:rsid w:val="003557D1"/>
    <w:rsid w:val="00355892"/>
    <w:rsid w:val="00355893"/>
    <w:rsid w:val="003558CB"/>
    <w:rsid w:val="0035591E"/>
    <w:rsid w:val="00355920"/>
    <w:rsid w:val="00355ACA"/>
    <w:rsid w:val="00355AD1"/>
    <w:rsid w:val="00355EBD"/>
    <w:rsid w:val="00355F69"/>
    <w:rsid w:val="00355FE6"/>
    <w:rsid w:val="00356042"/>
    <w:rsid w:val="00356279"/>
    <w:rsid w:val="00356325"/>
    <w:rsid w:val="003563D3"/>
    <w:rsid w:val="00356427"/>
    <w:rsid w:val="0035647D"/>
    <w:rsid w:val="00356712"/>
    <w:rsid w:val="0035683D"/>
    <w:rsid w:val="003569D0"/>
    <w:rsid w:val="003569FD"/>
    <w:rsid w:val="00356A50"/>
    <w:rsid w:val="00356B2D"/>
    <w:rsid w:val="00356B66"/>
    <w:rsid w:val="00356B8E"/>
    <w:rsid w:val="00356B90"/>
    <w:rsid w:val="00356BD9"/>
    <w:rsid w:val="00356BE7"/>
    <w:rsid w:val="00356C1C"/>
    <w:rsid w:val="00356C2F"/>
    <w:rsid w:val="00356C4B"/>
    <w:rsid w:val="00356E75"/>
    <w:rsid w:val="00356E89"/>
    <w:rsid w:val="00356F00"/>
    <w:rsid w:val="00356F26"/>
    <w:rsid w:val="00357017"/>
    <w:rsid w:val="003570F5"/>
    <w:rsid w:val="003571A1"/>
    <w:rsid w:val="00357231"/>
    <w:rsid w:val="00357335"/>
    <w:rsid w:val="00357532"/>
    <w:rsid w:val="0035756F"/>
    <w:rsid w:val="00357605"/>
    <w:rsid w:val="003576CF"/>
    <w:rsid w:val="0035781E"/>
    <w:rsid w:val="0035785F"/>
    <w:rsid w:val="00357C43"/>
    <w:rsid w:val="00357C58"/>
    <w:rsid w:val="00357D22"/>
    <w:rsid w:val="00357D43"/>
    <w:rsid w:val="00357E40"/>
    <w:rsid w:val="003600E9"/>
    <w:rsid w:val="0036011C"/>
    <w:rsid w:val="003601F8"/>
    <w:rsid w:val="0036020D"/>
    <w:rsid w:val="00360329"/>
    <w:rsid w:val="0036037A"/>
    <w:rsid w:val="0036041F"/>
    <w:rsid w:val="00360494"/>
    <w:rsid w:val="003606D9"/>
    <w:rsid w:val="003606FB"/>
    <w:rsid w:val="00360851"/>
    <w:rsid w:val="003608B3"/>
    <w:rsid w:val="00360AB6"/>
    <w:rsid w:val="00360AD5"/>
    <w:rsid w:val="00360B92"/>
    <w:rsid w:val="00360BA5"/>
    <w:rsid w:val="00360D6E"/>
    <w:rsid w:val="00360D6F"/>
    <w:rsid w:val="00360E6A"/>
    <w:rsid w:val="00360E71"/>
    <w:rsid w:val="00360EB9"/>
    <w:rsid w:val="00361073"/>
    <w:rsid w:val="003610EF"/>
    <w:rsid w:val="0036114D"/>
    <w:rsid w:val="00361175"/>
    <w:rsid w:val="0036125E"/>
    <w:rsid w:val="00361261"/>
    <w:rsid w:val="00361333"/>
    <w:rsid w:val="00361386"/>
    <w:rsid w:val="00361432"/>
    <w:rsid w:val="003614E3"/>
    <w:rsid w:val="00361502"/>
    <w:rsid w:val="0036151D"/>
    <w:rsid w:val="00361688"/>
    <w:rsid w:val="003617B4"/>
    <w:rsid w:val="003617B5"/>
    <w:rsid w:val="0036180A"/>
    <w:rsid w:val="00361831"/>
    <w:rsid w:val="003618D6"/>
    <w:rsid w:val="0036198F"/>
    <w:rsid w:val="00361B6F"/>
    <w:rsid w:val="00361D98"/>
    <w:rsid w:val="00361F26"/>
    <w:rsid w:val="00362206"/>
    <w:rsid w:val="0036220D"/>
    <w:rsid w:val="003622A5"/>
    <w:rsid w:val="00362386"/>
    <w:rsid w:val="003623C5"/>
    <w:rsid w:val="003623F0"/>
    <w:rsid w:val="0036249B"/>
    <w:rsid w:val="003624B0"/>
    <w:rsid w:val="00362556"/>
    <w:rsid w:val="0036261C"/>
    <w:rsid w:val="0036264B"/>
    <w:rsid w:val="0036276C"/>
    <w:rsid w:val="00362885"/>
    <w:rsid w:val="00362B4F"/>
    <w:rsid w:val="00362B53"/>
    <w:rsid w:val="00362BD2"/>
    <w:rsid w:val="00362CAE"/>
    <w:rsid w:val="00362CC9"/>
    <w:rsid w:val="00362CF0"/>
    <w:rsid w:val="00362D2B"/>
    <w:rsid w:val="00363020"/>
    <w:rsid w:val="0036302A"/>
    <w:rsid w:val="003630C6"/>
    <w:rsid w:val="003630ED"/>
    <w:rsid w:val="00363118"/>
    <w:rsid w:val="00363156"/>
    <w:rsid w:val="003631D5"/>
    <w:rsid w:val="003633DD"/>
    <w:rsid w:val="003634DE"/>
    <w:rsid w:val="003634F7"/>
    <w:rsid w:val="00363546"/>
    <w:rsid w:val="003635F9"/>
    <w:rsid w:val="003637FA"/>
    <w:rsid w:val="00363812"/>
    <w:rsid w:val="003638B0"/>
    <w:rsid w:val="003639C5"/>
    <w:rsid w:val="003639FC"/>
    <w:rsid w:val="00363B65"/>
    <w:rsid w:val="00363B88"/>
    <w:rsid w:val="00363B95"/>
    <w:rsid w:val="00363BEF"/>
    <w:rsid w:val="00363C66"/>
    <w:rsid w:val="00363D61"/>
    <w:rsid w:val="00363E4C"/>
    <w:rsid w:val="00363E74"/>
    <w:rsid w:val="00363E7B"/>
    <w:rsid w:val="00363F0E"/>
    <w:rsid w:val="00363F0F"/>
    <w:rsid w:val="00364061"/>
    <w:rsid w:val="003640BF"/>
    <w:rsid w:val="003640DA"/>
    <w:rsid w:val="0036427A"/>
    <w:rsid w:val="003642CB"/>
    <w:rsid w:val="003642DB"/>
    <w:rsid w:val="0036444F"/>
    <w:rsid w:val="0036458D"/>
    <w:rsid w:val="003645AF"/>
    <w:rsid w:val="00364704"/>
    <w:rsid w:val="00364886"/>
    <w:rsid w:val="003648EF"/>
    <w:rsid w:val="00364941"/>
    <w:rsid w:val="003649F3"/>
    <w:rsid w:val="00364ADB"/>
    <w:rsid w:val="00364B0D"/>
    <w:rsid w:val="00364B87"/>
    <w:rsid w:val="00364C66"/>
    <w:rsid w:val="00364C97"/>
    <w:rsid w:val="00364DB4"/>
    <w:rsid w:val="00364DBC"/>
    <w:rsid w:val="00364FE0"/>
    <w:rsid w:val="00364FF7"/>
    <w:rsid w:val="0036501C"/>
    <w:rsid w:val="00365106"/>
    <w:rsid w:val="003652B9"/>
    <w:rsid w:val="003653B6"/>
    <w:rsid w:val="003653BE"/>
    <w:rsid w:val="003654D9"/>
    <w:rsid w:val="003656AA"/>
    <w:rsid w:val="0036571C"/>
    <w:rsid w:val="003659D9"/>
    <w:rsid w:val="00365A55"/>
    <w:rsid w:val="00365A5C"/>
    <w:rsid w:val="00365B44"/>
    <w:rsid w:val="00365B5A"/>
    <w:rsid w:val="00365BE6"/>
    <w:rsid w:val="00365C3E"/>
    <w:rsid w:val="00365D39"/>
    <w:rsid w:val="00365E4C"/>
    <w:rsid w:val="00365EF2"/>
    <w:rsid w:val="00365F27"/>
    <w:rsid w:val="00366026"/>
    <w:rsid w:val="003662CA"/>
    <w:rsid w:val="003662D5"/>
    <w:rsid w:val="003663C9"/>
    <w:rsid w:val="00366406"/>
    <w:rsid w:val="00366458"/>
    <w:rsid w:val="003664D4"/>
    <w:rsid w:val="00366617"/>
    <w:rsid w:val="00366651"/>
    <w:rsid w:val="003666AE"/>
    <w:rsid w:val="003667D7"/>
    <w:rsid w:val="00366963"/>
    <w:rsid w:val="00366978"/>
    <w:rsid w:val="00366A89"/>
    <w:rsid w:val="00366AB0"/>
    <w:rsid w:val="00366D80"/>
    <w:rsid w:val="00366DA9"/>
    <w:rsid w:val="00366E6F"/>
    <w:rsid w:val="00366E88"/>
    <w:rsid w:val="003670D1"/>
    <w:rsid w:val="003670E4"/>
    <w:rsid w:val="00367140"/>
    <w:rsid w:val="00367268"/>
    <w:rsid w:val="00367327"/>
    <w:rsid w:val="00367526"/>
    <w:rsid w:val="0036764F"/>
    <w:rsid w:val="0036790F"/>
    <w:rsid w:val="003679DE"/>
    <w:rsid w:val="00367A3F"/>
    <w:rsid w:val="00367B49"/>
    <w:rsid w:val="00367B5F"/>
    <w:rsid w:val="00367D3D"/>
    <w:rsid w:val="00367E82"/>
    <w:rsid w:val="00367F10"/>
    <w:rsid w:val="00367FD2"/>
    <w:rsid w:val="00367FE7"/>
    <w:rsid w:val="00370031"/>
    <w:rsid w:val="003700EA"/>
    <w:rsid w:val="00370269"/>
    <w:rsid w:val="0037047E"/>
    <w:rsid w:val="0037050C"/>
    <w:rsid w:val="003706AF"/>
    <w:rsid w:val="003706F8"/>
    <w:rsid w:val="00370802"/>
    <w:rsid w:val="00370944"/>
    <w:rsid w:val="00370958"/>
    <w:rsid w:val="003709CE"/>
    <w:rsid w:val="00370A90"/>
    <w:rsid w:val="00370B84"/>
    <w:rsid w:val="00370C68"/>
    <w:rsid w:val="00370CA1"/>
    <w:rsid w:val="00370D69"/>
    <w:rsid w:val="00370E5F"/>
    <w:rsid w:val="00370F0D"/>
    <w:rsid w:val="00370FE5"/>
    <w:rsid w:val="00371053"/>
    <w:rsid w:val="00371086"/>
    <w:rsid w:val="00371182"/>
    <w:rsid w:val="0037122D"/>
    <w:rsid w:val="0037131A"/>
    <w:rsid w:val="00371380"/>
    <w:rsid w:val="003713EA"/>
    <w:rsid w:val="0037147E"/>
    <w:rsid w:val="00371625"/>
    <w:rsid w:val="003716B2"/>
    <w:rsid w:val="00371825"/>
    <w:rsid w:val="003719C3"/>
    <w:rsid w:val="00371A42"/>
    <w:rsid w:val="00371B2B"/>
    <w:rsid w:val="00371BC0"/>
    <w:rsid w:val="00371C68"/>
    <w:rsid w:val="00371E14"/>
    <w:rsid w:val="00371E33"/>
    <w:rsid w:val="00371EBC"/>
    <w:rsid w:val="00371FB4"/>
    <w:rsid w:val="003720DB"/>
    <w:rsid w:val="0037216A"/>
    <w:rsid w:val="0037227B"/>
    <w:rsid w:val="003724F6"/>
    <w:rsid w:val="003725FD"/>
    <w:rsid w:val="00372692"/>
    <w:rsid w:val="003726DF"/>
    <w:rsid w:val="00372736"/>
    <w:rsid w:val="00372766"/>
    <w:rsid w:val="003727FA"/>
    <w:rsid w:val="00372816"/>
    <w:rsid w:val="003728D5"/>
    <w:rsid w:val="003728DF"/>
    <w:rsid w:val="0037291C"/>
    <w:rsid w:val="0037299F"/>
    <w:rsid w:val="00372A38"/>
    <w:rsid w:val="00372A66"/>
    <w:rsid w:val="00372C26"/>
    <w:rsid w:val="00372CB6"/>
    <w:rsid w:val="00372CBF"/>
    <w:rsid w:val="00372CFE"/>
    <w:rsid w:val="00372D0B"/>
    <w:rsid w:val="00372D56"/>
    <w:rsid w:val="00372DCB"/>
    <w:rsid w:val="00372E40"/>
    <w:rsid w:val="00373319"/>
    <w:rsid w:val="00373333"/>
    <w:rsid w:val="003733A0"/>
    <w:rsid w:val="003733ED"/>
    <w:rsid w:val="0037347C"/>
    <w:rsid w:val="00373574"/>
    <w:rsid w:val="003735D7"/>
    <w:rsid w:val="00373673"/>
    <w:rsid w:val="003736AE"/>
    <w:rsid w:val="003736E3"/>
    <w:rsid w:val="00373700"/>
    <w:rsid w:val="0037370A"/>
    <w:rsid w:val="003738E5"/>
    <w:rsid w:val="00373956"/>
    <w:rsid w:val="003739D9"/>
    <w:rsid w:val="003739F0"/>
    <w:rsid w:val="003739F1"/>
    <w:rsid w:val="003739F3"/>
    <w:rsid w:val="00373A03"/>
    <w:rsid w:val="00373B68"/>
    <w:rsid w:val="00373BE4"/>
    <w:rsid w:val="00373C33"/>
    <w:rsid w:val="00373CA8"/>
    <w:rsid w:val="00373CF7"/>
    <w:rsid w:val="00373ECE"/>
    <w:rsid w:val="00373FE6"/>
    <w:rsid w:val="00374049"/>
    <w:rsid w:val="0037406E"/>
    <w:rsid w:val="0037406F"/>
    <w:rsid w:val="003740DD"/>
    <w:rsid w:val="00374137"/>
    <w:rsid w:val="00374152"/>
    <w:rsid w:val="00374184"/>
    <w:rsid w:val="00374490"/>
    <w:rsid w:val="0037462C"/>
    <w:rsid w:val="00374710"/>
    <w:rsid w:val="00374812"/>
    <w:rsid w:val="0037489D"/>
    <w:rsid w:val="003748DB"/>
    <w:rsid w:val="00374947"/>
    <w:rsid w:val="003749E6"/>
    <w:rsid w:val="003749FB"/>
    <w:rsid w:val="00374A41"/>
    <w:rsid w:val="00374BD8"/>
    <w:rsid w:val="00374D5A"/>
    <w:rsid w:val="00374D75"/>
    <w:rsid w:val="00374D99"/>
    <w:rsid w:val="00374DA4"/>
    <w:rsid w:val="00374E1B"/>
    <w:rsid w:val="00374E26"/>
    <w:rsid w:val="00374E6F"/>
    <w:rsid w:val="00374ECF"/>
    <w:rsid w:val="0037502B"/>
    <w:rsid w:val="0037508A"/>
    <w:rsid w:val="0037512D"/>
    <w:rsid w:val="0037517F"/>
    <w:rsid w:val="00375186"/>
    <w:rsid w:val="0037524E"/>
    <w:rsid w:val="00375250"/>
    <w:rsid w:val="003752DB"/>
    <w:rsid w:val="003753A3"/>
    <w:rsid w:val="00375420"/>
    <w:rsid w:val="00375448"/>
    <w:rsid w:val="0037548D"/>
    <w:rsid w:val="0037554E"/>
    <w:rsid w:val="0037566B"/>
    <w:rsid w:val="00375685"/>
    <w:rsid w:val="0037568E"/>
    <w:rsid w:val="003756AE"/>
    <w:rsid w:val="00375741"/>
    <w:rsid w:val="0037577F"/>
    <w:rsid w:val="003757CC"/>
    <w:rsid w:val="003758E9"/>
    <w:rsid w:val="00375963"/>
    <w:rsid w:val="003759F1"/>
    <w:rsid w:val="003759F2"/>
    <w:rsid w:val="00375A7F"/>
    <w:rsid w:val="00375C6B"/>
    <w:rsid w:val="00375CBA"/>
    <w:rsid w:val="00375D58"/>
    <w:rsid w:val="00375DB6"/>
    <w:rsid w:val="00375E04"/>
    <w:rsid w:val="00375E76"/>
    <w:rsid w:val="00375FA8"/>
    <w:rsid w:val="00375FE2"/>
    <w:rsid w:val="00376009"/>
    <w:rsid w:val="00376090"/>
    <w:rsid w:val="003760D8"/>
    <w:rsid w:val="003761AD"/>
    <w:rsid w:val="003761EE"/>
    <w:rsid w:val="0037620D"/>
    <w:rsid w:val="0037626F"/>
    <w:rsid w:val="003762B1"/>
    <w:rsid w:val="003763CF"/>
    <w:rsid w:val="0037653F"/>
    <w:rsid w:val="00376618"/>
    <w:rsid w:val="0037661C"/>
    <w:rsid w:val="0037661E"/>
    <w:rsid w:val="0037664C"/>
    <w:rsid w:val="00376754"/>
    <w:rsid w:val="00376950"/>
    <w:rsid w:val="00376997"/>
    <w:rsid w:val="00376A1A"/>
    <w:rsid w:val="00376AB1"/>
    <w:rsid w:val="00376B2F"/>
    <w:rsid w:val="00376B3B"/>
    <w:rsid w:val="00376C2F"/>
    <w:rsid w:val="00376CA2"/>
    <w:rsid w:val="00376EA5"/>
    <w:rsid w:val="00376F15"/>
    <w:rsid w:val="00376F20"/>
    <w:rsid w:val="00376F49"/>
    <w:rsid w:val="00376F80"/>
    <w:rsid w:val="00376FE9"/>
    <w:rsid w:val="003770E0"/>
    <w:rsid w:val="0037713E"/>
    <w:rsid w:val="003771A5"/>
    <w:rsid w:val="00377205"/>
    <w:rsid w:val="003772BF"/>
    <w:rsid w:val="003772ED"/>
    <w:rsid w:val="00377588"/>
    <w:rsid w:val="0037766B"/>
    <w:rsid w:val="003776B2"/>
    <w:rsid w:val="0037779A"/>
    <w:rsid w:val="003777DD"/>
    <w:rsid w:val="00377821"/>
    <w:rsid w:val="00377983"/>
    <w:rsid w:val="003779B4"/>
    <w:rsid w:val="003779CF"/>
    <w:rsid w:val="003779D6"/>
    <w:rsid w:val="003779F2"/>
    <w:rsid w:val="003779F5"/>
    <w:rsid w:val="003779F8"/>
    <w:rsid w:val="00377A03"/>
    <w:rsid w:val="00377A22"/>
    <w:rsid w:val="00377A81"/>
    <w:rsid w:val="00377AC8"/>
    <w:rsid w:val="00377B58"/>
    <w:rsid w:val="00377B9D"/>
    <w:rsid w:val="00377C11"/>
    <w:rsid w:val="00377C78"/>
    <w:rsid w:val="00377D16"/>
    <w:rsid w:val="00377E09"/>
    <w:rsid w:val="00377E4D"/>
    <w:rsid w:val="00377F2A"/>
    <w:rsid w:val="00377F4B"/>
    <w:rsid w:val="00377F50"/>
    <w:rsid w:val="00377F77"/>
    <w:rsid w:val="00380120"/>
    <w:rsid w:val="00380188"/>
    <w:rsid w:val="003801EB"/>
    <w:rsid w:val="003802DB"/>
    <w:rsid w:val="003802F7"/>
    <w:rsid w:val="003803F2"/>
    <w:rsid w:val="00380460"/>
    <w:rsid w:val="00380623"/>
    <w:rsid w:val="003806BC"/>
    <w:rsid w:val="003806DF"/>
    <w:rsid w:val="00380712"/>
    <w:rsid w:val="0038094B"/>
    <w:rsid w:val="00380A4C"/>
    <w:rsid w:val="00380ACB"/>
    <w:rsid w:val="00380ACE"/>
    <w:rsid w:val="00380B0D"/>
    <w:rsid w:val="00380B9E"/>
    <w:rsid w:val="00380BCB"/>
    <w:rsid w:val="00380C1E"/>
    <w:rsid w:val="00380CB1"/>
    <w:rsid w:val="00380D2E"/>
    <w:rsid w:val="00380D7F"/>
    <w:rsid w:val="00380D8B"/>
    <w:rsid w:val="00380E64"/>
    <w:rsid w:val="00380F2F"/>
    <w:rsid w:val="00380F34"/>
    <w:rsid w:val="00380F9E"/>
    <w:rsid w:val="00380FBE"/>
    <w:rsid w:val="00381100"/>
    <w:rsid w:val="00381141"/>
    <w:rsid w:val="00381162"/>
    <w:rsid w:val="003813C4"/>
    <w:rsid w:val="0038142F"/>
    <w:rsid w:val="003814F9"/>
    <w:rsid w:val="003815AE"/>
    <w:rsid w:val="003817A5"/>
    <w:rsid w:val="003817C6"/>
    <w:rsid w:val="003818FD"/>
    <w:rsid w:val="00381AC7"/>
    <w:rsid w:val="00381B56"/>
    <w:rsid w:val="00381C04"/>
    <w:rsid w:val="00381CF1"/>
    <w:rsid w:val="00381D03"/>
    <w:rsid w:val="00381EA9"/>
    <w:rsid w:val="00381F36"/>
    <w:rsid w:val="00381F70"/>
    <w:rsid w:val="0038205E"/>
    <w:rsid w:val="00382114"/>
    <w:rsid w:val="00382117"/>
    <w:rsid w:val="0038216F"/>
    <w:rsid w:val="003821A6"/>
    <w:rsid w:val="00382253"/>
    <w:rsid w:val="0038228E"/>
    <w:rsid w:val="003822D1"/>
    <w:rsid w:val="0038233C"/>
    <w:rsid w:val="0038237C"/>
    <w:rsid w:val="00382522"/>
    <w:rsid w:val="00382531"/>
    <w:rsid w:val="00382645"/>
    <w:rsid w:val="0038267D"/>
    <w:rsid w:val="00382691"/>
    <w:rsid w:val="0038273B"/>
    <w:rsid w:val="00382770"/>
    <w:rsid w:val="0038282D"/>
    <w:rsid w:val="00382878"/>
    <w:rsid w:val="00382898"/>
    <w:rsid w:val="00382902"/>
    <w:rsid w:val="00382906"/>
    <w:rsid w:val="00382930"/>
    <w:rsid w:val="003829E6"/>
    <w:rsid w:val="00382A52"/>
    <w:rsid w:val="00382B2C"/>
    <w:rsid w:val="00382BB2"/>
    <w:rsid w:val="00382BCD"/>
    <w:rsid w:val="00382C0E"/>
    <w:rsid w:val="00382C16"/>
    <w:rsid w:val="00382C4E"/>
    <w:rsid w:val="00382D76"/>
    <w:rsid w:val="00382D90"/>
    <w:rsid w:val="00382D94"/>
    <w:rsid w:val="00382DCA"/>
    <w:rsid w:val="00382E47"/>
    <w:rsid w:val="00382EBB"/>
    <w:rsid w:val="00382F04"/>
    <w:rsid w:val="003831A1"/>
    <w:rsid w:val="00383280"/>
    <w:rsid w:val="003832E1"/>
    <w:rsid w:val="003832F8"/>
    <w:rsid w:val="00383401"/>
    <w:rsid w:val="00383439"/>
    <w:rsid w:val="003834BB"/>
    <w:rsid w:val="00383557"/>
    <w:rsid w:val="00383649"/>
    <w:rsid w:val="00383670"/>
    <w:rsid w:val="003836D1"/>
    <w:rsid w:val="003836EA"/>
    <w:rsid w:val="0038372E"/>
    <w:rsid w:val="00383738"/>
    <w:rsid w:val="003837C1"/>
    <w:rsid w:val="003838C3"/>
    <w:rsid w:val="00383A5B"/>
    <w:rsid w:val="00383ACF"/>
    <w:rsid w:val="00383BF0"/>
    <w:rsid w:val="00383C5E"/>
    <w:rsid w:val="00383E01"/>
    <w:rsid w:val="00383EAF"/>
    <w:rsid w:val="00383EB1"/>
    <w:rsid w:val="00383EE7"/>
    <w:rsid w:val="00383F1B"/>
    <w:rsid w:val="00384044"/>
    <w:rsid w:val="00384154"/>
    <w:rsid w:val="00384230"/>
    <w:rsid w:val="00384249"/>
    <w:rsid w:val="0038430A"/>
    <w:rsid w:val="0038442C"/>
    <w:rsid w:val="003844FA"/>
    <w:rsid w:val="003846E8"/>
    <w:rsid w:val="0038474C"/>
    <w:rsid w:val="00384751"/>
    <w:rsid w:val="00384822"/>
    <w:rsid w:val="00384919"/>
    <w:rsid w:val="00384A0D"/>
    <w:rsid w:val="00384A1A"/>
    <w:rsid w:val="00384A20"/>
    <w:rsid w:val="00384C06"/>
    <w:rsid w:val="00384C75"/>
    <w:rsid w:val="00384C7D"/>
    <w:rsid w:val="00384E01"/>
    <w:rsid w:val="00384E66"/>
    <w:rsid w:val="00384E7F"/>
    <w:rsid w:val="00384FE6"/>
    <w:rsid w:val="00385012"/>
    <w:rsid w:val="00385082"/>
    <w:rsid w:val="00385237"/>
    <w:rsid w:val="00385306"/>
    <w:rsid w:val="00385418"/>
    <w:rsid w:val="0038547A"/>
    <w:rsid w:val="00385498"/>
    <w:rsid w:val="00385532"/>
    <w:rsid w:val="00385612"/>
    <w:rsid w:val="00385718"/>
    <w:rsid w:val="00385753"/>
    <w:rsid w:val="003857CD"/>
    <w:rsid w:val="0038582C"/>
    <w:rsid w:val="003858B7"/>
    <w:rsid w:val="003858DE"/>
    <w:rsid w:val="003858EB"/>
    <w:rsid w:val="003859B6"/>
    <w:rsid w:val="003859F9"/>
    <w:rsid w:val="00385A1A"/>
    <w:rsid w:val="00385A63"/>
    <w:rsid w:val="00385A93"/>
    <w:rsid w:val="00385B31"/>
    <w:rsid w:val="00385BF4"/>
    <w:rsid w:val="00385CA1"/>
    <w:rsid w:val="00385CF9"/>
    <w:rsid w:val="00385D11"/>
    <w:rsid w:val="00385F72"/>
    <w:rsid w:val="0038608F"/>
    <w:rsid w:val="003860BA"/>
    <w:rsid w:val="0038612C"/>
    <w:rsid w:val="00386134"/>
    <w:rsid w:val="00386137"/>
    <w:rsid w:val="0038615E"/>
    <w:rsid w:val="003863E7"/>
    <w:rsid w:val="00386515"/>
    <w:rsid w:val="0038652C"/>
    <w:rsid w:val="00386537"/>
    <w:rsid w:val="0038658A"/>
    <w:rsid w:val="003865F8"/>
    <w:rsid w:val="0038660A"/>
    <w:rsid w:val="0038674B"/>
    <w:rsid w:val="003867F5"/>
    <w:rsid w:val="00386844"/>
    <w:rsid w:val="00386878"/>
    <w:rsid w:val="00386972"/>
    <w:rsid w:val="003869E1"/>
    <w:rsid w:val="00386AC2"/>
    <w:rsid w:val="00386B30"/>
    <w:rsid w:val="00386B85"/>
    <w:rsid w:val="00386B87"/>
    <w:rsid w:val="00386BC3"/>
    <w:rsid w:val="00386C87"/>
    <w:rsid w:val="00386C90"/>
    <w:rsid w:val="00386CE9"/>
    <w:rsid w:val="00386D96"/>
    <w:rsid w:val="00386D9C"/>
    <w:rsid w:val="00386E82"/>
    <w:rsid w:val="00386F1F"/>
    <w:rsid w:val="00386F30"/>
    <w:rsid w:val="00386F65"/>
    <w:rsid w:val="00386FBB"/>
    <w:rsid w:val="0038701D"/>
    <w:rsid w:val="00387117"/>
    <w:rsid w:val="00387131"/>
    <w:rsid w:val="00387163"/>
    <w:rsid w:val="003871C6"/>
    <w:rsid w:val="00387269"/>
    <w:rsid w:val="003872D2"/>
    <w:rsid w:val="003872FB"/>
    <w:rsid w:val="00387340"/>
    <w:rsid w:val="0038738E"/>
    <w:rsid w:val="0038739C"/>
    <w:rsid w:val="00387413"/>
    <w:rsid w:val="0038752B"/>
    <w:rsid w:val="00387541"/>
    <w:rsid w:val="00387594"/>
    <w:rsid w:val="003875AA"/>
    <w:rsid w:val="003875B4"/>
    <w:rsid w:val="003876F5"/>
    <w:rsid w:val="00387796"/>
    <w:rsid w:val="00387803"/>
    <w:rsid w:val="00387838"/>
    <w:rsid w:val="003879F7"/>
    <w:rsid w:val="00387BDF"/>
    <w:rsid w:val="00387C2D"/>
    <w:rsid w:val="00387C57"/>
    <w:rsid w:val="00387C69"/>
    <w:rsid w:val="00387CB6"/>
    <w:rsid w:val="00387CC5"/>
    <w:rsid w:val="00387ED7"/>
    <w:rsid w:val="00387F28"/>
    <w:rsid w:val="00387F62"/>
    <w:rsid w:val="00390036"/>
    <w:rsid w:val="00390045"/>
    <w:rsid w:val="0039006D"/>
    <w:rsid w:val="0039007E"/>
    <w:rsid w:val="00390094"/>
    <w:rsid w:val="00390102"/>
    <w:rsid w:val="00390156"/>
    <w:rsid w:val="00390192"/>
    <w:rsid w:val="0039019E"/>
    <w:rsid w:val="003903CA"/>
    <w:rsid w:val="0039051A"/>
    <w:rsid w:val="003905C3"/>
    <w:rsid w:val="003907A5"/>
    <w:rsid w:val="00390824"/>
    <w:rsid w:val="0039090E"/>
    <w:rsid w:val="00390A17"/>
    <w:rsid w:val="00390A69"/>
    <w:rsid w:val="00390A72"/>
    <w:rsid w:val="00390BB0"/>
    <w:rsid w:val="00390CAB"/>
    <w:rsid w:val="00390E82"/>
    <w:rsid w:val="00390E87"/>
    <w:rsid w:val="00390ED2"/>
    <w:rsid w:val="00390F3F"/>
    <w:rsid w:val="00390FE4"/>
    <w:rsid w:val="003910DB"/>
    <w:rsid w:val="003910F9"/>
    <w:rsid w:val="003911FB"/>
    <w:rsid w:val="0039123C"/>
    <w:rsid w:val="0039123D"/>
    <w:rsid w:val="00391292"/>
    <w:rsid w:val="003912FF"/>
    <w:rsid w:val="0039137C"/>
    <w:rsid w:val="003914DE"/>
    <w:rsid w:val="003914F4"/>
    <w:rsid w:val="003915AD"/>
    <w:rsid w:val="003915BA"/>
    <w:rsid w:val="003915C9"/>
    <w:rsid w:val="003915F5"/>
    <w:rsid w:val="00391770"/>
    <w:rsid w:val="00391775"/>
    <w:rsid w:val="00391875"/>
    <w:rsid w:val="00391912"/>
    <w:rsid w:val="00391924"/>
    <w:rsid w:val="00391A06"/>
    <w:rsid w:val="00391BA7"/>
    <w:rsid w:val="00391C48"/>
    <w:rsid w:val="00391C4A"/>
    <w:rsid w:val="00391D28"/>
    <w:rsid w:val="00391D62"/>
    <w:rsid w:val="00391D9F"/>
    <w:rsid w:val="00391DFB"/>
    <w:rsid w:val="00391E10"/>
    <w:rsid w:val="00391E21"/>
    <w:rsid w:val="00391EFB"/>
    <w:rsid w:val="00391F17"/>
    <w:rsid w:val="00391F41"/>
    <w:rsid w:val="00391FBB"/>
    <w:rsid w:val="00392164"/>
    <w:rsid w:val="00392175"/>
    <w:rsid w:val="00392243"/>
    <w:rsid w:val="00392426"/>
    <w:rsid w:val="00392491"/>
    <w:rsid w:val="00392521"/>
    <w:rsid w:val="00392529"/>
    <w:rsid w:val="0039266B"/>
    <w:rsid w:val="003928C3"/>
    <w:rsid w:val="0039292D"/>
    <w:rsid w:val="00392A21"/>
    <w:rsid w:val="00392AB5"/>
    <w:rsid w:val="00392B3F"/>
    <w:rsid w:val="00392C54"/>
    <w:rsid w:val="00392D00"/>
    <w:rsid w:val="00392E69"/>
    <w:rsid w:val="00392EFC"/>
    <w:rsid w:val="00392FAE"/>
    <w:rsid w:val="00393099"/>
    <w:rsid w:val="003930D5"/>
    <w:rsid w:val="00393124"/>
    <w:rsid w:val="003931E7"/>
    <w:rsid w:val="00393315"/>
    <w:rsid w:val="0039334E"/>
    <w:rsid w:val="0039349D"/>
    <w:rsid w:val="00393519"/>
    <w:rsid w:val="00393533"/>
    <w:rsid w:val="0039361A"/>
    <w:rsid w:val="00393690"/>
    <w:rsid w:val="003937AD"/>
    <w:rsid w:val="00393940"/>
    <w:rsid w:val="00393A48"/>
    <w:rsid w:val="00393B19"/>
    <w:rsid w:val="00393DD3"/>
    <w:rsid w:val="00393ED8"/>
    <w:rsid w:val="003940D2"/>
    <w:rsid w:val="00394220"/>
    <w:rsid w:val="00394360"/>
    <w:rsid w:val="00394432"/>
    <w:rsid w:val="00394560"/>
    <w:rsid w:val="003945B5"/>
    <w:rsid w:val="00394637"/>
    <w:rsid w:val="003946BD"/>
    <w:rsid w:val="003946F2"/>
    <w:rsid w:val="00394755"/>
    <w:rsid w:val="00394789"/>
    <w:rsid w:val="0039494B"/>
    <w:rsid w:val="00394A8E"/>
    <w:rsid w:val="00394AAA"/>
    <w:rsid w:val="00394AD5"/>
    <w:rsid w:val="00394B0E"/>
    <w:rsid w:val="00394B64"/>
    <w:rsid w:val="00394B95"/>
    <w:rsid w:val="00394C85"/>
    <w:rsid w:val="00394C8E"/>
    <w:rsid w:val="00394D43"/>
    <w:rsid w:val="00394DEE"/>
    <w:rsid w:val="00394E79"/>
    <w:rsid w:val="00394EFE"/>
    <w:rsid w:val="00394F5D"/>
    <w:rsid w:val="00394FEB"/>
    <w:rsid w:val="00395085"/>
    <w:rsid w:val="00395145"/>
    <w:rsid w:val="0039517E"/>
    <w:rsid w:val="003952B9"/>
    <w:rsid w:val="003952D6"/>
    <w:rsid w:val="003952E8"/>
    <w:rsid w:val="00395399"/>
    <w:rsid w:val="003953C7"/>
    <w:rsid w:val="003953D0"/>
    <w:rsid w:val="003953F0"/>
    <w:rsid w:val="0039548B"/>
    <w:rsid w:val="0039553F"/>
    <w:rsid w:val="00395546"/>
    <w:rsid w:val="00395616"/>
    <w:rsid w:val="0039570C"/>
    <w:rsid w:val="003957DE"/>
    <w:rsid w:val="003957E9"/>
    <w:rsid w:val="00395810"/>
    <w:rsid w:val="00395839"/>
    <w:rsid w:val="003959BD"/>
    <w:rsid w:val="003959BF"/>
    <w:rsid w:val="003959E3"/>
    <w:rsid w:val="003959F9"/>
    <w:rsid w:val="00395A36"/>
    <w:rsid w:val="00395B45"/>
    <w:rsid w:val="00395B9D"/>
    <w:rsid w:val="00395C87"/>
    <w:rsid w:val="00395E78"/>
    <w:rsid w:val="00395EBE"/>
    <w:rsid w:val="00395EF1"/>
    <w:rsid w:val="00395F13"/>
    <w:rsid w:val="00395F9B"/>
    <w:rsid w:val="0039605E"/>
    <w:rsid w:val="0039609E"/>
    <w:rsid w:val="00396237"/>
    <w:rsid w:val="003962EC"/>
    <w:rsid w:val="0039635E"/>
    <w:rsid w:val="00396413"/>
    <w:rsid w:val="00396445"/>
    <w:rsid w:val="00396463"/>
    <w:rsid w:val="0039656C"/>
    <w:rsid w:val="00396611"/>
    <w:rsid w:val="003966CF"/>
    <w:rsid w:val="00396729"/>
    <w:rsid w:val="00396762"/>
    <w:rsid w:val="003967AA"/>
    <w:rsid w:val="0039689E"/>
    <w:rsid w:val="003968FD"/>
    <w:rsid w:val="003969C3"/>
    <w:rsid w:val="00396AAF"/>
    <w:rsid w:val="00396AFB"/>
    <w:rsid w:val="00396B81"/>
    <w:rsid w:val="00396B8C"/>
    <w:rsid w:val="00396B9B"/>
    <w:rsid w:val="00396BD2"/>
    <w:rsid w:val="00396C02"/>
    <w:rsid w:val="00396C33"/>
    <w:rsid w:val="00396C59"/>
    <w:rsid w:val="00396C66"/>
    <w:rsid w:val="00396CA3"/>
    <w:rsid w:val="00396CCA"/>
    <w:rsid w:val="00396D17"/>
    <w:rsid w:val="00396D64"/>
    <w:rsid w:val="00396D6E"/>
    <w:rsid w:val="00396DB1"/>
    <w:rsid w:val="00396DE2"/>
    <w:rsid w:val="00396DEA"/>
    <w:rsid w:val="00396DFE"/>
    <w:rsid w:val="00396E8F"/>
    <w:rsid w:val="00396F10"/>
    <w:rsid w:val="00396F97"/>
    <w:rsid w:val="00397015"/>
    <w:rsid w:val="00397181"/>
    <w:rsid w:val="00397339"/>
    <w:rsid w:val="0039748C"/>
    <w:rsid w:val="0039765B"/>
    <w:rsid w:val="003976C1"/>
    <w:rsid w:val="00397927"/>
    <w:rsid w:val="003979E0"/>
    <w:rsid w:val="00397AB9"/>
    <w:rsid w:val="00397AF1"/>
    <w:rsid w:val="00397BF5"/>
    <w:rsid w:val="00397BF6"/>
    <w:rsid w:val="00397D2B"/>
    <w:rsid w:val="00397E3B"/>
    <w:rsid w:val="00397EA7"/>
    <w:rsid w:val="00397F26"/>
    <w:rsid w:val="00397F39"/>
    <w:rsid w:val="003A004A"/>
    <w:rsid w:val="003A01B8"/>
    <w:rsid w:val="003A01C1"/>
    <w:rsid w:val="003A02AA"/>
    <w:rsid w:val="003A02E8"/>
    <w:rsid w:val="003A03FB"/>
    <w:rsid w:val="003A0556"/>
    <w:rsid w:val="003A055D"/>
    <w:rsid w:val="003A05FD"/>
    <w:rsid w:val="003A0603"/>
    <w:rsid w:val="003A066C"/>
    <w:rsid w:val="003A06F7"/>
    <w:rsid w:val="003A0715"/>
    <w:rsid w:val="003A07C5"/>
    <w:rsid w:val="003A091D"/>
    <w:rsid w:val="003A0A15"/>
    <w:rsid w:val="003A0B63"/>
    <w:rsid w:val="003A0C1E"/>
    <w:rsid w:val="003A0CFE"/>
    <w:rsid w:val="003A0E31"/>
    <w:rsid w:val="003A0E8D"/>
    <w:rsid w:val="003A103F"/>
    <w:rsid w:val="003A1172"/>
    <w:rsid w:val="003A1189"/>
    <w:rsid w:val="003A1328"/>
    <w:rsid w:val="003A158F"/>
    <w:rsid w:val="003A163B"/>
    <w:rsid w:val="003A1687"/>
    <w:rsid w:val="003A16B6"/>
    <w:rsid w:val="003A175E"/>
    <w:rsid w:val="003A17F2"/>
    <w:rsid w:val="003A1850"/>
    <w:rsid w:val="003A185A"/>
    <w:rsid w:val="003A1965"/>
    <w:rsid w:val="003A19B5"/>
    <w:rsid w:val="003A19BE"/>
    <w:rsid w:val="003A1A3B"/>
    <w:rsid w:val="003A1A96"/>
    <w:rsid w:val="003A1B2E"/>
    <w:rsid w:val="003A1B38"/>
    <w:rsid w:val="003A1BC5"/>
    <w:rsid w:val="003A1D73"/>
    <w:rsid w:val="003A1FAD"/>
    <w:rsid w:val="003A2045"/>
    <w:rsid w:val="003A2380"/>
    <w:rsid w:val="003A245C"/>
    <w:rsid w:val="003A2518"/>
    <w:rsid w:val="003A2523"/>
    <w:rsid w:val="003A25C3"/>
    <w:rsid w:val="003A264F"/>
    <w:rsid w:val="003A2666"/>
    <w:rsid w:val="003A2694"/>
    <w:rsid w:val="003A2740"/>
    <w:rsid w:val="003A2741"/>
    <w:rsid w:val="003A27A6"/>
    <w:rsid w:val="003A2836"/>
    <w:rsid w:val="003A284B"/>
    <w:rsid w:val="003A2876"/>
    <w:rsid w:val="003A2921"/>
    <w:rsid w:val="003A2937"/>
    <w:rsid w:val="003A2B71"/>
    <w:rsid w:val="003A2B7A"/>
    <w:rsid w:val="003A2BE9"/>
    <w:rsid w:val="003A2C40"/>
    <w:rsid w:val="003A2C5E"/>
    <w:rsid w:val="003A2D71"/>
    <w:rsid w:val="003A2E2C"/>
    <w:rsid w:val="003A2F00"/>
    <w:rsid w:val="003A2F08"/>
    <w:rsid w:val="003A2F52"/>
    <w:rsid w:val="003A3023"/>
    <w:rsid w:val="003A31A6"/>
    <w:rsid w:val="003A3240"/>
    <w:rsid w:val="003A325A"/>
    <w:rsid w:val="003A3289"/>
    <w:rsid w:val="003A3293"/>
    <w:rsid w:val="003A335B"/>
    <w:rsid w:val="003A335C"/>
    <w:rsid w:val="003A3427"/>
    <w:rsid w:val="003A350F"/>
    <w:rsid w:val="003A3641"/>
    <w:rsid w:val="003A3687"/>
    <w:rsid w:val="003A36B7"/>
    <w:rsid w:val="003A37E6"/>
    <w:rsid w:val="003A38A0"/>
    <w:rsid w:val="003A390F"/>
    <w:rsid w:val="003A3986"/>
    <w:rsid w:val="003A39B0"/>
    <w:rsid w:val="003A3A02"/>
    <w:rsid w:val="003A3ACE"/>
    <w:rsid w:val="003A3ADD"/>
    <w:rsid w:val="003A3B70"/>
    <w:rsid w:val="003A3DCF"/>
    <w:rsid w:val="003A3E21"/>
    <w:rsid w:val="003A3E22"/>
    <w:rsid w:val="003A3F61"/>
    <w:rsid w:val="003A3FF4"/>
    <w:rsid w:val="003A4049"/>
    <w:rsid w:val="003A406F"/>
    <w:rsid w:val="003A4121"/>
    <w:rsid w:val="003A4176"/>
    <w:rsid w:val="003A4193"/>
    <w:rsid w:val="003A4234"/>
    <w:rsid w:val="003A4246"/>
    <w:rsid w:val="003A4274"/>
    <w:rsid w:val="003A42AF"/>
    <w:rsid w:val="003A43C8"/>
    <w:rsid w:val="003A43D8"/>
    <w:rsid w:val="003A43E6"/>
    <w:rsid w:val="003A4525"/>
    <w:rsid w:val="003A453A"/>
    <w:rsid w:val="003A4578"/>
    <w:rsid w:val="003A45B8"/>
    <w:rsid w:val="003A46B0"/>
    <w:rsid w:val="003A46C5"/>
    <w:rsid w:val="003A4726"/>
    <w:rsid w:val="003A485A"/>
    <w:rsid w:val="003A48B7"/>
    <w:rsid w:val="003A4BB5"/>
    <w:rsid w:val="003A4BC4"/>
    <w:rsid w:val="003A4BE8"/>
    <w:rsid w:val="003A4DF1"/>
    <w:rsid w:val="003A4E89"/>
    <w:rsid w:val="003A4F91"/>
    <w:rsid w:val="003A4FA9"/>
    <w:rsid w:val="003A4FBD"/>
    <w:rsid w:val="003A5031"/>
    <w:rsid w:val="003A50EB"/>
    <w:rsid w:val="003A50F3"/>
    <w:rsid w:val="003A51C4"/>
    <w:rsid w:val="003A51DE"/>
    <w:rsid w:val="003A5232"/>
    <w:rsid w:val="003A525A"/>
    <w:rsid w:val="003A5326"/>
    <w:rsid w:val="003A53B1"/>
    <w:rsid w:val="003A5423"/>
    <w:rsid w:val="003A57DE"/>
    <w:rsid w:val="003A58B1"/>
    <w:rsid w:val="003A5A27"/>
    <w:rsid w:val="003A5BB4"/>
    <w:rsid w:val="003A5D09"/>
    <w:rsid w:val="003A5D46"/>
    <w:rsid w:val="003A5D66"/>
    <w:rsid w:val="003A5D6B"/>
    <w:rsid w:val="003A5DF1"/>
    <w:rsid w:val="003A5E5C"/>
    <w:rsid w:val="003A5F8F"/>
    <w:rsid w:val="003A6001"/>
    <w:rsid w:val="003A607F"/>
    <w:rsid w:val="003A60BE"/>
    <w:rsid w:val="003A61B3"/>
    <w:rsid w:val="003A61E0"/>
    <w:rsid w:val="003A6254"/>
    <w:rsid w:val="003A6259"/>
    <w:rsid w:val="003A632E"/>
    <w:rsid w:val="003A6362"/>
    <w:rsid w:val="003A636A"/>
    <w:rsid w:val="003A6453"/>
    <w:rsid w:val="003A64E7"/>
    <w:rsid w:val="003A6637"/>
    <w:rsid w:val="003A679E"/>
    <w:rsid w:val="003A67DC"/>
    <w:rsid w:val="003A6921"/>
    <w:rsid w:val="003A69D5"/>
    <w:rsid w:val="003A69F9"/>
    <w:rsid w:val="003A6C26"/>
    <w:rsid w:val="003A6DC7"/>
    <w:rsid w:val="003A6E2B"/>
    <w:rsid w:val="003A6E37"/>
    <w:rsid w:val="003A6F55"/>
    <w:rsid w:val="003A6FE0"/>
    <w:rsid w:val="003A71B0"/>
    <w:rsid w:val="003A722D"/>
    <w:rsid w:val="003A724D"/>
    <w:rsid w:val="003A7270"/>
    <w:rsid w:val="003A72E4"/>
    <w:rsid w:val="003A72FB"/>
    <w:rsid w:val="003A736B"/>
    <w:rsid w:val="003A73EE"/>
    <w:rsid w:val="003A74EC"/>
    <w:rsid w:val="003A769F"/>
    <w:rsid w:val="003A76E4"/>
    <w:rsid w:val="003A7838"/>
    <w:rsid w:val="003A788C"/>
    <w:rsid w:val="003A7A3E"/>
    <w:rsid w:val="003A7C0D"/>
    <w:rsid w:val="003A7C21"/>
    <w:rsid w:val="003A7C4A"/>
    <w:rsid w:val="003A7CDF"/>
    <w:rsid w:val="003A7CF1"/>
    <w:rsid w:val="003A7DD4"/>
    <w:rsid w:val="003A7E40"/>
    <w:rsid w:val="003A7E55"/>
    <w:rsid w:val="003A7F21"/>
    <w:rsid w:val="003B0065"/>
    <w:rsid w:val="003B0082"/>
    <w:rsid w:val="003B01FE"/>
    <w:rsid w:val="003B0202"/>
    <w:rsid w:val="003B0269"/>
    <w:rsid w:val="003B026A"/>
    <w:rsid w:val="003B02B5"/>
    <w:rsid w:val="003B02D7"/>
    <w:rsid w:val="003B034A"/>
    <w:rsid w:val="003B037C"/>
    <w:rsid w:val="003B03A6"/>
    <w:rsid w:val="003B04E0"/>
    <w:rsid w:val="003B04FA"/>
    <w:rsid w:val="003B04FB"/>
    <w:rsid w:val="003B05F3"/>
    <w:rsid w:val="003B06E3"/>
    <w:rsid w:val="003B0830"/>
    <w:rsid w:val="003B084D"/>
    <w:rsid w:val="003B0AC1"/>
    <w:rsid w:val="003B0B34"/>
    <w:rsid w:val="003B0B58"/>
    <w:rsid w:val="003B0B8E"/>
    <w:rsid w:val="003B0B9F"/>
    <w:rsid w:val="003B0BDE"/>
    <w:rsid w:val="003B0E8E"/>
    <w:rsid w:val="003B0E91"/>
    <w:rsid w:val="003B0F3B"/>
    <w:rsid w:val="003B0F81"/>
    <w:rsid w:val="003B1001"/>
    <w:rsid w:val="003B1106"/>
    <w:rsid w:val="003B1138"/>
    <w:rsid w:val="003B11FD"/>
    <w:rsid w:val="003B1393"/>
    <w:rsid w:val="003B13F3"/>
    <w:rsid w:val="003B1428"/>
    <w:rsid w:val="003B147F"/>
    <w:rsid w:val="003B14B8"/>
    <w:rsid w:val="003B15C0"/>
    <w:rsid w:val="003B165E"/>
    <w:rsid w:val="003B17BC"/>
    <w:rsid w:val="003B19F2"/>
    <w:rsid w:val="003B1B7F"/>
    <w:rsid w:val="003B1B96"/>
    <w:rsid w:val="003B1BD0"/>
    <w:rsid w:val="003B1C55"/>
    <w:rsid w:val="003B1DCD"/>
    <w:rsid w:val="003B1DE3"/>
    <w:rsid w:val="003B1E2E"/>
    <w:rsid w:val="003B1FA7"/>
    <w:rsid w:val="003B204E"/>
    <w:rsid w:val="003B21D9"/>
    <w:rsid w:val="003B2244"/>
    <w:rsid w:val="003B2264"/>
    <w:rsid w:val="003B2285"/>
    <w:rsid w:val="003B2291"/>
    <w:rsid w:val="003B229F"/>
    <w:rsid w:val="003B242D"/>
    <w:rsid w:val="003B24AE"/>
    <w:rsid w:val="003B24DD"/>
    <w:rsid w:val="003B2503"/>
    <w:rsid w:val="003B262A"/>
    <w:rsid w:val="003B2734"/>
    <w:rsid w:val="003B284D"/>
    <w:rsid w:val="003B28D9"/>
    <w:rsid w:val="003B2944"/>
    <w:rsid w:val="003B2A15"/>
    <w:rsid w:val="003B2A65"/>
    <w:rsid w:val="003B2BEC"/>
    <w:rsid w:val="003B2C8F"/>
    <w:rsid w:val="003B2CD9"/>
    <w:rsid w:val="003B2E81"/>
    <w:rsid w:val="003B2FA8"/>
    <w:rsid w:val="003B30E8"/>
    <w:rsid w:val="003B320B"/>
    <w:rsid w:val="003B32BA"/>
    <w:rsid w:val="003B33E0"/>
    <w:rsid w:val="003B3412"/>
    <w:rsid w:val="003B34D8"/>
    <w:rsid w:val="003B3679"/>
    <w:rsid w:val="003B36AC"/>
    <w:rsid w:val="003B36F2"/>
    <w:rsid w:val="003B3704"/>
    <w:rsid w:val="003B37F1"/>
    <w:rsid w:val="003B38C4"/>
    <w:rsid w:val="003B38D3"/>
    <w:rsid w:val="003B398D"/>
    <w:rsid w:val="003B3D4B"/>
    <w:rsid w:val="003B3E01"/>
    <w:rsid w:val="003B3EA9"/>
    <w:rsid w:val="003B40FE"/>
    <w:rsid w:val="003B4275"/>
    <w:rsid w:val="003B42A1"/>
    <w:rsid w:val="003B431F"/>
    <w:rsid w:val="003B4452"/>
    <w:rsid w:val="003B453B"/>
    <w:rsid w:val="003B456D"/>
    <w:rsid w:val="003B45B4"/>
    <w:rsid w:val="003B4602"/>
    <w:rsid w:val="003B46D2"/>
    <w:rsid w:val="003B4720"/>
    <w:rsid w:val="003B47CE"/>
    <w:rsid w:val="003B495C"/>
    <w:rsid w:val="003B4A21"/>
    <w:rsid w:val="003B4DD0"/>
    <w:rsid w:val="003B4ECF"/>
    <w:rsid w:val="003B4EE8"/>
    <w:rsid w:val="003B4EF0"/>
    <w:rsid w:val="003B4FD4"/>
    <w:rsid w:val="003B5019"/>
    <w:rsid w:val="003B502A"/>
    <w:rsid w:val="003B5066"/>
    <w:rsid w:val="003B5126"/>
    <w:rsid w:val="003B51AE"/>
    <w:rsid w:val="003B51E4"/>
    <w:rsid w:val="003B523A"/>
    <w:rsid w:val="003B52BD"/>
    <w:rsid w:val="003B52FF"/>
    <w:rsid w:val="003B53B9"/>
    <w:rsid w:val="003B5669"/>
    <w:rsid w:val="003B57A9"/>
    <w:rsid w:val="003B59F4"/>
    <w:rsid w:val="003B5A54"/>
    <w:rsid w:val="003B5B3A"/>
    <w:rsid w:val="003B5B6A"/>
    <w:rsid w:val="003B5C84"/>
    <w:rsid w:val="003B5CEF"/>
    <w:rsid w:val="003B5EFB"/>
    <w:rsid w:val="003B6107"/>
    <w:rsid w:val="003B61F8"/>
    <w:rsid w:val="003B6274"/>
    <w:rsid w:val="003B6451"/>
    <w:rsid w:val="003B648C"/>
    <w:rsid w:val="003B6625"/>
    <w:rsid w:val="003B66F9"/>
    <w:rsid w:val="003B67D1"/>
    <w:rsid w:val="003B689F"/>
    <w:rsid w:val="003B68AC"/>
    <w:rsid w:val="003B6912"/>
    <w:rsid w:val="003B6990"/>
    <w:rsid w:val="003B6A5B"/>
    <w:rsid w:val="003B6B88"/>
    <w:rsid w:val="003B6BF6"/>
    <w:rsid w:val="003B6C3B"/>
    <w:rsid w:val="003B6DD9"/>
    <w:rsid w:val="003B6EDE"/>
    <w:rsid w:val="003B6EE7"/>
    <w:rsid w:val="003B72EB"/>
    <w:rsid w:val="003B7318"/>
    <w:rsid w:val="003B7369"/>
    <w:rsid w:val="003B73F7"/>
    <w:rsid w:val="003B7456"/>
    <w:rsid w:val="003B752F"/>
    <w:rsid w:val="003B756E"/>
    <w:rsid w:val="003B75E5"/>
    <w:rsid w:val="003B766A"/>
    <w:rsid w:val="003B76F5"/>
    <w:rsid w:val="003B7706"/>
    <w:rsid w:val="003B77F7"/>
    <w:rsid w:val="003B787E"/>
    <w:rsid w:val="003B7A2B"/>
    <w:rsid w:val="003B7AF3"/>
    <w:rsid w:val="003B7BD1"/>
    <w:rsid w:val="003B7BE8"/>
    <w:rsid w:val="003B7C53"/>
    <w:rsid w:val="003B7CAF"/>
    <w:rsid w:val="003B7CBD"/>
    <w:rsid w:val="003B7D17"/>
    <w:rsid w:val="003B7E52"/>
    <w:rsid w:val="003B7EF5"/>
    <w:rsid w:val="003B7F72"/>
    <w:rsid w:val="003C018E"/>
    <w:rsid w:val="003C01AA"/>
    <w:rsid w:val="003C01CD"/>
    <w:rsid w:val="003C0213"/>
    <w:rsid w:val="003C0278"/>
    <w:rsid w:val="003C0334"/>
    <w:rsid w:val="003C04D5"/>
    <w:rsid w:val="003C050F"/>
    <w:rsid w:val="003C073F"/>
    <w:rsid w:val="003C0884"/>
    <w:rsid w:val="003C091C"/>
    <w:rsid w:val="003C0945"/>
    <w:rsid w:val="003C0A6B"/>
    <w:rsid w:val="003C0AC0"/>
    <w:rsid w:val="003C0D0C"/>
    <w:rsid w:val="003C0D38"/>
    <w:rsid w:val="003C0E77"/>
    <w:rsid w:val="003C0F33"/>
    <w:rsid w:val="003C0F34"/>
    <w:rsid w:val="003C0F68"/>
    <w:rsid w:val="003C0F92"/>
    <w:rsid w:val="003C0F9E"/>
    <w:rsid w:val="003C10FD"/>
    <w:rsid w:val="003C135B"/>
    <w:rsid w:val="003C138D"/>
    <w:rsid w:val="003C1420"/>
    <w:rsid w:val="003C1502"/>
    <w:rsid w:val="003C1531"/>
    <w:rsid w:val="003C1549"/>
    <w:rsid w:val="003C1588"/>
    <w:rsid w:val="003C159E"/>
    <w:rsid w:val="003C160A"/>
    <w:rsid w:val="003C1713"/>
    <w:rsid w:val="003C1786"/>
    <w:rsid w:val="003C17F2"/>
    <w:rsid w:val="003C18F5"/>
    <w:rsid w:val="003C196D"/>
    <w:rsid w:val="003C19C2"/>
    <w:rsid w:val="003C1A7C"/>
    <w:rsid w:val="003C1A7D"/>
    <w:rsid w:val="003C1ACF"/>
    <w:rsid w:val="003C1CD4"/>
    <w:rsid w:val="003C1CDA"/>
    <w:rsid w:val="003C1DEF"/>
    <w:rsid w:val="003C1F8D"/>
    <w:rsid w:val="003C1FCB"/>
    <w:rsid w:val="003C2015"/>
    <w:rsid w:val="003C2098"/>
    <w:rsid w:val="003C20E3"/>
    <w:rsid w:val="003C2146"/>
    <w:rsid w:val="003C2148"/>
    <w:rsid w:val="003C21BD"/>
    <w:rsid w:val="003C2249"/>
    <w:rsid w:val="003C238F"/>
    <w:rsid w:val="003C23C8"/>
    <w:rsid w:val="003C25B1"/>
    <w:rsid w:val="003C25FC"/>
    <w:rsid w:val="003C26D2"/>
    <w:rsid w:val="003C273D"/>
    <w:rsid w:val="003C27AF"/>
    <w:rsid w:val="003C282A"/>
    <w:rsid w:val="003C28E3"/>
    <w:rsid w:val="003C28E5"/>
    <w:rsid w:val="003C290C"/>
    <w:rsid w:val="003C2B0B"/>
    <w:rsid w:val="003C2B12"/>
    <w:rsid w:val="003C2B35"/>
    <w:rsid w:val="003C2CE0"/>
    <w:rsid w:val="003C2D00"/>
    <w:rsid w:val="003C2F97"/>
    <w:rsid w:val="003C30FA"/>
    <w:rsid w:val="003C31BC"/>
    <w:rsid w:val="003C31FA"/>
    <w:rsid w:val="003C3240"/>
    <w:rsid w:val="003C3249"/>
    <w:rsid w:val="003C3289"/>
    <w:rsid w:val="003C32C3"/>
    <w:rsid w:val="003C33A6"/>
    <w:rsid w:val="003C33AE"/>
    <w:rsid w:val="003C3481"/>
    <w:rsid w:val="003C359B"/>
    <w:rsid w:val="003C35C1"/>
    <w:rsid w:val="003C364C"/>
    <w:rsid w:val="003C364D"/>
    <w:rsid w:val="003C371F"/>
    <w:rsid w:val="003C377E"/>
    <w:rsid w:val="003C39EF"/>
    <w:rsid w:val="003C3A0C"/>
    <w:rsid w:val="003C3A62"/>
    <w:rsid w:val="003C3C3F"/>
    <w:rsid w:val="003C3C80"/>
    <w:rsid w:val="003C3CED"/>
    <w:rsid w:val="003C3E2C"/>
    <w:rsid w:val="003C3F28"/>
    <w:rsid w:val="003C4094"/>
    <w:rsid w:val="003C4183"/>
    <w:rsid w:val="003C42D5"/>
    <w:rsid w:val="003C4304"/>
    <w:rsid w:val="003C448D"/>
    <w:rsid w:val="003C450F"/>
    <w:rsid w:val="003C45D8"/>
    <w:rsid w:val="003C4609"/>
    <w:rsid w:val="003C46E2"/>
    <w:rsid w:val="003C47BB"/>
    <w:rsid w:val="003C47EE"/>
    <w:rsid w:val="003C4803"/>
    <w:rsid w:val="003C481D"/>
    <w:rsid w:val="003C4B8C"/>
    <w:rsid w:val="003C4BA4"/>
    <w:rsid w:val="003C4BA8"/>
    <w:rsid w:val="003C4C8B"/>
    <w:rsid w:val="003C4CA1"/>
    <w:rsid w:val="003C4D03"/>
    <w:rsid w:val="003C4DB4"/>
    <w:rsid w:val="003C4DF6"/>
    <w:rsid w:val="003C4DFC"/>
    <w:rsid w:val="003C4FF0"/>
    <w:rsid w:val="003C5004"/>
    <w:rsid w:val="003C502E"/>
    <w:rsid w:val="003C5147"/>
    <w:rsid w:val="003C51BF"/>
    <w:rsid w:val="003C526C"/>
    <w:rsid w:val="003C532D"/>
    <w:rsid w:val="003C537E"/>
    <w:rsid w:val="003C5586"/>
    <w:rsid w:val="003C5686"/>
    <w:rsid w:val="003C56FE"/>
    <w:rsid w:val="003C584A"/>
    <w:rsid w:val="003C5969"/>
    <w:rsid w:val="003C5A78"/>
    <w:rsid w:val="003C5AE5"/>
    <w:rsid w:val="003C5B15"/>
    <w:rsid w:val="003C5B71"/>
    <w:rsid w:val="003C5D00"/>
    <w:rsid w:val="003C5D96"/>
    <w:rsid w:val="003C5E0A"/>
    <w:rsid w:val="003C5E20"/>
    <w:rsid w:val="003C5E6E"/>
    <w:rsid w:val="003C5F34"/>
    <w:rsid w:val="003C60B3"/>
    <w:rsid w:val="003C61FE"/>
    <w:rsid w:val="003C6208"/>
    <w:rsid w:val="003C62BB"/>
    <w:rsid w:val="003C6314"/>
    <w:rsid w:val="003C633C"/>
    <w:rsid w:val="003C63B7"/>
    <w:rsid w:val="003C64A0"/>
    <w:rsid w:val="003C64B2"/>
    <w:rsid w:val="003C651B"/>
    <w:rsid w:val="003C6685"/>
    <w:rsid w:val="003C66CD"/>
    <w:rsid w:val="003C66EE"/>
    <w:rsid w:val="003C67CA"/>
    <w:rsid w:val="003C6A09"/>
    <w:rsid w:val="003C6A3B"/>
    <w:rsid w:val="003C6AB2"/>
    <w:rsid w:val="003C6B28"/>
    <w:rsid w:val="003C6BF0"/>
    <w:rsid w:val="003C6C5D"/>
    <w:rsid w:val="003C6DC1"/>
    <w:rsid w:val="003C6E09"/>
    <w:rsid w:val="003C6E9F"/>
    <w:rsid w:val="003C6F8F"/>
    <w:rsid w:val="003C700F"/>
    <w:rsid w:val="003C7049"/>
    <w:rsid w:val="003C7065"/>
    <w:rsid w:val="003C71B7"/>
    <w:rsid w:val="003C71CF"/>
    <w:rsid w:val="003C727B"/>
    <w:rsid w:val="003C72AA"/>
    <w:rsid w:val="003C72BE"/>
    <w:rsid w:val="003C72D7"/>
    <w:rsid w:val="003C72FD"/>
    <w:rsid w:val="003C7359"/>
    <w:rsid w:val="003C739F"/>
    <w:rsid w:val="003C74FD"/>
    <w:rsid w:val="003C7505"/>
    <w:rsid w:val="003C7541"/>
    <w:rsid w:val="003C7580"/>
    <w:rsid w:val="003C75FE"/>
    <w:rsid w:val="003C7604"/>
    <w:rsid w:val="003C765B"/>
    <w:rsid w:val="003C7664"/>
    <w:rsid w:val="003C770A"/>
    <w:rsid w:val="003C7724"/>
    <w:rsid w:val="003C7740"/>
    <w:rsid w:val="003C77CD"/>
    <w:rsid w:val="003C7922"/>
    <w:rsid w:val="003C792D"/>
    <w:rsid w:val="003C79B1"/>
    <w:rsid w:val="003C7A54"/>
    <w:rsid w:val="003C7BE1"/>
    <w:rsid w:val="003C7BFE"/>
    <w:rsid w:val="003C7CD8"/>
    <w:rsid w:val="003C7CE3"/>
    <w:rsid w:val="003C7CEE"/>
    <w:rsid w:val="003C7CEF"/>
    <w:rsid w:val="003C7D27"/>
    <w:rsid w:val="003C7E1A"/>
    <w:rsid w:val="003C7EF8"/>
    <w:rsid w:val="003C7F1B"/>
    <w:rsid w:val="003C7F3A"/>
    <w:rsid w:val="003D0084"/>
    <w:rsid w:val="003D00AB"/>
    <w:rsid w:val="003D00E9"/>
    <w:rsid w:val="003D0147"/>
    <w:rsid w:val="003D014D"/>
    <w:rsid w:val="003D0175"/>
    <w:rsid w:val="003D01B4"/>
    <w:rsid w:val="003D0232"/>
    <w:rsid w:val="003D02A9"/>
    <w:rsid w:val="003D0327"/>
    <w:rsid w:val="003D0364"/>
    <w:rsid w:val="003D0440"/>
    <w:rsid w:val="003D0487"/>
    <w:rsid w:val="003D057F"/>
    <w:rsid w:val="003D05DD"/>
    <w:rsid w:val="003D0793"/>
    <w:rsid w:val="003D082D"/>
    <w:rsid w:val="003D0A05"/>
    <w:rsid w:val="003D0B24"/>
    <w:rsid w:val="003D0C92"/>
    <w:rsid w:val="003D0C94"/>
    <w:rsid w:val="003D0D1B"/>
    <w:rsid w:val="003D0D3C"/>
    <w:rsid w:val="003D0D44"/>
    <w:rsid w:val="003D0D95"/>
    <w:rsid w:val="003D0E39"/>
    <w:rsid w:val="003D0E5B"/>
    <w:rsid w:val="003D0EAE"/>
    <w:rsid w:val="003D0FA8"/>
    <w:rsid w:val="003D0FDD"/>
    <w:rsid w:val="003D103A"/>
    <w:rsid w:val="003D10F7"/>
    <w:rsid w:val="003D1126"/>
    <w:rsid w:val="003D1145"/>
    <w:rsid w:val="003D1330"/>
    <w:rsid w:val="003D13EA"/>
    <w:rsid w:val="003D1441"/>
    <w:rsid w:val="003D1457"/>
    <w:rsid w:val="003D14B5"/>
    <w:rsid w:val="003D14D5"/>
    <w:rsid w:val="003D151C"/>
    <w:rsid w:val="003D153B"/>
    <w:rsid w:val="003D1553"/>
    <w:rsid w:val="003D156B"/>
    <w:rsid w:val="003D164C"/>
    <w:rsid w:val="003D1693"/>
    <w:rsid w:val="003D17B9"/>
    <w:rsid w:val="003D187E"/>
    <w:rsid w:val="003D1908"/>
    <w:rsid w:val="003D19C2"/>
    <w:rsid w:val="003D1A25"/>
    <w:rsid w:val="003D1BEE"/>
    <w:rsid w:val="003D1C02"/>
    <w:rsid w:val="003D1E9F"/>
    <w:rsid w:val="003D1EC3"/>
    <w:rsid w:val="003D1F0E"/>
    <w:rsid w:val="003D1FA9"/>
    <w:rsid w:val="003D1FF5"/>
    <w:rsid w:val="003D208A"/>
    <w:rsid w:val="003D209D"/>
    <w:rsid w:val="003D21B0"/>
    <w:rsid w:val="003D2315"/>
    <w:rsid w:val="003D231A"/>
    <w:rsid w:val="003D23A7"/>
    <w:rsid w:val="003D2452"/>
    <w:rsid w:val="003D2464"/>
    <w:rsid w:val="003D246A"/>
    <w:rsid w:val="003D24CB"/>
    <w:rsid w:val="003D24FE"/>
    <w:rsid w:val="003D25CF"/>
    <w:rsid w:val="003D2630"/>
    <w:rsid w:val="003D264A"/>
    <w:rsid w:val="003D26B2"/>
    <w:rsid w:val="003D27CA"/>
    <w:rsid w:val="003D2822"/>
    <w:rsid w:val="003D2983"/>
    <w:rsid w:val="003D2C59"/>
    <w:rsid w:val="003D2C7B"/>
    <w:rsid w:val="003D2C83"/>
    <w:rsid w:val="003D2D84"/>
    <w:rsid w:val="003D2DA8"/>
    <w:rsid w:val="003D2F73"/>
    <w:rsid w:val="003D2FB3"/>
    <w:rsid w:val="003D3092"/>
    <w:rsid w:val="003D30DA"/>
    <w:rsid w:val="003D311C"/>
    <w:rsid w:val="003D31A0"/>
    <w:rsid w:val="003D3275"/>
    <w:rsid w:val="003D32ED"/>
    <w:rsid w:val="003D3433"/>
    <w:rsid w:val="003D34C9"/>
    <w:rsid w:val="003D34EE"/>
    <w:rsid w:val="003D354E"/>
    <w:rsid w:val="003D35FB"/>
    <w:rsid w:val="003D3737"/>
    <w:rsid w:val="003D373D"/>
    <w:rsid w:val="003D37E9"/>
    <w:rsid w:val="003D37EF"/>
    <w:rsid w:val="003D3914"/>
    <w:rsid w:val="003D3972"/>
    <w:rsid w:val="003D39D0"/>
    <w:rsid w:val="003D3B03"/>
    <w:rsid w:val="003D3DF8"/>
    <w:rsid w:val="003D3F91"/>
    <w:rsid w:val="003D3FB0"/>
    <w:rsid w:val="003D401A"/>
    <w:rsid w:val="003D40B2"/>
    <w:rsid w:val="003D40CC"/>
    <w:rsid w:val="003D41C2"/>
    <w:rsid w:val="003D42A2"/>
    <w:rsid w:val="003D443D"/>
    <w:rsid w:val="003D4500"/>
    <w:rsid w:val="003D4563"/>
    <w:rsid w:val="003D4586"/>
    <w:rsid w:val="003D458E"/>
    <w:rsid w:val="003D4716"/>
    <w:rsid w:val="003D47C9"/>
    <w:rsid w:val="003D4817"/>
    <w:rsid w:val="003D481B"/>
    <w:rsid w:val="003D4984"/>
    <w:rsid w:val="003D4A70"/>
    <w:rsid w:val="003D4A9F"/>
    <w:rsid w:val="003D4B56"/>
    <w:rsid w:val="003D4BAE"/>
    <w:rsid w:val="003D4BF1"/>
    <w:rsid w:val="003D4C06"/>
    <w:rsid w:val="003D4C50"/>
    <w:rsid w:val="003D4C55"/>
    <w:rsid w:val="003D4D21"/>
    <w:rsid w:val="003D4F02"/>
    <w:rsid w:val="003D5115"/>
    <w:rsid w:val="003D5180"/>
    <w:rsid w:val="003D5191"/>
    <w:rsid w:val="003D5193"/>
    <w:rsid w:val="003D5208"/>
    <w:rsid w:val="003D52E6"/>
    <w:rsid w:val="003D5323"/>
    <w:rsid w:val="003D5338"/>
    <w:rsid w:val="003D5475"/>
    <w:rsid w:val="003D547A"/>
    <w:rsid w:val="003D54A3"/>
    <w:rsid w:val="003D5607"/>
    <w:rsid w:val="003D56CA"/>
    <w:rsid w:val="003D5756"/>
    <w:rsid w:val="003D57E8"/>
    <w:rsid w:val="003D5825"/>
    <w:rsid w:val="003D5923"/>
    <w:rsid w:val="003D599D"/>
    <w:rsid w:val="003D5A3A"/>
    <w:rsid w:val="003D5AE3"/>
    <w:rsid w:val="003D5BF5"/>
    <w:rsid w:val="003D5F2B"/>
    <w:rsid w:val="003D5F61"/>
    <w:rsid w:val="003D5FBF"/>
    <w:rsid w:val="003D602D"/>
    <w:rsid w:val="003D6068"/>
    <w:rsid w:val="003D60C8"/>
    <w:rsid w:val="003D6207"/>
    <w:rsid w:val="003D62A4"/>
    <w:rsid w:val="003D62BA"/>
    <w:rsid w:val="003D62F5"/>
    <w:rsid w:val="003D63CA"/>
    <w:rsid w:val="003D63D1"/>
    <w:rsid w:val="003D63D2"/>
    <w:rsid w:val="003D6413"/>
    <w:rsid w:val="003D6473"/>
    <w:rsid w:val="003D64B0"/>
    <w:rsid w:val="003D650F"/>
    <w:rsid w:val="003D65BE"/>
    <w:rsid w:val="003D6675"/>
    <w:rsid w:val="003D66E6"/>
    <w:rsid w:val="003D673B"/>
    <w:rsid w:val="003D6744"/>
    <w:rsid w:val="003D67D1"/>
    <w:rsid w:val="003D687A"/>
    <w:rsid w:val="003D6ADF"/>
    <w:rsid w:val="003D6AF5"/>
    <w:rsid w:val="003D6B4B"/>
    <w:rsid w:val="003D6BD2"/>
    <w:rsid w:val="003D6C62"/>
    <w:rsid w:val="003D6D74"/>
    <w:rsid w:val="003D6DE9"/>
    <w:rsid w:val="003D6DEB"/>
    <w:rsid w:val="003D6EBD"/>
    <w:rsid w:val="003D6EDF"/>
    <w:rsid w:val="003D6FBF"/>
    <w:rsid w:val="003D6FCE"/>
    <w:rsid w:val="003D7008"/>
    <w:rsid w:val="003D709F"/>
    <w:rsid w:val="003D7146"/>
    <w:rsid w:val="003D71A8"/>
    <w:rsid w:val="003D71AC"/>
    <w:rsid w:val="003D7223"/>
    <w:rsid w:val="003D72E3"/>
    <w:rsid w:val="003D73E1"/>
    <w:rsid w:val="003D74AD"/>
    <w:rsid w:val="003D751B"/>
    <w:rsid w:val="003D7550"/>
    <w:rsid w:val="003D7562"/>
    <w:rsid w:val="003D7793"/>
    <w:rsid w:val="003D792F"/>
    <w:rsid w:val="003D7941"/>
    <w:rsid w:val="003D79B2"/>
    <w:rsid w:val="003D79EB"/>
    <w:rsid w:val="003D7AC6"/>
    <w:rsid w:val="003D7BF6"/>
    <w:rsid w:val="003D7C34"/>
    <w:rsid w:val="003D7C8C"/>
    <w:rsid w:val="003D7CB1"/>
    <w:rsid w:val="003D7D3E"/>
    <w:rsid w:val="003D7DDD"/>
    <w:rsid w:val="003D7E1E"/>
    <w:rsid w:val="003D7F32"/>
    <w:rsid w:val="003D7F72"/>
    <w:rsid w:val="003E01EE"/>
    <w:rsid w:val="003E020A"/>
    <w:rsid w:val="003E02D4"/>
    <w:rsid w:val="003E0359"/>
    <w:rsid w:val="003E043F"/>
    <w:rsid w:val="003E04EC"/>
    <w:rsid w:val="003E05FE"/>
    <w:rsid w:val="003E068C"/>
    <w:rsid w:val="003E06DA"/>
    <w:rsid w:val="003E07CA"/>
    <w:rsid w:val="003E07D7"/>
    <w:rsid w:val="003E07D8"/>
    <w:rsid w:val="003E0942"/>
    <w:rsid w:val="003E094E"/>
    <w:rsid w:val="003E0B2C"/>
    <w:rsid w:val="003E0C14"/>
    <w:rsid w:val="003E0C2B"/>
    <w:rsid w:val="003E0C53"/>
    <w:rsid w:val="003E0CC3"/>
    <w:rsid w:val="003E0E47"/>
    <w:rsid w:val="003E0E51"/>
    <w:rsid w:val="003E0FB9"/>
    <w:rsid w:val="003E10D1"/>
    <w:rsid w:val="003E1116"/>
    <w:rsid w:val="003E126D"/>
    <w:rsid w:val="003E1321"/>
    <w:rsid w:val="003E1463"/>
    <w:rsid w:val="003E15BA"/>
    <w:rsid w:val="003E15BF"/>
    <w:rsid w:val="003E163E"/>
    <w:rsid w:val="003E16F5"/>
    <w:rsid w:val="003E18AF"/>
    <w:rsid w:val="003E18C6"/>
    <w:rsid w:val="003E19C4"/>
    <w:rsid w:val="003E19D0"/>
    <w:rsid w:val="003E1A4C"/>
    <w:rsid w:val="003E1A65"/>
    <w:rsid w:val="003E1C17"/>
    <w:rsid w:val="003E1D9F"/>
    <w:rsid w:val="003E1DB4"/>
    <w:rsid w:val="003E1DF5"/>
    <w:rsid w:val="003E1EC1"/>
    <w:rsid w:val="003E1FF5"/>
    <w:rsid w:val="003E2002"/>
    <w:rsid w:val="003E20C3"/>
    <w:rsid w:val="003E20CB"/>
    <w:rsid w:val="003E2200"/>
    <w:rsid w:val="003E2270"/>
    <w:rsid w:val="003E2296"/>
    <w:rsid w:val="003E22EF"/>
    <w:rsid w:val="003E230B"/>
    <w:rsid w:val="003E2338"/>
    <w:rsid w:val="003E2496"/>
    <w:rsid w:val="003E24FB"/>
    <w:rsid w:val="003E25F5"/>
    <w:rsid w:val="003E2671"/>
    <w:rsid w:val="003E26EA"/>
    <w:rsid w:val="003E2710"/>
    <w:rsid w:val="003E2774"/>
    <w:rsid w:val="003E27AF"/>
    <w:rsid w:val="003E27C2"/>
    <w:rsid w:val="003E27F5"/>
    <w:rsid w:val="003E289F"/>
    <w:rsid w:val="003E28D4"/>
    <w:rsid w:val="003E29A9"/>
    <w:rsid w:val="003E2A7E"/>
    <w:rsid w:val="003E2B20"/>
    <w:rsid w:val="003E2B84"/>
    <w:rsid w:val="003E2BC1"/>
    <w:rsid w:val="003E2C2B"/>
    <w:rsid w:val="003E2CA5"/>
    <w:rsid w:val="003E2CB0"/>
    <w:rsid w:val="003E2E0D"/>
    <w:rsid w:val="003E2EA4"/>
    <w:rsid w:val="003E2F26"/>
    <w:rsid w:val="003E3014"/>
    <w:rsid w:val="003E30F9"/>
    <w:rsid w:val="003E317C"/>
    <w:rsid w:val="003E31B0"/>
    <w:rsid w:val="003E3429"/>
    <w:rsid w:val="003E344B"/>
    <w:rsid w:val="003E345F"/>
    <w:rsid w:val="003E3621"/>
    <w:rsid w:val="003E3781"/>
    <w:rsid w:val="003E382A"/>
    <w:rsid w:val="003E3943"/>
    <w:rsid w:val="003E3A1D"/>
    <w:rsid w:val="003E3A88"/>
    <w:rsid w:val="003E3B7E"/>
    <w:rsid w:val="003E3CA9"/>
    <w:rsid w:val="003E3CE7"/>
    <w:rsid w:val="003E3D9A"/>
    <w:rsid w:val="003E3DA1"/>
    <w:rsid w:val="003E3DC5"/>
    <w:rsid w:val="003E3DC6"/>
    <w:rsid w:val="003E3DED"/>
    <w:rsid w:val="003E3E95"/>
    <w:rsid w:val="003E3F78"/>
    <w:rsid w:val="003E3FCE"/>
    <w:rsid w:val="003E4105"/>
    <w:rsid w:val="003E4201"/>
    <w:rsid w:val="003E42D1"/>
    <w:rsid w:val="003E43BC"/>
    <w:rsid w:val="003E43BF"/>
    <w:rsid w:val="003E43D5"/>
    <w:rsid w:val="003E44D8"/>
    <w:rsid w:val="003E4540"/>
    <w:rsid w:val="003E46EC"/>
    <w:rsid w:val="003E46FC"/>
    <w:rsid w:val="003E4886"/>
    <w:rsid w:val="003E48FE"/>
    <w:rsid w:val="003E492C"/>
    <w:rsid w:val="003E49D9"/>
    <w:rsid w:val="003E49F7"/>
    <w:rsid w:val="003E4A5C"/>
    <w:rsid w:val="003E4A68"/>
    <w:rsid w:val="003E4A7C"/>
    <w:rsid w:val="003E4A83"/>
    <w:rsid w:val="003E4B09"/>
    <w:rsid w:val="003E4C6E"/>
    <w:rsid w:val="003E4D77"/>
    <w:rsid w:val="003E4E6C"/>
    <w:rsid w:val="003E4EA4"/>
    <w:rsid w:val="003E4F83"/>
    <w:rsid w:val="003E4FEA"/>
    <w:rsid w:val="003E5006"/>
    <w:rsid w:val="003E5011"/>
    <w:rsid w:val="003E506E"/>
    <w:rsid w:val="003E50E1"/>
    <w:rsid w:val="003E50E9"/>
    <w:rsid w:val="003E53AB"/>
    <w:rsid w:val="003E53CB"/>
    <w:rsid w:val="003E53D4"/>
    <w:rsid w:val="003E5438"/>
    <w:rsid w:val="003E55E4"/>
    <w:rsid w:val="003E560A"/>
    <w:rsid w:val="003E5894"/>
    <w:rsid w:val="003E58A1"/>
    <w:rsid w:val="003E5902"/>
    <w:rsid w:val="003E59EA"/>
    <w:rsid w:val="003E5A55"/>
    <w:rsid w:val="003E5AC1"/>
    <w:rsid w:val="003E5BF6"/>
    <w:rsid w:val="003E5C6E"/>
    <w:rsid w:val="003E5C88"/>
    <w:rsid w:val="003E5CC1"/>
    <w:rsid w:val="003E5DDB"/>
    <w:rsid w:val="003E5E4E"/>
    <w:rsid w:val="003E5E74"/>
    <w:rsid w:val="003E5EE0"/>
    <w:rsid w:val="003E5FF6"/>
    <w:rsid w:val="003E605C"/>
    <w:rsid w:val="003E60CC"/>
    <w:rsid w:val="003E6303"/>
    <w:rsid w:val="003E6356"/>
    <w:rsid w:val="003E63F0"/>
    <w:rsid w:val="003E6461"/>
    <w:rsid w:val="003E6671"/>
    <w:rsid w:val="003E6729"/>
    <w:rsid w:val="003E68A1"/>
    <w:rsid w:val="003E68CF"/>
    <w:rsid w:val="003E68EC"/>
    <w:rsid w:val="003E6906"/>
    <w:rsid w:val="003E6910"/>
    <w:rsid w:val="003E69B3"/>
    <w:rsid w:val="003E6BFE"/>
    <w:rsid w:val="003E6C38"/>
    <w:rsid w:val="003E6C78"/>
    <w:rsid w:val="003E6CA5"/>
    <w:rsid w:val="003E6D54"/>
    <w:rsid w:val="003E6DAF"/>
    <w:rsid w:val="003E6DF4"/>
    <w:rsid w:val="003E6F8C"/>
    <w:rsid w:val="003E6F8D"/>
    <w:rsid w:val="003E6FCC"/>
    <w:rsid w:val="003E7078"/>
    <w:rsid w:val="003E71FE"/>
    <w:rsid w:val="003E73DD"/>
    <w:rsid w:val="003E73F2"/>
    <w:rsid w:val="003E7455"/>
    <w:rsid w:val="003E750F"/>
    <w:rsid w:val="003E7750"/>
    <w:rsid w:val="003E77E6"/>
    <w:rsid w:val="003E77FB"/>
    <w:rsid w:val="003E78CD"/>
    <w:rsid w:val="003E7930"/>
    <w:rsid w:val="003E796D"/>
    <w:rsid w:val="003E7999"/>
    <w:rsid w:val="003E7A66"/>
    <w:rsid w:val="003E7A89"/>
    <w:rsid w:val="003E7AFC"/>
    <w:rsid w:val="003E7B80"/>
    <w:rsid w:val="003E7BF2"/>
    <w:rsid w:val="003E7C10"/>
    <w:rsid w:val="003E7C21"/>
    <w:rsid w:val="003E7C3A"/>
    <w:rsid w:val="003E7C98"/>
    <w:rsid w:val="003E7CB4"/>
    <w:rsid w:val="003E7CCF"/>
    <w:rsid w:val="003E7CEC"/>
    <w:rsid w:val="003E7CF4"/>
    <w:rsid w:val="003E7D09"/>
    <w:rsid w:val="003E7D10"/>
    <w:rsid w:val="003E7E00"/>
    <w:rsid w:val="003E7E4C"/>
    <w:rsid w:val="003E7F27"/>
    <w:rsid w:val="003F0039"/>
    <w:rsid w:val="003F007A"/>
    <w:rsid w:val="003F007C"/>
    <w:rsid w:val="003F010B"/>
    <w:rsid w:val="003F028F"/>
    <w:rsid w:val="003F0326"/>
    <w:rsid w:val="003F0379"/>
    <w:rsid w:val="003F03C4"/>
    <w:rsid w:val="003F03DC"/>
    <w:rsid w:val="003F046D"/>
    <w:rsid w:val="003F0521"/>
    <w:rsid w:val="003F077C"/>
    <w:rsid w:val="003F081F"/>
    <w:rsid w:val="003F087E"/>
    <w:rsid w:val="003F091D"/>
    <w:rsid w:val="003F091F"/>
    <w:rsid w:val="003F0959"/>
    <w:rsid w:val="003F09DF"/>
    <w:rsid w:val="003F0C35"/>
    <w:rsid w:val="003F0CCC"/>
    <w:rsid w:val="003F0D27"/>
    <w:rsid w:val="003F0DB6"/>
    <w:rsid w:val="003F0F8B"/>
    <w:rsid w:val="003F1038"/>
    <w:rsid w:val="003F107D"/>
    <w:rsid w:val="003F109D"/>
    <w:rsid w:val="003F10D3"/>
    <w:rsid w:val="003F10DD"/>
    <w:rsid w:val="003F129C"/>
    <w:rsid w:val="003F12AD"/>
    <w:rsid w:val="003F1370"/>
    <w:rsid w:val="003F147C"/>
    <w:rsid w:val="003F14DF"/>
    <w:rsid w:val="003F15A2"/>
    <w:rsid w:val="003F15D2"/>
    <w:rsid w:val="003F1729"/>
    <w:rsid w:val="003F17FD"/>
    <w:rsid w:val="003F18BB"/>
    <w:rsid w:val="003F1973"/>
    <w:rsid w:val="003F19A9"/>
    <w:rsid w:val="003F19BD"/>
    <w:rsid w:val="003F1A95"/>
    <w:rsid w:val="003F1B18"/>
    <w:rsid w:val="003F1CAB"/>
    <w:rsid w:val="003F1CD8"/>
    <w:rsid w:val="003F1D85"/>
    <w:rsid w:val="003F1D96"/>
    <w:rsid w:val="003F1E75"/>
    <w:rsid w:val="003F1EAE"/>
    <w:rsid w:val="003F1F29"/>
    <w:rsid w:val="003F205E"/>
    <w:rsid w:val="003F20C8"/>
    <w:rsid w:val="003F2114"/>
    <w:rsid w:val="003F2184"/>
    <w:rsid w:val="003F21A1"/>
    <w:rsid w:val="003F21D3"/>
    <w:rsid w:val="003F21E8"/>
    <w:rsid w:val="003F22FE"/>
    <w:rsid w:val="003F239C"/>
    <w:rsid w:val="003F23E9"/>
    <w:rsid w:val="003F247C"/>
    <w:rsid w:val="003F24B7"/>
    <w:rsid w:val="003F24C6"/>
    <w:rsid w:val="003F25FC"/>
    <w:rsid w:val="003F2618"/>
    <w:rsid w:val="003F266A"/>
    <w:rsid w:val="003F26E3"/>
    <w:rsid w:val="003F2758"/>
    <w:rsid w:val="003F27C0"/>
    <w:rsid w:val="003F2820"/>
    <w:rsid w:val="003F2873"/>
    <w:rsid w:val="003F2A1D"/>
    <w:rsid w:val="003F2B3A"/>
    <w:rsid w:val="003F2B81"/>
    <w:rsid w:val="003F2CE9"/>
    <w:rsid w:val="003F2DFE"/>
    <w:rsid w:val="003F30EA"/>
    <w:rsid w:val="003F3274"/>
    <w:rsid w:val="003F33B8"/>
    <w:rsid w:val="003F3488"/>
    <w:rsid w:val="003F34C5"/>
    <w:rsid w:val="003F350F"/>
    <w:rsid w:val="003F37CD"/>
    <w:rsid w:val="003F3805"/>
    <w:rsid w:val="003F3963"/>
    <w:rsid w:val="003F39A0"/>
    <w:rsid w:val="003F39AF"/>
    <w:rsid w:val="003F3A0F"/>
    <w:rsid w:val="003F3A8A"/>
    <w:rsid w:val="003F3B10"/>
    <w:rsid w:val="003F3B66"/>
    <w:rsid w:val="003F3BD0"/>
    <w:rsid w:val="003F3C04"/>
    <w:rsid w:val="003F3D32"/>
    <w:rsid w:val="003F3D6E"/>
    <w:rsid w:val="003F3FDD"/>
    <w:rsid w:val="003F4047"/>
    <w:rsid w:val="003F40A1"/>
    <w:rsid w:val="003F4173"/>
    <w:rsid w:val="003F419E"/>
    <w:rsid w:val="003F4223"/>
    <w:rsid w:val="003F430A"/>
    <w:rsid w:val="003F43B3"/>
    <w:rsid w:val="003F4444"/>
    <w:rsid w:val="003F45D1"/>
    <w:rsid w:val="003F45FE"/>
    <w:rsid w:val="003F469B"/>
    <w:rsid w:val="003F4703"/>
    <w:rsid w:val="003F474C"/>
    <w:rsid w:val="003F47F0"/>
    <w:rsid w:val="003F4804"/>
    <w:rsid w:val="003F4834"/>
    <w:rsid w:val="003F48FF"/>
    <w:rsid w:val="003F498C"/>
    <w:rsid w:val="003F49D0"/>
    <w:rsid w:val="003F4A1F"/>
    <w:rsid w:val="003F4A39"/>
    <w:rsid w:val="003F4B48"/>
    <w:rsid w:val="003F4B60"/>
    <w:rsid w:val="003F4BC7"/>
    <w:rsid w:val="003F4C5E"/>
    <w:rsid w:val="003F4C7D"/>
    <w:rsid w:val="003F4C9D"/>
    <w:rsid w:val="003F4E30"/>
    <w:rsid w:val="003F4E4F"/>
    <w:rsid w:val="003F4F22"/>
    <w:rsid w:val="003F4F8A"/>
    <w:rsid w:val="003F507A"/>
    <w:rsid w:val="003F5134"/>
    <w:rsid w:val="003F51A4"/>
    <w:rsid w:val="003F523F"/>
    <w:rsid w:val="003F52BA"/>
    <w:rsid w:val="003F5309"/>
    <w:rsid w:val="003F533F"/>
    <w:rsid w:val="003F545C"/>
    <w:rsid w:val="003F5498"/>
    <w:rsid w:val="003F5559"/>
    <w:rsid w:val="003F555D"/>
    <w:rsid w:val="003F5567"/>
    <w:rsid w:val="003F55EA"/>
    <w:rsid w:val="003F5631"/>
    <w:rsid w:val="003F5652"/>
    <w:rsid w:val="003F5666"/>
    <w:rsid w:val="003F56D2"/>
    <w:rsid w:val="003F56F2"/>
    <w:rsid w:val="003F5808"/>
    <w:rsid w:val="003F5831"/>
    <w:rsid w:val="003F587D"/>
    <w:rsid w:val="003F5921"/>
    <w:rsid w:val="003F592C"/>
    <w:rsid w:val="003F59A0"/>
    <w:rsid w:val="003F5ADD"/>
    <w:rsid w:val="003F5B57"/>
    <w:rsid w:val="003F5B9D"/>
    <w:rsid w:val="003F5C36"/>
    <w:rsid w:val="003F5CA6"/>
    <w:rsid w:val="003F5E61"/>
    <w:rsid w:val="003F5F04"/>
    <w:rsid w:val="003F5F93"/>
    <w:rsid w:val="003F6069"/>
    <w:rsid w:val="003F6141"/>
    <w:rsid w:val="003F622A"/>
    <w:rsid w:val="003F62B7"/>
    <w:rsid w:val="003F64AE"/>
    <w:rsid w:val="003F64EC"/>
    <w:rsid w:val="003F6506"/>
    <w:rsid w:val="003F6575"/>
    <w:rsid w:val="003F657C"/>
    <w:rsid w:val="003F670C"/>
    <w:rsid w:val="003F67E6"/>
    <w:rsid w:val="003F69F3"/>
    <w:rsid w:val="003F6AC9"/>
    <w:rsid w:val="003F6B36"/>
    <w:rsid w:val="003F6B5B"/>
    <w:rsid w:val="003F6C77"/>
    <w:rsid w:val="003F6C84"/>
    <w:rsid w:val="003F6CCE"/>
    <w:rsid w:val="003F6D03"/>
    <w:rsid w:val="003F6E92"/>
    <w:rsid w:val="003F6EC9"/>
    <w:rsid w:val="003F6EEF"/>
    <w:rsid w:val="003F7171"/>
    <w:rsid w:val="003F71FA"/>
    <w:rsid w:val="003F722C"/>
    <w:rsid w:val="003F7243"/>
    <w:rsid w:val="003F72AF"/>
    <w:rsid w:val="003F72D8"/>
    <w:rsid w:val="003F74C1"/>
    <w:rsid w:val="003F7520"/>
    <w:rsid w:val="003F75A4"/>
    <w:rsid w:val="003F75D5"/>
    <w:rsid w:val="003F7619"/>
    <w:rsid w:val="003F7689"/>
    <w:rsid w:val="003F76A5"/>
    <w:rsid w:val="003F76B3"/>
    <w:rsid w:val="003F7765"/>
    <w:rsid w:val="003F7782"/>
    <w:rsid w:val="003F77D8"/>
    <w:rsid w:val="003F77F2"/>
    <w:rsid w:val="003F787C"/>
    <w:rsid w:val="003F789E"/>
    <w:rsid w:val="003F7987"/>
    <w:rsid w:val="003F79DD"/>
    <w:rsid w:val="003F7A23"/>
    <w:rsid w:val="003F7A3A"/>
    <w:rsid w:val="003F7B63"/>
    <w:rsid w:val="003F7C27"/>
    <w:rsid w:val="003F7CAF"/>
    <w:rsid w:val="003F7CBD"/>
    <w:rsid w:val="003F7DE5"/>
    <w:rsid w:val="003F7E20"/>
    <w:rsid w:val="003F7E6F"/>
    <w:rsid w:val="003F7EDD"/>
    <w:rsid w:val="004000AF"/>
    <w:rsid w:val="004000C7"/>
    <w:rsid w:val="00400186"/>
    <w:rsid w:val="00400242"/>
    <w:rsid w:val="00400281"/>
    <w:rsid w:val="00400485"/>
    <w:rsid w:val="004004C7"/>
    <w:rsid w:val="00400542"/>
    <w:rsid w:val="004005FC"/>
    <w:rsid w:val="0040062E"/>
    <w:rsid w:val="0040063D"/>
    <w:rsid w:val="004006A9"/>
    <w:rsid w:val="0040074E"/>
    <w:rsid w:val="0040088B"/>
    <w:rsid w:val="004008C7"/>
    <w:rsid w:val="004008D6"/>
    <w:rsid w:val="004008E6"/>
    <w:rsid w:val="0040097D"/>
    <w:rsid w:val="004009A4"/>
    <w:rsid w:val="00400A4B"/>
    <w:rsid w:val="00400AB7"/>
    <w:rsid w:val="00400B92"/>
    <w:rsid w:val="00400C80"/>
    <w:rsid w:val="00400CAD"/>
    <w:rsid w:val="00400E20"/>
    <w:rsid w:val="00400E71"/>
    <w:rsid w:val="0040100F"/>
    <w:rsid w:val="004010D4"/>
    <w:rsid w:val="004011BF"/>
    <w:rsid w:val="00401534"/>
    <w:rsid w:val="004015FF"/>
    <w:rsid w:val="00401654"/>
    <w:rsid w:val="004016C5"/>
    <w:rsid w:val="0040170D"/>
    <w:rsid w:val="004017DB"/>
    <w:rsid w:val="004017F4"/>
    <w:rsid w:val="00401826"/>
    <w:rsid w:val="0040193B"/>
    <w:rsid w:val="00401A11"/>
    <w:rsid w:val="00401A5D"/>
    <w:rsid w:val="00401B7B"/>
    <w:rsid w:val="00401BB7"/>
    <w:rsid w:val="00401BFE"/>
    <w:rsid w:val="00401C90"/>
    <w:rsid w:val="00401DA6"/>
    <w:rsid w:val="00401E0D"/>
    <w:rsid w:val="00402094"/>
    <w:rsid w:val="004020C9"/>
    <w:rsid w:val="004020E2"/>
    <w:rsid w:val="004020E7"/>
    <w:rsid w:val="00402142"/>
    <w:rsid w:val="0040215F"/>
    <w:rsid w:val="004021FF"/>
    <w:rsid w:val="00402292"/>
    <w:rsid w:val="00402314"/>
    <w:rsid w:val="00402369"/>
    <w:rsid w:val="004024B8"/>
    <w:rsid w:val="004025EF"/>
    <w:rsid w:val="0040269C"/>
    <w:rsid w:val="004027D7"/>
    <w:rsid w:val="004028A6"/>
    <w:rsid w:val="004028B8"/>
    <w:rsid w:val="00402967"/>
    <w:rsid w:val="00402A7A"/>
    <w:rsid w:val="00402B23"/>
    <w:rsid w:val="00402B70"/>
    <w:rsid w:val="00402C79"/>
    <w:rsid w:val="00402CA3"/>
    <w:rsid w:val="00402CDB"/>
    <w:rsid w:val="00402CEA"/>
    <w:rsid w:val="00402D7E"/>
    <w:rsid w:val="00402E8C"/>
    <w:rsid w:val="00402FC2"/>
    <w:rsid w:val="00402FF8"/>
    <w:rsid w:val="00402FFA"/>
    <w:rsid w:val="004030B9"/>
    <w:rsid w:val="004030CA"/>
    <w:rsid w:val="004032F9"/>
    <w:rsid w:val="0040347E"/>
    <w:rsid w:val="00403495"/>
    <w:rsid w:val="0040354B"/>
    <w:rsid w:val="00403701"/>
    <w:rsid w:val="0040380B"/>
    <w:rsid w:val="004038AE"/>
    <w:rsid w:val="004038AF"/>
    <w:rsid w:val="004038EC"/>
    <w:rsid w:val="00403909"/>
    <w:rsid w:val="004039D9"/>
    <w:rsid w:val="00403A45"/>
    <w:rsid w:val="00403A8E"/>
    <w:rsid w:val="00403AD8"/>
    <w:rsid w:val="00403B62"/>
    <w:rsid w:val="00403B88"/>
    <w:rsid w:val="00403BBB"/>
    <w:rsid w:val="00403CB2"/>
    <w:rsid w:val="00403D5A"/>
    <w:rsid w:val="00403EC6"/>
    <w:rsid w:val="00403F19"/>
    <w:rsid w:val="00403F5A"/>
    <w:rsid w:val="00404010"/>
    <w:rsid w:val="0040415C"/>
    <w:rsid w:val="0040421F"/>
    <w:rsid w:val="00404295"/>
    <w:rsid w:val="004042EF"/>
    <w:rsid w:val="0040433A"/>
    <w:rsid w:val="0040435B"/>
    <w:rsid w:val="004043D7"/>
    <w:rsid w:val="00404595"/>
    <w:rsid w:val="00404613"/>
    <w:rsid w:val="0040465A"/>
    <w:rsid w:val="004047BA"/>
    <w:rsid w:val="0040483E"/>
    <w:rsid w:val="004048B9"/>
    <w:rsid w:val="004048E3"/>
    <w:rsid w:val="00404903"/>
    <w:rsid w:val="00404964"/>
    <w:rsid w:val="004049DC"/>
    <w:rsid w:val="00404A11"/>
    <w:rsid w:val="00404A99"/>
    <w:rsid w:val="00404B33"/>
    <w:rsid w:val="00404DFE"/>
    <w:rsid w:val="00404F8E"/>
    <w:rsid w:val="00404F93"/>
    <w:rsid w:val="00404FB8"/>
    <w:rsid w:val="00405178"/>
    <w:rsid w:val="00405203"/>
    <w:rsid w:val="00405214"/>
    <w:rsid w:val="004052DE"/>
    <w:rsid w:val="00405311"/>
    <w:rsid w:val="0040538F"/>
    <w:rsid w:val="004053EE"/>
    <w:rsid w:val="004054D4"/>
    <w:rsid w:val="00405515"/>
    <w:rsid w:val="004055DF"/>
    <w:rsid w:val="0040566D"/>
    <w:rsid w:val="00405701"/>
    <w:rsid w:val="00405771"/>
    <w:rsid w:val="00405830"/>
    <w:rsid w:val="00405843"/>
    <w:rsid w:val="00405865"/>
    <w:rsid w:val="004058C1"/>
    <w:rsid w:val="00405957"/>
    <w:rsid w:val="0040598F"/>
    <w:rsid w:val="00405A59"/>
    <w:rsid w:val="00405B09"/>
    <w:rsid w:val="00405B2D"/>
    <w:rsid w:val="00405BE9"/>
    <w:rsid w:val="00405D13"/>
    <w:rsid w:val="00405E54"/>
    <w:rsid w:val="00405E94"/>
    <w:rsid w:val="00405FD2"/>
    <w:rsid w:val="00405FE8"/>
    <w:rsid w:val="0040601F"/>
    <w:rsid w:val="004060F8"/>
    <w:rsid w:val="00406176"/>
    <w:rsid w:val="00406191"/>
    <w:rsid w:val="00406197"/>
    <w:rsid w:val="00406201"/>
    <w:rsid w:val="00406273"/>
    <w:rsid w:val="00406317"/>
    <w:rsid w:val="00406453"/>
    <w:rsid w:val="004064BF"/>
    <w:rsid w:val="00406515"/>
    <w:rsid w:val="004065CC"/>
    <w:rsid w:val="004065DE"/>
    <w:rsid w:val="004066AC"/>
    <w:rsid w:val="004066BE"/>
    <w:rsid w:val="004066E5"/>
    <w:rsid w:val="00406704"/>
    <w:rsid w:val="00406782"/>
    <w:rsid w:val="004067D3"/>
    <w:rsid w:val="0040686B"/>
    <w:rsid w:val="004068EA"/>
    <w:rsid w:val="00406946"/>
    <w:rsid w:val="004069D9"/>
    <w:rsid w:val="00406AE9"/>
    <w:rsid w:val="00406C44"/>
    <w:rsid w:val="00406C72"/>
    <w:rsid w:val="00406CC2"/>
    <w:rsid w:val="00406CC4"/>
    <w:rsid w:val="00406D41"/>
    <w:rsid w:val="00406DBC"/>
    <w:rsid w:val="00406DCB"/>
    <w:rsid w:val="00406FFE"/>
    <w:rsid w:val="00407008"/>
    <w:rsid w:val="0040702C"/>
    <w:rsid w:val="00407036"/>
    <w:rsid w:val="004070D9"/>
    <w:rsid w:val="00407127"/>
    <w:rsid w:val="0040715F"/>
    <w:rsid w:val="0040717C"/>
    <w:rsid w:val="0040722F"/>
    <w:rsid w:val="004072EB"/>
    <w:rsid w:val="00407317"/>
    <w:rsid w:val="0040738B"/>
    <w:rsid w:val="00407544"/>
    <w:rsid w:val="004075D5"/>
    <w:rsid w:val="0040761B"/>
    <w:rsid w:val="00407665"/>
    <w:rsid w:val="004076AC"/>
    <w:rsid w:val="004076AE"/>
    <w:rsid w:val="004076C8"/>
    <w:rsid w:val="00407723"/>
    <w:rsid w:val="00407761"/>
    <w:rsid w:val="00407771"/>
    <w:rsid w:val="00407801"/>
    <w:rsid w:val="00407847"/>
    <w:rsid w:val="00407854"/>
    <w:rsid w:val="00407862"/>
    <w:rsid w:val="00407864"/>
    <w:rsid w:val="00407889"/>
    <w:rsid w:val="00407892"/>
    <w:rsid w:val="0040795C"/>
    <w:rsid w:val="004079AB"/>
    <w:rsid w:val="004079ED"/>
    <w:rsid w:val="00407ABF"/>
    <w:rsid w:val="00407B95"/>
    <w:rsid w:val="00407C15"/>
    <w:rsid w:val="00407D73"/>
    <w:rsid w:val="00407DCE"/>
    <w:rsid w:val="00407EBA"/>
    <w:rsid w:val="00410071"/>
    <w:rsid w:val="00410091"/>
    <w:rsid w:val="0041012C"/>
    <w:rsid w:val="004101C9"/>
    <w:rsid w:val="0041020C"/>
    <w:rsid w:val="0041022A"/>
    <w:rsid w:val="00410835"/>
    <w:rsid w:val="0041085F"/>
    <w:rsid w:val="0041088B"/>
    <w:rsid w:val="00410961"/>
    <w:rsid w:val="004109A3"/>
    <w:rsid w:val="00410AD8"/>
    <w:rsid w:val="00410C1F"/>
    <w:rsid w:val="00410C48"/>
    <w:rsid w:val="00410DBE"/>
    <w:rsid w:val="00410DC4"/>
    <w:rsid w:val="00410E21"/>
    <w:rsid w:val="00410E54"/>
    <w:rsid w:val="00410F5D"/>
    <w:rsid w:val="00410F70"/>
    <w:rsid w:val="00411040"/>
    <w:rsid w:val="004110AE"/>
    <w:rsid w:val="0041113D"/>
    <w:rsid w:val="004111E6"/>
    <w:rsid w:val="0041120C"/>
    <w:rsid w:val="00411284"/>
    <w:rsid w:val="0041132D"/>
    <w:rsid w:val="004114E8"/>
    <w:rsid w:val="00411516"/>
    <w:rsid w:val="004115B5"/>
    <w:rsid w:val="004115C4"/>
    <w:rsid w:val="00411614"/>
    <w:rsid w:val="0041162A"/>
    <w:rsid w:val="004116ED"/>
    <w:rsid w:val="00411720"/>
    <w:rsid w:val="00411737"/>
    <w:rsid w:val="00411762"/>
    <w:rsid w:val="004117D4"/>
    <w:rsid w:val="00411895"/>
    <w:rsid w:val="00411A55"/>
    <w:rsid w:val="00411A90"/>
    <w:rsid w:val="00411AB9"/>
    <w:rsid w:val="00411B04"/>
    <w:rsid w:val="00411B1B"/>
    <w:rsid w:val="00411BBD"/>
    <w:rsid w:val="00411CA1"/>
    <w:rsid w:val="00411CA4"/>
    <w:rsid w:val="00411D79"/>
    <w:rsid w:val="00411DAF"/>
    <w:rsid w:val="00411DB7"/>
    <w:rsid w:val="00411E7A"/>
    <w:rsid w:val="00412007"/>
    <w:rsid w:val="0041201E"/>
    <w:rsid w:val="00412072"/>
    <w:rsid w:val="004120B2"/>
    <w:rsid w:val="0041219D"/>
    <w:rsid w:val="004121C2"/>
    <w:rsid w:val="00412344"/>
    <w:rsid w:val="00412390"/>
    <w:rsid w:val="004123BA"/>
    <w:rsid w:val="00412427"/>
    <w:rsid w:val="00412514"/>
    <w:rsid w:val="00412544"/>
    <w:rsid w:val="00412603"/>
    <w:rsid w:val="00412680"/>
    <w:rsid w:val="004126C6"/>
    <w:rsid w:val="00412A0D"/>
    <w:rsid w:val="00412A94"/>
    <w:rsid w:val="00412BC1"/>
    <w:rsid w:val="00412C92"/>
    <w:rsid w:val="00412D28"/>
    <w:rsid w:val="00412D84"/>
    <w:rsid w:val="00412E7E"/>
    <w:rsid w:val="00412F0F"/>
    <w:rsid w:val="00412F22"/>
    <w:rsid w:val="00412F4A"/>
    <w:rsid w:val="00412F60"/>
    <w:rsid w:val="004130AD"/>
    <w:rsid w:val="00413202"/>
    <w:rsid w:val="00413244"/>
    <w:rsid w:val="0041330B"/>
    <w:rsid w:val="0041336C"/>
    <w:rsid w:val="004134BD"/>
    <w:rsid w:val="0041358B"/>
    <w:rsid w:val="004136D7"/>
    <w:rsid w:val="00413890"/>
    <w:rsid w:val="00413A36"/>
    <w:rsid w:val="00413ABE"/>
    <w:rsid w:val="00413B24"/>
    <w:rsid w:val="00413D28"/>
    <w:rsid w:val="00413D61"/>
    <w:rsid w:val="00413E00"/>
    <w:rsid w:val="00413F13"/>
    <w:rsid w:val="00413F84"/>
    <w:rsid w:val="00414040"/>
    <w:rsid w:val="004140B8"/>
    <w:rsid w:val="0041410B"/>
    <w:rsid w:val="00414115"/>
    <w:rsid w:val="00414167"/>
    <w:rsid w:val="00414227"/>
    <w:rsid w:val="004143AB"/>
    <w:rsid w:val="00414594"/>
    <w:rsid w:val="004145A3"/>
    <w:rsid w:val="004145AB"/>
    <w:rsid w:val="004145FF"/>
    <w:rsid w:val="0041469B"/>
    <w:rsid w:val="00414745"/>
    <w:rsid w:val="00414779"/>
    <w:rsid w:val="00414790"/>
    <w:rsid w:val="00414798"/>
    <w:rsid w:val="00414927"/>
    <w:rsid w:val="0041492A"/>
    <w:rsid w:val="00414933"/>
    <w:rsid w:val="0041498D"/>
    <w:rsid w:val="00414CDE"/>
    <w:rsid w:val="00414CEE"/>
    <w:rsid w:val="00414E43"/>
    <w:rsid w:val="00414E88"/>
    <w:rsid w:val="00414F45"/>
    <w:rsid w:val="00414F83"/>
    <w:rsid w:val="00414FB7"/>
    <w:rsid w:val="00414FE9"/>
    <w:rsid w:val="004150EA"/>
    <w:rsid w:val="004152B0"/>
    <w:rsid w:val="00415321"/>
    <w:rsid w:val="00415360"/>
    <w:rsid w:val="0041555E"/>
    <w:rsid w:val="004155F4"/>
    <w:rsid w:val="00415649"/>
    <w:rsid w:val="004156C8"/>
    <w:rsid w:val="00415746"/>
    <w:rsid w:val="0041576C"/>
    <w:rsid w:val="0041577A"/>
    <w:rsid w:val="004157DF"/>
    <w:rsid w:val="00415814"/>
    <w:rsid w:val="004158F9"/>
    <w:rsid w:val="00415926"/>
    <w:rsid w:val="004159EF"/>
    <w:rsid w:val="00415A09"/>
    <w:rsid w:val="00415A8F"/>
    <w:rsid w:val="00415B07"/>
    <w:rsid w:val="00415BAD"/>
    <w:rsid w:val="00415C28"/>
    <w:rsid w:val="00415DD9"/>
    <w:rsid w:val="00415E87"/>
    <w:rsid w:val="00415EBF"/>
    <w:rsid w:val="004160A9"/>
    <w:rsid w:val="004160F4"/>
    <w:rsid w:val="0041613F"/>
    <w:rsid w:val="00416174"/>
    <w:rsid w:val="0041627E"/>
    <w:rsid w:val="0041633E"/>
    <w:rsid w:val="00416358"/>
    <w:rsid w:val="00416378"/>
    <w:rsid w:val="004163B1"/>
    <w:rsid w:val="00416496"/>
    <w:rsid w:val="004164E8"/>
    <w:rsid w:val="0041651E"/>
    <w:rsid w:val="004165C9"/>
    <w:rsid w:val="0041661E"/>
    <w:rsid w:val="0041668C"/>
    <w:rsid w:val="0041676D"/>
    <w:rsid w:val="004167FB"/>
    <w:rsid w:val="00416A6A"/>
    <w:rsid w:val="00416B25"/>
    <w:rsid w:val="00416C3A"/>
    <w:rsid w:val="00416CEA"/>
    <w:rsid w:val="00416D05"/>
    <w:rsid w:val="00416D07"/>
    <w:rsid w:val="00416E02"/>
    <w:rsid w:val="00416F98"/>
    <w:rsid w:val="0041700E"/>
    <w:rsid w:val="0041702F"/>
    <w:rsid w:val="0041724A"/>
    <w:rsid w:val="00417298"/>
    <w:rsid w:val="004172C3"/>
    <w:rsid w:val="004173A1"/>
    <w:rsid w:val="00417410"/>
    <w:rsid w:val="00417658"/>
    <w:rsid w:val="00417754"/>
    <w:rsid w:val="00417774"/>
    <w:rsid w:val="00417802"/>
    <w:rsid w:val="00417A21"/>
    <w:rsid w:val="00417A70"/>
    <w:rsid w:val="00417A8A"/>
    <w:rsid w:val="00417B70"/>
    <w:rsid w:val="00417C5B"/>
    <w:rsid w:val="00417C9C"/>
    <w:rsid w:val="00417D7C"/>
    <w:rsid w:val="00417DB4"/>
    <w:rsid w:val="00417DDA"/>
    <w:rsid w:val="00417DF9"/>
    <w:rsid w:val="00417F85"/>
    <w:rsid w:val="004200AD"/>
    <w:rsid w:val="00420128"/>
    <w:rsid w:val="0042025F"/>
    <w:rsid w:val="00420296"/>
    <w:rsid w:val="004202CE"/>
    <w:rsid w:val="004203D7"/>
    <w:rsid w:val="00420483"/>
    <w:rsid w:val="004204B8"/>
    <w:rsid w:val="00420511"/>
    <w:rsid w:val="00420635"/>
    <w:rsid w:val="00420650"/>
    <w:rsid w:val="00420718"/>
    <w:rsid w:val="00420828"/>
    <w:rsid w:val="00420842"/>
    <w:rsid w:val="00420848"/>
    <w:rsid w:val="0042092E"/>
    <w:rsid w:val="00420A58"/>
    <w:rsid w:val="00420A64"/>
    <w:rsid w:val="00420AB3"/>
    <w:rsid w:val="00420AD7"/>
    <w:rsid w:val="00420AF2"/>
    <w:rsid w:val="00420BD2"/>
    <w:rsid w:val="00420C53"/>
    <w:rsid w:val="00420D70"/>
    <w:rsid w:val="00420D8B"/>
    <w:rsid w:val="00420DBB"/>
    <w:rsid w:val="00420DC3"/>
    <w:rsid w:val="00420E86"/>
    <w:rsid w:val="00420EB3"/>
    <w:rsid w:val="00420EF7"/>
    <w:rsid w:val="00420F10"/>
    <w:rsid w:val="00420F19"/>
    <w:rsid w:val="00420FEA"/>
    <w:rsid w:val="0042102D"/>
    <w:rsid w:val="0042105B"/>
    <w:rsid w:val="00421198"/>
    <w:rsid w:val="004211B5"/>
    <w:rsid w:val="004211CA"/>
    <w:rsid w:val="004211D7"/>
    <w:rsid w:val="00421211"/>
    <w:rsid w:val="0042123C"/>
    <w:rsid w:val="0042130C"/>
    <w:rsid w:val="00421434"/>
    <w:rsid w:val="0042147B"/>
    <w:rsid w:val="00421555"/>
    <w:rsid w:val="00421570"/>
    <w:rsid w:val="0042160E"/>
    <w:rsid w:val="00421621"/>
    <w:rsid w:val="00421623"/>
    <w:rsid w:val="004217DD"/>
    <w:rsid w:val="0042188D"/>
    <w:rsid w:val="004218B3"/>
    <w:rsid w:val="004218E6"/>
    <w:rsid w:val="0042192C"/>
    <w:rsid w:val="004219E2"/>
    <w:rsid w:val="00421A43"/>
    <w:rsid w:val="00421A52"/>
    <w:rsid w:val="00421A93"/>
    <w:rsid w:val="00421C2A"/>
    <w:rsid w:val="00421C97"/>
    <w:rsid w:val="00421CF2"/>
    <w:rsid w:val="00421D69"/>
    <w:rsid w:val="00421D8D"/>
    <w:rsid w:val="00421FB8"/>
    <w:rsid w:val="004220DA"/>
    <w:rsid w:val="004221CF"/>
    <w:rsid w:val="0042232C"/>
    <w:rsid w:val="00422429"/>
    <w:rsid w:val="0042244B"/>
    <w:rsid w:val="004224EB"/>
    <w:rsid w:val="0042256D"/>
    <w:rsid w:val="004225F9"/>
    <w:rsid w:val="0042272E"/>
    <w:rsid w:val="00422738"/>
    <w:rsid w:val="00422823"/>
    <w:rsid w:val="0042283C"/>
    <w:rsid w:val="0042293B"/>
    <w:rsid w:val="00422B22"/>
    <w:rsid w:val="00422BE2"/>
    <w:rsid w:val="00422C52"/>
    <w:rsid w:val="00422C57"/>
    <w:rsid w:val="00422C8E"/>
    <w:rsid w:val="00422E47"/>
    <w:rsid w:val="00422E79"/>
    <w:rsid w:val="004230D6"/>
    <w:rsid w:val="004230FD"/>
    <w:rsid w:val="0042315F"/>
    <w:rsid w:val="00423246"/>
    <w:rsid w:val="00423340"/>
    <w:rsid w:val="004233EE"/>
    <w:rsid w:val="0042342F"/>
    <w:rsid w:val="004234CB"/>
    <w:rsid w:val="00423557"/>
    <w:rsid w:val="00423621"/>
    <w:rsid w:val="0042365E"/>
    <w:rsid w:val="00423665"/>
    <w:rsid w:val="004236F3"/>
    <w:rsid w:val="004237B3"/>
    <w:rsid w:val="00423861"/>
    <w:rsid w:val="00423897"/>
    <w:rsid w:val="00423910"/>
    <w:rsid w:val="00423957"/>
    <w:rsid w:val="004239A3"/>
    <w:rsid w:val="00423AA3"/>
    <w:rsid w:val="00423BFA"/>
    <w:rsid w:val="00423D0B"/>
    <w:rsid w:val="00423D5A"/>
    <w:rsid w:val="00423D89"/>
    <w:rsid w:val="00423E3C"/>
    <w:rsid w:val="00423EBC"/>
    <w:rsid w:val="00424051"/>
    <w:rsid w:val="004240A4"/>
    <w:rsid w:val="00424133"/>
    <w:rsid w:val="00424283"/>
    <w:rsid w:val="0042429A"/>
    <w:rsid w:val="0042434A"/>
    <w:rsid w:val="0042435D"/>
    <w:rsid w:val="004243F8"/>
    <w:rsid w:val="004244D6"/>
    <w:rsid w:val="0042458F"/>
    <w:rsid w:val="00424684"/>
    <w:rsid w:val="00424736"/>
    <w:rsid w:val="004247AF"/>
    <w:rsid w:val="00424808"/>
    <w:rsid w:val="0042493B"/>
    <w:rsid w:val="004249AE"/>
    <w:rsid w:val="00424B22"/>
    <w:rsid w:val="00424B6E"/>
    <w:rsid w:val="00424BEC"/>
    <w:rsid w:val="00424C98"/>
    <w:rsid w:val="00424CFF"/>
    <w:rsid w:val="00424D15"/>
    <w:rsid w:val="00424DDE"/>
    <w:rsid w:val="00424F12"/>
    <w:rsid w:val="00424FBF"/>
    <w:rsid w:val="00425028"/>
    <w:rsid w:val="0042505E"/>
    <w:rsid w:val="00425073"/>
    <w:rsid w:val="0042510F"/>
    <w:rsid w:val="00425179"/>
    <w:rsid w:val="00425202"/>
    <w:rsid w:val="0042520A"/>
    <w:rsid w:val="0042545F"/>
    <w:rsid w:val="00425495"/>
    <w:rsid w:val="004254F2"/>
    <w:rsid w:val="004255C7"/>
    <w:rsid w:val="004257F1"/>
    <w:rsid w:val="00425844"/>
    <w:rsid w:val="00425870"/>
    <w:rsid w:val="00425909"/>
    <w:rsid w:val="00425B8F"/>
    <w:rsid w:val="00425C09"/>
    <w:rsid w:val="00425D17"/>
    <w:rsid w:val="00425F5A"/>
    <w:rsid w:val="004260A8"/>
    <w:rsid w:val="004260B3"/>
    <w:rsid w:val="004260DC"/>
    <w:rsid w:val="00426111"/>
    <w:rsid w:val="00426121"/>
    <w:rsid w:val="00426215"/>
    <w:rsid w:val="00426226"/>
    <w:rsid w:val="0042622E"/>
    <w:rsid w:val="0042623C"/>
    <w:rsid w:val="00426419"/>
    <w:rsid w:val="0042645B"/>
    <w:rsid w:val="00426549"/>
    <w:rsid w:val="00426562"/>
    <w:rsid w:val="00426674"/>
    <w:rsid w:val="004266FD"/>
    <w:rsid w:val="00426763"/>
    <w:rsid w:val="004268B6"/>
    <w:rsid w:val="004269ED"/>
    <w:rsid w:val="00426A32"/>
    <w:rsid w:val="00426B22"/>
    <w:rsid w:val="00426D06"/>
    <w:rsid w:val="00426DA7"/>
    <w:rsid w:val="00426E15"/>
    <w:rsid w:val="00426EA6"/>
    <w:rsid w:val="00426ECF"/>
    <w:rsid w:val="00426F3F"/>
    <w:rsid w:val="00427011"/>
    <w:rsid w:val="0042704B"/>
    <w:rsid w:val="004270A8"/>
    <w:rsid w:val="004270B3"/>
    <w:rsid w:val="004271C2"/>
    <w:rsid w:val="00427281"/>
    <w:rsid w:val="0042728D"/>
    <w:rsid w:val="00427331"/>
    <w:rsid w:val="00427350"/>
    <w:rsid w:val="00427470"/>
    <w:rsid w:val="0042750D"/>
    <w:rsid w:val="004276E5"/>
    <w:rsid w:val="004276E9"/>
    <w:rsid w:val="0042775D"/>
    <w:rsid w:val="00427840"/>
    <w:rsid w:val="00427841"/>
    <w:rsid w:val="00427854"/>
    <w:rsid w:val="004278A6"/>
    <w:rsid w:val="00427937"/>
    <w:rsid w:val="00427944"/>
    <w:rsid w:val="00427ABF"/>
    <w:rsid w:val="00427B9A"/>
    <w:rsid w:val="00427BB8"/>
    <w:rsid w:val="00427D06"/>
    <w:rsid w:val="00427D98"/>
    <w:rsid w:val="00427D9C"/>
    <w:rsid w:val="00427DC3"/>
    <w:rsid w:val="00427DC7"/>
    <w:rsid w:val="00427E3D"/>
    <w:rsid w:val="00427EB7"/>
    <w:rsid w:val="00427F66"/>
    <w:rsid w:val="00427F6E"/>
    <w:rsid w:val="00427F8D"/>
    <w:rsid w:val="00427FCB"/>
    <w:rsid w:val="00430005"/>
    <w:rsid w:val="004300C4"/>
    <w:rsid w:val="0043015B"/>
    <w:rsid w:val="00430360"/>
    <w:rsid w:val="004303AC"/>
    <w:rsid w:val="004303B2"/>
    <w:rsid w:val="004303B5"/>
    <w:rsid w:val="00430546"/>
    <w:rsid w:val="0043070D"/>
    <w:rsid w:val="0043074C"/>
    <w:rsid w:val="00430766"/>
    <w:rsid w:val="004309FA"/>
    <w:rsid w:val="00430A3A"/>
    <w:rsid w:val="00430A66"/>
    <w:rsid w:val="00430B4F"/>
    <w:rsid w:val="00430B96"/>
    <w:rsid w:val="00430BB3"/>
    <w:rsid w:val="00430BD0"/>
    <w:rsid w:val="00430BD8"/>
    <w:rsid w:val="00430BDD"/>
    <w:rsid w:val="00430C1D"/>
    <w:rsid w:val="00430C22"/>
    <w:rsid w:val="00430DC6"/>
    <w:rsid w:val="00430E2E"/>
    <w:rsid w:val="00430EAD"/>
    <w:rsid w:val="00430F78"/>
    <w:rsid w:val="00430F9E"/>
    <w:rsid w:val="00430FB6"/>
    <w:rsid w:val="00431020"/>
    <w:rsid w:val="0043105B"/>
    <w:rsid w:val="00431163"/>
    <w:rsid w:val="004311D2"/>
    <w:rsid w:val="004311F1"/>
    <w:rsid w:val="00431212"/>
    <w:rsid w:val="00431214"/>
    <w:rsid w:val="00431456"/>
    <w:rsid w:val="00431490"/>
    <w:rsid w:val="004314A7"/>
    <w:rsid w:val="00431529"/>
    <w:rsid w:val="00431614"/>
    <w:rsid w:val="0043163B"/>
    <w:rsid w:val="004316C4"/>
    <w:rsid w:val="00431724"/>
    <w:rsid w:val="004317B0"/>
    <w:rsid w:val="004317F8"/>
    <w:rsid w:val="0043180F"/>
    <w:rsid w:val="00431851"/>
    <w:rsid w:val="00431857"/>
    <w:rsid w:val="0043195D"/>
    <w:rsid w:val="00431A65"/>
    <w:rsid w:val="00431B79"/>
    <w:rsid w:val="00431B87"/>
    <w:rsid w:val="00431CD6"/>
    <w:rsid w:val="00431D49"/>
    <w:rsid w:val="00431D86"/>
    <w:rsid w:val="00431DB9"/>
    <w:rsid w:val="00431E07"/>
    <w:rsid w:val="00431E8D"/>
    <w:rsid w:val="00432097"/>
    <w:rsid w:val="004320F0"/>
    <w:rsid w:val="00432249"/>
    <w:rsid w:val="00432280"/>
    <w:rsid w:val="004322DC"/>
    <w:rsid w:val="00432451"/>
    <w:rsid w:val="00432535"/>
    <w:rsid w:val="0043253D"/>
    <w:rsid w:val="004326FF"/>
    <w:rsid w:val="00432790"/>
    <w:rsid w:val="004327B3"/>
    <w:rsid w:val="00432847"/>
    <w:rsid w:val="00432857"/>
    <w:rsid w:val="00432915"/>
    <w:rsid w:val="00432950"/>
    <w:rsid w:val="0043295F"/>
    <w:rsid w:val="0043297C"/>
    <w:rsid w:val="004329B5"/>
    <w:rsid w:val="00432B68"/>
    <w:rsid w:val="00432BC9"/>
    <w:rsid w:val="00432BD7"/>
    <w:rsid w:val="00432C22"/>
    <w:rsid w:val="00432C2C"/>
    <w:rsid w:val="00432C4D"/>
    <w:rsid w:val="00432CCE"/>
    <w:rsid w:val="00432E30"/>
    <w:rsid w:val="00432E34"/>
    <w:rsid w:val="00432E38"/>
    <w:rsid w:val="00432E3A"/>
    <w:rsid w:val="00432EAE"/>
    <w:rsid w:val="00432F35"/>
    <w:rsid w:val="00433100"/>
    <w:rsid w:val="00433147"/>
    <w:rsid w:val="004331A4"/>
    <w:rsid w:val="00433225"/>
    <w:rsid w:val="00433264"/>
    <w:rsid w:val="004332A8"/>
    <w:rsid w:val="004332D3"/>
    <w:rsid w:val="00433485"/>
    <w:rsid w:val="004334CC"/>
    <w:rsid w:val="004334E5"/>
    <w:rsid w:val="004334F7"/>
    <w:rsid w:val="00433571"/>
    <w:rsid w:val="0043374A"/>
    <w:rsid w:val="004339AF"/>
    <w:rsid w:val="004339BC"/>
    <w:rsid w:val="004339C7"/>
    <w:rsid w:val="00433B93"/>
    <w:rsid w:val="00433D03"/>
    <w:rsid w:val="00433D38"/>
    <w:rsid w:val="00433DA5"/>
    <w:rsid w:val="00433DAF"/>
    <w:rsid w:val="00433DD6"/>
    <w:rsid w:val="00433E83"/>
    <w:rsid w:val="00433EDF"/>
    <w:rsid w:val="00433F90"/>
    <w:rsid w:val="00433FB0"/>
    <w:rsid w:val="00434007"/>
    <w:rsid w:val="0043407F"/>
    <w:rsid w:val="00434140"/>
    <w:rsid w:val="0043417B"/>
    <w:rsid w:val="004341C3"/>
    <w:rsid w:val="00434227"/>
    <w:rsid w:val="0043433B"/>
    <w:rsid w:val="0043434E"/>
    <w:rsid w:val="004344F9"/>
    <w:rsid w:val="00434535"/>
    <w:rsid w:val="004346FE"/>
    <w:rsid w:val="00434878"/>
    <w:rsid w:val="00434915"/>
    <w:rsid w:val="00434994"/>
    <w:rsid w:val="004349BD"/>
    <w:rsid w:val="004349F6"/>
    <w:rsid w:val="00434A03"/>
    <w:rsid w:val="00434A3F"/>
    <w:rsid w:val="00434AA5"/>
    <w:rsid w:val="00434BB8"/>
    <w:rsid w:val="00434C0F"/>
    <w:rsid w:val="00434CBD"/>
    <w:rsid w:val="00434EA9"/>
    <w:rsid w:val="00434F25"/>
    <w:rsid w:val="0043501C"/>
    <w:rsid w:val="0043503F"/>
    <w:rsid w:val="0043507B"/>
    <w:rsid w:val="0043508E"/>
    <w:rsid w:val="004350E7"/>
    <w:rsid w:val="004351FF"/>
    <w:rsid w:val="0043534F"/>
    <w:rsid w:val="00435442"/>
    <w:rsid w:val="004355B4"/>
    <w:rsid w:val="00435713"/>
    <w:rsid w:val="0043575A"/>
    <w:rsid w:val="0043577E"/>
    <w:rsid w:val="004357ED"/>
    <w:rsid w:val="00435883"/>
    <w:rsid w:val="004358D1"/>
    <w:rsid w:val="00435A05"/>
    <w:rsid w:val="00435A7A"/>
    <w:rsid w:val="00435B0B"/>
    <w:rsid w:val="00435E3A"/>
    <w:rsid w:val="00435E68"/>
    <w:rsid w:val="00435E9B"/>
    <w:rsid w:val="00435F63"/>
    <w:rsid w:val="00436031"/>
    <w:rsid w:val="00436095"/>
    <w:rsid w:val="004360EA"/>
    <w:rsid w:val="00436106"/>
    <w:rsid w:val="00436217"/>
    <w:rsid w:val="00436354"/>
    <w:rsid w:val="0043643D"/>
    <w:rsid w:val="00436473"/>
    <w:rsid w:val="004364F4"/>
    <w:rsid w:val="00436525"/>
    <w:rsid w:val="00436580"/>
    <w:rsid w:val="004365D8"/>
    <w:rsid w:val="004365F3"/>
    <w:rsid w:val="0043671E"/>
    <w:rsid w:val="0043679D"/>
    <w:rsid w:val="00436818"/>
    <w:rsid w:val="00436844"/>
    <w:rsid w:val="004368D3"/>
    <w:rsid w:val="004369C4"/>
    <w:rsid w:val="004369CA"/>
    <w:rsid w:val="004369E4"/>
    <w:rsid w:val="004369F8"/>
    <w:rsid w:val="00436A30"/>
    <w:rsid w:val="00436A9C"/>
    <w:rsid w:val="00436ACA"/>
    <w:rsid w:val="00436B87"/>
    <w:rsid w:val="00436C0D"/>
    <w:rsid w:val="00436C6F"/>
    <w:rsid w:val="00436C9F"/>
    <w:rsid w:val="00436CF0"/>
    <w:rsid w:val="00436D25"/>
    <w:rsid w:val="00436D62"/>
    <w:rsid w:val="00436ECC"/>
    <w:rsid w:val="00436F04"/>
    <w:rsid w:val="00437012"/>
    <w:rsid w:val="00437022"/>
    <w:rsid w:val="00437036"/>
    <w:rsid w:val="00437152"/>
    <w:rsid w:val="0043717F"/>
    <w:rsid w:val="004372B7"/>
    <w:rsid w:val="0043736A"/>
    <w:rsid w:val="00437482"/>
    <w:rsid w:val="00437585"/>
    <w:rsid w:val="00437596"/>
    <w:rsid w:val="00437652"/>
    <w:rsid w:val="004376D5"/>
    <w:rsid w:val="004376DE"/>
    <w:rsid w:val="0043771E"/>
    <w:rsid w:val="004377E5"/>
    <w:rsid w:val="004377E6"/>
    <w:rsid w:val="00437958"/>
    <w:rsid w:val="00437968"/>
    <w:rsid w:val="00437996"/>
    <w:rsid w:val="00437A86"/>
    <w:rsid w:val="00437C9F"/>
    <w:rsid w:val="00437DD6"/>
    <w:rsid w:val="00437EC5"/>
    <w:rsid w:val="00437EDA"/>
    <w:rsid w:val="00437F26"/>
    <w:rsid w:val="00440101"/>
    <w:rsid w:val="00440238"/>
    <w:rsid w:val="004402F4"/>
    <w:rsid w:val="00440330"/>
    <w:rsid w:val="00440341"/>
    <w:rsid w:val="004403E5"/>
    <w:rsid w:val="00440419"/>
    <w:rsid w:val="00440463"/>
    <w:rsid w:val="0044067E"/>
    <w:rsid w:val="004407F0"/>
    <w:rsid w:val="004408E2"/>
    <w:rsid w:val="004408E4"/>
    <w:rsid w:val="00440929"/>
    <w:rsid w:val="0044097A"/>
    <w:rsid w:val="004409CA"/>
    <w:rsid w:val="00440AC2"/>
    <w:rsid w:val="00440B2C"/>
    <w:rsid w:val="00440C03"/>
    <w:rsid w:val="00440C4F"/>
    <w:rsid w:val="00440CAF"/>
    <w:rsid w:val="00440D1F"/>
    <w:rsid w:val="00440D62"/>
    <w:rsid w:val="00440E49"/>
    <w:rsid w:val="00440F1C"/>
    <w:rsid w:val="00440F58"/>
    <w:rsid w:val="0044106C"/>
    <w:rsid w:val="00441086"/>
    <w:rsid w:val="004410B8"/>
    <w:rsid w:val="004410D7"/>
    <w:rsid w:val="00441179"/>
    <w:rsid w:val="0044120A"/>
    <w:rsid w:val="0044126A"/>
    <w:rsid w:val="0044148A"/>
    <w:rsid w:val="00441974"/>
    <w:rsid w:val="00441A70"/>
    <w:rsid w:val="00441A9A"/>
    <w:rsid w:val="00441B3A"/>
    <w:rsid w:val="00441B4F"/>
    <w:rsid w:val="00441BB9"/>
    <w:rsid w:val="00441D05"/>
    <w:rsid w:val="00441D44"/>
    <w:rsid w:val="00441DE5"/>
    <w:rsid w:val="00441E23"/>
    <w:rsid w:val="00441E8C"/>
    <w:rsid w:val="00441E99"/>
    <w:rsid w:val="00441EB6"/>
    <w:rsid w:val="00441EDB"/>
    <w:rsid w:val="00441F62"/>
    <w:rsid w:val="00441F8D"/>
    <w:rsid w:val="0044200E"/>
    <w:rsid w:val="00442026"/>
    <w:rsid w:val="004420F6"/>
    <w:rsid w:val="0044210F"/>
    <w:rsid w:val="0044212C"/>
    <w:rsid w:val="0044214A"/>
    <w:rsid w:val="004421C1"/>
    <w:rsid w:val="004421C5"/>
    <w:rsid w:val="004421F6"/>
    <w:rsid w:val="00442227"/>
    <w:rsid w:val="00442265"/>
    <w:rsid w:val="004422B5"/>
    <w:rsid w:val="004422B8"/>
    <w:rsid w:val="00442342"/>
    <w:rsid w:val="004423F1"/>
    <w:rsid w:val="0044246E"/>
    <w:rsid w:val="0044255D"/>
    <w:rsid w:val="0044257E"/>
    <w:rsid w:val="00442580"/>
    <w:rsid w:val="00442666"/>
    <w:rsid w:val="004427FA"/>
    <w:rsid w:val="0044280D"/>
    <w:rsid w:val="00442A1B"/>
    <w:rsid w:val="00442B90"/>
    <w:rsid w:val="00442D6C"/>
    <w:rsid w:val="00442D6F"/>
    <w:rsid w:val="00442D94"/>
    <w:rsid w:val="00442E2D"/>
    <w:rsid w:val="00442F35"/>
    <w:rsid w:val="00442FA1"/>
    <w:rsid w:val="00443025"/>
    <w:rsid w:val="00443038"/>
    <w:rsid w:val="004430FE"/>
    <w:rsid w:val="0044318C"/>
    <w:rsid w:val="00443230"/>
    <w:rsid w:val="0044339B"/>
    <w:rsid w:val="004433E9"/>
    <w:rsid w:val="00443465"/>
    <w:rsid w:val="00443546"/>
    <w:rsid w:val="004435DF"/>
    <w:rsid w:val="004438A3"/>
    <w:rsid w:val="0044396B"/>
    <w:rsid w:val="00443B85"/>
    <w:rsid w:val="00443BA5"/>
    <w:rsid w:val="00443CD4"/>
    <w:rsid w:val="00443D6D"/>
    <w:rsid w:val="00443DAE"/>
    <w:rsid w:val="00443EBA"/>
    <w:rsid w:val="00443EDB"/>
    <w:rsid w:val="00443F32"/>
    <w:rsid w:val="00443F97"/>
    <w:rsid w:val="00443FC5"/>
    <w:rsid w:val="00443FE5"/>
    <w:rsid w:val="00444027"/>
    <w:rsid w:val="00444029"/>
    <w:rsid w:val="00444048"/>
    <w:rsid w:val="00444050"/>
    <w:rsid w:val="004440E4"/>
    <w:rsid w:val="004440FA"/>
    <w:rsid w:val="0044410E"/>
    <w:rsid w:val="00444120"/>
    <w:rsid w:val="00444126"/>
    <w:rsid w:val="00444270"/>
    <w:rsid w:val="004443B7"/>
    <w:rsid w:val="0044445F"/>
    <w:rsid w:val="00444508"/>
    <w:rsid w:val="004446B0"/>
    <w:rsid w:val="0044476D"/>
    <w:rsid w:val="004448EB"/>
    <w:rsid w:val="00444938"/>
    <w:rsid w:val="00444946"/>
    <w:rsid w:val="00444947"/>
    <w:rsid w:val="0044498C"/>
    <w:rsid w:val="004449DF"/>
    <w:rsid w:val="00444A71"/>
    <w:rsid w:val="00444B4F"/>
    <w:rsid w:val="00444B79"/>
    <w:rsid w:val="00444BF6"/>
    <w:rsid w:val="00444C89"/>
    <w:rsid w:val="00444C8B"/>
    <w:rsid w:val="00444CDB"/>
    <w:rsid w:val="00444E14"/>
    <w:rsid w:val="0044500C"/>
    <w:rsid w:val="00445038"/>
    <w:rsid w:val="00445051"/>
    <w:rsid w:val="0044506D"/>
    <w:rsid w:val="004450B9"/>
    <w:rsid w:val="004450DD"/>
    <w:rsid w:val="0044515F"/>
    <w:rsid w:val="004451B4"/>
    <w:rsid w:val="004451DA"/>
    <w:rsid w:val="004451E7"/>
    <w:rsid w:val="00445207"/>
    <w:rsid w:val="004454D6"/>
    <w:rsid w:val="0044552F"/>
    <w:rsid w:val="0044553B"/>
    <w:rsid w:val="00445561"/>
    <w:rsid w:val="00445591"/>
    <w:rsid w:val="0044561A"/>
    <w:rsid w:val="004456EC"/>
    <w:rsid w:val="0044587F"/>
    <w:rsid w:val="004458C8"/>
    <w:rsid w:val="00445904"/>
    <w:rsid w:val="00445B96"/>
    <w:rsid w:val="00445BB2"/>
    <w:rsid w:val="00445BF8"/>
    <w:rsid w:val="00445BF9"/>
    <w:rsid w:val="00445C08"/>
    <w:rsid w:val="00445CA1"/>
    <w:rsid w:val="00445CA2"/>
    <w:rsid w:val="00445DB6"/>
    <w:rsid w:val="00445DDA"/>
    <w:rsid w:val="00445EB5"/>
    <w:rsid w:val="00445F3E"/>
    <w:rsid w:val="00445F44"/>
    <w:rsid w:val="00445FAF"/>
    <w:rsid w:val="00445FEC"/>
    <w:rsid w:val="00446130"/>
    <w:rsid w:val="00446132"/>
    <w:rsid w:val="0044616F"/>
    <w:rsid w:val="004461DC"/>
    <w:rsid w:val="0044641E"/>
    <w:rsid w:val="00446502"/>
    <w:rsid w:val="00446561"/>
    <w:rsid w:val="00446645"/>
    <w:rsid w:val="0044667B"/>
    <w:rsid w:val="004466B3"/>
    <w:rsid w:val="004466DE"/>
    <w:rsid w:val="004467AC"/>
    <w:rsid w:val="004468DA"/>
    <w:rsid w:val="0044694B"/>
    <w:rsid w:val="00446A72"/>
    <w:rsid w:val="00446AA4"/>
    <w:rsid w:val="00446AB8"/>
    <w:rsid w:val="00446ACD"/>
    <w:rsid w:val="00446C04"/>
    <w:rsid w:val="00446CA2"/>
    <w:rsid w:val="00446CD4"/>
    <w:rsid w:val="00446DB7"/>
    <w:rsid w:val="00446E27"/>
    <w:rsid w:val="00446E5E"/>
    <w:rsid w:val="00447003"/>
    <w:rsid w:val="00447157"/>
    <w:rsid w:val="004471C4"/>
    <w:rsid w:val="00447241"/>
    <w:rsid w:val="00447439"/>
    <w:rsid w:val="004474B8"/>
    <w:rsid w:val="00447552"/>
    <w:rsid w:val="0044760F"/>
    <w:rsid w:val="004476AA"/>
    <w:rsid w:val="00447776"/>
    <w:rsid w:val="004477ED"/>
    <w:rsid w:val="00447854"/>
    <w:rsid w:val="004479CB"/>
    <w:rsid w:val="004479CF"/>
    <w:rsid w:val="00447A1B"/>
    <w:rsid w:val="00447A52"/>
    <w:rsid w:val="00447A5A"/>
    <w:rsid w:val="00447B27"/>
    <w:rsid w:val="00447B7A"/>
    <w:rsid w:val="00447C03"/>
    <w:rsid w:val="00447C4D"/>
    <w:rsid w:val="00447C71"/>
    <w:rsid w:val="00447E5A"/>
    <w:rsid w:val="00447E82"/>
    <w:rsid w:val="00447E88"/>
    <w:rsid w:val="00447E93"/>
    <w:rsid w:val="00447F93"/>
    <w:rsid w:val="00447FCB"/>
    <w:rsid w:val="00450000"/>
    <w:rsid w:val="00450213"/>
    <w:rsid w:val="00450218"/>
    <w:rsid w:val="0045022B"/>
    <w:rsid w:val="00450369"/>
    <w:rsid w:val="004503F2"/>
    <w:rsid w:val="0045046A"/>
    <w:rsid w:val="004506B4"/>
    <w:rsid w:val="004508E3"/>
    <w:rsid w:val="00450A31"/>
    <w:rsid w:val="00450AEC"/>
    <w:rsid w:val="00450B30"/>
    <w:rsid w:val="00450BA5"/>
    <w:rsid w:val="00450CA2"/>
    <w:rsid w:val="00450D29"/>
    <w:rsid w:val="00450D58"/>
    <w:rsid w:val="00450D7D"/>
    <w:rsid w:val="00450ED6"/>
    <w:rsid w:val="00450F17"/>
    <w:rsid w:val="00450F25"/>
    <w:rsid w:val="00450F91"/>
    <w:rsid w:val="00450FC9"/>
    <w:rsid w:val="00450FEA"/>
    <w:rsid w:val="00450FFB"/>
    <w:rsid w:val="0045107F"/>
    <w:rsid w:val="00451088"/>
    <w:rsid w:val="004511D7"/>
    <w:rsid w:val="0045125C"/>
    <w:rsid w:val="004512AE"/>
    <w:rsid w:val="004512C4"/>
    <w:rsid w:val="004512FC"/>
    <w:rsid w:val="004513D8"/>
    <w:rsid w:val="00451560"/>
    <w:rsid w:val="0045166E"/>
    <w:rsid w:val="004518B8"/>
    <w:rsid w:val="00451954"/>
    <w:rsid w:val="004519C1"/>
    <w:rsid w:val="00451B06"/>
    <w:rsid w:val="00451CD2"/>
    <w:rsid w:val="00451D56"/>
    <w:rsid w:val="00451E69"/>
    <w:rsid w:val="00451EFD"/>
    <w:rsid w:val="00451F22"/>
    <w:rsid w:val="004520EA"/>
    <w:rsid w:val="0045214E"/>
    <w:rsid w:val="004521E3"/>
    <w:rsid w:val="0045222E"/>
    <w:rsid w:val="0045234C"/>
    <w:rsid w:val="004523A5"/>
    <w:rsid w:val="00452492"/>
    <w:rsid w:val="004525CC"/>
    <w:rsid w:val="004526FC"/>
    <w:rsid w:val="004528E2"/>
    <w:rsid w:val="0045290D"/>
    <w:rsid w:val="00452AE0"/>
    <w:rsid w:val="00452B6E"/>
    <w:rsid w:val="00452BE3"/>
    <w:rsid w:val="00452C87"/>
    <w:rsid w:val="00452D33"/>
    <w:rsid w:val="00452DD9"/>
    <w:rsid w:val="00452E2D"/>
    <w:rsid w:val="00452E4C"/>
    <w:rsid w:val="00452EE5"/>
    <w:rsid w:val="00452FE3"/>
    <w:rsid w:val="00453063"/>
    <w:rsid w:val="00453158"/>
    <w:rsid w:val="004531E4"/>
    <w:rsid w:val="0045321B"/>
    <w:rsid w:val="00453235"/>
    <w:rsid w:val="00453270"/>
    <w:rsid w:val="004533E4"/>
    <w:rsid w:val="00453414"/>
    <w:rsid w:val="00453427"/>
    <w:rsid w:val="0045342A"/>
    <w:rsid w:val="0045345A"/>
    <w:rsid w:val="00453461"/>
    <w:rsid w:val="004534F3"/>
    <w:rsid w:val="00453674"/>
    <w:rsid w:val="004538E6"/>
    <w:rsid w:val="0045394D"/>
    <w:rsid w:val="00453969"/>
    <w:rsid w:val="00453A1C"/>
    <w:rsid w:val="00453CE9"/>
    <w:rsid w:val="00453D02"/>
    <w:rsid w:val="00453D3F"/>
    <w:rsid w:val="00453EEF"/>
    <w:rsid w:val="00453FCC"/>
    <w:rsid w:val="00453FD2"/>
    <w:rsid w:val="004540C8"/>
    <w:rsid w:val="004540D5"/>
    <w:rsid w:val="004540D6"/>
    <w:rsid w:val="004541C6"/>
    <w:rsid w:val="004542E3"/>
    <w:rsid w:val="004545AB"/>
    <w:rsid w:val="004545B1"/>
    <w:rsid w:val="00454714"/>
    <w:rsid w:val="00454791"/>
    <w:rsid w:val="004547A1"/>
    <w:rsid w:val="004547AE"/>
    <w:rsid w:val="004547E1"/>
    <w:rsid w:val="00454830"/>
    <w:rsid w:val="0045495E"/>
    <w:rsid w:val="0045498D"/>
    <w:rsid w:val="004549C1"/>
    <w:rsid w:val="004549FF"/>
    <w:rsid w:val="00454A19"/>
    <w:rsid w:val="00454AE8"/>
    <w:rsid w:val="00454B94"/>
    <w:rsid w:val="00454C18"/>
    <w:rsid w:val="00454D21"/>
    <w:rsid w:val="00454DB0"/>
    <w:rsid w:val="00454E00"/>
    <w:rsid w:val="00454E51"/>
    <w:rsid w:val="00454EDE"/>
    <w:rsid w:val="00454F2A"/>
    <w:rsid w:val="00454FED"/>
    <w:rsid w:val="0045517A"/>
    <w:rsid w:val="004551A1"/>
    <w:rsid w:val="004551E5"/>
    <w:rsid w:val="004552C2"/>
    <w:rsid w:val="004552FB"/>
    <w:rsid w:val="00455350"/>
    <w:rsid w:val="004553C4"/>
    <w:rsid w:val="00455542"/>
    <w:rsid w:val="00455579"/>
    <w:rsid w:val="004556F4"/>
    <w:rsid w:val="0045586C"/>
    <w:rsid w:val="00455A54"/>
    <w:rsid w:val="00455B07"/>
    <w:rsid w:val="00455C7F"/>
    <w:rsid w:val="00455CC1"/>
    <w:rsid w:val="00455D0A"/>
    <w:rsid w:val="00455DA7"/>
    <w:rsid w:val="00455F70"/>
    <w:rsid w:val="00456104"/>
    <w:rsid w:val="004561B3"/>
    <w:rsid w:val="00456277"/>
    <w:rsid w:val="0045630F"/>
    <w:rsid w:val="004563F3"/>
    <w:rsid w:val="004564FC"/>
    <w:rsid w:val="0045656D"/>
    <w:rsid w:val="00456587"/>
    <w:rsid w:val="00456670"/>
    <w:rsid w:val="004566B8"/>
    <w:rsid w:val="00456731"/>
    <w:rsid w:val="0045675E"/>
    <w:rsid w:val="0045684A"/>
    <w:rsid w:val="004569A7"/>
    <w:rsid w:val="004569E8"/>
    <w:rsid w:val="00456A52"/>
    <w:rsid w:val="00456AF9"/>
    <w:rsid w:val="00456B8E"/>
    <w:rsid w:val="00456BA4"/>
    <w:rsid w:val="00456BBF"/>
    <w:rsid w:val="00456C08"/>
    <w:rsid w:val="00456C37"/>
    <w:rsid w:val="00456D0E"/>
    <w:rsid w:val="00456EE5"/>
    <w:rsid w:val="00456F12"/>
    <w:rsid w:val="00456F74"/>
    <w:rsid w:val="00456FF1"/>
    <w:rsid w:val="004571E1"/>
    <w:rsid w:val="004572BF"/>
    <w:rsid w:val="0045734F"/>
    <w:rsid w:val="0045741A"/>
    <w:rsid w:val="0045741B"/>
    <w:rsid w:val="00457488"/>
    <w:rsid w:val="004574BF"/>
    <w:rsid w:val="00457560"/>
    <w:rsid w:val="004575A3"/>
    <w:rsid w:val="004575B2"/>
    <w:rsid w:val="004575ED"/>
    <w:rsid w:val="00457624"/>
    <w:rsid w:val="00457639"/>
    <w:rsid w:val="004576A7"/>
    <w:rsid w:val="004576FD"/>
    <w:rsid w:val="00457720"/>
    <w:rsid w:val="0045778C"/>
    <w:rsid w:val="004577CA"/>
    <w:rsid w:val="00457A73"/>
    <w:rsid w:val="00457ADE"/>
    <w:rsid w:val="00457C9A"/>
    <w:rsid w:val="00457CDA"/>
    <w:rsid w:val="00457E42"/>
    <w:rsid w:val="00457E57"/>
    <w:rsid w:val="00457F35"/>
    <w:rsid w:val="00457F73"/>
    <w:rsid w:val="00457F82"/>
    <w:rsid w:val="0046022B"/>
    <w:rsid w:val="00460257"/>
    <w:rsid w:val="004602BC"/>
    <w:rsid w:val="004602F4"/>
    <w:rsid w:val="004602FD"/>
    <w:rsid w:val="0046039F"/>
    <w:rsid w:val="004603C3"/>
    <w:rsid w:val="004603E8"/>
    <w:rsid w:val="004606E1"/>
    <w:rsid w:val="0046074F"/>
    <w:rsid w:val="004607DB"/>
    <w:rsid w:val="00460837"/>
    <w:rsid w:val="00460879"/>
    <w:rsid w:val="004608CC"/>
    <w:rsid w:val="0046093A"/>
    <w:rsid w:val="00460B51"/>
    <w:rsid w:val="00460BBA"/>
    <w:rsid w:val="00460C23"/>
    <w:rsid w:val="00460D08"/>
    <w:rsid w:val="00460E5C"/>
    <w:rsid w:val="00460F21"/>
    <w:rsid w:val="00460F67"/>
    <w:rsid w:val="00460F7D"/>
    <w:rsid w:val="00460FAA"/>
    <w:rsid w:val="0046103B"/>
    <w:rsid w:val="0046105E"/>
    <w:rsid w:val="0046106F"/>
    <w:rsid w:val="004610B6"/>
    <w:rsid w:val="004610E5"/>
    <w:rsid w:val="004610F1"/>
    <w:rsid w:val="00461120"/>
    <w:rsid w:val="004611CC"/>
    <w:rsid w:val="0046126A"/>
    <w:rsid w:val="004612FE"/>
    <w:rsid w:val="00461420"/>
    <w:rsid w:val="00461518"/>
    <w:rsid w:val="0046159D"/>
    <w:rsid w:val="0046166B"/>
    <w:rsid w:val="004617C0"/>
    <w:rsid w:val="004618DD"/>
    <w:rsid w:val="00461980"/>
    <w:rsid w:val="004619CE"/>
    <w:rsid w:val="00461A19"/>
    <w:rsid w:val="00461B54"/>
    <w:rsid w:val="00461C1E"/>
    <w:rsid w:val="00461C5F"/>
    <w:rsid w:val="00461C8B"/>
    <w:rsid w:val="00461C8C"/>
    <w:rsid w:val="00461C8E"/>
    <w:rsid w:val="00461D3E"/>
    <w:rsid w:val="00461D60"/>
    <w:rsid w:val="00461DF0"/>
    <w:rsid w:val="00461E07"/>
    <w:rsid w:val="00461F50"/>
    <w:rsid w:val="00462001"/>
    <w:rsid w:val="004620ED"/>
    <w:rsid w:val="0046213A"/>
    <w:rsid w:val="0046216E"/>
    <w:rsid w:val="004621DC"/>
    <w:rsid w:val="00462315"/>
    <w:rsid w:val="0046236D"/>
    <w:rsid w:val="004624A3"/>
    <w:rsid w:val="004624CF"/>
    <w:rsid w:val="00462708"/>
    <w:rsid w:val="00462715"/>
    <w:rsid w:val="004627EB"/>
    <w:rsid w:val="0046287A"/>
    <w:rsid w:val="0046297B"/>
    <w:rsid w:val="004629EF"/>
    <w:rsid w:val="00462A09"/>
    <w:rsid w:val="00462A1A"/>
    <w:rsid w:val="00462CFA"/>
    <w:rsid w:val="00462CFD"/>
    <w:rsid w:val="00462D0F"/>
    <w:rsid w:val="00462D14"/>
    <w:rsid w:val="00462D78"/>
    <w:rsid w:val="00462E07"/>
    <w:rsid w:val="00462E51"/>
    <w:rsid w:val="004630EC"/>
    <w:rsid w:val="004631E1"/>
    <w:rsid w:val="00463241"/>
    <w:rsid w:val="0046328C"/>
    <w:rsid w:val="00463521"/>
    <w:rsid w:val="0046352D"/>
    <w:rsid w:val="00463603"/>
    <w:rsid w:val="00463627"/>
    <w:rsid w:val="004636B4"/>
    <w:rsid w:val="00463799"/>
    <w:rsid w:val="004638D3"/>
    <w:rsid w:val="004638D7"/>
    <w:rsid w:val="00463A1A"/>
    <w:rsid w:val="00463A59"/>
    <w:rsid w:val="00463A7A"/>
    <w:rsid w:val="00463AE3"/>
    <w:rsid w:val="00463D73"/>
    <w:rsid w:val="00463D90"/>
    <w:rsid w:val="004640E5"/>
    <w:rsid w:val="00464173"/>
    <w:rsid w:val="00464184"/>
    <w:rsid w:val="004642D9"/>
    <w:rsid w:val="004642F5"/>
    <w:rsid w:val="00464581"/>
    <w:rsid w:val="004649E2"/>
    <w:rsid w:val="00464A72"/>
    <w:rsid w:val="00464B0A"/>
    <w:rsid w:val="00464B75"/>
    <w:rsid w:val="00464BEC"/>
    <w:rsid w:val="00464C7E"/>
    <w:rsid w:val="00464C89"/>
    <w:rsid w:val="00464CAD"/>
    <w:rsid w:val="004650DE"/>
    <w:rsid w:val="004650EE"/>
    <w:rsid w:val="0046539A"/>
    <w:rsid w:val="0046541D"/>
    <w:rsid w:val="0046552D"/>
    <w:rsid w:val="00465556"/>
    <w:rsid w:val="00465651"/>
    <w:rsid w:val="0046575C"/>
    <w:rsid w:val="00465876"/>
    <w:rsid w:val="00465887"/>
    <w:rsid w:val="00465A2E"/>
    <w:rsid w:val="00465A75"/>
    <w:rsid w:val="00465AB0"/>
    <w:rsid w:val="00465BE6"/>
    <w:rsid w:val="00465DDC"/>
    <w:rsid w:val="00465E64"/>
    <w:rsid w:val="00465F69"/>
    <w:rsid w:val="00465F80"/>
    <w:rsid w:val="0046601D"/>
    <w:rsid w:val="0046604A"/>
    <w:rsid w:val="004660CB"/>
    <w:rsid w:val="0046623E"/>
    <w:rsid w:val="004662CA"/>
    <w:rsid w:val="004662FC"/>
    <w:rsid w:val="004663F4"/>
    <w:rsid w:val="00466481"/>
    <w:rsid w:val="004664A9"/>
    <w:rsid w:val="0046651C"/>
    <w:rsid w:val="004665A5"/>
    <w:rsid w:val="00466753"/>
    <w:rsid w:val="004667E8"/>
    <w:rsid w:val="0046690F"/>
    <w:rsid w:val="00466980"/>
    <w:rsid w:val="00466A63"/>
    <w:rsid w:val="00466B1A"/>
    <w:rsid w:val="00466B71"/>
    <w:rsid w:val="00466BEA"/>
    <w:rsid w:val="00466DDD"/>
    <w:rsid w:val="00466E09"/>
    <w:rsid w:val="00466E77"/>
    <w:rsid w:val="00466FBD"/>
    <w:rsid w:val="004670FB"/>
    <w:rsid w:val="00467106"/>
    <w:rsid w:val="00467128"/>
    <w:rsid w:val="0046714F"/>
    <w:rsid w:val="00467165"/>
    <w:rsid w:val="00467302"/>
    <w:rsid w:val="00467519"/>
    <w:rsid w:val="00467544"/>
    <w:rsid w:val="00467621"/>
    <w:rsid w:val="00467659"/>
    <w:rsid w:val="00467725"/>
    <w:rsid w:val="0046776C"/>
    <w:rsid w:val="00467800"/>
    <w:rsid w:val="00467841"/>
    <w:rsid w:val="00467850"/>
    <w:rsid w:val="004678F6"/>
    <w:rsid w:val="00467969"/>
    <w:rsid w:val="00467A31"/>
    <w:rsid w:val="00467B07"/>
    <w:rsid w:val="00467B88"/>
    <w:rsid w:val="00467BD2"/>
    <w:rsid w:val="00467C52"/>
    <w:rsid w:val="00467D6B"/>
    <w:rsid w:val="00467DC7"/>
    <w:rsid w:val="00467DD6"/>
    <w:rsid w:val="00467E03"/>
    <w:rsid w:val="00467E39"/>
    <w:rsid w:val="00467E5F"/>
    <w:rsid w:val="00467E96"/>
    <w:rsid w:val="00467F08"/>
    <w:rsid w:val="00467FFB"/>
    <w:rsid w:val="0047001D"/>
    <w:rsid w:val="00470045"/>
    <w:rsid w:val="0047005A"/>
    <w:rsid w:val="0047010E"/>
    <w:rsid w:val="00470167"/>
    <w:rsid w:val="004703D9"/>
    <w:rsid w:val="00470428"/>
    <w:rsid w:val="0047045A"/>
    <w:rsid w:val="00470545"/>
    <w:rsid w:val="004705FC"/>
    <w:rsid w:val="00470685"/>
    <w:rsid w:val="00470729"/>
    <w:rsid w:val="0047089E"/>
    <w:rsid w:val="00470911"/>
    <w:rsid w:val="00470A39"/>
    <w:rsid w:val="00470AED"/>
    <w:rsid w:val="00470BA9"/>
    <w:rsid w:val="00470C83"/>
    <w:rsid w:val="00470C8C"/>
    <w:rsid w:val="00470D82"/>
    <w:rsid w:val="00470F23"/>
    <w:rsid w:val="00470F43"/>
    <w:rsid w:val="00470F54"/>
    <w:rsid w:val="0047100D"/>
    <w:rsid w:val="004712C5"/>
    <w:rsid w:val="004712CD"/>
    <w:rsid w:val="004712D0"/>
    <w:rsid w:val="004712D2"/>
    <w:rsid w:val="004713A3"/>
    <w:rsid w:val="004713C9"/>
    <w:rsid w:val="004713D8"/>
    <w:rsid w:val="00471410"/>
    <w:rsid w:val="00471628"/>
    <w:rsid w:val="00471666"/>
    <w:rsid w:val="004716F0"/>
    <w:rsid w:val="0047194C"/>
    <w:rsid w:val="00471A00"/>
    <w:rsid w:val="00471A46"/>
    <w:rsid w:val="00471A68"/>
    <w:rsid w:val="00471BF7"/>
    <w:rsid w:val="00471C22"/>
    <w:rsid w:val="00471C56"/>
    <w:rsid w:val="00471E1B"/>
    <w:rsid w:val="00471E30"/>
    <w:rsid w:val="00471E72"/>
    <w:rsid w:val="00471EC6"/>
    <w:rsid w:val="004720CA"/>
    <w:rsid w:val="00472110"/>
    <w:rsid w:val="00472112"/>
    <w:rsid w:val="0047213C"/>
    <w:rsid w:val="00472146"/>
    <w:rsid w:val="0047214E"/>
    <w:rsid w:val="00472196"/>
    <w:rsid w:val="00472265"/>
    <w:rsid w:val="004723DD"/>
    <w:rsid w:val="00472405"/>
    <w:rsid w:val="00472421"/>
    <w:rsid w:val="0047242A"/>
    <w:rsid w:val="00472574"/>
    <w:rsid w:val="00472592"/>
    <w:rsid w:val="004725C4"/>
    <w:rsid w:val="0047264A"/>
    <w:rsid w:val="0047265F"/>
    <w:rsid w:val="00472661"/>
    <w:rsid w:val="004727EA"/>
    <w:rsid w:val="004728BD"/>
    <w:rsid w:val="00472902"/>
    <w:rsid w:val="00472909"/>
    <w:rsid w:val="0047295A"/>
    <w:rsid w:val="004729BD"/>
    <w:rsid w:val="00472A77"/>
    <w:rsid w:val="00472B01"/>
    <w:rsid w:val="00472B3B"/>
    <w:rsid w:val="00472B57"/>
    <w:rsid w:val="00472D23"/>
    <w:rsid w:val="00472D3C"/>
    <w:rsid w:val="00472D8C"/>
    <w:rsid w:val="00472EDD"/>
    <w:rsid w:val="00472FFC"/>
    <w:rsid w:val="00473001"/>
    <w:rsid w:val="004731F1"/>
    <w:rsid w:val="004732D9"/>
    <w:rsid w:val="00473377"/>
    <w:rsid w:val="00473399"/>
    <w:rsid w:val="00473503"/>
    <w:rsid w:val="004735A4"/>
    <w:rsid w:val="0047364F"/>
    <w:rsid w:val="00473734"/>
    <w:rsid w:val="004737F3"/>
    <w:rsid w:val="00473835"/>
    <w:rsid w:val="004738AF"/>
    <w:rsid w:val="004739D0"/>
    <w:rsid w:val="00473AA0"/>
    <w:rsid w:val="00473AA4"/>
    <w:rsid w:val="00473AB2"/>
    <w:rsid w:val="00473B07"/>
    <w:rsid w:val="00473B6B"/>
    <w:rsid w:val="00473C9C"/>
    <w:rsid w:val="00473E0E"/>
    <w:rsid w:val="00473EB9"/>
    <w:rsid w:val="00474100"/>
    <w:rsid w:val="00474161"/>
    <w:rsid w:val="00474177"/>
    <w:rsid w:val="0047435D"/>
    <w:rsid w:val="004744F1"/>
    <w:rsid w:val="004745CF"/>
    <w:rsid w:val="00474678"/>
    <w:rsid w:val="0047469A"/>
    <w:rsid w:val="004748CB"/>
    <w:rsid w:val="004748E0"/>
    <w:rsid w:val="004748E7"/>
    <w:rsid w:val="00474910"/>
    <w:rsid w:val="00474A04"/>
    <w:rsid w:val="00474A61"/>
    <w:rsid w:val="00474A81"/>
    <w:rsid w:val="00474A8A"/>
    <w:rsid w:val="00474B00"/>
    <w:rsid w:val="00474BBC"/>
    <w:rsid w:val="00474F77"/>
    <w:rsid w:val="0047501C"/>
    <w:rsid w:val="00475072"/>
    <w:rsid w:val="004751EC"/>
    <w:rsid w:val="0047526A"/>
    <w:rsid w:val="0047533B"/>
    <w:rsid w:val="0047542D"/>
    <w:rsid w:val="00475603"/>
    <w:rsid w:val="004756D0"/>
    <w:rsid w:val="0047579A"/>
    <w:rsid w:val="00475803"/>
    <w:rsid w:val="004758DA"/>
    <w:rsid w:val="004758FC"/>
    <w:rsid w:val="00475974"/>
    <w:rsid w:val="00475A9E"/>
    <w:rsid w:val="00475AA4"/>
    <w:rsid w:val="00475B05"/>
    <w:rsid w:val="00475B9B"/>
    <w:rsid w:val="00475BB7"/>
    <w:rsid w:val="00475BCE"/>
    <w:rsid w:val="00475C5B"/>
    <w:rsid w:val="00475C78"/>
    <w:rsid w:val="00475CA5"/>
    <w:rsid w:val="00475FDD"/>
    <w:rsid w:val="00475FF2"/>
    <w:rsid w:val="00476006"/>
    <w:rsid w:val="004760A8"/>
    <w:rsid w:val="004760B1"/>
    <w:rsid w:val="0047615A"/>
    <w:rsid w:val="004761C5"/>
    <w:rsid w:val="00476209"/>
    <w:rsid w:val="00476253"/>
    <w:rsid w:val="00476321"/>
    <w:rsid w:val="004763CF"/>
    <w:rsid w:val="00476433"/>
    <w:rsid w:val="00476493"/>
    <w:rsid w:val="004764F9"/>
    <w:rsid w:val="004765A3"/>
    <w:rsid w:val="004765C6"/>
    <w:rsid w:val="004765E2"/>
    <w:rsid w:val="0047665F"/>
    <w:rsid w:val="00476738"/>
    <w:rsid w:val="0047673F"/>
    <w:rsid w:val="00476756"/>
    <w:rsid w:val="0047677E"/>
    <w:rsid w:val="00476849"/>
    <w:rsid w:val="004768E6"/>
    <w:rsid w:val="004769A5"/>
    <w:rsid w:val="00476A19"/>
    <w:rsid w:val="00476A94"/>
    <w:rsid w:val="00476AA3"/>
    <w:rsid w:val="00476C7F"/>
    <w:rsid w:val="00476DAD"/>
    <w:rsid w:val="00476EF8"/>
    <w:rsid w:val="00476F07"/>
    <w:rsid w:val="00476F2A"/>
    <w:rsid w:val="00476F88"/>
    <w:rsid w:val="004770C8"/>
    <w:rsid w:val="0047714B"/>
    <w:rsid w:val="004772E9"/>
    <w:rsid w:val="00477329"/>
    <w:rsid w:val="0047740C"/>
    <w:rsid w:val="0047741A"/>
    <w:rsid w:val="00477498"/>
    <w:rsid w:val="00477553"/>
    <w:rsid w:val="00477590"/>
    <w:rsid w:val="0047762F"/>
    <w:rsid w:val="0047766D"/>
    <w:rsid w:val="0047785E"/>
    <w:rsid w:val="004778F8"/>
    <w:rsid w:val="00477900"/>
    <w:rsid w:val="004779AA"/>
    <w:rsid w:val="004779AC"/>
    <w:rsid w:val="00477A80"/>
    <w:rsid w:val="00477AE8"/>
    <w:rsid w:val="00477B49"/>
    <w:rsid w:val="00477B8F"/>
    <w:rsid w:val="00477D3E"/>
    <w:rsid w:val="00477D3F"/>
    <w:rsid w:val="00477F1F"/>
    <w:rsid w:val="00480159"/>
    <w:rsid w:val="00480163"/>
    <w:rsid w:val="004801A3"/>
    <w:rsid w:val="00480223"/>
    <w:rsid w:val="0048022A"/>
    <w:rsid w:val="0048033B"/>
    <w:rsid w:val="004803F3"/>
    <w:rsid w:val="0048043A"/>
    <w:rsid w:val="0048043F"/>
    <w:rsid w:val="00480539"/>
    <w:rsid w:val="004805AE"/>
    <w:rsid w:val="0048060C"/>
    <w:rsid w:val="00480641"/>
    <w:rsid w:val="004806D4"/>
    <w:rsid w:val="004807AB"/>
    <w:rsid w:val="00480991"/>
    <w:rsid w:val="00480B1A"/>
    <w:rsid w:val="00480B39"/>
    <w:rsid w:val="00480BFE"/>
    <w:rsid w:val="00480CB1"/>
    <w:rsid w:val="00480D1A"/>
    <w:rsid w:val="00480D53"/>
    <w:rsid w:val="00480D65"/>
    <w:rsid w:val="00480E08"/>
    <w:rsid w:val="00480E16"/>
    <w:rsid w:val="0048107E"/>
    <w:rsid w:val="00481193"/>
    <w:rsid w:val="0048128F"/>
    <w:rsid w:val="004812CC"/>
    <w:rsid w:val="004813FB"/>
    <w:rsid w:val="0048144F"/>
    <w:rsid w:val="004814C1"/>
    <w:rsid w:val="0048167B"/>
    <w:rsid w:val="004816DC"/>
    <w:rsid w:val="0048182B"/>
    <w:rsid w:val="00481843"/>
    <w:rsid w:val="00481903"/>
    <w:rsid w:val="00481975"/>
    <w:rsid w:val="00481B91"/>
    <w:rsid w:val="00481B93"/>
    <w:rsid w:val="00481BF8"/>
    <w:rsid w:val="00481C56"/>
    <w:rsid w:val="00481C7B"/>
    <w:rsid w:val="00481D27"/>
    <w:rsid w:val="00481E88"/>
    <w:rsid w:val="00481F2E"/>
    <w:rsid w:val="00481F63"/>
    <w:rsid w:val="00481F96"/>
    <w:rsid w:val="0048200F"/>
    <w:rsid w:val="0048209B"/>
    <w:rsid w:val="00482140"/>
    <w:rsid w:val="00482194"/>
    <w:rsid w:val="00482253"/>
    <w:rsid w:val="00482256"/>
    <w:rsid w:val="004822CE"/>
    <w:rsid w:val="00482336"/>
    <w:rsid w:val="00482353"/>
    <w:rsid w:val="0048238E"/>
    <w:rsid w:val="00482421"/>
    <w:rsid w:val="004824E7"/>
    <w:rsid w:val="00482514"/>
    <w:rsid w:val="0048263E"/>
    <w:rsid w:val="0048268A"/>
    <w:rsid w:val="004826B2"/>
    <w:rsid w:val="0048278B"/>
    <w:rsid w:val="004827D6"/>
    <w:rsid w:val="00482814"/>
    <w:rsid w:val="00482995"/>
    <w:rsid w:val="00482AA9"/>
    <w:rsid w:val="00482AFF"/>
    <w:rsid w:val="00482C83"/>
    <w:rsid w:val="00482CC9"/>
    <w:rsid w:val="00482D43"/>
    <w:rsid w:val="00482E0E"/>
    <w:rsid w:val="00482E3F"/>
    <w:rsid w:val="00482E4F"/>
    <w:rsid w:val="00482ED2"/>
    <w:rsid w:val="00482F00"/>
    <w:rsid w:val="00482F69"/>
    <w:rsid w:val="00482F8A"/>
    <w:rsid w:val="00482FE0"/>
    <w:rsid w:val="0048312C"/>
    <w:rsid w:val="004831C3"/>
    <w:rsid w:val="00483246"/>
    <w:rsid w:val="0048328D"/>
    <w:rsid w:val="004832B4"/>
    <w:rsid w:val="00483497"/>
    <w:rsid w:val="004834C5"/>
    <w:rsid w:val="004835F5"/>
    <w:rsid w:val="004836DA"/>
    <w:rsid w:val="004837AC"/>
    <w:rsid w:val="00483918"/>
    <w:rsid w:val="00483946"/>
    <w:rsid w:val="00483957"/>
    <w:rsid w:val="0048395C"/>
    <w:rsid w:val="00483B1E"/>
    <w:rsid w:val="00483C70"/>
    <w:rsid w:val="00483CA9"/>
    <w:rsid w:val="00483CCC"/>
    <w:rsid w:val="00483CF5"/>
    <w:rsid w:val="00483EBE"/>
    <w:rsid w:val="00483F26"/>
    <w:rsid w:val="00483F96"/>
    <w:rsid w:val="0048408B"/>
    <w:rsid w:val="004840F2"/>
    <w:rsid w:val="0048410E"/>
    <w:rsid w:val="00484198"/>
    <w:rsid w:val="00484235"/>
    <w:rsid w:val="004842E0"/>
    <w:rsid w:val="0048438D"/>
    <w:rsid w:val="004843EB"/>
    <w:rsid w:val="0048449E"/>
    <w:rsid w:val="004844B1"/>
    <w:rsid w:val="00484636"/>
    <w:rsid w:val="0048466C"/>
    <w:rsid w:val="004846A1"/>
    <w:rsid w:val="00484728"/>
    <w:rsid w:val="00484733"/>
    <w:rsid w:val="00484780"/>
    <w:rsid w:val="00484962"/>
    <w:rsid w:val="00484B9E"/>
    <w:rsid w:val="00484D97"/>
    <w:rsid w:val="00484E09"/>
    <w:rsid w:val="00484EC0"/>
    <w:rsid w:val="00484F59"/>
    <w:rsid w:val="00484F6A"/>
    <w:rsid w:val="004851DB"/>
    <w:rsid w:val="004852D8"/>
    <w:rsid w:val="004852DC"/>
    <w:rsid w:val="00485305"/>
    <w:rsid w:val="00485343"/>
    <w:rsid w:val="00485417"/>
    <w:rsid w:val="00485424"/>
    <w:rsid w:val="004854F0"/>
    <w:rsid w:val="0048552C"/>
    <w:rsid w:val="0048572D"/>
    <w:rsid w:val="004857C2"/>
    <w:rsid w:val="0048580B"/>
    <w:rsid w:val="004858DE"/>
    <w:rsid w:val="004858F5"/>
    <w:rsid w:val="00485963"/>
    <w:rsid w:val="00485C95"/>
    <w:rsid w:val="00485D49"/>
    <w:rsid w:val="00485D9E"/>
    <w:rsid w:val="00485DCA"/>
    <w:rsid w:val="00485E2B"/>
    <w:rsid w:val="00485E77"/>
    <w:rsid w:val="00485F18"/>
    <w:rsid w:val="00485F2A"/>
    <w:rsid w:val="00485F6E"/>
    <w:rsid w:val="00485FB1"/>
    <w:rsid w:val="004860A1"/>
    <w:rsid w:val="004862CA"/>
    <w:rsid w:val="004862E3"/>
    <w:rsid w:val="004864CE"/>
    <w:rsid w:val="00486506"/>
    <w:rsid w:val="00486510"/>
    <w:rsid w:val="00486683"/>
    <w:rsid w:val="00486765"/>
    <w:rsid w:val="0048688F"/>
    <w:rsid w:val="00486908"/>
    <w:rsid w:val="0048691B"/>
    <w:rsid w:val="0048696E"/>
    <w:rsid w:val="00486986"/>
    <w:rsid w:val="004869B1"/>
    <w:rsid w:val="004869EC"/>
    <w:rsid w:val="00486A85"/>
    <w:rsid w:val="00486AC6"/>
    <w:rsid w:val="00486ACA"/>
    <w:rsid w:val="00486BC8"/>
    <w:rsid w:val="00486CFD"/>
    <w:rsid w:val="00486D86"/>
    <w:rsid w:val="00486ED9"/>
    <w:rsid w:val="00486F07"/>
    <w:rsid w:val="0048704B"/>
    <w:rsid w:val="004870A6"/>
    <w:rsid w:val="004871AF"/>
    <w:rsid w:val="00487215"/>
    <w:rsid w:val="00487297"/>
    <w:rsid w:val="004872D4"/>
    <w:rsid w:val="0048730B"/>
    <w:rsid w:val="0048744A"/>
    <w:rsid w:val="004874DC"/>
    <w:rsid w:val="004874F9"/>
    <w:rsid w:val="004876AE"/>
    <w:rsid w:val="0048773A"/>
    <w:rsid w:val="0048774F"/>
    <w:rsid w:val="004877FA"/>
    <w:rsid w:val="0048780B"/>
    <w:rsid w:val="004878F2"/>
    <w:rsid w:val="00487947"/>
    <w:rsid w:val="0048798D"/>
    <w:rsid w:val="004879B6"/>
    <w:rsid w:val="00487A36"/>
    <w:rsid w:val="00487A71"/>
    <w:rsid w:val="00487AB6"/>
    <w:rsid w:val="00487B4D"/>
    <w:rsid w:val="00487D37"/>
    <w:rsid w:val="00487F1C"/>
    <w:rsid w:val="00487FA1"/>
    <w:rsid w:val="00490381"/>
    <w:rsid w:val="004903E7"/>
    <w:rsid w:val="0049045F"/>
    <w:rsid w:val="004904EA"/>
    <w:rsid w:val="0049051B"/>
    <w:rsid w:val="004905F2"/>
    <w:rsid w:val="00490709"/>
    <w:rsid w:val="0049075B"/>
    <w:rsid w:val="004907AA"/>
    <w:rsid w:val="0049094F"/>
    <w:rsid w:val="0049097D"/>
    <w:rsid w:val="00490ADF"/>
    <w:rsid w:val="00490B1B"/>
    <w:rsid w:val="00490C76"/>
    <w:rsid w:val="00490C7F"/>
    <w:rsid w:val="00490C8C"/>
    <w:rsid w:val="00490CF7"/>
    <w:rsid w:val="00490D50"/>
    <w:rsid w:val="00490D6A"/>
    <w:rsid w:val="00490DBF"/>
    <w:rsid w:val="00490DF0"/>
    <w:rsid w:val="00490DFF"/>
    <w:rsid w:val="00490FB2"/>
    <w:rsid w:val="004910AF"/>
    <w:rsid w:val="00491188"/>
    <w:rsid w:val="004911C2"/>
    <w:rsid w:val="00491256"/>
    <w:rsid w:val="004912A7"/>
    <w:rsid w:val="00491585"/>
    <w:rsid w:val="004915DC"/>
    <w:rsid w:val="0049171F"/>
    <w:rsid w:val="00491780"/>
    <w:rsid w:val="00491914"/>
    <w:rsid w:val="004919E3"/>
    <w:rsid w:val="00491A1F"/>
    <w:rsid w:val="00491A35"/>
    <w:rsid w:val="00491BF4"/>
    <w:rsid w:val="00491D78"/>
    <w:rsid w:val="00491DCD"/>
    <w:rsid w:val="00491E05"/>
    <w:rsid w:val="00491E3F"/>
    <w:rsid w:val="00491F5C"/>
    <w:rsid w:val="00491FD7"/>
    <w:rsid w:val="00492035"/>
    <w:rsid w:val="004920E7"/>
    <w:rsid w:val="00492356"/>
    <w:rsid w:val="00492452"/>
    <w:rsid w:val="004924AB"/>
    <w:rsid w:val="004924FD"/>
    <w:rsid w:val="00492609"/>
    <w:rsid w:val="00492642"/>
    <w:rsid w:val="0049273A"/>
    <w:rsid w:val="004927CE"/>
    <w:rsid w:val="0049284B"/>
    <w:rsid w:val="00492AFA"/>
    <w:rsid w:val="00492B87"/>
    <w:rsid w:val="00492BD3"/>
    <w:rsid w:val="00492CE4"/>
    <w:rsid w:val="00492E30"/>
    <w:rsid w:val="0049307B"/>
    <w:rsid w:val="00493094"/>
    <w:rsid w:val="00493142"/>
    <w:rsid w:val="004931F9"/>
    <w:rsid w:val="00493215"/>
    <w:rsid w:val="00493292"/>
    <w:rsid w:val="004932E1"/>
    <w:rsid w:val="0049357F"/>
    <w:rsid w:val="004935E6"/>
    <w:rsid w:val="004938B3"/>
    <w:rsid w:val="00493943"/>
    <w:rsid w:val="00493A81"/>
    <w:rsid w:val="00493A82"/>
    <w:rsid w:val="00493AE5"/>
    <w:rsid w:val="00493B44"/>
    <w:rsid w:val="00493B8A"/>
    <w:rsid w:val="00493C64"/>
    <w:rsid w:val="00493CE6"/>
    <w:rsid w:val="00493E20"/>
    <w:rsid w:val="00493E5B"/>
    <w:rsid w:val="00493EEF"/>
    <w:rsid w:val="00493F40"/>
    <w:rsid w:val="00494018"/>
    <w:rsid w:val="004940C8"/>
    <w:rsid w:val="004940E4"/>
    <w:rsid w:val="0049423B"/>
    <w:rsid w:val="0049423E"/>
    <w:rsid w:val="004942AE"/>
    <w:rsid w:val="004942CE"/>
    <w:rsid w:val="00494445"/>
    <w:rsid w:val="00494527"/>
    <w:rsid w:val="004945BF"/>
    <w:rsid w:val="00494765"/>
    <w:rsid w:val="00494979"/>
    <w:rsid w:val="00494AA9"/>
    <w:rsid w:val="00494AC8"/>
    <w:rsid w:val="00494CD0"/>
    <w:rsid w:val="00494D4D"/>
    <w:rsid w:val="00494E25"/>
    <w:rsid w:val="00494E33"/>
    <w:rsid w:val="00494F12"/>
    <w:rsid w:val="00494F2E"/>
    <w:rsid w:val="00494F8B"/>
    <w:rsid w:val="00495006"/>
    <w:rsid w:val="00495066"/>
    <w:rsid w:val="00495094"/>
    <w:rsid w:val="004950B5"/>
    <w:rsid w:val="004951E9"/>
    <w:rsid w:val="004952B8"/>
    <w:rsid w:val="00495338"/>
    <w:rsid w:val="00495365"/>
    <w:rsid w:val="0049546E"/>
    <w:rsid w:val="004954A7"/>
    <w:rsid w:val="00495687"/>
    <w:rsid w:val="004956B9"/>
    <w:rsid w:val="004956BA"/>
    <w:rsid w:val="00495749"/>
    <w:rsid w:val="00495818"/>
    <w:rsid w:val="00495879"/>
    <w:rsid w:val="004958B6"/>
    <w:rsid w:val="00495903"/>
    <w:rsid w:val="00495967"/>
    <w:rsid w:val="004959A3"/>
    <w:rsid w:val="00495B2E"/>
    <w:rsid w:val="00495B75"/>
    <w:rsid w:val="00495B79"/>
    <w:rsid w:val="00495B87"/>
    <w:rsid w:val="00495BF8"/>
    <w:rsid w:val="00495C35"/>
    <w:rsid w:val="00495C3F"/>
    <w:rsid w:val="00495D08"/>
    <w:rsid w:val="00495FAA"/>
    <w:rsid w:val="0049619D"/>
    <w:rsid w:val="004961DC"/>
    <w:rsid w:val="0049626B"/>
    <w:rsid w:val="0049636C"/>
    <w:rsid w:val="0049644B"/>
    <w:rsid w:val="00496459"/>
    <w:rsid w:val="0049648E"/>
    <w:rsid w:val="004964D0"/>
    <w:rsid w:val="0049667E"/>
    <w:rsid w:val="00496707"/>
    <w:rsid w:val="004967FB"/>
    <w:rsid w:val="00496891"/>
    <w:rsid w:val="00496904"/>
    <w:rsid w:val="0049692E"/>
    <w:rsid w:val="0049696A"/>
    <w:rsid w:val="00496990"/>
    <w:rsid w:val="004969B3"/>
    <w:rsid w:val="004969DF"/>
    <w:rsid w:val="004969F8"/>
    <w:rsid w:val="00496A63"/>
    <w:rsid w:val="0049706A"/>
    <w:rsid w:val="004971E2"/>
    <w:rsid w:val="004972F5"/>
    <w:rsid w:val="004972FA"/>
    <w:rsid w:val="00497332"/>
    <w:rsid w:val="00497356"/>
    <w:rsid w:val="004973B2"/>
    <w:rsid w:val="00497460"/>
    <w:rsid w:val="0049748A"/>
    <w:rsid w:val="004974BA"/>
    <w:rsid w:val="00497541"/>
    <w:rsid w:val="0049773F"/>
    <w:rsid w:val="0049774E"/>
    <w:rsid w:val="00497834"/>
    <w:rsid w:val="00497883"/>
    <w:rsid w:val="00497955"/>
    <w:rsid w:val="00497BB9"/>
    <w:rsid w:val="004A0103"/>
    <w:rsid w:val="004A017C"/>
    <w:rsid w:val="004A037D"/>
    <w:rsid w:val="004A039E"/>
    <w:rsid w:val="004A03CE"/>
    <w:rsid w:val="004A0455"/>
    <w:rsid w:val="004A065E"/>
    <w:rsid w:val="004A0733"/>
    <w:rsid w:val="004A07FC"/>
    <w:rsid w:val="004A08E9"/>
    <w:rsid w:val="004A094D"/>
    <w:rsid w:val="004A09BB"/>
    <w:rsid w:val="004A0B30"/>
    <w:rsid w:val="004A0BF8"/>
    <w:rsid w:val="004A0D0A"/>
    <w:rsid w:val="004A0F9B"/>
    <w:rsid w:val="004A0FB8"/>
    <w:rsid w:val="004A0FD2"/>
    <w:rsid w:val="004A1137"/>
    <w:rsid w:val="004A12C7"/>
    <w:rsid w:val="004A144B"/>
    <w:rsid w:val="004A14C8"/>
    <w:rsid w:val="004A1590"/>
    <w:rsid w:val="004A16C3"/>
    <w:rsid w:val="004A16FB"/>
    <w:rsid w:val="004A179A"/>
    <w:rsid w:val="004A17A9"/>
    <w:rsid w:val="004A1896"/>
    <w:rsid w:val="004A18BF"/>
    <w:rsid w:val="004A19CC"/>
    <w:rsid w:val="004A19F4"/>
    <w:rsid w:val="004A1A11"/>
    <w:rsid w:val="004A1AA4"/>
    <w:rsid w:val="004A1B04"/>
    <w:rsid w:val="004A1CDD"/>
    <w:rsid w:val="004A1E1F"/>
    <w:rsid w:val="004A1E43"/>
    <w:rsid w:val="004A1ED3"/>
    <w:rsid w:val="004A1F49"/>
    <w:rsid w:val="004A1FA7"/>
    <w:rsid w:val="004A2078"/>
    <w:rsid w:val="004A20CD"/>
    <w:rsid w:val="004A212A"/>
    <w:rsid w:val="004A218D"/>
    <w:rsid w:val="004A2200"/>
    <w:rsid w:val="004A235E"/>
    <w:rsid w:val="004A2395"/>
    <w:rsid w:val="004A23BA"/>
    <w:rsid w:val="004A23F5"/>
    <w:rsid w:val="004A2486"/>
    <w:rsid w:val="004A24A9"/>
    <w:rsid w:val="004A24B5"/>
    <w:rsid w:val="004A2558"/>
    <w:rsid w:val="004A27A6"/>
    <w:rsid w:val="004A27F9"/>
    <w:rsid w:val="004A290D"/>
    <w:rsid w:val="004A29C4"/>
    <w:rsid w:val="004A2A72"/>
    <w:rsid w:val="004A2B39"/>
    <w:rsid w:val="004A2B4C"/>
    <w:rsid w:val="004A2BF1"/>
    <w:rsid w:val="004A2C0E"/>
    <w:rsid w:val="004A2C62"/>
    <w:rsid w:val="004A2C94"/>
    <w:rsid w:val="004A2CB8"/>
    <w:rsid w:val="004A2E08"/>
    <w:rsid w:val="004A2F1F"/>
    <w:rsid w:val="004A2FB4"/>
    <w:rsid w:val="004A3199"/>
    <w:rsid w:val="004A31FB"/>
    <w:rsid w:val="004A3295"/>
    <w:rsid w:val="004A3464"/>
    <w:rsid w:val="004A34AB"/>
    <w:rsid w:val="004A3684"/>
    <w:rsid w:val="004A379B"/>
    <w:rsid w:val="004A3802"/>
    <w:rsid w:val="004A38A8"/>
    <w:rsid w:val="004A38CC"/>
    <w:rsid w:val="004A3937"/>
    <w:rsid w:val="004A3960"/>
    <w:rsid w:val="004A3968"/>
    <w:rsid w:val="004A39DB"/>
    <w:rsid w:val="004A3B15"/>
    <w:rsid w:val="004A3B92"/>
    <w:rsid w:val="004A3BBF"/>
    <w:rsid w:val="004A3C9A"/>
    <w:rsid w:val="004A3D04"/>
    <w:rsid w:val="004A3E3B"/>
    <w:rsid w:val="004A3E74"/>
    <w:rsid w:val="004A3F6F"/>
    <w:rsid w:val="004A40C1"/>
    <w:rsid w:val="004A411E"/>
    <w:rsid w:val="004A4154"/>
    <w:rsid w:val="004A41AD"/>
    <w:rsid w:val="004A41C3"/>
    <w:rsid w:val="004A41E4"/>
    <w:rsid w:val="004A4229"/>
    <w:rsid w:val="004A422B"/>
    <w:rsid w:val="004A4283"/>
    <w:rsid w:val="004A42EF"/>
    <w:rsid w:val="004A4381"/>
    <w:rsid w:val="004A4450"/>
    <w:rsid w:val="004A461A"/>
    <w:rsid w:val="004A4709"/>
    <w:rsid w:val="004A4754"/>
    <w:rsid w:val="004A4787"/>
    <w:rsid w:val="004A47FC"/>
    <w:rsid w:val="004A48D0"/>
    <w:rsid w:val="004A48EC"/>
    <w:rsid w:val="004A4979"/>
    <w:rsid w:val="004A4A6B"/>
    <w:rsid w:val="004A4AFF"/>
    <w:rsid w:val="004A4B00"/>
    <w:rsid w:val="004A4B9F"/>
    <w:rsid w:val="004A4C77"/>
    <w:rsid w:val="004A4CAE"/>
    <w:rsid w:val="004A4D63"/>
    <w:rsid w:val="004A4D71"/>
    <w:rsid w:val="004A4DB3"/>
    <w:rsid w:val="004A4F91"/>
    <w:rsid w:val="004A4FC9"/>
    <w:rsid w:val="004A5070"/>
    <w:rsid w:val="004A5077"/>
    <w:rsid w:val="004A5136"/>
    <w:rsid w:val="004A51EE"/>
    <w:rsid w:val="004A5200"/>
    <w:rsid w:val="004A5223"/>
    <w:rsid w:val="004A523B"/>
    <w:rsid w:val="004A52A6"/>
    <w:rsid w:val="004A530E"/>
    <w:rsid w:val="004A5322"/>
    <w:rsid w:val="004A53F8"/>
    <w:rsid w:val="004A5439"/>
    <w:rsid w:val="004A5587"/>
    <w:rsid w:val="004A5597"/>
    <w:rsid w:val="004A562D"/>
    <w:rsid w:val="004A56E3"/>
    <w:rsid w:val="004A5779"/>
    <w:rsid w:val="004A57D5"/>
    <w:rsid w:val="004A5943"/>
    <w:rsid w:val="004A5971"/>
    <w:rsid w:val="004A59C4"/>
    <w:rsid w:val="004A5A28"/>
    <w:rsid w:val="004A5A76"/>
    <w:rsid w:val="004A5AC5"/>
    <w:rsid w:val="004A5B26"/>
    <w:rsid w:val="004A5CDC"/>
    <w:rsid w:val="004A5CF1"/>
    <w:rsid w:val="004A5E8C"/>
    <w:rsid w:val="004A5F0C"/>
    <w:rsid w:val="004A5F99"/>
    <w:rsid w:val="004A60EC"/>
    <w:rsid w:val="004A6110"/>
    <w:rsid w:val="004A6113"/>
    <w:rsid w:val="004A6119"/>
    <w:rsid w:val="004A617C"/>
    <w:rsid w:val="004A6217"/>
    <w:rsid w:val="004A6300"/>
    <w:rsid w:val="004A6398"/>
    <w:rsid w:val="004A6443"/>
    <w:rsid w:val="004A6455"/>
    <w:rsid w:val="004A64EA"/>
    <w:rsid w:val="004A6507"/>
    <w:rsid w:val="004A668C"/>
    <w:rsid w:val="004A6710"/>
    <w:rsid w:val="004A67CE"/>
    <w:rsid w:val="004A67D7"/>
    <w:rsid w:val="004A67F2"/>
    <w:rsid w:val="004A6828"/>
    <w:rsid w:val="004A6A55"/>
    <w:rsid w:val="004A6A9A"/>
    <w:rsid w:val="004A6AC7"/>
    <w:rsid w:val="004A6B00"/>
    <w:rsid w:val="004A6BA1"/>
    <w:rsid w:val="004A6BCE"/>
    <w:rsid w:val="004A6C36"/>
    <w:rsid w:val="004A6D33"/>
    <w:rsid w:val="004A6DC4"/>
    <w:rsid w:val="004A6E07"/>
    <w:rsid w:val="004A6E47"/>
    <w:rsid w:val="004A72E7"/>
    <w:rsid w:val="004A730B"/>
    <w:rsid w:val="004A736A"/>
    <w:rsid w:val="004A7478"/>
    <w:rsid w:val="004A7495"/>
    <w:rsid w:val="004A74CC"/>
    <w:rsid w:val="004A74E8"/>
    <w:rsid w:val="004A74EC"/>
    <w:rsid w:val="004A7557"/>
    <w:rsid w:val="004A76BE"/>
    <w:rsid w:val="004A7799"/>
    <w:rsid w:val="004A77EA"/>
    <w:rsid w:val="004A785E"/>
    <w:rsid w:val="004A7890"/>
    <w:rsid w:val="004A794D"/>
    <w:rsid w:val="004A798B"/>
    <w:rsid w:val="004A79C1"/>
    <w:rsid w:val="004A79C3"/>
    <w:rsid w:val="004A7A94"/>
    <w:rsid w:val="004A7AE6"/>
    <w:rsid w:val="004A7B09"/>
    <w:rsid w:val="004A7B1F"/>
    <w:rsid w:val="004A7E73"/>
    <w:rsid w:val="004A7E7D"/>
    <w:rsid w:val="004A7E92"/>
    <w:rsid w:val="004A7FD3"/>
    <w:rsid w:val="004B012C"/>
    <w:rsid w:val="004B014E"/>
    <w:rsid w:val="004B01B7"/>
    <w:rsid w:val="004B0264"/>
    <w:rsid w:val="004B04C8"/>
    <w:rsid w:val="004B04FE"/>
    <w:rsid w:val="004B0527"/>
    <w:rsid w:val="004B053E"/>
    <w:rsid w:val="004B05A0"/>
    <w:rsid w:val="004B060E"/>
    <w:rsid w:val="004B091F"/>
    <w:rsid w:val="004B0951"/>
    <w:rsid w:val="004B09CD"/>
    <w:rsid w:val="004B0A1B"/>
    <w:rsid w:val="004B0C67"/>
    <w:rsid w:val="004B0E7C"/>
    <w:rsid w:val="004B1110"/>
    <w:rsid w:val="004B1118"/>
    <w:rsid w:val="004B11CE"/>
    <w:rsid w:val="004B12B5"/>
    <w:rsid w:val="004B13DB"/>
    <w:rsid w:val="004B1411"/>
    <w:rsid w:val="004B1416"/>
    <w:rsid w:val="004B14ED"/>
    <w:rsid w:val="004B1541"/>
    <w:rsid w:val="004B1644"/>
    <w:rsid w:val="004B1677"/>
    <w:rsid w:val="004B17C6"/>
    <w:rsid w:val="004B17E8"/>
    <w:rsid w:val="004B1873"/>
    <w:rsid w:val="004B1C63"/>
    <w:rsid w:val="004B1CA9"/>
    <w:rsid w:val="004B1CF6"/>
    <w:rsid w:val="004B1F5A"/>
    <w:rsid w:val="004B1FD4"/>
    <w:rsid w:val="004B213E"/>
    <w:rsid w:val="004B21DA"/>
    <w:rsid w:val="004B2245"/>
    <w:rsid w:val="004B22E9"/>
    <w:rsid w:val="004B237C"/>
    <w:rsid w:val="004B2519"/>
    <w:rsid w:val="004B2557"/>
    <w:rsid w:val="004B274B"/>
    <w:rsid w:val="004B275F"/>
    <w:rsid w:val="004B27A8"/>
    <w:rsid w:val="004B27FD"/>
    <w:rsid w:val="004B2820"/>
    <w:rsid w:val="004B2828"/>
    <w:rsid w:val="004B287C"/>
    <w:rsid w:val="004B2A1C"/>
    <w:rsid w:val="004B2A88"/>
    <w:rsid w:val="004B2CAE"/>
    <w:rsid w:val="004B2D95"/>
    <w:rsid w:val="004B2EE0"/>
    <w:rsid w:val="004B3033"/>
    <w:rsid w:val="004B306D"/>
    <w:rsid w:val="004B3114"/>
    <w:rsid w:val="004B318C"/>
    <w:rsid w:val="004B3296"/>
    <w:rsid w:val="004B3436"/>
    <w:rsid w:val="004B357C"/>
    <w:rsid w:val="004B3657"/>
    <w:rsid w:val="004B3833"/>
    <w:rsid w:val="004B3946"/>
    <w:rsid w:val="004B394E"/>
    <w:rsid w:val="004B395E"/>
    <w:rsid w:val="004B3A19"/>
    <w:rsid w:val="004B3A82"/>
    <w:rsid w:val="004B3A9A"/>
    <w:rsid w:val="004B3AFE"/>
    <w:rsid w:val="004B3B02"/>
    <w:rsid w:val="004B3B0F"/>
    <w:rsid w:val="004B3B42"/>
    <w:rsid w:val="004B3B57"/>
    <w:rsid w:val="004B3B81"/>
    <w:rsid w:val="004B3C44"/>
    <w:rsid w:val="004B3CB1"/>
    <w:rsid w:val="004B3D9F"/>
    <w:rsid w:val="004B3DBF"/>
    <w:rsid w:val="004B3DDD"/>
    <w:rsid w:val="004B3E03"/>
    <w:rsid w:val="004B3E27"/>
    <w:rsid w:val="004B3ECE"/>
    <w:rsid w:val="004B4021"/>
    <w:rsid w:val="004B429E"/>
    <w:rsid w:val="004B4438"/>
    <w:rsid w:val="004B4457"/>
    <w:rsid w:val="004B4695"/>
    <w:rsid w:val="004B48B1"/>
    <w:rsid w:val="004B4929"/>
    <w:rsid w:val="004B494D"/>
    <w:rsid w:val="004B49F1"/>
    <w:rsid w:val="004B4A53"/>
    <w:rsid w:val="004B4CB5"/>
    <w:rsid w:val="004B4D6C"/>
    <w:rsid w:val="004B4D73"/>
    <w:rsid w:val="004B4D9E"/>
    <w:rsid w:val="004B4ED0"/>
    <w:rsid w:val="004B5094"/>
    <w:rsid w:val="004B50B2"/>
    <w:rsid w:val="004B5114"/>
    <w:rsid w:val="004B52B9"/>
    <w:rsid w:val="004B535A"/>
    <w:rsid w:val="004B5433"/>
    <w:rsid w:val="004B5558"/>
    <w:rsid w:val="004B55F0"/>
    <w:rsid w:val="004B5669"/>
    <w:rsid w:val="004B56BF"/>
    <w:rsid w:val="004B5811"/>
    <w:rsid w:val="004B5864"/>
    <w:rsid w:val="004B5865"/>
    <w:rsid w:val="004B587F"/>
    <w:rsid w:val="004B59AE"/>
    <w:rsid w:val="004B5A5A"/>
    <w:rsid w:val="004B5AFA"/>
    <w:rsid w:val="004B5B09"/>
    <w:rsid w:val="004B5B33"/>
    <w:rsid w:val="004B5CAC"/>
    <w:rsid w:val="004B5CD3"/>
    <w:rsid w:val="004B5D94"/>
    <w:rsid w:val="004B5DD4"/>
    <w:rsid w:val="004B5E26"/>
    <w:rsid w:val="004B6053"/>
    <w:rsid w:val="004B6061"/>
    <w:rsid w:val="004B61A6"/>
    <w:rsid w:val="004B61DC"/>
    <w:rsid w:val="004B61FA"/>
    <w:rsid w:val="004B63DD"/>
    <w:rsid w:val="004B64DE"/>
    <w:rsid w:val="004B64F9"/>
    <w:rsid w:val="004B651E"/>
    <w:rsid w:val="004B658F"/>
    <w:rsid w:val="004B6639"/>
    <w:rsid w:val="004B6686"/>
    <w:rsid w:val="004B670D"/>
    <w:rsid w:val="004B6924"/>
    <w:rsid w:val="004B69A3"/>
    <w:rsid w:val="004B6A0F"/>
    <w:rsid w:val="004B6ABD"/>
    <w:rsid w:val="004B6BCD"/>
    <w:rsid w:val="004B6D3B"/>
    <w:rsid w:val="004B6D45"/>
    <w:rsid w:val="004B6E03"/>
    <w:rsid w:val="004B6E8A"/>
    <w:rsid w:val="004B6EEE"/>
    <w:rsid w:val="004B6EF3"/>
    <w:rsid w:val="004B6F55"/>
    <w:rsid w:val="004B7026"/>
    <w:rsid w:val="004B7098"/>
    <w:rsid w:val="004B709A"/>
    <w:rsid w:val="004B70AE"/>
    <w:rsid w:val="004B70D1"/>
    <w:rsid w:val="004B72E0"/>
    <w:rsid w:val="004B7464"/>
    <w:rsid w:val="004B74DA"/>
    <w:rsid w:val="004B7533"/>
    <w:rsid w:val="004B77F0"/>
    <w:rsid w:val="004B788A"/>
    <w:rsid w:val="004B7933"/>
    <w:rsid w:val="004B7AB0"/>
    <w:rsid w:val="004B7B0B"/>
    <w:rsid w:val="004B7BD0"/>
    <w:rsid w:val="004B7BEE"/>
    <w:rsid w:val="004B7C19"/>
    <w:rsid w:val="004B7CD2"/>
    <w:rsid w:val="004B7D25"/>
    <w:rsid w:val="004B7D37"/>
    <w:rsid w:val="004B7D96"/>
    <w:rsid w:val="004B7DE2"/>
    <w:rsid w:val="004B7DE6"/>
    <w:rsid w:val="004B7E20"/>
    <w:rsid w:val="004B7ECF"/>
    <w:rsid w:val="004B7F13"/>
    <w:rsid w:val="004B7F7A"/>
    <w:rsid w:val="004C0038"/>
    <w:rsid w:val="004C005D"/>
    <w:rsid w:val="004C00DB"/>
    <w:rsid w:val="004C0196"/>
    <w:rsid w:val="004C01C5"/>
    <w:rsid w:val="004C01CA"/>
    <w:rsid w:val="004C01D8"/>
    <w:rsid w:val="004C030A"/>
    <w:rsid w:val="004C0412"/>
    <w:rsid w:val="004C0469"/>
    <w:rsid w:val="004C04A7"/>
    <w:rsid w:val="004C05C2"/>
    <w:rsid w:val="004C05FE"/>
    <w:rsid w:val="004C065E"/>
    <w:rsid w:val="004C07EB"/>
    <w:rsid w:val="004C088E"/>
    <w:rsid w:val="004C08FC"/>
    <w:rsid w:val="004C0909"/>
    <w:rsid w:val="004C093B"/>
    <w:rsid w:val="004C093C"/>
    <w:rsid w:val="004C0A29"/>
    <w:rsid w:val="004C0A39"/>
    <w:rsid w:val="004C0A65"/>
    <w:rsid w:val="004C0A8C"/>
    <w:rsid w:val="004C0AD7"/>
    <w:rsid w:val="004C0B42"/>
    <w:rsid w:val="004C0B73"/>
    <w:rsid w:val="004C0B92"/>
    <w:rsid w:val="004C0C95"/>
    <w:rsid w:val="004C0D30"/>
    <w:rsid w:val="004C0DEE"/>
    <w:rsid w:val="004C0E71"/>
    <w:rsid w:val="004C0E87"/>
    <w:rsid w:val="004C0EA9"/>
    <w:rsid w:val="004C0ECE"/>
    <w:rsid w:val="004C0EEC"/>
    <w:rsid w:val="004C0EFD"/>
    <w:rsid w:val="004C0F8B"/>
    <w:rsid w:val="004C100B"/>
    <w:rsid w:val="004C102C"/>
    <w:rsid w:val="004C1046"/>
    <w:rsid w:val="004C10EB"/>
    <w:rsid w:val="004C119F"/>
    <w:rsid w:val="004C11CE"/>
    <w:rsid w:val="004C1233"/>
    <w:rsid w:val="004C123D"/>
    <w:rsid w:val="004C12B5"/>
    <w:rsid w:val="004C12F3"/>
    <w:rsid w:val="004C130B"/>
    <w:rsid w:val="004C13BB"/>
    <w:rsid w:val="004C1438"/>
    <w:rsid w:val="004C152D"/>
    <w:rsid w:val="004C1531"/>
    <w:rsid w:val="004C1598"/>
    <w:rsid w:val="004C15AA"/>
    <w:rsid w:val="004C16A0"/>
    <w:rsid w:val="004C16C9"/>
    <w:rsid w:val="004C177C"/>
    <w:rsid w:val="004C182B"/>
    <w:rsid w:val="004C1943"/>
    <w:rsid w:val="004C19FA"/>
    <w:rsid w:val="004C1AB5"/>
    <w:rsid w:val="004C1AFC"/>
    <w:rsid w:val="004C1C10"/>
    <w:rsid w:val="004C1C20"/>
    <w:rsid w:val="004C1C60"/>
    <w:rsid w:val="004C1C74"/>
    <w:rsid w:val="004C1DD9"/>
    <w:rsid w:val="004C1EC7"/>
    <w:rsid w:val="004C1F41"/>
    <w:rsid w:val="004C2093"/>
    <w:rsid w:val="004C2238"/>
    <w:rsid w:val="004C2311"/>
    <w:rsid w:val="004C2391"/>
    <w:rsid w:val="004C2469"/>
    <w:rsid w:val="004C249F"/>
    <w:rsid w:val="004C24D5"/>
    <w:rsid w:val="004C2524"/>
    <w:rsid w:val="004C252C"/>
    <w:rsid w:val="004C2569"/>
    <w:rsid w:val="004C2693"/>
    <w:rsid w:val="004C27A1"/>
    <w:rsid w:val="004C2AA7"/>
    <w:rsid w:val="004C2B0D"/>
    <w:rsid w:val="004C2DBB"/>
    <w:rsid w:val="004C2DF0"/>
    <w:rsid w:val="004C2E38"/>
    <w:rsid w:val="004C2EDB"/>
    <w:rsid w:val="004C2F45"/>
    <w:rsid w:val="004C2F55"/>
    <w:rsid w:val="004C2F7C"/>
    <w:rsid w:val="004C304D"/>
    <w:rsid w:val="004C3154"/>
    <w:rsid w:val="004C3162"/>
    <w:rsid w:val="004C3351"/>
    <w:rsid w:val="004C3352"/>
    <w:rsid w:val="004C336F"/>
    <w:rsid w:val="004C3418"/>
    <w:rsid w:val="004C3440"/>
    <w:rsid w:val="004C3488"/>
    <w:rsid w:val="004C3595"/>
    <w:rsid w:val="004C359E"/>
    <w:rsid w:val="004C3668"/>
    <w:rsid w:val="004C378B"/>
    <w:rsid w:val="004C386E"/>
    <w:rsid w:val="004C38EA"/>
    <w:rsid w:val="004C39DD"/>
    <w:rsid w:val="004C39E3"/>
    <w:rsid w:val="004C3A45"/>
    <w:rsid w:val="004C3B63"/>
    <w:rsid w:val="004C3C10"/>
    <w:rsid w:val="004C3CF5"/>
    <w:rsid w:val="004C417B"/>
    <w:rsid w:val="004C41F9"/>
    <w:rsid w:val="004C445D"/>
    <w:rsid w:val="004C44A8"/>
    <w:rsid w:val="004C4530"/>
    <w:rsid w:val="004C458B"/>
    <w:rsid w:val="004C470D"/>
    <w:rsid w:val="004C475D"/>
    <w:rsid w:val="004C476E"/>
    <w:rsid w:val="004C47DB"/>
    <w:rsid w:val="004C4808"/>
    <w:rsid w:val="004C4954"/>
    <w:rsid w:val="004C4A24"/>
    <w:rsid w:val="004C4A89"/>
    <w:rsid w:val="004C4B6A"/>
    <w:rsid w:val="004C4B76"/>
    <w:rsid w:val="004C4CCE"/>
    <w:rsid w:val="004C4D3A"/>
    <w:rsid w:val="004C4D4E"/>
    <w:rsid w:val="004C4E37"/>
    <w:rsid w:val="004C4E5B"/>
    <w:rsid w:val="004C4E7B"/>
    <w:rsid w:val="004C4F4C"/>
    <w:rsid w:val="004C4F7C"/>
    <w:rsid w:val="004C4F9B"/>
    <w:rsid w:val="004C506B"/>
    <w:rsid w:val="004C5118"/>
    <w:rsid w:val="004C511F"/>
    <w:rsid w:val="004C51A2"/>
    <w:rsid w:val="004C5215"/>
    <w:rsid w:val="004C5267"/>
    <w:rsid w:val="004C528A"/>
    <w:rsid w:val="004C5290"/>
    <w:rsid w:val="004C52B3"/>
    <w:rsid w:val="004C530B"/>
    <w:rsid w:val="004C53A6"/>
    <w:rsid w:val="004C542A"/>
    <w:rsid w:val="004C545A"/>
    <w:rsid w:val="004C557A"/>
    <w:rsid w:val="004C569D"/>
    <w:rsid w:val="004C5732"/>
    <w:rsid w:val="004C5738"/>
    <w:rsid w:val="004C57C3"/>
    <w:rsid w:val="004C586A"/>
    <w:rsid w:val="004C59D9"/>
    <w:rsid w:val="004C59E1"/>
    <w:rsid w:val="004C5A8B"/>
    <w:rsid w:val="004C5ACD"/>
    <w:rsid w:val="004C5B3E"/>
    <w:rsid w:val="004C5B95"/>
    <w:rsid w:val="004C5B9C"/>
    <w:rsid w:val="004C5BB8"/>
    <w:rsid w:val="004C5BBB"/>
    <w:rsid w:val="004C5C0E"/>
    <w:rsid w:val="004C5C1C"/>
    <w:rsid w:val="004C5DFE"/>
    <w:rsid w:val="004C5F13"/>
    <w:rsid w:val="004C5F3A"/>
    <w:rsid w:val="004C6017"/>
    <w:rsid w:val="004C6181"/>
    <w:rsid w:val="004C61CF"/>
    <w:rsid w:val="004C62D1"/>
    <w:rsid w:val="004C630D"/>
    <w:rsid w:val="004C6333"/>
    <w:rsid w:val="004C63A1"/>
    <w:rsid w:val="004C63B4"/>
    <w:rsid w:val="004C64AC"/>
    <w:rsid w:val="004C64BE"/>
    <w:rsid w:val="004C65C7"/>
    <w:rsid w:val="004C6688"/>
    <w:rsid w:val="004C66B4"/>
    <w:rsid w:val="004C6971"/>
    <w:rsid w:val="004C698F"/>
    <w:rsid w:val="004C6B10"/>
    <w:rsid w:val="004C6B17"/>
    <w:rsid w:val="004C6B78"/>
    <w:rsid w:val="004C6C66"/>
    <w:rsid w:val="004C6CBA"/>
    <w:rsid w:val="004C6D69"/>
    <w:rsid w:val="004C6DE9"/>
    <w:rsid w:val="004C6F6F"/>
    <w:rsid w:val="004C6F9F"/>
    <w:rsid w:val="004C6FA1"/>
    <w:rsid w:val="004C6FAD"/>
    <w:rsid w:val="004C6FCC"/>
    <w:rsid w:val="004C706F"/>
    <w:rsid w:val="004C7139"/>
    <w:rsid w:val="004C7177"/>
    <w:rsid w:val="004C71C6"/>
    <w:rsid w:val="004C73A8"/>
    <w:rsid w:val="004C73A9"/>
    <w:rsid w:val="004C73B2"/>
    <w:rsid w:val="004C73FD"/>
    <w:rsid w:val="004C7516"/>
    <w:rsid w:val="004C7583"/>
    <w:rsid w:val="004C77A4"/>
    <w:rsid w:val="004C7804"/>
    <w:rsid w:val="004C7871"/>
    <w:rsid w:val="004C793D"/>
    <w:rsid w:val="004C79C0"/>
    <w:rsid w:val="004C79E4"/>
    <w:rsid w:val="004C7A3D"/>
    <w:rsid w:val="004C7C03"/>
    <w:rsid w:val="004C7D2C"/>
    <w:rsid w:val="004C7D45"/>
    <w:rsid w:val="004C7D57"/>
    <w:rsid w:val="004C7E3A"/>
    <w:rsid w:val="004C7ECE"/>
    <w:rsid w:val="004D0041"/>
    <w:rsid w:val="004D014B"/>
    <w:rsid w:val="004D0166"/>
    <w:rsid w:val="004D0169"/>
    <w:rsid w:val="004D01AD"/>
    <w:rsid w:val="004D0221"/>
    <w:rsid w:val="004D039F"/>
    <w:rsid w:val="004D03AC"/>
    <w:rsid w:val="004D03D8"/>
    <w:rsid w:val="004D044E"/>
    <w:rsid w:val="004D046D"/>
    <w:rsid w:val="004D04CC"/>
    <w:rsid w:val="004D068F"/>
    <w:rsid w:val="004D06B0"/>
    <w:rsid w:val="004D0708"/>
    <w:rsid w:val="004D0841"/>
    <w:rsid w:val="004D08B0"/>
    <w:rsid w:val="004D099F"/>
    <w:rsid w:val="004D09F9"/>
    <w:rsid w:val="004D0A90"/>
    <w:rsid w:val="004D0AA1"/>
    <w:rsid w:val="004D0B43"/>
    <w:rsid w:val="004D0BC6"/>
    <w:rsid w:val="004D0CEF"/>
    <w:rsid w:val="004D0DDC"/>
    <w:rsid w:val="004D0E26"/>
    <w:rsid w:val="004D0E80"/>
    <w:rsid w:val="004D0EA4"/>
    <w:rsid w:val="004D0EC6"/>
    <w:rsid w:val="004D0F2C"/>
    <w:rsid w:val="004D0FAA"/>
    <w:rsid w:val="004D1085"/>
    <w:rsid w:val="004D10CD"/>
    <w:rsid w:val="004D10D0"/>
    <w:rsid w:val="004D10D4"/>
    <w:rsid w:val="004D1132"/>
    <w:rsid w:val="004D11CF"/>
    <w:rsid w:val="004D133A"/>
    <w:rsid w:val="004D1375"/>
    <w:rsid w:val="004D1404"/>
    <w:rsid w:val="004D14CC"/>
    <w:rsid w:val="004D1531"/>
    <w:rsid w:val="004D161A"/>
    <w:rsid w:val="004D16A5"/>
    <w:rsid w:val="004D17DD"/>
    <w:rsid w:val="004D1842"/>
    <w:rsid w:val="004D188D"/>
    <w:rsid w:val="004D199D"/>
    <w:rsid w:val="004D1A3A"/>
    <w:rsid w:val="004D1A4D"/>
    <w:rsid w:val="004D1AF2"/>
    <w:rsid w:val="004D1C0A"/>
    <w:rsid w:val="004D1D76"/>
    <w:rsid w:val="004D1E89"/>
    <w:rsid w:val="004D1ECE"/>
    <w:rsid w:val="004D1F79"/>
    <w:rsid w:val="004D1FBD"/>
    <w:rsid w:val="004D230E"/>
    <w:rsid w:val="004D236A"/>
    <w:rsid w:val="004D24C9"/>
    <w:rsid w:val="004D2640"/>
    <w:rsid w:val="004D26DC"/>
    <w:rsid w:val="004D26FE"/>
    <w:rsid w:val="004D2731"/>
    <w:rsid w:val="004D2C63"/>
    <w:rsid w:val="004D2CA2"/>
    <w:rsid w:val="004D2CB2"/>
    <w:rsid w:val="004D2DB9"/>
    <w:rsid w:val="004D2E79"/>
    <w:rsid w:val="004D2F5E"/>
    <w:rsid w:val="004D30C4"/>
    <w:rsid w:val="004D3181"/>
    <w:rsid w:val="004D319C"/>
    <w:rsid w:val="004D3294"/>
    <w:rsid w:val="004D3476"/>
    <w:rsid w:val="004D3534"/>
    <w:rsid w:val="004D3544"/>
    <w:rsid w:val="004D36BC"/>
    <w:rsid w:val="004D3787"/>
    <w:rsid w:val="004D3B6A"/>
    <w:rsid w:val="004D3B99"/>
    <w:rsid w:val="004D3BA6"/>
    <w:rsid w:val="004D3CDC"/>
    <w:rsid w:val="004D3D00"/>
    <w:rsid w:val="004D3DAA"/>
    <w:rsid w:val="004D3E25"/>
    <w:rsid w:val="004D3E97"/>
    <w:rsid w:val="004D3EAF"/>
    <w:rsid w:val="004D3F5C"/>
    <w:rsid w:val="004D3F90"/>
    <w:rsid w:val="004D405A"/>
    <w:rsid w:val="004D40DE"/>
    <w:rsid w:val="004D4162"/>
    <w:rsid w:val="004D41AB"/>
    <w:rsid w:val="004D42A5"/>
    <w:rsid w:val="004D42B7"/>
    <w:rsid w:val="004D43AE"/>
    <w:rsid w:val="004D4497"/>
    <w:rsid w:val="004D44C4"/>
    <w:rsid w:val="004D4547"/>
    <w:rsid w:val="004D45F4"/>
    <w:rsid w:val="004D4682"/>
    <w:rsid w:val="004D4858"/>
    <w:rsid w:val="004D494F"/>
    <w:rsid w:val="004D49CB"/>
    <w:rsid w:val="004D4A42"/>
    <w:rsid w:val="004D4AE4"/>
    <w:rsid w:val="004D4B21"/>
    <w:rsid w:val="004D4D42"/>
    <w:rsid w:val="004D4DE2"/>
    <w:rsid w:val="004D4E3C"/>
    <w:rsid w:val="004D4E83"/>
    <w:rsid w:val="004D4EBC"/>
    <w:rsid w:val="004D4FE4"/>
    <w:rsid w:val="004D50BB"/>
    <w:rsid w:val="004D51ED"/>
    <w:rsid w:val="004D526D"/>
    <w:rsid w:val="004D52C8"/>
    <w:rsid w:val="004D5318"/>
    <w:rsid w:val="004D532F"/>
    <w:rsid w:val="004D5394"/>
    <w:rsid w:val="004D53EC"/>
    <w:rsid w:val="004D5508"/>
    <w:rsid w:val="004D557B"/>
    <w:rsid w:val="004D55B2"/>
    <w:rsid w:val="004D566B"/>
    <w:rsid w:val="004D5756"/>
    <w:rsid w:val="004D5885"/>
    <w:rsid w:val="004D58A2"/>
    <w:rsid w:val="004D596C"/>
    <w:rsid w:val="004D597A"/>
    <w:rsid w:val="004D59E9"/>
    <w:rsid w:val="004D5ACE"/>
    <w:rsid w:val="004D5B86"/>
    <w:rsid w:val="004D5BE8"/>
    <w:rsid w:val="004D5C8D"/>
    <w:rsid w:val="004D5C93"/>
    <w:rsid w:val="004D5CE9"/>
    <w:rsid w:val="004D5D4D"/>
    <w:rsid w:val="004D5DA3"/>
    <w:rsid w:val="004D5DE8"/>
    <w:rsid w:val="004D5E73"/>
    <w:rsid w:val="004D5EDB"/>
    <w:rsid w:val="004D5F83"/>
    <w:rsid w:val="004D5FDB"/>
    <w:rsid w:val="004D6075"/>
    <w:rsid w:val="004D6082"/>
    <w:rsid w:val="004D60F7"/>
    <w:rsid w:val="004D6120"/>
    <w:rsid w:val="004D6155"/>
    <w:rsid w:val="004D61D2"/>
    <w:rsid w:val="004D62EE"/>
    <w:rsid w:val="004D6385"/>
    <w:rsid w:val="004D63E6"/>
    <w:rsid w:val="004D6450"/>
    <w:rsid w:val="004D64A1"/>
    <w:rsid w:val="004D653C"/>
    <w:rsid w:val="004D65DC"/>
    <w:rsid w:val="004D67A2"/>
    <w:rsid w:val="004D68AC"/>
    <w:rsid w:val="004D68FC"/>
    <w:rsid w:val="004D6901"/>
    <w:rsid w:val="004D6995"/>
    <w:rsid w:val="004D6B99"/>
    <w:rsid w:val="004D6CD1"/>
    <w:rsid w:val="004D6D8E"/>
    <w:rsid w:val="004D6DB1"/>
    <w:rsid w:val="004D6E83"/>
    <w:rsid w:val="004D6F09"/>
    <w:rsid w:val="004D6F30"/>
    <w:rsid w:val="004D6F4C"/>
    <w:rsid w:val="004D6FFE"/>
    <w:rsid w:val="004D701A"/>
    <w:rsid w:val="004D707A"/>
    <w:rsid w:val="004D7132"/>
    <w:rsid w:val="004D7168"/>
    <w:rsid w:val="004D72C7"/>
    <w:rsid w:val="004D72CC"/>
    <w:rsid w:val="004D753B"/>
    <w:rsid w:val="004D755D"/>
    <w:rsid w:val="004D7569"/>
    <w:rsid w:val="004D75A1"/>
    <w:rsid w:val="004D75D6"/>
    <w:rsid w:val="004D7673"/>
    <w:rsid w:val="004D76A6"/>
    <w:rsid w:val="004D76C5"/>
    <w:rsid w:val="004D7813"/>
    <w:rsid w:val="004D7828"/>
    <w:rsid w:val="004D793D"/>
    <w:rsid w:val="004D79EF"/>
    <w:rsid w:val="004D7A22"/>
    <w:rsid w:val="004D7A58"/>
    <w:rsid w:val="004D7AF0"/>
    <w:rsid w:val="004D7BCF"/>
    <w:rsid w:val="004D7C39"/>
    <w:rsid w:val="004D7E4D"/>
    <w:rsid w:val="004D7ECC"/>
    <w:rsid w:val="004D7F42"/>
    <w:rsid w:val="004E00A4"/>
    <w:rsid w:val="004E00A8"/>
    <w:rsid w:val="004E00F6"/>
    <w:rsid w:val="004E00FC"/>
    <w:rsid w:val="004E0346"/>
    <w:rsid w:val="004E0378"/>
    <w:rsid w:val="004E059F"/>
    <w:rsid w:val="004E05BD"/>
    <w:rsid w:val="004E0620"/>
    <w:rsid w:val="004E077B"/>
    <w:rsid w:val="004E077E"/>
    <w:rsid w:val="004E07B9"/>
    <w:rsid w:val="004E07C6"/>
    <w:rsid w:val="004E07FA"/>
    <w:rsid w:val="004E081E"/>
    <w:rsid w:val="004E0860"/>
    <w:rsid w:val="004E08DE"/>
    <w:rsid w:val="004E0946"/>
    <w:rsid w:val="004E09D3"/>
    <w:rsid w:val="004E0A60"/>
    <w:rsid w:val="004E0A7B"/>
    <w:rsid w:val="004E0A9B"/>
    <w:rsid w:val="004E0AC2"/>
    <w:rsid w:val="004E0AE7"/>
    <w:rsid w:val="004E0C16"/>
    <w:rsid w:val="004E0C62"/>
    <w:rsid w:val="004E0D35"/>
    <w:rsid w:val="004E0FA8"/>
    <w:rsid w:val="004E1032"/>
    <w:rsid w:val="004E109C"/>
    <w:rsid w:val="004E1138"/>
    <w:rsid w:val="004E1161"/>
    <w:rsid w:val="004E1271"/>
    <w:rsid w:val="004E12DC"/>
    <w:rsid w:val="004E13E1"/>
    <w:rsid w:val="004E1400"/>
    <w:rsid w:val="004E151F"/>
    <w:rsid w:val="004E1521"/>
    <w:rsid w:val="004E153E"/>
    <w:rsid w:val="004E15F3"/>
    <w:rsid w:val="004E1629"/>
    <w:rsid w:val="004E169D"/>
    <w:rsid w:val="004E1756"/>
    <w:rsid w:val="004E17F7"/>
    <w:rsid w:val="004E180F"/>
    <w:rsid w:val="004E1830"/>
    <w:rsid w:val="004E18A2"/>
    <w:rsid w:val="004E18AD"/>
    <w:rsid w:val="004E1A0B"/>
    <w:rsid w:val="004E1A39"/>
    <w:rsid w:val="004E1A47"/>
    <w:rsid w:val="004E1A56"/>
    <w:rsid w:val="004E1A66"/>
    <w:rsid w:val="004E1B1C"/>
    <w:rsid w:val="004E1C96"/>
    <w:rsid w:val="004E1CDC"/>
    <w:rsid w:val="004E1D66"/>
    <w:rsid w:val="004E1D7B"/>
    <w:rsid w:val="004E1F3F"/>
    <w:rsid w:val="004E200B"/>
    <w:rsid w:val="004E2082"/>
    <w:rsid w:val="004E208D"/>
    <w:rsid w:val="004E20C1"/>
    <w:rsid w:val="004E21C2"/>
    <w:rsid w:val="004E22C6"/>
    <w:rsid w:val="004E2396"/>
    <w:rsid w:val="004E2412"/>
    <w:rsid w:val="004E2413"/>
    <w:rsid w:val="004E2466"/>
    <w:rsid w:val="004E2590"/>
    <w:rsid w:val="004E25F0"/>
    <w:rsid w:val="004E271A"/>
    <w:rsid w:val="004E27A9"/>
    <w:rsid w:val="004E27D3"/>
    <w:rsid w:val="004E2824"/>
    <w:rsid w:val="004E2853"/>
    <w:rsid w:val="004E2A5D"/>
    <w:rsid w:val="004E2AD6"/>
    <w:rsid w:val="004E2AEA"/>
    <w:rsid w:val="004E2B27"/>
    <w:rsid w:val="004E2B3D"/>
    <w:rsid w:val="004E2C7F"/>
    <w:rsid w:val="004E2CD4"/>
    <w:rsid w:val="004E2CF2"/>
    <w:rsid w:val="004E2D5B"/>
    <w:rsid w:val="004E2DEA"/>
    <w:rsid w:val="004E2E67"/>
    <w:rsid w:val="004E2F25"/>
    <w:rsid w:val="004E2F29"/>
    <w:rsid w:val="004E2F4C"/>
    <w:rsid w:val="004E2F76"/>
    <w:rsid w:val="004E3071"/>
    <w:rsid w:val="004E3105"/>
    <w:rsid w:val="004E317A"/>
    <w:rsid w:val="004E3185"/>
    <w:rsid w:val="004E3323"/>
    <w:rsid w:val="004E332A"/>
    <w:rsid w:val="004E334F"/>
    <w:rsid w:val="004E3455"/>
    <w:rsid w:val="004E34CC"/>
    <w:rsid w:val="004E3549"/>
    <w:rsid w:val="004E3553"/>
    <w:rsid w:val="004E35E4"/>
    <w:rsid w:val="004E3675"/>
    <w:rsid w:val="004E36F0"/>
    <w:rsid w:val="004E3727"/>
    <w:rsid w:val="004E3730"/>
    <w:rsid w:val="004E3836"/>
    <w:rsid w:val="004E38B2"/>
    <w:rsid w:val="004E399A"/>
    <w:rsid w:val="004E39A4"/>
    <w:rsid w:val="004E3A86"/>
    <w:rsid w:val="004E3A9A"/>
    <w:rsid w:val="004E3B6F"/>
    <w:rsid w:val="004E3B92"/>
    <w:rsid w:val="004E3B9A"/>
    <w:rsid w:val="004E3C86"/>
    <w:rsid w:val="004E3D3F"/>
    <w:rsid w:val="004E3FF2"/>
    <w:rsid w:val="004E40E1"/>
    <w:rsid w:val="004E4111"/>
    <w:rsid w:val="004E42B7"/>
    <w:rsid w:val="004E4387"/>
    <w:rsid w:val="004E43C0"/>
    <w:rsid w:val="004E463B"/>
    <w:rsid w:val="004E4691"/>
    <w:rsid w:val="004E46DE"/>
    <w:rsid w:val="004E4750"/>
    <w:rsid w:val="004E48C5"/>
    <w:rsid w:val="004E49C4"/>
    <w:rsid w:val="004E4BC7"/>
    <w:rsid w:val="004E4C4B"/>
    <w:rsid w:val="004E4D6E"/>
    <w:rsid w:val="004E4E9A"/>
    <w:rsid w:val="004E4EEC"/>
    <w:rsid w:val="004E4FB0"/>
    <w:rsid w:val="004E5155"/>
    <w:rsid w:val="004E51A0"/>
    <w:rsid w:val="004E528D"/>
    <w:rsid w:val="004E5326"/>
    <w:rsid w:val="004E537E"/>
    <w:rsid w:val="004E5565"/>
    <w:rsid w:val="004E55F6"/>
    <w:rsid w:val="004E5637"/>
    <w:rsid w:val="004E5638"/>
    <w:rsid w:val="004E5668"/>
    <w:rsid w:val="004E56B4"/>
    <w:rsid w:val="004E56DA"/>
    <w:rsid w:val="004E5705"/>
    <w:rsid w:val="004E572D"/>
    <w:rsid w:val="004E5896"/>
    <w:rsid w:val="004E58A5"/>
    <w:rsid w:val="004E5A04"/>
    <w:rsid w:val="004E5A25"/>
    <w:rsid w:val="004E5B4B"/>
    <w:rsid w:val="004E5C15"/>
    <w:rsid w:val="004E5CBC"/>
    <w:rsid w:val="004E5CFE"/>
    <w:rsid w:val="004E5EB3"/>
    <w:rsid w:val="004E6001"/>
    <w:rsid w:val="004E60A8"/>
    <w:rsid w:val="004E61C3"/>
    <w:rsid w:val="004E61F9"/>
    <w:rsid w:val="004E6252"/>
    <w:rsid w:val="004E62A1"/>
    <w:rsid w:val="004E63B5"/>
    <w:rsid w:val="004E6499"/>
    <w:rsid w:val="004E663F"/>
    <w:rsid w:val="004E6774"/>
    <w:rsid w:val="004E682F"/>
    <w:rsid w:val="004E6833"/>
    <w:rsid w:val="004E68AE"/>
    <w:rsid w:val="004E6A0D"/>
    <w:rsid w:val="004E6A27"/>
    <w:rsid w:val="004E6AEE"/>
    <w:rsid w:val="004E6C07"/>
    <w:rsid w:val="004E6CEF"/>
    <w:rsid w:val="004E6CF5"/>
    <w:rsid w:val="004E6E4B"/>
    <w:rsid w:val="004E6E8D"/>
    <w:rsid w:val="004E6F56"/>
    <w:rsid w:val="004E70AA"/>
    <w:rsid w:val="004E718D"/>
    <w:rsid w:val="004E71FF"/>
    <w:rsid w:val="004E72E9"/>
    <w:rsid w:val="004E73D3"/>
    <w:rsid w:val="004E73E1"/>
    <w:rsid w:val="004E73F5"/>
    <w:rsid w:val="004E7423"/>
    <w:rsid w:val="004E7482"/>
    <w:rsid w:val="004E7486"/>
    <w:rsid w:val="004E7622"/>
    <w:rsid w:val="004E7667"/>
    <w:rsid w:val="004E7684"/>
    <w:rsid w:val="004E76F7"/>
    <w:rsid w:val="004E779D"/>
    <w:rsid w:val="004E77C7"/>
    <w:rsid w:val="004E7821"/>
    <w:rsid w:val="004E7879"/>
    <w:rsid w:val="004E78B3"/>
    <w:rsid w:val="004E7913"/>
    <w:rsid w:val="004E791B"/>
    <w:rsid w:val="004E7948"/>
    <w:rsid w:val="004E799C"/>
    <w:rsid w:val="004E7A66"/>
    <w:rsid w:val="004E7B40"/>
    <w:rsid w:val="004E7B4E"/>
    <w:rsid w:val="004E7BDE"/>
    <w:rsid w:val="004E7C2F"/>
    <w:rsid w:val="004E7DC2"/>
    <w:rsid w:val="004E7E36"/>
    <w:rsid w:val="004E7ED5"/>
    <w:rsid w:val="004E7EDB"/>
    <w:rsid w:val="004E7F06"/>
    <w:rsid w:val="004F006D"/>
    <w:rsid w:val="004F0125"/>
    <w:rsid w:val="004F0323"/>
    <w:rsid w:val="004F049A"/>
    <w:rsid w:val="004F071D"/>
    <w:rsid w:val="004F072D"/>
    <w:rsid w:val="004F074D"/>
    <w:rsid w:val="004F07E6"/>
    <w:rsid w:val="004F0875"/>
    <w:rsid w:val="004F087D"/>
    <w:rsid w:val="004F08A8"/>
    <w:rsid w:val="004F091D"/>
    <w:rsid w:val="004F0AF0"/>
    <w:rsid w:val="004F0B3C"/>
    <w:rsid w:val="004F0C1A"/>
    <w:rsid w:val="004F0D74"/>
    <w:rsid w:val="004F0DA5"/>
    <w:rsid w:val="004F0DC1"/>
    <w:rsid w:val="004F0E2E"/>
    <w:rsid w:val="004F0E6D"/>
    <w:rsid w:val="004F0FC5"/>
    <w:rsid w:val="004F10ED"/>
    <w:rsid w:val="004F116A"/>
    <w:rsid w:val="004F11EC"/>
    <w:rsid w:val="004F1259"/>
    <w:rsid w:val="004F1283"/>
    <w:rsid w:val="004F1332"/>
    <w:rsid w:val="004F15D7"/>
    <w:rsid w:val="004F1681"/>
    <w:rsid w:val="004F1720"/>
    <w:rsid w:val="004F174C"/>
    <w:rsid w:val="004F1760"/>
    <w:rsid w:val="004F179D"/>
    <w:rsid w:val="004F1A6E"/>
    <w:rsid w:val="004F1CE8"/>
    <w:rsid w:val="004F1E9C"/>
    <w:rsid w:val="004F1F95"/>
    <w:rsid w:val="004F2023"/>
    <w:rsid w:val="004F20E3"/>
    <w:rsid w:val="004F226C"/>
    <w:rsid w:val="004F2317"/>
    <w:rsid w:val="004F2318"/>
    <w:rsid w:val="004F233B"/>
    <w:rsid w:val="004F2377"/>
    <w:rsid w:val="004F2426"/>
    <w:rsid w:val="004F248A"/>
    <w:rsid w:val="004F24CD"/>
    <w:rsid w:val="004F2534"/>
    <w:rsid w:val="004F253A"/>
    <w:rsid w:val="004F2631"/>
    <w:rsid w:val="004F2687"/>
    <w:rsid w:val="004F27EE"/>
    <w:rsid w:val="004F283C"/>
    <w:rsid w:val="004F285B"/>
    <w:rsid w:val="004F2A18"/>
    <w:rsid w:val="004F2A6D"/>
    <w:rsid w:val="004F2B63"/>
    <w:rsid w:val="004F2B66"/>
    <w:rsid w:val="004F2BAC"/>
    <w:rsid w:val="004F2C2D"/>
    <w:rsid w:val="004F2C9F"/>
    <w:rsid w:val="004F2CE6"/>
    <w:rsid w:val="004F2D1C"/>
    <w:rsid w:val="004F2DA6"/>
    <w:rsid w:val="004F2F2B"/>
    <w:rsid w:val="004F2F82"/>
    <w:rsid w:val="004F3064"/>
    <w:rsid w:val="004F308B"/>
    <w:rsid w:val="004F3138"/>
    <w:rsid w:val="004F31D1"/>
    <w:rsid w:val="004F3327"/>
    <w:rsid w:val="004F3354"/>
    <w:rsid w:val="004F3585"/>
    <w:rsid w:val="004F3595"/>
    <w:rsid w:val="004F35A6"/>
    <w:rsid w:val="004F35C8"/>
    <w:rsid w:val="004F3617"/>
    <w:rsid w:val="004F3626"/>
    <w:rsid w:val="004F3683"/>
    <w:rsid w:val="004F377E"/>
    <w:rsid w:val="004F384B"/>
    <w:rsid w:val="004F385F"/>
    <w:rsid w:val="004F38B7"/>
    <w:rsid w:val="004F39E0"/>
    <w:rsid w:val="004F3AAD"/>
    <w:rsid w:val="004F3C2A"/>
    <w:rsid w:val="004F3C85"/>
    <w:rsid w:val="004F3D84"/>
    <w:rsid w:val="004F3E5D"/>
    <w:rsid w:val="004F3F1F"/>
    <w:rsid w:val="004F3F8B"/>
    <w:rsid w:val="004F3FC0"/>
    <w:rsid w:val="004F3FF8"/>
    <w:rsid w:val="004F40FA"/>
    <w:rsid w:val="004F4143"/>
    <w:rsid w:val="004F41A9"/>
    <w:rsid w:val="004F422F"/>
    <w:rsid w:val="004F4269"/>
    <w:rsid w:val="004F42B3"/>
    <w:rsid w:val="004F42FC"/>
    <w:rsid w:val="004F4374"/>
    <w:rsid w:val="004F451D"/>
    <w:rsid w:val="004F45D2"/>
    <w:rsid w:val="004F4647"/>
    <w:rsid w:val="004F46FD"/>
    <w:rsid w:val="004F4797"/>
    <w:rsid w:val="004F48ED"/>
    <w:rsid w:val="004F48F8"/>
    <w:rsid w:val="004F4A0D"/>
    <w:rsid w:val="004F4A3D"/>
    <w:rsid w:val="004F4B50"/>
    <w:rsid w:val="004F4C2B"/>
    <w:rsid w:val="004F4C42"/>
    <w:rsid w:val="004F4D17"/>
    <w:rsid w:val="004F4F1C"/>
    <w:rsid w:val="004F4F3C"/>
    <w:rsid w:val="004F4F8B"/>
    <w:rsid w:val="004F4F9B"/>
    <w:rsid w:val="004F50AF"/>
    <w:rsid w:val="004F50D9"/>
    <w:rsid w:val="004F5124"/>
    <w:rsid w:val="004F5164"/>
    <w:rsid w:val="004F51CC"/>
    <w:rsid w:val="004F5226"/>
    <w:rsid w:val="004F523D"/>
    <w:rsid w:val="004F52AF"/>
    <w:rsid w:val="004F52C0"/>
    <w:rsid w:val="004F5353"/>
    <w:rsid w:val="004F537E"/>
    <w:rsid w:val="004F54B7"/>
    <w:rsid w:val="004F5595"/>
    <w:rsid w:val="004F5601"/>
    <w:rsid w:val="004F575F"/>
    <w:rsid w:val="004F5781"/>
    <w:rsid w:val="004F5960"/>
    <w:rsid w:val="004F5BA8"/>
    <w:rsid w:val="004F5C6C"/>
    <w:rsid w:val="004F5CA1"/>
    <w:rsid w:val="004F5E0F"/>
    <w:rsid w:val="004F5E52"/>
    <w:rsid w:val="004F5ED3"/>
    <w:rsid w:val="004F5FF7"/>
    <w:rsid w:val="004F6094"/>
    <w:rsid w:val="004F612E"/>
    <w:rsid w:val="004F6187"/>
    <w:rsid w:val="004F61FE"/>
    <w:rsid w:val="004F6211"/>
    <w:rsid w:val="004F62A6"/>
    <w:rsid w:val="004F62D1"/>
    <w:rsid w:val="004F62E9"/>
    <w:rsid w:val="004F6433"/>
    <w:rsid w:val="004F64AA"/>
    <w:rsid w:val="004F6522"/>
    <w:rsid w:val="004F6545"/>
    <w:rsid w:val="004F654F"/>
    <w:rsid w:val="004F65D1"/>
    <w:rsid w:val="004F660C"/>
    <w:rsid w:val="004F664B"/>
    <w:rsid w:val="004F6690"/>
    <w:rsid w:val="004F6797"/>
    <w:rsid w:val="004F679A"/>
    <w:rsid w:val="004F67B5"/>
    <w:rsid w:val="004F68F2"/>
    <w:rsid w:val="004F68F3"/>
    <w:rsid w:val="004F690F"/>
    <w:rsid w:val="004F6961"/>
    <w:rsid w:val="004F699D"/>
    <w:rsid w:val="004F6B0D"/>
    <w:rsid w:val="004F6B1E"/>
    <w:rsid w:val="004F6B63"/>
    <w:rsid w:val="004F6C3E"/>
    <w:rsid w:val="004F6C79"/>
    <w:rsid w:val="004F6C7B"/>
    <w:rsid w:val="004F6CFC"/>
    <w:rsid w:val="004F6E57"/>
    <w:rsid w:val="004F6EB6"/>
    <w:rsid w:val="004F6F17"/>
    <w:rsid w:val="004F6F42"/>
    <w:rsid w:val="004F70FA"/>
    <w:rsid w:val="004F711E"/>
    <w:rsid w:val="004F7152"/>
    <w:rsid w:val="004F719C"/>
    <w:rsid w:val="004F72CE"/>
    <w:rsid w:val="004F730B"/>
    <w:rsid w:val="004F731C"/>
    <w:rsid w:val="004F734D"/>
    <w:rsid w:val="004F7376"/>
    <w:rsid w:val="004F73F5"/>
    <w:rsid w:val="004F7479"/>
    <w:rsid w:val="004F7568"/>
    <w:rsid w:val="004F75E0"/>
    <w:rsid w:val="004F75E7"/>
    <w:rsid w:val="004F7641"/>
    <w:rsid w:val="004F76D4"/>
    <w:rsid w:val="004F76F7"/>
    <w:rsid w:val="004F78F8"/>
    <w:rsid w:val="004F79A9"/>
    <w:rsid w:val="004F7BFF"/>
    <w:rsid w:val="004F7C6C"/>
    <w:rsid w:val="004F7C95"/>
    <w:rsid w:val="004F7DED"/>
    <w:rsid w:val="004F7DFC"/>
    <w:rsid w:val="004F7E63"/>
    <w:rsid w:val="004F7EFE"/>
    <w:rsid w:val="004F7F4A"/>
    <w:rsid w:val="004F7FE7"/>
    <w:rsid w:val="0050008B"/>
    <w:rsid w:val="0050009B"/>
    <w:rsid w:val="005000F8"/>
    <w:rsid w:val="005001DB"/>
    <w:rsid w:val="0050026B"/>
    <w:rsid w:val="00500321"/>
    <w:rsid w:val="00500447"/>
    <w:rsid w:val="0050050F"/>
    <w:rsid w:val="0050052A"/>
    <w:rsid w:val="005005AE"/>
    <w:rsid w:val="0050061F"/>
    <w:rsid w:val="00500624"/>
    <w:rsid w:val="0050068F"/>
    <w:rsid w:val="00500760"/>
    <w:rsid w:val="0050078E"/>
    <w:rsid w:val="005007E3"/>
    <w:rsid w:val="005007EA"/>
    <w:rsid w:val="005008D3"/>
    <w:rsid w:val="00500922"/>
    <w:rsid w:val="00500951"/>
    <w:rsid w:val="00500A31"/>
    <w:rsid w:val="00500A3F"/>
    <w:rsid w:val="00500A8C"/>
    <w:rsid w:val="00500AA2"/>
    <w:rsid w:val="00500B26"/>
    <w:rsid w:val="00500D1D"/>
    <w:rsid w:val="00500D3B"/>
    <w:rsid w:val="00500E2E"/>
    <w:rsid w:val="0050111F"/>
    <w:rsid w:val="00501149"/>
    <w:rsid w:val="00501228"/>
    <w:rsid w:val="00501493"/>
    <w:rsid w:val="005014CB"/>
    <w:rsid w:val="0050151E"/>
    <w:rsid w:val="0050153E"/>
    <w:rsid w:val="00501545"/>
    <w:rsid w:val="00501718"/>
    <w:rsid w:val="00501778"/>
    <w:rsid w:val="0050188B"/>
    <w:rsid w:val="005018B0"/>
    <w:rsid w:val="00501908"/>
    <w:rsid w:val="005019D5"/>
    <w:rsid w:val="00501A06"/>
    <w:rsid w:val="00501A69"/>
    <w:rsid w:val="00501B38"/>
    <w:rsid w:val="00501BBA"/>
    <w:rsid w:val="00501D2D"/>
    <w:rsid w:val="00501EE8"/>
    <w:rsid w:val="0050206E"/>
    <w:rsid w:val="00502318"/>
    <w:rsid w:val="005024E7"/>
    <w:rsid w:val="00502725"/>
    <w:rsid w:val="0050281B"/>
    <w:rsid w:val="00502847"/>
    <w:rsid w:val="00502867"/>
    <w:rsid w:val="0050299F"/>
    <w:rsid w:val="005029D7"/>
    <w:rsid w:val="00502A81"/>
    <w:rsid w:val="00502A93"/>
    <w:rsid w:val="00502B61"/>
    <w:rsid w:val="00502B8F"/>
    <w:rsid w:val="00502C16"/>
    <w:rsid w:val="00502CF5"/>
    <w:rsid w:val="00502D37"/>
    <w:rsid w:val="00502D5F"/>
    <w:rsid w:val="005030D1"/>
    <w:rsid w:val="005030E5"/>
    <w:rsid w:val="0050310D"/>
    <w:rsid w:val="0050323F"/>
    <w:rsid w:val="005032D7"/>
    <w:rsid w:val="005032F8"/>
    <w:rsid w:val="00503392"/>
    <w:rsid w:val="00503456"/>
    <w:rsid w:val="0050347D"/>
    <w:rsid w:val="00503541"/>
    <w:rsid w:val="0050357E"/>
    <w:rsid w:val="005035AE"/>
    <w:rsid w:val="005035CE"/>
    <w:rsid w:val="005035E4"/>
    <w:rsid w:val="005036B5"/>
    <w:rsid w:val="005036F6"/>
    <w:rsid w:val="00503823"/>
    <w:rsid w:val="00503874"/>
    <w:rsid w:val="0050392F"/>
    <w:rsid w:val="00503A2C"/>
    <w:rsid w:val="00503A30"/>
    <w:rsid w:val="00503B2D"/>
    <w:rsid w:val="00503B55"/>
    <w:rsid w:val="00503B5C"/>
    <w:rsid w:val="00503BA5"/>
    <w:rsid w:val="00503D0D"/>
    <w:rsid w:val="00503D8B"/>
    <w:rsid w:val="00503D90"/>
    <w:rsid w:val="00503EDA"/>
    <w:rsid w:val="00503F05"/>
    <w:rsid w:val="00503F0C"/>
    <w:rsid w:val="00503F5C"/>
    <w:rsid w:val="00503F67"/>
    <w:rsid w:val="005040EF"/>
    <w:rsid w:val="00504113"/>
    <w:rsid w:val="0050415B"/>
    <w:rsid w:val="005041F3"/>
    <w:rsid w:val="005042C4"/>
    <w:rsid w:val="0050440E"/>
    <w:rsid w:val="005044D7"/>
    <w:rsid w:val="00504573"/>
    <w:rsid w:val="005045D5"/>
    <w:rsid w:val="005045DF"/>
    <w:rsid w:val="00504757"/>
    <w:rsid w:val="00504795"/>
    <w:rsid w:val="0050479F"/>
    <w:rsid w:val="0050486F"/>
    <w:rsid w:val="005049D8"/>
    <w:rsid w:val="00504A10"/>
    <w:rsid w:val="00504AAF"/>
    <w:rsid w:val="00504E05"/>
    <w:rsid w:val="00504FFB"/>
    <w:rsid w:val="0050506B"/>
    <w:rsid w:val="0050515D"/>
    <w:rsid w:val="0050515F"/>
    <w:rsid w:val="00505183"/>
    <w:rsid w:val="005051C8"/>
    <w:rsid w:val="00505212"/>
    <w:rsid w:val="005052F1"/>
    <w:rsid w:val="00505694"/>
    <w:rsid w:val="0050586A"/>
    <w:rsid w:val="00505883"/>
    <w:rsid w:val="00505893"/>
    <w:rsid w:val="005058C6"/>
    <w:rsid w:val="00505974"/>
    <w:rsid w:val="00505A6D"/>
    <w:rsid w:val="00505A8C"/>
    <w:rsid w:val="00505ACE"/>
    <w:rsid w:val="00505B58"/>
    <w:rsid w:val="00505B69"/>
    <w:rsid w:val="00505C21"/>
    <w:rsid w:val="00505CE1"/>
    <w:rsid w:val="00505D12"/>
    <w:rsid w:val="00505F19"/>
    <w:rsid w:val="00505F42"/>
    <w:rsid w:val="005060FA"/>
    <w:rsid w:val="00506108"/>
    <w:rsid w:val="0050634A"/>
    <w:rsid w:val="005063CC"/>
    <w:rsid w:val="0050645C"/>
    <w:rsid w:val="005064CF"/>
    <w:rsid w:val="005064EA"/>
    <w:rsid w:val="00506577"/>
    <w:rsid w:val="005066B3"/>
    <w:rsid w:val="005066EA"/>
    <w:rsid w:val="00506746"/>
    <w:rsid w:val="005069F3"/>
    <w:rsid w:val="00506AA0"/>
    <w:rsid w:val="00506C44"/>
    <w:rsid w:val="00506CE6"/>
    <w:rsid w:val="00506DE2"/>
    <w:rsid w:val="00506E17"/>
    <w:rsid w:val="00506E65"/>
    <w:rsid w:val="00506F47"/>
    <w:rsid w:val="00506FA1"/>
    <w:rsid w:val="00506FE1"/>
    <w:rsid w:val="00506FE3"/>
    <w:rsid w:val="00507074"/>
    <w:rsid w:val="0050716B"/>
    <w:rsid w:val="005071D2"/>
    <w:rsid w:val="00507442"/>
    <w:rsid w:val="005074B9"/>
    <w:rsid w:val="005074F0"/>
    <w:rsid w:val="00507511"/>
    <w:rsid w:val="00507581"/>
    <w:rsid w:val="005075BC"/>
    <w:rsid w:val="005078D5"/>
    <w:rsid w:val="005079B7"/>
    <w:rsid w:val="00507B13"/>
    <w:rsid w:val="00507B17"/>
    <w:rsid w:val="00507B29"/>
    <w:rsid w:val="00507B4A"/>
    <w:rsid w:val="00507B83"/>
    <w:rsid w:val="00507BB8"/>
    <w:rsid w:val="00507BD9"/>
    <w:rsid w:val="00507D8B"/>
    <w:rsid w:val="00507E33"/>
    <w:rsid w:val="00507F4E"/>
    <w:rsid w:val="00507F69"/>
    <w:rsid w:val="00507F7F"/>
    <w:rsid w:val="00507FA3"/>
    <w:rsid w:val="0051015C"/>
    <w:rsid w:val="0051016C"/>
    <w:rsid w:val="0051018D"/>
    <w:rsid w:val="005101A8"/>
    <w:rsid w:val="005102AC"/>
    <w:rsid w:val="00510464"/>
    <w:rsid w:val="005104CD"/>
    <w:rsid w:val="005105E0"/>
    <w:rsid w:val="00510670"/>
    <w:rsid w:val="0051078B"/>
    <w:rsid w:val="00510877"/>
    <w:rsid w:val="0051087E"/>
    <w:rsid w:val="00510891"/>
    <w:rsid w:val="0051093B"/>
    <w:rsid w:val="00510AC9"/>
    <w:rsid w:val="00510AD8"/>
    <w:rsid w:val="00510B06"/>
    <w:rsid w:val="00510B4B"/>
    <w:rsid w:val="00510B4E"/>
    <w:rsid w:val="00510BB1"/>
    <w:rsid w:val="00510D2E"/>
    <w:rsid w:val="00510DC5"/>
    <w:rsid w:val="00510E6E"/>
    <w:rsid w:val="00510F33"/>
    <w:rsid w:val="00510F4C"/>
    <w:rsid w:val="00510F9A"/>
    <w:rsid w:val="00511157"/>
    <w:rsid w:val="005111B7"/>
    <w:rsid w:val="00511309"/>
    <w:rsid w:val="00511393"/>
    <w:rsid w:val="005116BB"/>
    <w:rsid w:val="00511764"/>
    <w:rsid w:val="005117D5"/>
    <w:rsid w:val="0051185B"/>
    <w:rsid w:val="0051193C"/>
    <w:rsid w:val="00511C07"/>
    <w:rsid w:val="00511C2C"/>
    <w:rsid w:val="00511C34"/>
    <w:rsid w:val="00511C59"/>
    <w:rsid w:val="00511DD8"/>
    <w:rsid w:val="00511DFF"/>
    <w:rsid w:val="00511F3B"/>
    <w:rsid w:val="00511FAE"/>
    <w:rsid w:val="00511FE2"/>
    <w:rsid w:val="00511FEF"/>
    <w:rsid w:val="0051200A"/>
    <w:rsid w:val="005121A1"/>
    <w:rsid w:val="005121D5"/>
    <w:rsid w:val="005121F6"/>
    <w:rsid w:val="0051238D"/>
    <w:rsid w:val="005123E2"/>
    <w:rsid w:val="005124A8"/>
    <w:rsid w:val="005125DF"/>
    <w:rsid w:val="0051274A"/>
    <w:rsid w:val="00512855"/>
    <w:rsid w:val="0051285B"/>
    <w:rsid w:val="005129C5"/>
    <w:rsid w:val="00512A88"/>
    <w:rsid w:val="00512AD1"/>
    <w:rsid w:val="00512B23"/>
    <w:rsid w:val="00512B47"/>
    <w:rsid w:val="00512B9D"/>
    <w:rsid w:val="00512C9D"/>
    <w:rsid w:val="00512CA6"/>
    <w:rsid w:val="00512CFC"/>
    <w:rsid w:val="00512D7E"/>
    <w:rsid w:val="00512DA6"/>
    <w:rsid w:val="00512DE3"/>
    <w:rsid w:val="00512F36"/>
    <w:rsid w:val="00512FAC"/>
    <w:rsid w:val="00513071"/>
    <w:rsid w:val="005130CE"/>
    <w:rsid w:val="005130D9"/>
    <w:rsid w:val="00513135"/>
    <w:rsid w:val="00513137"/>
    <w:rsid w:val="005131D7"/>
    <w:rsid w:val="0051327D"/>
    <w:rsid w:val="005132C3"/>
    <w:rsid w:val="00513359"/>
    <w:rsid w:val="005133E1"/>
    <w:rsid w:val="0051352A"/>
    <w:rsid w:val="0051360A"/>
    <w:rsid w:val="0051363A"/>
    <w:rsid w:val="005136BB"/>
    <w:rsid w:val="005136F6"/>
    <w:rsid w:val="005136F9"/>
    <w:rsid w:val="00513915"/>
    <w:rsid w:val="005139DC"/>
    <w:rsid w:val="00513B34"/>
    <w:rsid w:val="00513B3C"/>
    <w:rsid w:val="00513BB5"/>
    <w:rsid w:val="00513C19"/>
    <w:rsid w:val="00513C72"/>
    <w:rsid w:val="00513CC7"/>
    <w:rsid w:val="00513CEB"/>
    <w:rsid w:val="00513CF6"/>
    <w:rsid w:val="00513D56"/>
    <w:rsid w:val="00513FE4"/>
    <w:rsid w:val="00513FFB"/>
    <w:rsid w:val="0051409E"/>
    <w:rsid w:val="005140A0"/>
    <w:rsid w:val="00514103"/>
    <w:rsid w:val="00514143"/>
    <w:rsid w:val="005141DF"/>
    <w:rsid w:val="005145AE"/>
    <w:rsid w:val="005145D7"/>
    <w:rsid w:val="00514686"/>
    <w:rsid w:val="005146EA"/>
    <w:rsid w:val="00514809"/>
    <w:rsid w:val="005148FE"/>
    <w:rsid w:val="005149F3"/>
    <w:rsid w:val="00514A2D"/>
    <w:rsid w:val="00514AFC"/>
    <w:rsid w:val="00514B24"/>
    <w:rsid w:val="00514B9E"/>
    <w:rsid w:val="00514BDF"/>
    <w:rsid w:val="00514C1D"/>
    <w:rsid w:val="00514D37"/>
    <w:rsid w:val="00514DB1"/>
    <w:rsid w:val="00514E2D"/>
    <w:rsid w:val="00514E36"/>
    <w:rsid w:val="00514FB3"/>
    <w:rsid w:val="00515089"/>
    <w:rsid w:val="005150BA"/>
    <w:rsid w:val="005150FD"/>
    <w:rsid w:val="00515325"/>
    <w:rsid w:val="00515386"/>
    <w:rsid w:val="005153D2"/>
    <w:rsid w:val="005155EF"/>
    <w:rsid w:val="00515606"/>
    <w:rsid w:val="00515613"/>
    <w:rsid w:val="00515620"/>
    <w:rsid w:val="0051569E"/>
    <w:rsid w:val="0051577D"/>
    <w:rsid w:val="0051579F"/>
    <w:rsid w:val="005158B4"/>
    <w:rsid w:val="0051594E"/>
    <w:rsid w:val="00515985"/>
    <w:rsid w:val="00515A5C"/>
    <w:rsid w:val="00515B4E"/>
    <w:rsid w:val="00515C36"/>
    <w:rsid w:val="00515CEA"/>
    <w:rsid w:val="00515D32"/>
    <w:rsid w:val="00515D8A"/>
    <w:rsid w:val="00515DF7"/>
    <w:rsid w:val="00515EFD"/>
    <w:rsid w:val="00515FF2"/>
    <w:rsid w:val="00515FF8"/>
    <w:rsid w:val="0051601D"/>
    <w:rsid w:val="00516079"/>
    <w:rsid w:val="0051608C"/>
    <w:rsid w:val="00516168"/>
    <w:rsid w:val="00516185"/>
    <w:rsid w:val="00516200"/>
    <w:rsid w:val="00516255"/>
    <w:rsid w:val="005162BA"/>
    <w:rsid w:val="005162EE"/>
    <w:rsid w:val="0051630E"/>
    <w:rsid w:val="0051650F"/>
    <w:rsid w:val="0051654D"/>
    <w:rsid w:val="005166D4"/>
    <w:rsid w:val="0051697E"/>
    <w:rsid w:val="00516A16"/>
    <w:rsid w:val="00516A28"/>
    <w:rsid w:val="00516A61"/>
    <w:rsid w:val="00516ED2"/>
    <w:rsid w:val="00517027"/>
    <w:rsid w:val="0051702A"/>
    <w:rsid w:val="00517106"/>
    <w:rsid w:val="0051740C"/>
    <w:rsid w:val="00517467"/>
    <w:rsid w:val="00517490"/>
    <w:rsid w:val="0051769B"/>
    <w:rsid w:val="005176D0"/>
    <w:rsid w:val="005176F8"/>
    <w:rsid w:val="0051778B"/>
    <w:rsid w:val="00517904"/>
    <w:rsid w:val="00517988"/>
    <w:rsid w:val="005179D0"/>
    <w:rsid w:val="00517A6D"/>
    <w:rsid w:val="00517B84"/>
    <w:rsid w:val="00517E08"/>
    <w:rsid w:val="00517F5E"/>
    <w:rsid w:val="00517FC2"/>
    <w:rsid w:val="00517FE1"/>
    <w:rsid w:val="00517FED"/>
    <w:rsid w:val="00520029"/>
    <w:rsid w:val="005200D5"/>
    <w:rsid w:val="00520173"/>
    <w:rsid w:val="0052027C"/>
    <w:rsid w:val="00520459"/>
    <w:rsid w:val="0052057D"/>
    <w:rsid w:val="005206FF"/>
    <w:rsid w:val="0052071E"/>
    <w:rsid w:val="00520730"/>
    <w:rsid w:val="005208B7"/>
    <w:rsid w:val="00520914"/>
    <w:rsid w:val="00520962"/>
    <w:rsid w:val="005209A1"/>
    <w:rsid w:val="005209C5"/>
    <w:rsid w:val="005209FF"/>
    <w:rsid w:val="00520AD8"/>
    <w:rsid w:val="00520B02"/>
    <w:rsid w:val="00520B83"/>
    <w:rsid w:val="00520C22"/>
    <w:rsid w:val="00520E01"/>
    <w:rsid w:val="00520E47"/>
    <w:rsid w:val="00520E9C"/>
    <w:rsid w:val="00520FC8"/>
    <w:rsid w:val="00521010"/>
    <w:rsid w:val="005210A6"/>
    <w:rsid w:val="005210C3"/>
    <w:rsid w:val="00521230"/>
    <w:rsid w:val="00521324"/>
    <w:rsid w:val="005213D1"/>
    <w:rsid w:val="00521429"/>
    <w:rsid w:val="00521450"/>
    <w:rsid w:val="00521492"/>
    <w:rsid w:val="005216CD"/>
    <w:rsid w:val="0052183F"/>
    <w:rsid w:val="005218EC"/>
    <w:rsid w:val="00521954"/>
    <w:rsid w:val="0052199D"/>
    <w:rsid w:val="00521AA4"/>
    <w:rsid w:val="00521AA6"/>
    <w:rsid w:val="00521B27"/>
    <w:rsid w:val="00521B75"/>
    <w:rsid w:val="00521B77"/>
    <w:rsid w:val="00521B8B"/>
    <w:rsid w:val="00521BC0"/>
    <w:rsid w:val="00521BE9"/>
    <w:rsid w:val="00521CA8"/>
    <w:rsid w:val="00521CD7"/>
    <w:rsid w:val="00521ED4"/>
    <w:rsid w:val="00521F85"/>
    <w:rsid w:val="0052200D"/>
    <w:rsid w:val="00522041"/>
    <w:rsid w:val="0052231B"/>
    <w:rsid w:val="0052236E"/>
    <w:rsid w:val="0052237F"/>
    <w:rsid w:val="0052239A"/>
    <w:rsid w:val="0052240C"/>
    <w:rsid w:val="0052243D"/>
    <w:rsid w:val="0052244E"/>
    <w:rsid w:val="005225FE"/>
    <w:rsid w:val="005227E8"/>
    <w:rsid w:val="005228A1"/>
    <w:rsid w:val="00522955"/>
    <w:rsid w:val="00522A9C"/>
    <w:rsid w:val="00522BB9"/>
    <w:rsid w:val="00522C6C"/>
    <w:rsid w:val="00522CAC"/>
    <w:rsid w:val="00522CE9"/>
    <w:rsid w:val="00522D87"/>
    <w:rsid w:val="00522DE2"/>
    <w:rsid w:val="00522EED"/>
    <w:rsid w:val="0052300E"/>
    <w:rsid w:val="0052306A"/>
    <w:rsid w:val="005230D6"/>
    <w:rsid w:val="0052318A"/>
    <w:rsid w:val="005232C7"/>
    <w:rsid w:val="005232ED"/>
    <w:rsid w:val="00523427"/>
    <w:rsid w:val="0052344F"/>
    <w:rsid w:val="00523499"/>
    <w:rsid w:val="00523641"/>
    <w:rsid w:val="00523675"/>
    <w:rsid w:val="0052368B"/>
    <w:rsid w:val="005238CA"/>
    <w:rsid w:val="00523A5F"/>
    <w:rsid w:val="00523BBC"/>
    <w:rsid w:val="00523C14"/>
    <w:rsid w:val="00523CD1"/>
    <w:rsid w:val="00523E77"/>
    <w:rsid w:val="00523EAC"/>
    <w:rsid w:val="00523EBD"/>
    <w:rsid w:val="00523F38"/>
    <w:rsid w:val="00523FA6"/>
    <w:rsid w:val="0052404D"/>
    <w:rsid w:val="0052409F"/>
    <w:rsid w:val="005241BA"/>
    <w:rsid w:val="005243B4"/>
    <w:rsid w:val="005243FE"/>
    <w:rsid w:val="005244B4"/>
    <w:rsid w:val="005245FE"/>
    <w:rsid w:val="005246B7"/>
    <w:rsid w:val="0052471B"/>
    <w:rsid w:val="00524725"/>
    <w:rsid w:val="005247BC"/>
    <w:rsid w:val="005247C2"/>
    <w:rsid w:val="005247ED"/>
    <w:rsid w:val="005247F9"/>
    <w:rsid w:val="0052482A"/>
    <w:rsid w:val="005248B8"/>
    <w:rsid w:val="00524956"/>
    <w:rsid w:val="005249D2"/>
    <w:rsid w:val="00524A25"/>
    <w:rsid w:val="00524A2B"/>
    <w:rsid w:val="00524AE1"/>
    <w:rsid w:val="00524B4A"/>
    <w:rsid w:val="00524CA0"/>
    <w:rsid w:val="00524D52"/>
    <w:rsid w:val="00524E2F"/>
    <w:rsid w:val="00524E30"/>
    <w:rsid w:val="00524FDB"/>
    <w:rsid w:val="0052502F"/>
    <w:rsid w:val="0052509E"/>
    <w:rsid w:val="005250AD"/>
    <w:rsid w:val="00525157"/>
    <w:rsid w:val="005253A2"/>
    <w:rsid w:val="005253D9"/>
    <w:rsid w:val="005255C8"/>
    <w:rsid w:val="005257B5"/>
    <w:rsid w:val="005258DB"/>
    <w:rsid w:val="00525A92"/>
    <w:rsid w:val="00525B0F"/>
    <w:rsid w:val="00525B45"/>
    <w:rsid w:val="00525B88"/>
    <w:rsid w:val="00525C54"/>
    <w:rsid w:val="00525E92"/>
    <w:rsid w:val="00525FD6"/>
    <w:rsid w:val="005260A9"/>
    <w:rsid w:val="0052634D"/>
    <w:rsid w:val="005263DD"/>
    <w:rsid w:val="005263E6"/>
    <w:rsid w:val="0052649A"/>
    <w:rsid w:val="005265EF"/>
    <w:rsid w:val="0052662E"/>
    <w:rsid w:val="005267CF"/>
    <w:rsid w:val="005267EE"/>
    <w:rsid w:val="00526844"/>
    <w:rsid w:val="005268F2"/>
    <w:rsid w:val="00526901"/>
    <w:rsid w:val="005269F8"/>
    <w:rsid w:val="00526B79"/>
    <w:rsid w:val="00526B86"/>
    <w:rsid w:val="00526BE0"/>
    <w:rsid w:val="00526C60"/>
    <w:rsid w:val="00526C7B"/>
    <w:rsid w:val="00526C99"/>
    <w:rsid w:val="00526CFC"/>
    <w:rsid w:val="00526DD7"/>
    <w:rsid w:val="00526DF1"/>
    <w:rsid w:val="00526E2E"/>
    <w:rsid w:val="00526EAC"/>
    <w:rsid w:val="00526F4A"/>
    <w:rsid w:val="0052700C"/>
    <w:rsid w:val="005270BE"/>
    <w:rsid w:val="00527296"/>
    <w:rsid w:val="005272C0"/>
    <w:rsid w:val="005272D6"/>
    <w:rsid w:val="0052737E"/>
    <w:rsid w:val="0052752C"/>
    <w:rsid w:val="005275E6"/>
    <w:rsid w:val="00527765"/>
    <w:rsid w:val="00527774"/>
    <w:rsid w:val="005278B5"/>
    <w:rsid w:val="005278E5"/>
    <w:rsid w:val="00527A11"/>
    <w:rsid w:val="00527A57"/>
    <w:rsid w:val="00527BF3"/>
    <w:rsid w:val="00527C2A"/>
    <w:rsid w:val="00527D77"/>
    <w:rsid w:val="00527F4C"/>
    <w:rsid w:val="00527F70"/>
    <w:rsid w:val="00530019"/>
    <w:rsid w:val="00530236"/>
    <w:rsid w:val="00530252"/>
    <w:rsid w:val="005302B4"/>
    <w:rsid w:val="005302E8"/>
    <w:rsid w:val="00530327"/>
    <w:rsid w:val="00530358"/>
    <w:rsid w:val="005303B2"/>
    <w:rsid w:val="005303EE"/>
    <w:rsid w:val="00530414"/>
    <w:rsid w:val="00530452"/>
    <w:rsid w:val="005304A6"/>
    <w:rsid w:val="005304EE"/>
    <w:rsid w:val="005305A5"/>
    <w:rsid w:val="005305AF"/>
    <w:rsid w:val="005305E6"/>
    <w:rsid w:val="005305F5"/>
    <w:rsid w:val="005306D3"/>
    <w:rsid w:val="00530741"/>
    <w:rsid w:val="0053079C"/>
    <w:rsid w:val="00530817"/>
    <w:rsid w:val="00530835"/>
    <w:rsid w:val="005308A6"/>
    <w:rsid w:val="00530914"/>
    <w:rsid w:val="00530A19"/>
    <w:rsid w:val="00530A61"/>
    <w:rsid w:val="00530B50"/>
    <w:rsid w:val="00530B97"/>
    <w:rsid w:val="00530C25"/>
    <w:rsid w:val="00530D22"/>
    <w:rsid w:val="00530E38"/>
    <w:rsid w:val="00530EC7"/>
    <w:rsid w:val="00530FB6"/>
    <w:rsid w:val="005310F1"/>
    <w:rsid w:val="00531103"/>
    <w:rsid w:val="005312AA"/>
    <w:rsid w:val="005312D7"/>
    <w:rsid w:val="005314E7"/>
    <w:rsid w:val="0053151C"/>
    <w:rsid w:val="005315D7"/>
    <w:rsid w:val="00531615"/>
    <w:rsid w:val="00531631"/>
    <w:rsid w:val="005317B3"/>
    <w:rsid w:val="005318FA"/>
    <w:rsid w:val="00531915"/>
    <w:rsid w:val="00531BA2"/>
    <w:rsid w:val="00531C1C"/>
    <w:rsid w:val="00531C56"/>
    <w:rsid w:val="00531DA7"/>
    <w:rsid w:val="00531E14"/>
    <w:rsid w:val="00531EC0"/>
    <w:rsid w:val="00531F50"/>
    <w:rsid w:val="005320F6"/>
    <w:rsid w:val="005321AA"/>
    <w:rsid w:val="00532268"/>
    <w:rsid w:val="005322E5"/>
    <w:rsid w:val="005323DA"/>
    <w:rsid w:val="0053252A"/>
    <w:rsid w:val="005325B7"/>
    <w:rsid w:val="00532781"/>
    <w:rsid w:val="00532880"/>
    <w:rsid w:val="005328A1"/>
    <w:rsid w:val="00532ACF"/>
    <w:rsid w:val="00532B04"/>
    <w:rsid w:val="00532BF0"/>
    <w:rsid w:val="00532CD6"/>
    <w:rsid w:val="00532DB4"/>
    <w:rsid w:val="00532F60"/>
    <w:rsid w:val="00532F7E"/>
    <w:rsid w:val="00533003"/>
    <w:rsid w:val="00533080"/>
    <w:rsid w:val="0053309B"/>
    <w:rsid w:val="005330B7"/>
    <w:rsid w:val="0053316F"/>
    <w:rsid w:val="005331B2"/>
    <w:rsid w:val="005331EE"/>
    <w:rsid w:val="00533219"/>
    <w:rsid w:val="00533379"/>
    <w:rsid w:val="0053340A"/>
    <w:rsid w:val="005334D0"/>
    <w:rsid w:val="005335BF"/>
    <w:rsid w:val="00533606"/>
    <w:rsid w:val="00533657"/>
    <w:rsid w:val="005336DB"/>
    <w:rsid w:val="00533755"/>
    <w:rsid w:val="00533777"/>
    <w:rsid w:val="0053378E"/>
    <w:rsid w:val="005337A4"/>
    <w:rsid w:val="005337C7"/>
    <w:rsid w:val="00533889"/>
    <w:rsid w:val="005338EB"/>
    <w:rsid w:val="0053398C"/>
    <w:rsid w:val="00533A71"/>
    <w:rsid w:val="00533B2F"/>
    <w:rsid w:val="00533B30"/>
    <w:rsid w:val="00533C27"/>
    <w:rsid w:val="00533C85"/>
    <w:rsid w:val="00533DBA"/>
    <w:rsid w:val="00533E09"/>
    <w:rsid w:val="00533E7A"/>
    <w:rsid w:val="00533E7E"/>
    <w:rsid w:val="00533E9A"/>
    <w:rsid w:val="00533F0F"/>
    <w:rsid w:val="00533F7A"/>
    <w:rsid w:val="00533FDC"/>
    <w:rsid w:val="005340B6"/>
    <w:rsid w:val="00534169"/>
    <w:rsid w:val="00534172"/>
    <w:rsid w:val="005341D8"/>
    <w:rsid w:val="005342BC"/>
    <w:rsid w:val="00534379"/>
    <w:rsid w:val="00534452"/>
    <w:rsid w:val="005344DB"/>
    <w:rsid w:val="005345CA"/>
    <w:rsid w:val="005345E1"/>
    <w:rsid w:val="00534665"/>
    <w:rsid w:val="005346D1"/>
    <w:rsid w:val="00534803"/>
    <w:rsid w:val="00534908"/>
    <w:rsid w:val="005349CF"/>
    <w:rsid w:val="00534A41"/>
    <w:rsid w:val="00534BE4"/>
    <w:rsid w:val="00534C08"/>
    <w:rsid w:val="00534C2A"/>
    <w:rsid w:val="00534D1F"/>
    <w:rsid w:val="00534D91"/>
    <w:rsid w:val="00534F55"/>
    <w:rsid w:val="00534FFA"/>
    <w:rsid w:val="005350F6"/>
    <w:rsid w:val="00535100"/>
    <w:rsid w:val="00535103"/>
    <w:rsid w:val="0053512C"/>
    <w:rsid w:val="00535199"/>
    <w:rsid w:val="005351E5"/>
    <w:rsid w:val="005352E6"/>
    <w:rsid w:val="00535355"/>
    <w:rsid w:val="0053537D"/>
    <w:rsid w:val="005353B0"/>
    <w:rsid w:val="005353EF"/>
    <w:rsid w:val="005354FE"/>
    <w:rsid w:val="0053557C"/>
    <w:rsid w:val="005356C1"/>
    <w:rsid w:val="00535817"/>
    <w:rsid w:val="005359F7"/>
    <w:rsid w:val="00535BC3"/>
    <w:rsid w:val="00535BE2"/>
    <w:rsid w:val="00535BF5"/>
    <w:rsid w:val="00535C47"/>
    <w:rsid w:val="00535C70"/>
    <w:rsid w:val="00535D87"/>
    <w:rsid w:val="00535D9B"/>
    <w:rsid w:val="00535DBC"/>
    <w:rsid w:val="00535DD2"/>
    <w:rsid w:val="00535E20"/>
    <w:rsid w:val="00535E2F"/>
    <w:rsid w:val="00535E46"/>
    <w:rsid w:val="00535F69"/>
    <w:rsid w:val="005360C4"/>
    <w:rsid w:val="005362BB"/>
    <w:rsid w:val="005362F0"/>
    <w:rsid w:val="0053641D"/>
    <w:rsid w:val="00536439"/>
    <w:rsid w:val="005364BA"/>
    <w:rsid w:val="00536538"/>
    <w:rsid w:val="0053666A"/>
    <w:rsid w:val="00536696"/>
    <w:rsid w:val="005366C7"/>
    <w:rsid w:val="005366F7"/>
    <w:rsid w:val="00536851"/>
    <w:rsid w:val="00536924"/>
    <w:rsid w:val="00536978"/>
    <w:rsid w:val="005369CA"/>
    <w:rsid w:val="005369E1"/>
    <w:rsid w:val="00536A33"/>
    <w:rsid w:val="00536A89"/>
    <w:rsid w:val="00536AA6"/>
    <w:rsid w:val="00536B65"/>
    <w:rsid w:val="00536B9C"/>
    <w:rsid w:val="00536C19"/>
    <w:rsid w:val="00536C4A"/>
    <w:rsid w:val="00536C51"/>
    <w:rsid w:val="00536C5B"/>
    <w:rsid w:val="00536C84"/>
    <w:rsid w:val="00536D45"/>
    <w:rsid w:val="00536D4B"/>
    <w:rsid w:val="00536E29"/>
    <w:rsid w:val="00536E7E"/>
    <w:rsid w:val="00536EE7"/>
    <w:rsid w:val="00536FB1"/>
    <w:rsid w:val="0053706D"/>
    <w:rsid w:val="005370B8"/>
    <w:rsid w:val="0053711C"/>
    <w:rsid w:val="00537187"/>
    <w:rsid w:val="005371B0"/>
    <w:rsid w:val="005371D3"/>
    <w:rsid w:val="005371DD"/>
    <w:rsid w:val="00537263"/>
    <w:rsid w:val="0053728F"/>
    <w:rsid w:val="005372AC"/>
    <w:rsid w:val="0053739E"/>
    <w:rsid w:val="005373B7"/>
    <w:rsid w:val="005373B9"/>
    <w:rsid w:val="005373CF"/>
    <w:rsid w:val="005373FF"/>
    <w:rsid w:val="00537550"/>
    <w:rsid w:val="00537571"/>
    <w:rsid w:val="005375EA"/>
    <w:rsid w:val="00537602"/>
    <w:rsid w:val="00537605"/>
    <w:rsid w:val="0053763B"/>
    <w:rsid w:val="0053763F"/>
    <w:rsid w:val="00537721"/>
    <w:rsid w:val="00537776"/>
    <w:rsid w:val="0053780E"/>
    <w:rsid w:val="00537821"/>
    <w:rsid w:val="005378FD"/>
    <w:rsid w:val="0053791C"/>
    <w:rsid w:val="00537AC5"/>
    <w:rsid w:val="00537C84"/>
    <w:rsid w:val="00537E3D"/>
    <w:rsid w:val="00537F2E"/>
    <w:rsid w:val="00537FA2"/>
    <w:rsid w:val="00540071"/>
    <w:rsid w:val="005400C1"/>
    <w:rsid w:val="00540166"/>
    <w:rsid w:val="00540177"/>
    <w:rsid w:val="005401A9"/>
    <w:rsid w:val="00540302"/>
    <w:rsid w:val="00540500"/>
    <w:rsid w:val="00540560"/>
    <w:rsid w:val="005405BC"/>
    <w:rsid w:val="005406A4"/>
    <w:rsid w:val="005406E9"/>
    <w:rsid w:val="0054078E"/>
    <w:rsid w:val="00540817"/>
    <w:rsid w:val="0054094F"/>
    <w:rsid w:val="00540ABA"/>
    <w:rsid w:val="00540BA0"/>
    <w:rsid w:val="00540D5C"/>
    <w:rsid w:val="00540E02"/>
    <w:rsid w:val="00540E65"/>
    <w:rsid w:val="00540EED"/>
    <w:rsid w:val="00541185"/>
    <w:rsid w:val="005412AD"/>
    <w:rsid w:val="005413C8"/>
    <w:rsid w:val="00541471"/>
    <w:rsid w:val="0054148D"/>
    <w:rsid w:val="005417EA"/>
    <w:rsid w:val="005417FE"/>
    <w:rsid w:val="005418A3"/>
    <w:rsid w:val="005418D3"/>
    <w:rsid w:val="00541905"/>
    <w:rsid w:val="00541990"/>
    <w:rsid w:val="00541C7E"/>
    <w:rsid w:val="00541CA5"/>
    <w:rsid w:val="00541D54"/>
    <w:rsid w:val="00541D5F"/>
    <w:rsid w:val="00541D65"/>
    <w:rsid w:val="00541E62"/>
    <w:rsid w:val="00541F1A"/>
    <w:rsid w:val="0054216C"/>
    <w:rsid w:val="0054224C"/>
    <w:rsid w:val="0054233D"/>
    <w:rsid w:val="0054234C"/>
    <w:rsid w:val="00542358"/>
    <w:rsid w:val="005423DA"/>
    <w:rsid w:val="005423E8"/>
    <w:rsid w:val="00542513"/>
    <w:rsid w:val="00542644"/>
    <w:rsid w:val="00542677"/>
    <w:rsid w:val="005426B5"/>
    <w:rsid w:val="00542757"/>
    <w:rsid w:val="0054282F"/>
    <w:rsid w:val="005428D6"/>
    <w:rsid w:val="00542947"/>
    <w:rsid w:val="00542982"/>
    <w:rsid w:val="00542B0E"/>
    <w:rsid w:val="00542B59"/>
    <w:rsid w:val="00542B76"/>
    <w:rsid w:val="00542BA5"/>
    <w:rsid w:val="00542D7B"/>
    <w:rsid w:val="00542DC0"/>
    <w:rsid w:val="00542EB4"/>
    <w:rsid w:val="0054307D"/>
    <w:rsid w:val="0054308A"/>
    <w:rsid w:val="005431ED"/>
    <w:rsid w:val="00543254"/>
    <w:rsid w:val="00543278"/>
    <w:rsid w:val="005433D3"/>
    <w:rsid w:val="00543414"/>
    <w:rsid w:val="00543449"/>
    <w:rsid w:val="00543471"/>
    <w:rsid w:val="00543652"/>
    <w:rsid w:val="005436AA"/>
    <w:rsid w:val="00543786"/>
    <w:rsid w:val="0054380E"/>
    <w:rsid w:val="005438D5"/>
    <w:rsid w:val="00543931"/>
    <w:rsid w:val="005439A5"/>
    <w:rsid w:val="00543A1F"/>
    <w:rsid w:val="00543A5F"/>
    <w:rsid w:val="00543A8D"/>
    <w:rsid w:val="00543B00"/>
    <w:rsid w:val="00543BF9"/>
    <w:rsid w:val="00543C62"/>
    <w:rsid w:val="00543C69"/>
    <w:rsid w:val="00543CBE"/>
    <w:rsid w:val="00543D2C"/>
    <w:rsid w:val="00543F08"/>
    <w:rsid w:val="00543F0C"/>
    <w:rsid w:val="00543F65"/>
    <w:rsid w:val="0054409A"/>
    <w:rsid w:val="0054411D"/>
    <w:rsid w:val="0054425C"/>
    <w:rsid w:val="00544271"/>
    <w:rsid w:val="005442AC"/>
    <w:rsid w:val="005443B0"/>
    <w:rsid w:val="0054448C"/>
    <w:rsid w:val="0054455D"/>
    <w:rsid w:val="0054459C"/>
    <w:rsid w:val="00544653"/>
    <w:rsid w:val="00544683"/>
    <w:rsid w:val="005446DC"/>
    <w:rsid w:val="005447B3"/>
    <w:rsid w:val="00544958"/>
    <w:rsid w:val="00544984"/>
    <w:rsid w:val="00544A88"/>
    <w:rsid w:val="00544AE7"/>
    <w:rsid w:val="00544B13"/>
    <w:rsid w:val="00544B1D"/>
    <w:rsid w:val="00544B40"/>
    <w:rsid w:val="00544BAA"/>
    <w:rsid w:val="00544BC8"/>
    <w:rsid w:val="00544BDF"/>
    <w:rsid w:val="00544CDC"/>
    <w:rsid w:val="00544D1A"/>
    <w:rsid w:val="00544F37"/>
    <w:rsid w:val="00544F45"/>
    <w:rsid w:val="00544F70"/>
    <w:rsid w:val="00544FF2"/>
    <w:rsid w:val="00545154"/>
    <w:rsid w:val="005451B4"/>
    <w:rsid w:val="005451C9"/>
    <w:rsid w:val="005452A1"/>
    <w:rsid w:val="0054537A"/>
    <w:rsid w:val="00545393"/>
    <w:rsid w:val="005453E6"/>
    <w:rsid w:val="00545564"/>
    <w:rsid w:val="00545611"/>
    <w:rsid w:val="0054565B"/>
    <w:rsid w:val="005456FA"/>
    <w:rsid w:val="0054573B"/>
    <w:rsid w:val="00545800"/>
    <w:rsid w:val="00545855"/>
    <w:rsid w:val="0054589A"/>
    <w:rsid w:val="005459D4"/>
    <w:rsid w:val="00545A66"/>
    <w:rsid w:val="00545AC2"/>
    <w:rsid w:val="00545AF2"/>
    <w:rsid w:val="00545B1E"/>
    <w:rsid w:val="00545BA4"/>
    <w:rsid w:val="00545BB9"/>
    <w:rsid w:val="00545D53"/>
    <w:rsid w:val="00545DDF"/>
    <w:rsid w:val="00545E5A"/>
    <w:rsid w:val="00546002"/>
    <w:rsid w:val="00546020"/>
    <w:rsid w:val="005460AF"/>
    <w:rsid w:val="0054612F"/>
    <w:rsid w:val="0054627F"/>
    <w:rsid w:val="00546359"/>
    <w:rsid w:val="005463DD"/>
    <w:rsid w:val="00546464"/>
    <w:rsid w:val="005465C0"/>
    <w:rsid w:val="005465D8"/>
    <w:rsid w:val="0054663A"/>
    <w:rsid w:val="0054664C"/>
    <w:rsid w:val="005466B5"/>
    <w:rsid w:val="00546A05"/>
    <w:rsid w:val="00546A1D"/>
    <w:rsid w:val="00546A33"/>
    <w:rsid w:val="00546AF0"/>
    <w:rsid w:val="00546B96"/>
    <w:rsid w:val="00546CCC"/>
    <w:rsid w:val="00546CD4"/>
    <w:rsid w:val="00546D3A"/>
    <w:rsid w:val="00546E3C"/>
    <w:rsid w:val="00546E69"/>
    <w:rsid w:val="00546EE7"/>
    <w:rsid w:val="00546F11"/>
    <w:rsid w:val="00546F8F"/>
    <w:rsid w:val="00546F9C"/>
    <w:rsid w:val="00546FB4"/>
    <w:rsid w:val="00547021"/>
    <w:rsid w:val="005471B2"/>
    <w:rsid w:val="0054729A"/>
    <w:rsid w:val="00547372"/>
    <w:rsid w:val="0054743E"/>
    <w:rsid w:val="005474BD"/>
    <w:rsid w:val="00547501"/>
    <w:rsid w:val="00547545"/>
    <w:rsid w:val="005475DB"/>
    <w:rsid w:val="005475FB"/>
    <w:rsid w:val="005476C7"/>
    <w:rsid w:val="005476E7"/>
    <w:rsid w:val="005476EC"/>
    <w:rsid w:val="005478C3"/>
    <w:rsid w:val="00547920"/>
    <w:rsid w:val="005479E8"/>
    <w:rsid w:val="005479FD"/>
    <w:rsid w:val="00547A51"/>
    <w:rsid w:val="00547A71"/>
    <w:rsid w:val="00547ADB"/>
    <w:rsid w:val="00547B67"/>
    <w:rsid w:val="00547C98"/>
    <w:rsid w:val="00547D56"/>
    <w:rsid w:val="00547DE2"/>
    <w:rsid w:val="00547EAD"/>
    <w:rsid w:val="00547F18"/>
    <w:rsid w:val="00547F1B"/>
    <w:rsid w:val="0055003E"/>
    <w:rsid w:val="00550101"/>
    <w:rsid w:val="0055019E"/>
    <w:rsid w:val="005501C8"/>
    <w:rsid w:val="005501D5"/>
    <w:rsid w:val="005502E2"/>
    <w:rsid w:val="005503BB"/>
    <w:rsid w:val="005503C9"/>
    <w:rsid w:val="0055043D"/>
    <w:rsid w:val="00550458"/>
    <w:rsid w:val="0055045C"/>
    <w:rsid w:val="005504A0"/>
    <w:rsid w:val="0055051D"/>
    <w:rsid w:val="0055055B"/>
    <w:rsid w:val="0055064C"/>
    <w:rsid w:val="00550674"/>
    <w:rsid w:val="00550727"/>
    <w:rsid w:val="00550867"/>
    <w:rsid w:val="00550870"/>
    <w:rsid w:val="0055089E"/>
    <w:rsid w:val="005508A6"/>
    <w:rsid w:val="005509AB"/>
    <w:rsid w:val="00550AC4"/>
    <w:rsid w:val="00550B2B"/>
    <w:rsid w:val="00550B9B"/>
    <w:rsid w:val="00550C37"/>
    <w:rsid w:val="00550C6C"/>
    <w:rsid w:val="00550E70"/>
    <w:rsid w:val="00551027"/>
    <w:rsid w:val="0055110B"/>
    <w:rsid w:val="00551125"/>
    <w:rsid w:val="00551283"/>
    <w:rsid w:val="005512AB"/>
    <w:rsid w:val="005512D7"/>
    <w:rsid w:val="005512E1"/>
    <w:rsid w:val="00551363"/>
    <w:rsid w:val="005514B8"/>
    <w:rsid w:val="005514E2"/>
    <w:rsid w:val="0055151A"/>
    <w:rsid w:val="00551526"/>
    <w:rsid w:val="0055155F"/>
    <w:rsid w:val="00551627"/>
    <w:rsid w:val="00551729"/>
    <w:rsid w:val="00551744"/>
    <w:rsid w:val="0055174F"/>
    <w:rsid w:val="00551764"/>
    <w:rsid w:val="005517B1"/>
    <w:rsid w:val="005518ED"/>
    <w:rsid w:val="00551955"/>
    <w:rsid w:val="00551978"/>
    <w:rsid w:val="005519E0"/>
    <w:rsid w:val="00551A99"/>
    <w:rsid w:val="00551AB8"/>
    <w:rsid w:val="00551BC9"/>
    <w:rsid w:val="00551C9F"/>
    <w:rsid w:val="00551CAD"/>
    <w:rsid w:val="00551F4A"/>
    <w:rsid w:val="00551F87"/>
    <w:rsid w:val="00551F97"/>
    <w:rsid w:val="005520AF"/>
    <w:rsid w:val="00552153"/>
    <w:rsid w:val="00552183"/>
    <w:rsid w:val="0055223E"/>
    <w:rsid w:val="005523CB"/>
    <w:rsid w:val="005523F8"/>
    <w:rsid w:val="005524A4"/>
    <w:rsid w:val="00552586"/>
    <w:rsid w:val="00552683"/>
    <w:rsid w:val="00552773"/>
    <w:rsid w:val="005528B1"/>
    <w:rsid w:val="005528BE"/>
    <w:rsid w:val="00552978"/>
    <w:rsid w:val="00552999"/>
    <w:rsid w:val="00552A3B"/>
    <w:rsid w:val="00552B33"/>
    <w:rsid w:val="00552B61"/>
    <w:rsid w:val="00552C49"/>
    <w:rsid w:val="00552CAC"/>
    <w:rsid w:val="00552CCC"/>
    <w:rsid w:val="00552DE2"/>
    <w:rsid w:val="00552E00"/>
    <w:rsid w:val="00552E15"/>
    <w:rsid w:val="00552E66"/>
    <w:rsid w:val="00552FDF"/>
    <w:rsid w:val="005530BA"/>
    <w:rsid w:val="0055325E"/>
    <w:rsid w:val="0055328C"/>
    <w:rsid w:val="005532BD"/>
    <w:rsid w:val="005533A2"/>
    <w:rsid w:val="0055341D"/>
    <w:rsid w:val="0055347D"/>
    <w:rsid w:val="00553616"/>
    <w:rsid w:val="0055370F"/>
    <w:rsid w:val="0055373E"/>
    <w:rsid w:val="005537B4"/>
    <w:rsid w:val="0055390B"/>
    <w:rsid w:val="005539DD"/>
    <w:rsid w:val="00553B67"/>
    <w:rsid w:val="00553B8B"/>
    <w:rsid w:val="00553C30"/>
    <w:rsid w:val="00553CF5"/>
    <w:rsid w:val="00553ED8"/>
    <w:rsid w:val="00553F04"/>
    <w:rsid w:val="005540E0"/>
    <w:rsid w:val="005540E3"/>
    <w:rsid w:val="005540F9"/>
    <w:rsid w:val="005540FE"/>
    <w:rsid w:val="00554327"/>
    <w:rsid w:val="00554338"/>
    <w:rsid w:val="00554466"/>
    <w:rsid w:val="00554483"/>
    <w:rsid w:val="005544E4"/>
    <w:rsid w:val="005545EA"/>
    <w:rsid w:val="0055464B"/>
    <w:rsid w:val="00554675"/>
    <w:rsid w:val="00554712"/>
    <w:rsid w:val="00554789"/>
    <w:rsid w:val="005547D8"/>
    <w:rsid w:val="005547E5"/>
    <w:rsid w:val="0055483D"/>
    <w:rsid w:val="005548A1"/>
    <w:rsid w:val="00554908"/>
    <w:rsid w:val="00554942"/>
    <w:rsid w:val="005549E8"/>
    <w:rsid w:val="00554A0C"/>
    <w:rsid w:val="00554B32"/>
    <w:rsid w:val="00554BE8"/>
    <w:rsid w:val="00554D02"/>
    <w:rsid w:val="00554D34"/>
    <w:rsid w:val="00554E18"/>
    <w:rsid w:val="00554E3B"/>
    <w:rsid w:val="00554E45"/>
    <w:rsid w:val="00554EA2"/>
    <w:rsid w:val="00554EB1"/>
    <w:rsid w:val="00554F7E"/>
    <w:rsid w:val="00554FAA"/>
    <w:rsid w:val="00554FD9"/>
    <w:rsid w:val="00555544"/>
    <w:rsid w:val="00555627"/>
    <w:rsid w:val="0055571D"/>
    <w:rsid w:val="0055586F"/>
    <w:rsid w:val="005558C8"/>
    <w:rsid w:val="00555BB4"/>
    <w:rsid w:val="00555BF9"/>
    <w:rsid w:val="00555C81"/>
    <w:rsid w:val="00555CA8"/>
    <w:rsid w:val="00555D8D"/>
    <w:rsid w:val="00555DCA"/>
    <w:rsid w:val="00555DF4"/>
    <w:rsid w:val="00555FE7"/>
    <w:rsid w:val="00556077"/>
    <w:rsid w:val="005560BE"/>
    <w:rsid w:val="005560D2"/>
    <w:rsid w:val="005561C0"/>
    <w:rsid w:val="005563C2"/>
    <w:rsid w:val="00556457"/>
    <w:rsid w:val="005564FE"/>
    <w:rsid w:val="00556543"/>
    <w:rsid w:val="00556668"/>
    <w:rsid w:val="0055668F"/>
    <w:rsid w:val="0055675A"/>
    <w:rsid w:val="0055676A"/>
    <w:rsid w:val="0055693D"/>
    <w:rsid w:val="00556963"/>
    <w:rsid w:val="00556980"/>
    <w:rsid w:val="00556A3D"/>
    <w:rsid w:val="00556AE9"/>
    <w:rsid w:val="00556B8B"/>
    <w:rsid w:val="00556B93"/>
    <w:rsid w:val="00556DA4"/>
    <w:rsid w:val="00556E4B"/>
    <w:rsid w:val="00556E86"/>
    <w:rsid w:val="00556E8F"/>
    <w:rsid w:val="00556EB1"/>
    <w:rsid w:val="00556EF2"/>
    <w:rsid w:val="00556EF5"/>
    <w:rsid w:val="00556EF9"/>
    <w:rsid w:val="00556F48"/>
    <w:rsid w:val="00556FD6"/>
    <w:rsid w:val="00557029"/>
    <w:rsid w:val="00557047"/>
    <w:rsid w:val="00557064"/>
    <w:rsid w:val="005570E8"/>
    <w:rsid w:val="005570FE"/>
    <w:rsid w:val="00557111"/>
    <w:rsid w:val="005571A4"/>
    <w:rsid w:val="005571FA"/>
    <w:rsid w:val="00557362"/>
    <w:rsid w:val="005574CB"/>
    <w:rsid w:val="005575BE"/>
    <w:rsid w:val="005577A8"/>
    <w:rsid w:val="005578A6"/>
    <w:rsid w:val="005578B0"/>
    <w:rsid w:val="0055793B"/>
    <w:rsid w:val="00557989"/>
    <w:rsid w:val="00557999"/>
    <w:rsid w:val="00557BBB"/>
    <w:rsid w:val="00557D73"/>
    <w:rsid w:val="00557D8D"/>
    <w:rsid w:val="00557E54"/>
    <w:rsid w:val="00557E7C"/>
    <w:rsid w:val="00557ECD"/>
    <w:rsid w:val="00557EE6"/>
    <w:rsid w:val="00560069"/>
    <w:rsid w:val="00560145"/>
    <w:rsid w:val="00560230"/>
    <w:rsid w:val="00560245"/>
    <w:rsid w:val="005602B9"/>
    <w:rsid w:val="005602C3"/>
    <w:rsid w:val="0056057A"/>
    <w:rsid w:val="0056062C"/>
    <w:rsid w:val="005606C6"/>
    <w:rsid w:val="00560702"/>
    <w:rsid w:val="0056073A"/>
    <w:rsid w:val="00560844"/>
    <w:rsid w:val="0056087D"/>
    <w:rsid w:val="005608B8"/>
    <w:rsid w:val="005609DE"/>
    <w:rsid w:val="00560AF1"/>
    <w:rsid w:val="00560B22"/>
    <w:rsid w:val="00560B8B"/>
    <w:rsid w:val="00560CE2"/>
    <w:rsid w:val="00560CF3"/>
    <w:rsid w:val="00560D31"/>
    <w:rsid w:val="00560F39"/>
    <w:rsid w:val="00560F54"/>
    <w:rsid w:val="00560F5B"/>
    <w:rsid w:val="00560F91"/>
    <w:rsid w:val="00560FAF"/>
    <w:rsid w:val="00560FDC"/>
    <w:rsid w:val="0056101C"/>
    <w:rsid w:val="00561066"/>
    <w:rsid w:val="00561121"/>
    <w:rsid w:val="0056119B"/>
    <w:rsid w:val="005611BE"/>
    <w:rsid w:val="00561219"/>
    <w:rsid w:val="005613C0"/>
    <w:rsid w:val="005613F1"/>
    <w:rsid w:val="00561408"/>
    <w:rsid w:val="00561427"/>
    <w:rsid w:val="00561474"/>
    <w:rsid w:val="005614D6"/>
    <w:rsid w:val="0056158D"/>
    <w:rsid w:val="0056162B"/>
    <w:rsid w:val="0056165A"/>
    <w:rsid w:val="005616F9"/>
    <w:rsid w:val="0056176D"/>
    <w:rsid w:val="0056189C"/>
    <w:rsid w:val="00561AA8"/>
    <w:rsid w:val="00561B26"/>
    <w:rsid w:val="00561D3D"/>
    <w:rsid w:val="00561DB8"/>
    <w:rsid w:val="00561E92"/>
    <w:rsid w:val="00561EA0"/>
    <w:rsid w:val="00561EE3"/>
    <w:rsid w:val="00562177"/>
    <w:rsid w:val="005621BF"/>
    <w:rsid w:val="00562292"/>
    <w:rsid w:val="00562450"/>
    <w:rsid w:val="00562515"/>
    <w:rsid w:val="0056251B"/>
    <w:rsid w:val="0056255F"/>
    <w:rsid w:val="0056263E"/>
    <w:rsid w:val="005628AF"/>
    <w:rsid w:val="005628E5"/>
    <w:rsid w:val="005629E8"/>
    <w:rsid w:val="00562BC0"/>
    <w:rsid w:val="00562CAF"/>
    <w:rsid w:val="00562D9F"/>
    <w:rsid w:val="00562F69"/>
    <w:rsid w:val="00562FCC"/>
    <w:rsid w:val="00563067"/>
    <w:rsid w:val="0056308A"/>
    <w:rsid w:val="005630CA"/>
    <w:rsid w:val="0056324C"/>
    <w:rsid w:val="00563265"/>
    <w:rsid w:val="00563289"/>
    <w:rsid w:val="00563301"/>
    <w:rsid w:val="00563516"/>
    <w:rsid w:val="00563604"/>
    <w:rsid w:val="0056361C"/>
    <w:rsid w:val="0056365C"/>
    <w:rsid w:val="0056375A"/>
    <w:rsid w:val="005639C7"/>
    <w:rsid w:val="00563A18"/>
    <w:rsid w:val="00563AEF"/>
    <w:rsid w:val="00563B0F"/>
    <w:rsid w:val="00563BD3"/>
    <w:rsid w:val="00563BD7"/>
    <w:rsid w:val="00563D24"/>
    <w:rsid w:val="00563E55"/>
    <w:rsid w:val="00563E96"/>
    <w:rsid w:val="00563EE9"/>
    <w:rsid w:val="00563F74"/>
    <w:rsid w:val="00563F8E"/>
    <w:rsid w:val="0056401D"/>
    <w:rsid w:val="00564063"/>
    <w:rsid w:val="00564069"/>
    <w:rsid w:val="0056409D"/>
    <w:rsid w:val="0056419F"/>
    <w:rsid w:val="005641AF"/>
    <w:rsid w:val="005641C7"/>
    <w:rsid w:val="00564266"/>
    <w:rsid w:val="0056428A"/>
    <w:rsid w:val="005642FF"/>
    <w:rsid w:val="0056432C"/>
    <w:rsid w:val="00564353"/>
    <w:rsid w:val="00564441"/>
    <w:rsid w:val="00564463"/>
    <w:rsid w:val="005644B6"/>
    <w:rsid w:val="00564595"/>
    <w:rsid w:val="00564600"/>
    <w:rsid w:val="00564606"/>
    <w:rsid w:val="00564793"/>
    <w:rsid w:val="005647D6"/>
    <w:rsid w:val="0056492E"/>
    <w:rsid w:val="00564958"/>
    <w:rsid w:val="005649A0"/>
    <w:rsid w:val="005649C1"/>
    <w:rsid w:val="005649D1"/>
    <w:rsid w:val="00564A37"/>
    <w:rsid w:val="00564AC9"/>
    <w:rsid w:val="00564AD8"/>
    <w:rsid w:val="00564B40"/>
    <w:rsid w:val="00564D17"/>
    <w:rsid w:val="00564D4E"/>
    <w:rsid w:val="00564D6E"/>
    <w:rsid w:val="00564DB3"/>
    <w:rsid w:val="00564E60"/>
    <w:rsid w:val="00564FF5"/>
    <w:rsid w:val="005650B3"/>
    <w:rsid w:val="005652FA"/>
    <w:rsid w:val="0056537B"/>
    <w:rsid w:val="005653BF"/>
    <w:rsid w:val="0056547E"/>
    <w:rsid w:val="005654E2"/>
    <w:rsid w:val="00565520"/>
    <w:rsid w:val="005655A7"/>
    <w:rsid w:val="005655AF"/>
    <w:rsid w:val="005656BE"/>
    <w:rsid w:val="005657AE"/>
    <w:rsid w:val="005658D1"/>
    <w:rsid w:val="00565934"/>
    <w:rsid w:val="005659C3"/>
    <w:rsid w:val="00565A23"/>
    <w:rsid w:val="00565A2A"/>
    <w:rsid w:val="00565AA3"/>
    <w:rsid w:val="00565AC1"/>
    <w:rsid w:val="00565AFA"/>
    <w:rsid w:val="00565B00"/>
    <w:rsid w:val="00565C66"/>
    <w:rsid w:val="00565D10"/>
    <w:rsid w:val="00565DA5"/>
    <w:rsid w:val="00565DA9"/>
    <w:rsid w:val="00565E51"/>
    <w:rsid w:val="00565F69"/>
    <w:rsid w:val="00566152"/>
    <w:rsid w:val="005661A6"/>
    <w:rsid w:val="00566202"/>
    <w:rsid w:val="0056631C"/>
    <w:rsid w:val="00566352"/>
    <w:rsid w:val="005663C4"/>
    <w:rsid w:val="00566404"/>
    <w:rsid w:val="0056644D"/>
    <w:rsid w:val="00566453"/>
    <w:rsid w:val="00566472"/>
    <w:rsid w:val="00566485"/>
    <w:rsid w:val="005664AA"/>
    <w:rsid w:val="005667AF"/>
    <w:rsid w:val="005667EF"/>
    <w:rsid w:val="0056694A"/>
    <w:rsid w:val="00566956"/>
    <w:rsid w:val="0056695E"/>
    <w:rsid w:val="00566A26"/>
    <w:rsid w:val="00566A8B"/>
    <w:rsid w:val="00566AF4"/>
    <w:rsid w:val="00566B53"/>
    <w:rsid w:val="00566B62"/>
    <w:rsid w:val="00566C0F"/>
    <w:rsid w:val="00566C63"/>
    <w:rsid w:val="00566C84"/>
    <w:rsid w:val="00566D16"/>
    <w:rsid w:val="00566D71"/>
    <w:rsid w:val="00566D7D"/>
    <w:rsid w:val="00566EA6"/>
    <w:rsid w:val="00566EAD"/>
    <w:rsid w:val="00566F1C"/>
    <w:rsid w:val="00567031"/>
    <w:rsid w:val="0056705E"/>
    <w:rsid w:val="005670A8"/>
    <w:rsid w:val="0056710C"/>
    <w:rsid w:val="0056710E"/>
    <w:rsid w:val="0056722F"/>
    <w:rsid w:val="00567267"/>
    <w:rsid w:val="0056726E"/>
    <w:rsid w:val="005672B0"/>
    <w:rsid w:val="005674A2"/>
    <w:rsid w:val="005674C8"/>
    <w:rsid w:val="005674CA"/>
    <w:rsid w:val="005675C6"/>
    <w:rsid w:val="005676A3"/>
    <w:rsid w:val="0056777A"/>
    <w:rsid w:val="0056778E"/>
    <w:rsid w:val="005677E8"/>
    <w:rsid w:val="0056796D"/>
    <w:rsid w:val="005679B2"/>
    <w:rsid w:val="00567A35"/>
    <w:rsid w:val="00567A67"/>
    <w:rsid w:val="00567A98"/>
    <w:rsid w:val="00567B1F"/>
    <w:rsid w:val="00567B6D"/>
    <w:rsid w:val="00567E05"/>
    <w:rsid w:val="00567F4B"/>
    <w:rsid w:val="00567FE9"/>
    <w:rsid w:val="00570021"/>
    <w:rsid w:val="005700D8"/>
    <w:rsid w:val="005700F3"/>
    <w:rsid w:val="00570284"/>
    <w:rsid w:val="005703A4"/>
    <w:rsid w:val="005703B3"/>
    <w:rsid w:val="00570644"/>
    <w:rsid w:val="00570684"/>
    <w:rsid w:val="0057072D"/>
    <w:rsid w:val="00570870"/>
    <w:rsid w:val="005708A8"/>
    <w:rsid w:val="00570904"/>
    <w:rsid w:val="005709CF"/>
    <w:rsid w:val="00570A6B"/>
    <w:rsid w:val="00570AAE"/>
    <w:rsid w:val="00570B8D"/>
    <w:rsid w:val="00570BDA"/>
    <w:rsid w:val="00570C0F"/>
    <w:rsid w:val="00570C15"/>
    <w:rsid w:val="00570C17"/>
    <w:rsid w:val="00570DCE"/>
    <w:rsid w:val="00570DF0"/>
    <w:rsid w:val="00570E74"/>
    <w:rsid w:val="00570E95"/>
    <w:rsid w:val="00570F58"/>
    <w:rsid w:val="00571104"/>
    <w:rsid w:val="00571114"/>
    <w:rsid w:val="00571133"/>
    <w:rsid w:val="005711C7"/>
    <w:rsid w:val="005711CF"/>
    <w:rsid w:val="0057122C"/>
    <w:rsid w:val="0057124D"/>
    <w:rsid w:val="00571630"/>
    <w:rsid w:val="00571697"/>
    <w:rsid w:val="00571780"/>
    <w:rsid w:val="00571A88"/>
    <w:rsid w:val="00571BBD"/>
    <w:rsid w:val="00571BD3"/>
    <w:rsid w:val="00571BF0"/>
    <w:rsid w:val="00571CC1"/>
    <w:rsid w:val="00571D58"/>
    <w:rsid w:val="00571D8C"/>
    <w:rsid w:val="00571EC4"/>
    <w:rsid w:val="00571FA4"/>
    <w:rsid w:val="00571FBB"/>
    <w:rsid w:val="0057201B"/>
    <w:rsid w:val="0057205A"/>
    <w:rsid w:val="005720F6"/>
    <w:rsid w:val="0057210B"/>
    <w:rsid w:val="0057211E"/>
    <w:rsid w:val="00572178"/>
    <w:rsid w:val="005722C1"/>
    <w:rsid w:val="005722D2"/>
    <w:rsid w:val="0057231B"/>
    <w:rsid w:val="005723F0"/>
    <w:rsid w:val="0057241C"/>
    <w:rsid w:val="0057241D"/>
    <w:rsid w:val="005724C0"/>
    <w:rsid w:val="005724EF"/>
    <w:rsid w:val="0057253E"/>
    <w:rsid w:val="0057277C"/>
    <w:rsid w:val="005727BC"/>
    <w:rsid w:val="005728D4"/>
    <w:rsid w:val="005729FF"/>
    <w:rsid w:val="00572A04"/>
    <w:rsid w:val="00572B23"/>
    <w:rsid w:val="00572B81"/>
    <w:rsid w:val="00572B89"/>
    <w:rsid w:val="00572C95"/>
    <w:rsid w:val="00572D90"/>
    <w:rsid w:val="00572DB3"/>
    <w:rsid w:val="00572E0B"/>
    <w:rsid w:val="00572E1C"/>
    <w:rsid w:val="00572E87"/>
    <w:rsid w:val="00572FAE"/>
    <w:rsid w:val="00572FD9"/>
    <w:rsid w:val="00573048"/>
    <w:rsid w:val="005730A0"/>
    <w:rsid w:val="00573120"/>
    <w:rsid w:val="00573124"/>
    <w:rsid w:val="0057318C"/>
    <w:rsid w:val="005731CE"/>
    <w:rsid w:val="005731D8"/>
    <w:rsid w:val="00573307"/>
    <w:rsid w:val="005733B8"/>
    <w:rsid w:val="00573425"/>
    <w:rsid w:val="005735E5"/>
    <w:rsid w:val="00573658"/>
    <w:rsid w:val="00573880"/>
    <w:rsid w:val="00573AC0"/>
    <w:rsid w:val="00573B79"/>
    <w:rsid w:val="00573BE7"/>
    <w:rsid w:val="00573C87"/>
    <w:rsid w:val="00573D1D"/>
    <w:rsid w:val="00573E2D"/>
    <w:rsid w:val="00573FD5"/>
    <w:rsid w:val="00574097"/>
    <w:rsid w:val="00574123"/>
    <w:rsid w:val="005741B8"/>
    <w:rsid w:val="00574287"/>
    <w:rsid w:val="005742DE"/>
    <w:rsid w:val="005742F1"/>
    <w:rsid w:val="00574367"/>
    <w:rsid w:val="0057437D"/>
    <w:rsid w:val="00574393"/>
    <w:rsid w:val="005743E2"/>
    <w:rsid w:val="00574421"/>
    <w:rsid w:val="0057444C"/>
    <w:rsid w:val="00574524"/>
    <w:rsid w:val="005745F7"/>
    <w:rsid w:val="005746E6"/>
    <w:rsid w:val="005746F3"/>
    <w:rsid w:val="005747A9"/>
    <w:rsid w:val="00574827"/>
    <w:rsid w:val="00574877"/>
    <w:rsid w:val="005748C0"/>
    <w:rsid w:val="005749F0"/>
    <w:rsid w:val="00574A4C"/>
    <w:rsid w:val="00574A71"/>
    <w:rsid w:val="00574B0D"/>
    <w:rsid w:val="00574B10"/>
    <w:rsid w:val="00574BD8"/>
    <w:rsid w:val="00574C2F"/>
    <w:rsid w:val="00574DF8"/>
    <w:rsid w:val="00574EB3"/>
    <w:rsid w:val="00574F4F"/>
    <w:rsid w:val="00575096"/>
    <w:rsid w:val="005750C7"/>
    <w:rsid w:val="005750FE"/>
    <w:rsid w:val="00575106"/>
    <w:rsid w:val="005751D9"/>
    <w:rsid w:val="005751FF"/>
    <w:rsid w:val="00575213"/>
    <w:rsid w:val="0057522C"/>
    <w:rsid w:val="005753AA"/>
    <w:rsid w:val="005753C4"/>
    <w:rsid w:val="00575471"/>
    <w:rsid w:val="00575582"/>
    <w:rsid w:val="005755BE"/>
    <w:rsid w:val="0057564D"/>
    <w:rsid w:val="00575664"/>
    <w:rsid w:val="005756D5"/>
    <w:rsid w:val="00575712"/>
    <w:rsid w:val="00575713"/>
    <w:rsid w:val="005757A9"/>
    <w:rsid w:val="005757C8"/>
    <w:rsid w:val="00575836"/>
    <w:rsid w:val="005758FA"/>
    <w:rsid w:val="00575A02"/>
    <w:rsid w:val="00575AE5"/>
    <w:rsid w:val="00575AFB"/>
    <w:rsid w:val="00575B42"/>
    <w:rsid w:val="00575B89"/>
    <w:rsid w:val="00575B9A"/>
    <w:rsid w:val="00575BA4"/>
    <w:rsid w:val="00575BDA"/>
    <w:rsid w:val="00575DC4"/>
    <w:rsid w:val="00575E36"/>
    <w:rsid w:val="00575F07"/>
    <w:rsid w:val="00575F66"/>
    <w:rsid w:val="005760B9"/>
    <w:rsid w:val="005760CE"/>
    <w:rsid w:val="0057628E"/>
    <w:rsid w:val="0057632D"/>
    <w:rsid w:val="0057637E"/>
    <w:rsid w:val="005765EE"/>
    <w:rsid w:val="00576628"/>
    <w:rsid w:val="005766BE"/>
    <w:rsid w:val="005766EB"/>
    <w:rsid w:val="005767F9"/>
    <w:rsid w:val="00576878"/>
    <w:rsid w:val="005768A3"/>
    <w:rsid w:val="005769CD"/>
    <w:rsid w:val="00576A64"/>
    <w:rsid w:val="00576A94"/>
    <w:rsid w:val="00576AA6"/>
    <w:rsid w:val="00576B81"/>
    <w:rsid w:val="00576BE4"/>
    <w:rsid w:val="00576E5D"/>
    <w:rsid w:val="00576EFC"/>
    <w:rsid w:val="00576F52"/>
    <w:rsid w:val="00576F99"/>
    <w:rsid w:val="005771AB"/>
    <w:rsid w:val="00577206"/>
    <w:rsid w:val="005772E0"/>
    <w:rsid w:val="00577379"/>
    <w:rsid w:val="00577536"/>
    <w:rsid w:val="005776B9"/>
    <w:rsid w:val="005776DA"/>
    <w:rsid w:val="00577775"/>
    <w:rsid w:val="005777D5"/>
    <w:rsid w:val="00577871"/>
    <w:rsid w:val="00577872"/>
    <w:rsid w:val="005779E2"/>
    <w:rsid w:val="00577A72"/>
    <w:rsid w:val="00577C3E"/>
    <w:rsid w:val="00577D06"/>
    <w:rsid w:val="00577D18"/>
    <w:rsid w:val="00577D1D"/>
    <w:rsid w:val="00577EC4"/>
    <w:rsid w:val="00577F13"/>
    <w:rsid w:val="00577F67"/>
    <w:rsid w:val="00577FAB"/>
    <w:rsid w:val="00577FB5"/>
    <w:rsid w:val="00580013"/>
    <w:rsid w:val="0058013C"/>
    <w:rsid w:val="005801B6"/>
    <w:rsid w:val="00580231"/>
    <w:rsid w:val="00580341"/>
    <w:rsid w:val="00580464"/>
    <w:rsid w:val="005804B9"/>
    <w:rsid w:val="0058052C"/>
    <w:rsid w:val="005805B0"/>
    <w:rsid w:val="005805F0"/>
    <w:rsid w:val="00580664"/>
    <w:rsid w:val="0058067B"/>
    <w:rsid w:val="005806F7"/>
    <w:rsid w:val="0058075A"/>
    <w:rsid w:val="005807C3"/>
    <w:rsid w:val="005807FF"/>
    <w:rsid w:val="00580875"/>
    <w:rsid w:val="00580989"/>
    <w:rsid w:val="00580AE9"/>
    <w:rsid w:val="00580B65"/>
    <w:rsid w:val="00580BB3"/>
    <w:rsid w:val="00580BBB"/>
    <w:rsid w:val="00580CF1"/>
    <w:rsid w:val="00580DA1"/>
    <w:rsid w:val="00580E01"/>
    <w:rsid w:val="00580F1C"/>
    <w:rsid w:val="00580F1D"/>
    <w:rsid w:val="00580F32"/>
    <w:rsid w:val="00580F4A"/>
    <w:rsid w:val="00580FDA"/>
    <w:rsid w:val="005810D3"/>
    <w:rsid w:val="00581125"/>
    <w:rsid w:val="0058113B"/>
    <w:rsid w:val="00581149"/>
    <w:rsid w:val="005811EE"/>
    <w:rsid w:val="00581268"/>
    <w:rsid w:val="00581333"/>
    <w:rsid w:val="00581480"/>
    <w:rsid w:val="0058153C"/>
    <w:rsid w:val="00581636"/>
    <w:rsid w:val="0058167C"/>
    <w:rsid w:val="00581810"/>
    <w:rsid w:val="00581855"/>
    <w:rsid w:val="005818DE"/>
    <w:rsid w:val="005818E0"/>
    <w:rsid w:val="00581984"/>
    <w:rsid w:val="00581ACE"/>
    <w:rsid w:val="00581B19"/>
    <w:rsid w:val="00581C67"/>
    <w:rsid w:val="00581CB2"/>
    <w:rsid w:val="00581DD5"/>
    <w:rsid w:val="00582042"/>
    <w:rsid w:val="00582210"/>
    <w:rsid w:val="00582473"/>
    <w:rsid w:val="005825C7"/>
    <w:rsid w:val="005825FA"/>
    <w:rsid w:val="0058288D"/>
    <w:rsid w:val="005828C3"/>
    <w:rsid w:val="0058292F"/>
    <w:rsid w:val="005829BD"/>
    <w:rsid w:val="00582AB9"/>
    <w:rsid w:val="00582B5C"/>
    <w:rsid w:val="00582B82"/>
    <w:rsid w:val="00582B8C"/>
    <w:rsid w:val="00582BBB"/>
    <w:rsid w:val="00582BE2"/>
    <w:rsid w:val="00582BF8"/>
    <w:rsid w:val="00582C98"/>
    <w:rsid w:val="00582FD4"/>
    <w:rsid w:val="00583016"/>
    <w:rsid w:val="005830B1"/>
    <w:rsid w:val="00583148"/>
    <w:rsid w:val="00583228"/>
    <w:rsid w:val="0058325D"/>
    <w:rsid w:val="00583350"/>
    <w:rsid w:val="005834AF"/>
    <w:rsid w:val="005834C8"/>
    <w:rsid w:val="005834D6"/>
    <w:rsid w:val="00583801"/>
    <w:rsid w:val="00583874"/>
    <w:rsid w:val="0058387F"/>
    <w:rsid w:val="005838C0"/>
    <w:rsid w:val="00583901"/>
    <w:rsid w:val="005839D9"/>
    <w:rsid w:val="00583A56"/>
    <w:rsid w:val="00583DF6"/>
    <w:rsid w:val="00583E34"/>
    <w:rsid w:val="00583F23"/>
    <w:rsid w:val="0058401E"/>
    <w:rsid w:val="00584060"/>
    <w:rsid w:val="0058408D"/>
    <w:rsid w:val="005840C6"/>
    <w:rsid w:val="005842D7"/>
    <w:rsid w:val="00584556"/>
    <w:rsid w:val="005845B3"/>
    <w:rsid w:val="00584664"/>
    <w:rsid w:val="005846C6"/>
    <w:rsid w:val="005846F9"/>
    <w:rsid w:val="00584959"/>
    <w:rsid w:val="00584A45"/>
    <w:rsid w:val="00584AEB"/>
    <w:rsid w:val="00584B3E"/>
    <w:rsid w:val="00584B48"/>
    <w:rsid w:val="00584B53"/>
    <w:rsid w:val="00584B97"/>
    <w:rsid w:val="00584BA9"/>
    <w:rsid w:val="00584BAE"/>
    <w:rsid w:val="00584BC4"/>
    <w:rsid w:val="00584BF5"/>
    <w:rsid w:val="00584CE1"/>
    <w:rsid w:val="00584F8D"/>
    <w:rsid w:val="00584FAD"/>
    <w:rsid w:val="00584FAE"/>
    <w:rsid w:val="0058500E"/>
    <w:rsid w:val="005850AE"/>
    <w:rsid w:val="0058513A"/>
    <w:rsid w:val="005853BF"/>
    <w:rsid w:val="005854EF"/>
    <w:rsid w:val="0058551B"/>
    <w:rsid w:val="005855E9"/>
    <w:rsid w:val="00585676"/>
    <w:rsid w:val="005858D9"/>
    <w:rsid w:val="005858F5"/>
    <w:rsid w:val="00585906"/>
    <w:rsid w:val="0058594A"/>
    <w:rsid w:val="005859BE"/>
    <w:rsid w:val="00585A73"/>
    <w:rsid w:val="00585C1E"/>
    <w:rsid w:val="00585C22"/>
    <w:rsid w:val="00585C32"/>
    <w:rsid w:val="00585CB0"/>
    <w:rsid w:val="00585D88"/>
    <w:rsid w:val="00585E63"/>
    <w:rsid w:val="00585ECB"/>
    <w:rsid w:val="00585F2E"/>
    <w:rsid w:val="00585F9D"/>
    <w:rsid w:val="00585FC5"/>
    <w:rsid w:val="00586001"/>
    <w:rsid w:val="00586005"/>
    <w:rsid w:val="0058605C"/>
    <w:rsid w:val="005860D2"/>
    <w:rsid w:val="00586179"/>
    <w:rsid w:val="005862C6"/>
    <w:rsid w:val="00586366"/>
    <w:rsid w:val="00586473"/>
    <w:rsid w:val="005865B9"/>
    <w:rsid w:val="005865F2"/>
    <w:rsid w:val="00586790"/>
    <w:rsid w:val="00586A6E"/>
    <w:rsid w:val="00586C05"/>
    <w:rsid w:val="00586D75"/>
    <w:rsid w:val="00586F16"/>
    <w:rsid w:val="00586F2C"/>
    <w:rsid w:val="0058703D"/>
    <w:rsid w:val="00587080"/>
    <w:rsid w:val="00587102"/>
    <w:rsid w:val="00587204"/>
    <w:rsid w:val="00587425"/>
    <w:rsid w:val="00587431"/>
    <w:rsid w:val="00587547"/>
    <w:rsid w:val="005875A3"/>
    <w:rsid w:val="00587678"/>
    <w:rsid w:val="00587803"/>
    <w:rsid w:val="00587836"/>
    <w:rsid w:val="005878C4"/>
    <w:rsid w:val="005878C8"/>
    <w:rsid w:val="005878DA"/>
    <w:rsid w:val="005878F3"/>
    <w:rsid w:val="00587919"/>
    <w:rsid w:val="00587936"/>
    <w:rsid w:val="00587A3A"/>
    <w:rsid w:val="00587A4A"/>
    <w:rsid w:val="00587BAB"/>
    <w:rsid w:val="00587C09"/>
    <w:rsid w:val="00587F5A"/>
    <w:rsid w:val="00590033"/>
    <w:rsid w:val="00590081"/>
    <w:rsid w:val="005900D4"/>
    <w:rsid w:val="0059014E"/>
    <w:rsid w:val="005901BD"/>
    <w:rsid w:val="00590274"/>
    <w:rsid w:val="005902B8"/>
    <w:rsid w:val="0059035E"/>
    <w:rsid w:val="005903A7"/>
    <w:rsid w:val="00590410"/>
    <w:rsid w:val="00590429"/>
    <w:rsid w:val="00590681"/>
    <w:rsid w:val="005906AE"/>
    <w:rsid w:val="005906E2"/>
    <w:rsid w:val="00590788"/>
    <w:rsid w:val="00590890"/>
    <w:rsid w:val="00590A34"/>
    <w:rsid w:val="00590A4A"/>
    <w:rsid w:val="00590B0B"/>
    <w:rsid w:val="00590B1A"/>
    <w:rsid w:val="00590B24"/>
    <w:rsid w:val="00590B55"/>
    <w:rsid w:val="00590B89"/>
    <w:rsid w:val="00590D0E"/>
    <w:rsid w:val="00590DEC"/>
    <w:rsid w:val="00590F84"/>
    <w:rsid w:val="00590F8F"/>
    <w:rsid w:val="00590F91"/>
    <w:rsid w:val="0059103F"/>
    <w:rsid w:val="0059113E"/>
    <w:rsid w:val="005911B4"/>
    <w:rsid w:val="005914EF"/>
    <w:rsid w:val="0059153A"/>
    <w:rsid w:val="005915CC"/>
    <w:rsid w:val="005915D1"/>
    <w:rsid w:val="0059172F"/>
    <w:rsid w:val="00591790"/>
    <w:rsid w:val="0059185E"/>
    <w:rsid w:val="005918AE"/>
    <w:rsid w:val="005918F0"/>
    <w:rsid w:val="005919A0"/>
    <w:rsid w:val="00591A69"/>
    <w:rsid w:val="00591E86"/>
    <w:rsid w:val="00591E8A"/>
    <w:rsid w:val="005920AA"/>
    <w:rsid w:val="00592103"/>
    <w:rsid w:val="00592163"/>
    <w:rsid w:val="005921CF"/>
    <w:rsid w:val="00592232"/>
    <w:rsid w:val="005923BF"/>
    <w:rsid w:val="005923C6"/>
    <w:rsid w:val="00592441"/>
    <w:rsid w:val="005925BD"/>
    <w:rsid w:val="005926E0"/>
    <w:rsid w:val="00592852"/>
    <w:rsid w:val="0059291C"/>
    <w:rsid w:val="00592B21"/>
    <w:rsid w:val="00592BA3"/>
    <w:rsid w:val="00592C3E"/>
    <w:rsid w:val="00592C4A"/>
    <w:rsid w:val="00592C6E"/>
    <w:rsid w:val="00592CBE"/>
    <w:rsid w:val="00592D25"/>
    <w:rsid w:val="00592D9A"/>
    <w:rsid w:val="00592DD7"/>
    <w:rsid w:val="00592E2B"/>
    <w:rsid w:val="00592E6A"/>
    <w:rsid w:val="00592EC7"/>
    <w:rsid w:val="00592EE6"/>
    <w:rsid w:val="00592F5D"/>
    <w:rsid w:val="00592F76"/>
    <w:rsid w:val="00592FB5"/>
    <w:rsid w:val="0059303B"/>
    <w:rsid w:val="0059306D"/>
    <w:rsid w:val="005931B1"/>
    <w:rsid w:val="005931F3"/>
    <w:rsid w:val="00593205"/>
    <w:rsid w:val="005932D8"/>
    <w:rsid w:val="005933AB"/>
    <w:rsid w:val="00593471"/>
    <w:rsid w:val="005934A6"/>
    <w:rsid w:val="00593539"/>
    <w:rsid w:val="005935F5"/>
    <w:rsid w:val="00593664"/>
    <w:rsid w:val="005936B0"/>
    <w:rsid w:val="00593788"/>
    <w:rsid w:val="00593834"/>
    <w:rsid w:val="00593885"/>
    <w:rsid w:val="00593898"/>
    <w:rsid w:val="00593A36"/>
    <w:rsid w:val="00593A80"/>
    <w:rsid w:val="00593AA1"/>
    <w:rsid w:val="00593B74"/>
    <w:rsid w:val="00593BED"/>
    <w:rsid w:val="00593C08"/>
    <w:rsid w:val="00593C1E"/>
    <w:rsid w:val="00593C9A"/>
    <w:rsid w:val="00593CBE"/>
    <w:rsid w:val="00593CDD"/>
    <w:rsid w:val="00593CFB"/>
    <w:rsid w:val="00593E79"/>
    <w:rsid w:val="0059400F"/>
    <w:rsid w:val="00594012"/>
    <w:rsid w:val="00594039"/>
    <w:rsid w:val="005941AF"/>
    <w:rsid w:val="005941D9"/>
    <w:rsid w:val="00594204"/>
    <w:rsid w:val="00594253"/>
    <w:rsid w:val="00594261"/>
    <w:rsid w:val="005943B5"/>
    <w:rsid w:val="00594411"/>
    <w:rsid w:val="005945AB"/>
    <w:rsid w:val="005945BE"/>
    <w:rsid w:val="005945E7"/>
    <w:rsid w:val="0059462F"/>
    <w:rsid w:val="005946ED"/>
    <w:rsid w:val="00594773"/>
    <w:rsid w:val="0059479F"/>
    <w:rsid w:val="00594935"/>
    <w:rsid w:val="005949B7"/>
    <w:rsid w:val="005949DF"/>
    <w:rsid w:val="005949F7"/>
    <w:rsid w:val="00594A3A"/>
    <w:rsid w:val="00594A4C"/>
    <w:rsid w:val="00594B8B"/>
    <w:rsid w:val="00594BA9"/>
    <w:rsid w:val="00594C0C"/>
    <w:rsid w:val="00594CF8"/>
    <w:rsid w:val="00594EB1"/>
    <w:rsid w:val="00594EE0"/>
    <w:rsid w:val="00594F43"/>
    <w:rsid w:val="00594F55"/>
    <w:rsid w:val="00595027"/>
    <w:rsid w:val="0059503E"/>
    <w:rsid w:val="00595240"/>
    <w:rsid w:val="00595260"/>
    <w:rsid w:val="00595439"/>
    <w:rsid w:val="00595465"/>
    <w:rsid w:val="005954E1"/>
    <w:rsid w:val="0059557D"/>
    <w:rsid w:val="005955FA"/>
    <w:rsid w:val="005956AE"/>
    <w:rsid w:val="00595722"/>
    <w:rsid w:val="00595765"/>
    <w:rsid w:val="00595961"/>
    <w:rsid w:val="005959E4"/>
    <w:rsid w:val="00595A67"/>
    <w:rsid w:val="00595AB5"/>
    <w:rsid w:val="00595AE1"/>
    <w:rsid w:val="00595B79"/>
    <w:rsid w:val="00595C56"/>
    <w:rsid w:val="00595CD8"/>
    <w:rsid w:val="00595DC4"/>
    <w:rsid w:val="00595E91"/>
    <w:rsid w:val="00595EAD"/>
    <w:rsid w:val="00595EC7"/>
    <w:rsid w:val="00595F4E"/>
    <w:rsid w:val="0059619A"/>
    <w:rsid w:val="005961C2"/>
    <w:rsid w:val="005961C4"/>
    <w:rsid w:val="00596329"/>
    <w:rsid w:val="005963F3"/>
    <w:rsid w:val="00596612"/>
    <w:rsid w:val="00596628"/>
    <w:rsid w:val="00596752"/>
    <w:rsid w:val="005967CB"/>
    <w:rsid w:val="00596851"/>
    <w:rsid w:val="0059687D"/>
    <w:rsid w:val="0059695B"/>
    <w:rsid w:val="0059697A"/>
    <w:rsid w:val="00596A8E"/>
    <w:rsid w:val="00596B20"/>
    <w:rsid w:val="00596B6D"/>
    <w:rsid w:val="00596C4E"/>
    <w:rsid w:val="00596C7E"/>
    <w:rsid w:val="00596D56"/>
    <w:rsid w:val="00596DBE"/>
    <w:rsid w:val="00596DD9"/>
    <w:rsid w:val="00596E76"/>
    <w:rsid w:val="00596E83"/>
    <w:rsid w:val="00596EA0"/>
    <w:rsid w:val="00596F0A"/>
    <w:rsid w:val="00596F24"/>
    <w:rsid w:val="00596F84"/>
    <w:rsid w:val="005970D6"/>
    <w:rsid w:val="005970FF"/>
    <w:rsid w:val="00597243"/>
    <w:rsid w:val="00597255"/>
    <w:rsid w:val="0059731B"/>
    <w:rsid w:val="00597385"/>
    <w:rsid w:val="00597485"/>
    <w:rsid w:val="005974B4"/>
    <w:rsid w:val="005975CA"/>
    <w:rsid w:val="005976AD"/>
    <w:rsid w:val="0059770B"/>
    <w:rsid w:val="00597739"/>
    <w:rsid w:val="005977C3"/>
    <w:rsid w:val="00597900"/>
    <w:rsid w:val="0059793F"/>
    <w:rsid w:val="00597AC8"/>
    <w:rsid w:val="00597B7E"/>
    <w:rsid w:val="00597BB8"/>
    <w:rsid w:val="00597CCE"/>
    <w:rsid w:val="00597D9A"/>
    <w:rsid w:val="00597E5B"/>
    <w:rsid w:val="00597EA1"/>
    <w:rsid w:val="00597EE9"/>
    <w:rsid w:val="00597FCC"/>
    <w:rsid w:val="005A001B"/>
    <w:rsid w:val="005A013E"/>
    <w:rsid w:val="005A0197"/>
    <w:rsid w:val="005A01AB"/>
    <w:rsid w:val="005A020C"/>
    <w:rsid w:val="005A0238"/>
    <w:rsid w:val="005A02B9"/>
    <w:rsid w:val="005A0345"/>
    <w:rsid w:val="005A0349"/>
    <w:rsid w:val="005A038F"/>
    <w:rsid w:val="005A04D1"/>
    <w:rsid w:val="005A07DC"/>
    <w:rsid w:val="005A0872"/>
    <w:rsid w:val="005A08A7"/>
    <w:rsid w:val="005A0987"/>
    <w:rsid w:val="005A0B64"/>
    <w:rsid w:val="005A0BDE"/>
    <w:rsid w:val="005A0BEF"/>
    <w:rsid w:val="005A0C80"/>
    <w:rsid w:val="005A0C93"/>
    <w:rsid w:val="005A0D74"/>
    <w:rsid w:val="005A0D9A"/>
    <w:rsid w:val="005A0D9B"/>
    <w:rsid w:val="005A0EB5"/>
    <w:rsid w:val="005A112B"/>
    <w:rsid w:val="005A1210"/>
    <w:rsid w:val="005A1261"/>
    <w:rsid w:val="005A130A"/>
    <w:rsid w:val="005A13CD"/>
    <w:rsid w:val="005A1427"/>
    <w:rsid w:val="005A14D6"/>
    <w:rsid w:val="005A1501"/>
    <w:rsid w:val="005A1533"/>
    <w:rsid w:val="005A16A5"/>
    <w:rsid w:val="005A16CB"/>
    <w:rsid w:val="005A1738"/>
    <w:rsid w:val="005A1767"/>
    <w:rsid w:val="005A188A"/>
    <w:rsid w:val="005A188E"/>
    <w:rsid w:val="005A1895"/>
    <w:rsid w:val="005A189F"/>
    <w:rsid w:val="005A19F7"/>
    <w:rsid w:val="005A1A67"/>
    <w:rsid w:val="005A1A81"/>
    <w:rsid w:val="005A1AE3"/>
    <w:rsid w:val="005A1B15"/>
    <w:rsid w:val="005A1C6D"/>
    <w:rsid w:val="005A1D17"/>
    <w:rsid w:val="005A1F63"/>
    <w:rsid w:val="005A1FCF"/>
    <w:rsid w:val="005A20FC"/>
    <w:rsid w:val="005A21F1"/>
    <w:rsid w:val="005A2203"/>
    <w:rsid w:val="005A2236"/>
    <w:rsid w:val="005A22AB"/>
    <w:rsid w:val="005A232B"/>
    <w:rsid w:val="005A23A5"/>
    <w:rsid w:val="005A2416"/>
    <w:rsid w:val="005A2429"/>
    <w:rsid w:val="005A24EF"/>
    <w:rsid w:val="005A258B"/>
    <w:rsid w:val="005A269E"/>
    <w:rsid w:val="005A2702"/>
    <w:rsid w:val="005A2723"/>
    <w:rsid w:val="005A27D1"/>
    <w:rsid w:val="005A2895"/>
    <w:rsid w:val="005A28D9"/>
    <w:rsid w:val="005A2A6F"/>
    <w:rsid w:val="005A2AAF"/>
    <w:rsid w:val="005A2AEC"/>
    <w:rsid w:val="005A2B2B"/>
    <w:rsid w:val="005A2BCC"/>
    <w:rsid w:val="005A2BED"/>
    <w:rsid w:val="005A2C19"/>
    <w:rsid w:val="005A2D0D"/>
    <w:rsid w:val="005A2D8F"/>
    <w:rsid w:val="005A2D96"/>
    <w:rsid w:val="005A2DBD"/>
    <w:rsid w:val="005A2DC9"/>
    <w:rsid w:val="005A2EF7"/>
    <w:rsid w:val="005A2F35"/>
    <w:rsid w:val="005A2FF2"/>
    <w:rsid w:val="005A3117"/>
    <w:rsid w:val="005A317A"/>
    <w:rsid w:val="005A326C"/>
    <w:rsid w:val="005A33BB"/>
    <w:rsid w:val="005A3403"/>
    <w:rsid w:val="005A34B6"/>
    <w:rsid w:val="005A365B"/>
    <w:rsid w:val="005A3698"/>
    <w:rsid w:val="005A3882"/>
    <w:rsid w:val="005A3893"/>
    <w:rsid w:val="005A38B0"/>
    <w:rsid w:val="005A3902"/>
    <w:rsid w:val="005A3961"/>
    <w:rsid w:val="005A39AA"/>
    <w:rsid w:val="005A39FF"/>
    <w:rsid w:val="005A3BEE"/>
    <w:rsid w:val="005A3C41"/>
    <w:rsid w:val="005A3C55"/>
    <w:rsid w:val="005A3CCB"/>
    <w:rsid w:val="005A3DE7"/>
    <w:rsid w:val="005A3E40"/>
    <w:rsid w:val="005A3E67"/>
    <w:rsid w:val="005A3F9A"/>
    <w:rsid w:val="005A3FB1"/>
    <w:rsid w:val="005A3FB8"/>
    <w:rsid w:val="005A4080"/>
    <w:rsid w:val="005A4116"/>
    <w:rsid w:val="005A41C8"/>
    <w:rsid w:val="005A4204"/>
    <w:rsid w:val="005A429C"/>
    <w:rsid w:val="005A42CB"/>
    <w:rsid w:val="005A4445"/>
    <w:rsid w:val="005A448A"/>
    <w:rsid w:val="005A44A2"/>
    <w:rsid w:val="005A46B3"/>
    <w:rsid w:val="005A46EA"/>
    <w:rsid w:val="005A46F5"/>
    <w:rsid w:val="005A477A"/>
    <w:rsid w:val="005A47D3"/>
    <w:rsid w:val="005A4987"/>
    <w:rsid w:val="005A4995"/>
    <w:rsid w:val="005A49F7"/>
    <w:rsid w:val="005A4A60"/>
    <w:rsid w:val="005A4B49"/>
    <w:rsid w:val="005A4C84"/>
    <w:rsid w:val="005A4D50"/>
    <w:rsid w:val="005A4D92"/>
    <w:rsid w:val="005A4DBC"/>
    <w:rsid w:val="005A4DCC"/>
    <w:rsid w:val="005A50D6"/>
    <w:rsid w:val="005A510C"/>
    <w:rsid w:val="005A513D"/>
    <w:rsid w:val="005A525B"/>
    <w:rsid w:val="005A52DE"/>
    <w:rsid w:val="005A5351"/>
    <w:rsid w:val="005A543B"/>
    <w:rsid w:val="005A5463"/>
    <w:rsid w:val="005A54EE"/>
    <w:rsid w:val="005A55CD"/>
    <w:rsid w:val="005A561E"/>
    <w:rsid w:val="005A5798"/>
    <w:rsid w:val="005A57CA"/>
    <w:rsid w:val="005A5833"/>
    <w:rsid w:val="005A5843"/>
    <w:rsid w:val="005A58E9"/>
    <w:rsid w:val="005A59AA"/>
    <w:rsid w:val="005A5A29"/>
    <w:rsid w:val="005A5A5A"/>
    <w:rsid w:val="005A5AC6"/>
    <w:rsid w:val="005A5BCF"/>
    <w:rsid w:val="005A5D26"/>
    <w:rsid w:val="005A5D84"/>
    <w:rsid w:val="005A5E16"/>
    <w:rsid w:val="005A5E8A"/>
    <w:rsid w:val="005A5EBF"/>
    <w:rsid w:val="005A5F90"/>
    <w:rsid w:val="005A602B"/>
    <w:rsid w:val="005A61A2"/>
    <w:rsid w:val="005A63B4"/>
    <w:rsid w:val="005A6600"/>
    <w:rsid w:val="005A6778"/>
    <w:rsid w:val="005A6782"/>
    <w:rsid w:val="005A67EC"/>
    <w:rsid w:val="005A6844"/>
    <w:rsid w:val="005A6869"/>
    <w:rsid w:val="005A6899"/>
    <w:rsid w:val="005A68BF"/>
    <w:rsid w:val="005A69B7"/>
    <w:rsid w:val="005A69C6"/>
    <w:rsid w:val="005A69E7"/>
    <w:rsid w:val="005A6AF5"/>
    <w:rsid w:val="005A6B12"/>
    <w:rsid w:val="005A6BBE"/>
    <w:rsid w:val="005A6CFE"/>
    <w:rsid w:val="005A6DE5"/>
    <w:rsid w:val="005A6EA8"/>
    <w:rsid w:val="005A7029"/>
    <w:rsid w:val="005A7081"/>
    <w:rsid w:val="005A7292"/>
    <w:rsid w:val="005A729C"/>
    <w:rsid w:val="005A731C"/>
    <w:rsid w:val="005A735F"/>
    <w:rsid w:val="005A7361"/>
    <w:rsid w:val="005A7488"/>
    <w:rsid w:val="005A750F"/>
    <w:rsid w:val="005A75CE"/>
    <w:rsid w:val="005A75E1"/>
    <w:rsid w:val="005A75EC"/>
    <w:rsid w:val="005A766A"/>
    <w:rsid w:val="005A7689"/>
    <w:rsid w:val="005A76F5"/>
    <w:rsid w:val="005A7718"/>
    <w:rsid w:val="005A7820"/>
    <w:rsid w:val="005A7845"/>
    <w:rsid w:val="005A7863"/>
    <w:rsid w:val="005A79C7"/>
    <w:rsid w:val="005A7D8B"/>
    <w:rsid w:val="005A7DAF"/>
    <w:rsid w:val="005A7DDF"/>
    <w:rsid w:val="005A7E0A"/>
    <w:rsid w:val="005A7E4F"/>
    <w:rsid w:val="005A7F75"/>
    <w:rsid w:val="005B003E"/>
    <w:rsid w:val="005B00AB"/>
    <w:rsid w:val="005B017E"/>
    <w:rsid w:val="005B0182"/>
    <w:rsid w:val="005B018B"/>
    <w:rsid w:val="005B02D4"/>
    <w:rsid w:val="005B037F"/>
    <w:rsid w:val="005B03B8"/>
    <w:rsid w:val="005B03D9"/>
    <w:rsid w:val="005B0406"/>
    <w:rsid w:val="005B04F2"/>
    <w:rsid w:val="005B0537"/>
    <w:rsid w:val="005B05E5"/>
    <w:rsid w:val="005B05E6"/>
    <w:rsid w:val="005B0606"/>
    <w:rsid w:val="005B0882"/>
    <w:rsid w:val="005B08E6"/>
    <w:rsid w:val="005B095F"/>
    <w:rsid w:val="005B09B3"/>
    <w:rsid w:val="005B09FF"/>
    <w:rsid w:val="005B0AD8"/>
    <w:rsid w:val="005B0BD8"/>
    <w:rsid w:val="005B0BF2"/>
    <w:rsid w:val="005B0C3A"/>
    <w:rsid w:val="005B0CBC"/>
    <w:rsid w:val="005B0E28"/>
    <w:rsid w:val="005B0EF6"/>
    <w:rsid w:val="005B0F28"/>
    <w:rsid w:val="005B0F3C"/>
    <w:rsid w:val="005B1047"/>
    <w:rsid w:val="005B1196"/>
    <w:rsid w:val="005B1250"/>
    <w:rsid w:val="005B12C7"/>
    <w:rsid w:val="005B135C"/>
    <w:rsid w:val="005B1390"/>
    <w:rsid w:val="005B140E"/>
    <w:rsid w:val="005B1452"/>
    <w:rsid w:val="005B153B"/>
    <w:rsid w:val="005B157F"/>
    <w:rsid w:val="005B15A3"/>
    <w:rsid w:val="005B15C9"/>
    <w:rsid w:val="005B161F"/>
    <w:rsid w:val="005B1621"/>
    <w:rsid w:val="005B1622"/>
    <w:rsid w:val="005B1654"/>
    <w:rsid w:val="005B169E"/>
    <w:rsid w:val="005B1714"/>
    <w:rsid w:val="005B1798"/>
    <w:rsid w:val="005B17DD"/>
    <w:rsid w:val="005B1815"/>
    <w:rsid w:val="005B1872"/>
    <w:rsid w:val="005B18A9"/>
    <w:rsid w:val="005B1900"/>
    <w:rsid w:val="005B1909"/>
    <w:rsid w:val="005B19AC"/>
    <w:rsid w:val="005B1A3A"/>
    <w:rsid w:val="005B1AAA"/>
    <w:rsid w:val="005B1B72"/>
    <w:rsid w:val="005B1B8D"/>
    <w:rsid w:val="005B1C09"/>
    <w:rsid w:val="005B1C43"/>
    <w:rsid w:val="005B1C47"/>
    <w:rsid w:val="005B1ECE"/>
    <w:rsid w:val="005B2079"/>
    <w:rsid w:val="005B20CF"/>
    <w:rsid w:val="005B2148"/>
    <w:rsid w:val="005B2176"/>
    <w:rsid w:val="005B21C2"/>
    <w:rsid w:val="005B2317"/>
    <w:rsid w:val="005B23A5"/>
    <w:rsid w:val="005B2495"/>
    <w:rsid w:val="005B2539"/>
    <w:rsid w:val="005B256C"/>
    <w:rsid w:val="005B2738"/>
    <w:rsid w:val="005B276F"/>
    <w:rsid w:val="005B27EE"/>
    <w:rsid w:val="005B27F3"/>
    <w:rsid w:val="005B28A1"/>
    <w:rsid w:val="005B2900"/>
    <w:rsid w:val="005B292B"/>
    <w:rsid w:val="005B29E3"/>
    <w:rsid w:val="005B2A45"/>
    <w:rsid w:val="005B2B7B"/>
    <w:rsid w:val="005B2BDF"/>
    <w:rsid w:val="005B2C2C"/>
    <w:rsid w:val="005B2CF3"/>
    <w:rsid w:val="005B2E62"/>
    <w:rsid w:val="005B2E97"/>
    <w:rsid w:val="005B2E9E"/>
    <w:rsid w:val="005B3071"/>
    <w:rsid w:val="005B308A"/>
    <w:rsid w:val="005B30F5"/>
    <w:rsid w:val="005B310E"/>
    <w:rsid w:val="005B3118"/>
    <w:rsid w:val="005B312B"/>
    <w:rsid w:val="005B3143"/>
    <w:rsid w:val="005B3166"/>
    <w:rsid w:val="005B3191"/>
    <w:rsid w:val="005B31E9"/>
    <w:rsid w:val="005B3234"/>
    <w:rsid w:val="005B3304"/>
    <w:rsid w:val="005B33A6"/>
    <w:rsid w:val="005B3511"/>
    <w:rsid w:val="005B35B3"/>
    <w:rsid w:val="005B35C3"/>
    <w:rsid w:val="005B35D0"/>
    <w:rsid w:val="005B3628"/>
    <w:rsid w:val="005B3638"/>
    <w:rsid w:val="005B36CC"/>
    <w:rsid w:val="005B3779"/>
    <w:rsid w:val="005B37D4"/>
    <w:rsid w:val="005B386C"/>
    <w:rsid w:val="005B38B1"/>
    <w:rsid w:val="005B3954"/>
    <w:rsid w:val="005B398F"/>
    <w:rsid w:val="005B3B31"/>
    <w:rsid w:val="005B3B3F"/>
    <w:rsid w:val="005B3BB2"/>
    <w:rsid w:val="005B3BF2"/>
    <w:rsid w:val="005B3C26"/>
    <w:rsid w:val="005B3C2B"/>
    <w:rsid w:val="005B3C51"/>
    <w:rsid w:val="005B3C90"/>
    <w:rsid w:val="005B3CBF"/>
    <w:rsid w:val="005B3D29"/>
    <w:rsid w:val="005B3E65"/>
    <w:rsid w:val="005B3FC6"/>
    <w:rsid w:val="005B400D"/>
    <w:rsid w:val="005B4096"/>
    <w:rsid w:val="005B40A8"/>
    <w:rsid w:val="005B41BD"/>
    <w:rsid w:val="005B4293"/>
    <w:rsid w:val="005B4351"/>
    <w:rsid w:val="005B4383"/>
    <w:rsid w:val="005B4509"/>
    <w:rsid w:val="005B466A"/>
    <w:rsid w:val="005B467E"/>
    <w:rsid w:val="005B468A"/>
    <w:rsid w:val="005B46C2"/>
    <w:rsid w:val="005B470F"/>
    <w:rsid w:val="005B47CE"/>
    <w:rsid w:val="005B488A"/>
    <w:rsid w:val="005B48CB"/>
    <w:rsid w:val="005B49F6"/>
    <w:rsid w:val="005B4A7F"/>
    <w:rsid w:val="005B4A81"/>
    <w:rsid w:val="005B4B12"/>
    <w:rsid w:val="005B4B16"/>
    <w:rsid w:val="005B4B48"/>
    <w:rsid w:val="005B4C73"/>
    <w:rsid w:val="005B4C9B"/>
    <w:rsid w:val="005B4C9E"/>
    <w:rsid w:val="005B4CB3"/>
    <w:rsid w:val="005B4DE1"/>
    <w:rsid w:val="005B4DE7"/>
    <w:rsid w:val="005B4DF1"/>
    <w:rsid w:val="005B4E14"/>
    <w:rsid w:val="005B4F13"/>
    <w:rsid w:val="005B4F8F"/>
    <w:rsid w:val="005B5089"/>
    <w:rsid w:val="005B511E"/>
    <w:rsid w:val="005B512F"/>
    <w:rsid w:val="005B5183"/>
    <w:rsid w:val="005B518C"/>
    <w:rsid w:val="005B5197"/>
    <w:rsid w:val="005B51F7"/>
    <w:rsid w:val="005B5245"/>
    <w:rsid w:val="005B52CF"/>
    <w:rsid w:val="005B52F7"/>
    <w:rsid w:val="005B5365"/>
    <w:rsid w:val="005B53F2"/>
    <w:rsid w:val="005B54A0"/>
    <w:rsid w:val="005B563E"/>
    <w:rsid w:val="005B5678"/>
    <w:rsid w:val="005B5760"/>
    <w:rsid w:val="005B5821"/>
    <w:rsid w:val="005B58F4"/>
    <w:rsid w:val="005B58F6"/>
    <w:rsid w:val="005B591C"/>
    <w:rsid w:val="005B5996"/>
    <w:rsid w:val="005B59D2"/>
    <w:rsid w:val="005B5A26"/>
    <w:rsid w:val="005B5A92"/>
    <w:rsid w:val="005B5B1D"/>
    <w:rsid w:val="005B5B41"/>
    <w:rsid w:val="005B5BB6"/>
    <w:rsid w:val="005B5C75"/>
    <w:rsid w:val="005B5D8D"/>
    <w:rsid w:val="005B5E0B"/>
    <w:rsid w:val="005B5E6A"/>
    <w:rsid w:val="005B5EAA"/>
    <w:rsid w:val="005B5FB6"/>
    <w:rsid w:val="005B5FD7"/>
    <w:rsid w:val="005B618D"/>
    <w:rsid w:val="005B631D"/>
    <w:rsid w:val="005B6346"/>
    <w:rsid w:val="005B63C3"/>
    <w:rsid w:val="005B64F6"/>
    <w:rsid w:val="005B65D8"/>
    <w:rsid w:val="005B66AC"/>
    <w:rsid w:val="005B66BA"/>
    <w:rsid w:val="005B66BD"/>
    <w:rsid w:val="005B68CA"/>
    <w:rsid w:val="005B68D4"/>
    <w:rsid w:val="005B68E5"/>
    <w:rsid w:val="005B6B2C"/>
    <w:rsid w:val="005B6BA4"/>
    <w:rsid w:val="005B6C05"/>
    <w:rsid w:val="005B6CD7"/>
    <w:rsid w:val="005B6DD2"/>
    <w:rsid w:val="005B6E99"/>
    <w:rsid w:val="005B6F50"/>
    <w:rsid w:val="005B6FD9"/>
    <w:rsid w:val="005B70EB"/>
    <w:rsid w:val="005B70EE"/>
    <w:rsid w:val="005B7108"/>
    <w:rsid w:val="005B7257"/>
    <w:rsid w:val="005B73AC"/>
    <w:rsid w:val="005B758F"/>
    <w:rsid w:val="005B7718"/>
    <w:rsid w:val="005B77E5"/>
    <w:rsid w:val="005B78DB"/>
    <w:rsid w:val="005B7A76"/>
    <w:rsid w:val="005B7BA5"/>
    <w:rsid w:val="005B7CA9"/>
    <w:rsid w:val="005B7D9B"/>
    <w:rsid w:val="005B7DC8"/>
    <w:rsid w:val="005B7E0E"/>
    <w:rsid w:val="005B7E6B"/>
    <w:rsid w:val="005B7EC9"/>
    <w:rsid w:val="005B7F1B"/>
    <w:rsid w:val="005B7F38"/>
    <w:rsid w:val="005B7FDD"/>
    <w:rsid w:val="005C00A5"/>
    <w:rsid w:val="005C00B7"/>
    <w:rsid w:val="005C00B8"/>
    <w:rsid w:val="005C01B7"/>
    <w:rsid w:val="005C01DB"/>
    <w:rsid w:val="005C01F7"/>
    <w:rsid w:val="005C020C"/>
    <w:rsid w:val="005C0276"/>
    <w:rsid w:val="005C02AE"/>
    <w:rsid w:val="005C03E0"/>
    <w:rsid w:val="005C0405"/>
    <w:rsid w:val="005C0497"/>
    <w:rsid w:val="005C04DD"/>
    <w:rsid w:val="005C0674"/>
    <w:rsid w:val="005C0756"/>
    <w:rsid w:val="005C07AD"/>
    <w:rsid w:val="005C07B6"/>
    <w:rsid w:val="005C07F1"/>
    <w:rsid w:val="005C080D"/>
    <w:rsid w:val="005C0876"/>
    <w:rsid w:val="005C087D"/>
    <w:rsid w:val="005C0954"/>
    <w:rsid w:val="005C095B"/>
    <w:rsid w:val="005C0986"/>
    <w:rsid w:val="005C098E"/>
    <w:rsid w:val="005C09CD"/>
    <w:rsid w:val="005C0A59"/>
    <w:rsid w:val="005C0B17"/>
    <w:rsid w:val="005C0B35"/>
    <w:rsid w:val="005C0B92"/>
    <w:rsid w:val="005C0C43"/>
    <w:rsid w:val="005C0E1F"/>
    <w:rsid w:val="005C0E33"/>
    <w:rsid w:val="005C1024"/>
    <w:rsid w:val="005C1055"/>
    <w:rsid w:val="005C10AA"/>
    <w:rsid w:val="005C10B3"/>
    <w:rsid w:val="005C10BB"/>
    <w:rsid w:val="005C114A"/>
    <w:rsid w:val="005C120C"/>
    <w:rsid w:val="005C1279"/>
    <w:rsid w:val="005C130D"/>
    <w:rsid w:val="005C142C"/>
    <w:rsid w:val="005C1516"/>
    <w:rsid w:val="005C151F"/>
    <w:rsid w:val="005C1597"/>
    <w:rsid w:val="005C15F7"/>
    <w:rsid w:val="005C1612"/>
    <w:rsid w:val="005C172B"/>
    <w:rsid w:val="005C173E"/>
    <w:rsid w:val="005C178C"/>
    <w:rsid w:val="005C181D"/>
    <w:rsid w:val="005C18B0"/>
    <w:rsid w:val="005C1949"/>
    <w:rsid w:val="005C1A11"/>
    <w:rsid w:val="005C1B0D"/>
    <w:rsid w:val="005C1B69"/>
    <w:rsid w:val="005C1B98"/>
    <w:rsid w:val="005C1BA3"/>
    <w:rsid w:val="005C1C6A"/>
    <w:rsid w:val="005C1C6B"/>
    <w:rsid w:val="005C1E6B"/>
    <w:rsid w:val="005C1EE9"/>
    <w:rsid w:val="005C1F60"/>
    <w:rsid w:val="005C1FBD"/>
    <w:rsid w:val="005C1FFB"/>
    <w:rsid w:val="005C2144"/>
    <w:rsid w:val="005C2293"/>
    <w:rsid w:val="005C22A1"/>
    <w:rsid w:val="005C22C0"/>
    <w:rsid w:val="005C22FE"/>
    <w:rsid w:val="005C239A"/>
    <w:rsid w:val="005C24CA"/>
    <w:rsid w:val="005C24D5"/>
    <w:rsid w:val="005C2534"/>
    <w:rsid w:val="005C25C3"/>
    <w:rsid w:val="005C26D4"/>
    <w:rsid w:val="005C272D"/>
    <w:rsid w:val="005C272E"/>
    <w:rsid w:val="005C274E"/>
    <w:rsid w:val="005C275D"/>
    <w:rsid w:val="005C27AC"/>
    <w:rsid w:val="005C2841"/>
    <w:rsid w:val="005C295B"/>
    <w:rsid w:val="005C298B"/>
    <w:rsid w:val="005C2B1E"/>
    <w:rsid w:val="005C2B9F"/>
    <w:rsid w:val="005C2C43"/>
    <w:rsid w:val="005C2C5B"/>
    <w:rsid w:val="005C2CAD"/>
    <w:rsid w:val="005C2F1F"/>
    <w:rsid w:val="005C301D"/>
    <w:rsid w:val="005C3101"/>
    <w:rsid w:val="005C3123"/>
    <w:rsid w:val="005C3171"/>
    <w:rsid w:val="005C31A8"/>
    <w:rsid w:val="005C34DC"/>
    <w:rsid w:val="005C350B"/>
    <w:rsid w:val="005C3512"/>
    <w:rsid w:val="005C3607"/>
    <w:rsid w:val="005C36D7"/>
    <w:rsid w:val="005C3750"/>
    <w:rsid w:val="005C3758"/>
    <w:rsid w:val="005C37CE"/>
    <w:rsid w:val="005C37D0"/>
    <w:rsid w:val="005C37D3"/>
    <w:rsid w:val="005C3855"/>
    <w:rsid w:val="005C38B8"/>
    <w:rsid w:val="005C3984"/>
    <w:rsid w:val="005C3B3E"/>
    <w:rsid w:val="005C3C54"/>
    <w:rsid w:val="005C3CB1"/>
    <w:rsid w:val="005C3CC6"/>
    <w:rsid w:val="005C3D25"/>
    <w:rsid w:val="005C3D2B"/>
    <w:rsid w:val="005C3D88"/>
    <w:rsid w:val="005C3DBF"/>
    <w:rsid w:val="005C3DD6"/>
    <w:rsid w:val="005C3E12"/>
    <w:rsid w:val="005C3E62"/>
    <w:rsid w:val="005C3E78"/>
    <w:rsid w:val="005C3EEF"/>
    <w:rsid w:val="005C3F43"/>
    <w:rsid w:val="005C41F6"/>
    <w:rsid w:val="005C4252"/>
    <w:rsid w:val="005C42AB"/>
    <w:rsid w:val="005C42E3"/>
    <w:rsid w:val="005C444C"/>
    <w:rsid w:val="005C4466"/>
    <w:rsid w:val="005C4515"/>
    <w:rsid w:val="005C4649"/>
    <w:rsid w:val="005C468A"/>
    <w:rsid w:val="005C479C"/>
    <w:rsid w:val="005C48B1"/>
    <w:rsid w:val="005C48F6"/>
    <w:rsid w:val="005C48F8"/>
    <w:rsid w:val="005C491D"/>
    <w:rsid w:val="005C4A48"/>
    <w:rsid w:val="005C4A7D"/>
    <w:rsid w:val="005C4AA7"/>
    <w:rsid w:val="005C4AAE"/>
    <w:rsid w:val="005C4ABE"/>
    <w:rsid w:val="005C4B19"/>
    <w:rsid w:val="005C4C08"/>
    <w:rsid w:val="005C4C25"/>
    <w:rsid w:val="005C4C57"/>
    <w:rsid w:val="005C4D9D"/>
    <w:rsid w:val="005C4E41"/>
    <w:rsid w:val="005C4EC3"/>
    <w:rsid w:val="005C4F05"/>
    <w:rsid w:val="005C4F3B"/>
    <w:rsid w:val="005C4FBB"/>
    <w:rsid w:val="005C506A"/>
    <w:rsid w:val="005C5074"/>
    <w:rsid w:val="005C50A4"/>
    <w:rsid w:val="005C5211"/>
    <w:rsid w:val="005C524D"/>
    <w:rsid w:val="005C52FC"/>
    <w:rsid w:val="005C5428"/>
    <w:rsid w:val="005C54C1"/>
    <w:rsid w:val="005C553C"/>
    <w:rsid w:val="005C5573"/>
    <w:rsid w:val="005C56E5"/>
    <w:rsid w:val="005C56E7"/>
    <w:rsid w:val="005C570A"/>
    <w:rsid w:val="005C575A"/>
    <w:rsid w:val="005C5B3F"/>
    <w:rsid w:val="005C5B53"/>
    <w:rsid w:val="005C5B62"/>
    <w:rsid w:val="005C5B7F"/>
    <w:rsid w:val="005C5D6F"/>
    <w:rsid w:val="005C5F64"/>
    <w:rsid w:val="005C5F80"/>
    <w:rsid w:val="005C5FCC"/>
    <w:rsid w:val="005C5FD7"/>
    <w:rsid w:val="005C608E"/>
    <w:rsid w:val="005C60E4"/>
    <w:rsid w:val="005C6173"/>
    <w:rsid w:val="005C6175"/>
    <w:rsid w:val="005C6226"/>
    <w:rsid w:val="005C6353"/>
    <w:rsid w:val="005C63E2"/>
    <w:rsid w:val="005C63F0"/>
    <w:rsid w:val="005C6515"/>
    <w:rsid w:val="005C665C"/>
    <w:rsid w:val="005C66E3"/>
    <w:rsid w:val="005C67D7"/>
    <w:rsid w:val="005C695F"/>
    <w:rsid w:val="005C69A6"/>
    <w:rsid w:val="005C6A39"/>
    <w:rsid w:val="005C6ADC"/>
    <w:rsid w:val="005C6B01"/>
    <w:rsid w:val="005C6B56"/>
    <w:rsid w:val="005C6B57"/>
    <w:rsid w:val="005C6BA3"/>
    <w:rsid w:val="005C6D80"/>
    <w:rsid w:val="005C6E1C"/>
    <w:rsid w:val="005C6E73"/>
    <w:rsid w:val="005C6F3E"/>
    <w:rsid w:val="005C6FBE"/>
    <w:rsid w:val="005C6FE7"/>
    <w:rsid w:val="005C702F"/>
    <w:rsid w:val="005C712F"/>
    <w:rsid w:val="005C7161"/>
    <w:rsid w:val="005C71C7"/>
    <w:rsid w:val="005C720B"/>
    <w:rsid w:val="005C721A"/>
    <w:rsid w:val="005C72BA"/>
    <w:rsid w:val="005C736C"/>
    <w:rsid w:val="005C74EF"/>
    <w:rsid w:val="005C75C7"/>
    <w:rsid w:val="005C77E9"/>
    <w:rsid w:val="005C78DB"/>
    <w:rsid w:val="005C78ED"/>
    <w:rsid w:val="005C7909"/>
    <w:rsid w:val="005C795E"/>
    <w:rsid w:val="005C7975"/>
    <w:rsid w:val="005C79E5"/>
    <w:rsid w:val="005C7B3A"/>
    <w:rsid w:val="005C7BBF"/>
    <w:rsid w:val="005C7DD2"/>
    <w:rsid w:val="005C7EC8"/>
    <w:rsid w:val="005D0128"/>
    <w:rsid w:val="005D0311"/>
    <w:rsid w:val="005D0352"/>
    <w:rsid w:val="005D0567"/>
    <w:rsid w:val="005D05CC"/>
    <w:rsid w:val="005D061B"/>
    <w:rsid w:val="005D0686"/>
    <w:rsid w:val="005D0881"/>
    <w:rsid w:val="005D0914"/>
    <w:rsid w:val="005D09F4"/>
    <w:rsid w:val="005D0A96"/>
    <w:rsid w:val="005D0A97"/>
    <w:rsid w:val="005D0AE8"/>
    <w:rsid w:val="005D0AF7"/>
    <w:rsid w:val="005D0BEA"/>
    <w:rsid w:val="005D0C16"/>
    <w:rsid w:val="005D0C23"/>
    <w:rsid w:val="005D0C7A"/>
    <w:rsid w:val="005D0D19"/>
    <w:rsid w:val="005D0D6D"/>
    <w:rsid w:val="005D0E61"/>
    <w:rsid w:val="005D0ECB"/>
    <w:rsid w:val="005D0EDB"/>
    <w:rsid w:val="005D0EF6"/>
    <w:rsid w:val="005D0F24"/>
    <w:rsid w:val="005D0F33"/>
    <w:rsid w:val="005D11CF"/>
    <w:rsid w:val="005D11D7"/>
    <w:rsid w:val="005D132E"/>
    <w:rsid w:val="005D146B"/>
    <w:rsid w:val="005D14B9"/>
    <w:rsid w:val="005D16FC"/>
    <w:rsid w:val="005D1701"/>
    <w:rsid w:val="005D1767"/>
    <w:rsid w:val="005D177D"/>
    <w:rsid w:val="005D1796"/>
    <w:rsid w:val="005D183C"/>
    <w:rsid w:val="005D19FC"/>
    <w:rsid w:val="005D1A05"/>
    <w:rsid w:val="005D1A54"/>
    <w:rsid w:val="005D1B15"/>
    <w:rsid w:val="005D1B29"/>
    <w:rsid w:val="005D1C81"/>
    <w:rsid w:val="005D1CED"/>
    <w:rsid w:val="005D1D35"/>
    <w:rsid w:val="005D1DA9"/>
    <w:rsid w:val="005D1DED"/>
    <w:rsid w:val="005D1EBC"/>
    <w:rsid w:val="005D1F04"/>
    <w:rsid w:val="005D1FCA"/>
    <w:rsid w:val="005D203C"/>
    <w:rsid w:val="005D218E"/>
    <w:rsid w:val="005D219F"/>
    <w:rsid w:val="005D2271"/>
    <w:rsid w:val="005D24BE"/>
    <w:rsid w:val="005D25EF"/>
    <w:rsid w:val="005D2662"/>
    <w:rsid w:val="005D2665"/>
    <w:rsid w:val="005D2831"/>
    <w:rsid w:val="005D2875"/>
    <w:rsid w:val="005D2899"/>
    <w:rsid w:val="005D28E6"/>
    <w:rsid w:val="005D29B3"/>
    <w:rsid w:val="005D2A1C"/>
    <w:rsid w:val="005D2AA8"/>
    <w:rsid w:val="005D2B2F"/>
    <w:rsid w:val="005D2C18"/>
    <w:rsid w:val="005D2C9E"/>
    <w:rsid w:val="005D2F12"/>
    <w:rsid w:val="005D2F15"/>
    <w:rsid w:val="005D2F44"/>
    <w:rsid w:val="005D30AE"/>
    <w:rsid w:val="005D30D7"/>
    <w:rsid w:val="005D3123"/>
    <w:rsid w:val="005D34B2"/>
    <w:rsid w:val="005D351C"/>
    <w:rsid w:val="005D386E"/>
    <w:rsid w:val="005D38A1"/>
    <w:rsid w:val="005D39CA"/>
    <w:rsid w:val="005D3AA8"/>
    <w:rsid w:val="005D3ABD"/>
    <w:rsid w:val="005D3C4B"/>
    <w:rsid w:val="005D3C69"/>
    <w:rsid w:val="005D3D80"/>
    <w:rsid w:val="005D3EAD"/>
    <w:rsid w:val="005D3F8E"/>
    <w:rsid w:val="005D3FE0"/>
    <w:rsid w:val="005D400F"/>
    <w:rsid w:val="005D40D1"/>
    <w:rsid w:val="005D4104"/>
    <w:rsid w:val="005D4107"/>
    <w:rsid w:val="005D4241"/>
    <w:rsid w:val="005D4249"/>
    <w:rsid w:val="005D430A"/>
    <w:rsid w:val="005D432E"/>
    <w:rsid w:val="005D43C7"/>
    <w:rsid w:val="005D4409"/>
    <w:rsid w:val="005D441A"/>
    <w:rsid w:val="005D44C9"/>
    <w:rsid w:val="005D45B4"/>
    <w:rsid w:val="005D45FD"/>
    <w:rsid w:val="005D4755"/>
    <w:rsid w:val="005D47E2"/>
    <w:rsid w:val="005D499E"/>
    <w:rsid w:val="005D4A2F"/>
    <w:rsid w:val="005D4A6B"/>
    <w:rsid w:val="005D4A9E"/>
    <w:rsid w:val="005D4AD2"/>
    <w:rsid w:val="005D4C52"/>
    <w:rsid w:val="005D4C8F"/>
    <w:rsid w:val="005D4CF4"/>
    <w:rsid w:val="005D4E7B"/>
    <w:rsid w:val="005D4FA5"/>
    <w:rsid w:val="005D5092"/>
    <w:rsid w:val="005D50BA"/>
    <w:rsid w:val="005D517F"/>
    <w:rsid w:val="005D51EC"/>
    <w:rsid w:val="005D524C"/>
    <w:rsid w:val="005D52B0"/>
    <w:rsid w:val="005D52B8"/>
    <w:rsid w:val="005D5379"/>
    <w:rsid w:val="005D54CA"/>
    <w:rsid w:val="005D54EC"/>
    <w:rsid w:val="005D54FF"/>
    <w:rsid w:val="005D5696"/>
    <w:rsid w:val="005D56B7"/>
    <w:rsid w:val="005D56E3"/>
    <w:rsid w:val="005D571A"/>
    <w:rsid w:val="005D574D"/>
    <w:rsid w:val="005D57BF"/>
    <w:rsid w:val="005D5805"/>
    <w:rsid w:val="005D5A38"/>
    <w:rsid w:val="005D5A94"/>
    <w:rsid w:val="005D5B0F"/>
    <w:rsid w:val="005D5B36"/>
    <w:rsid w:val="005D5B7F"/>
    <w:rsid w:val="005D5C03"/>
    <w:rsid w:val="005D5C9F"/>
    <w:rsid w:val="005D5D3F"/>
    <w:rsid w:val="005D5E5A"/>
    <w:rsid w:val="005D5EA7"/>
    <w:rsid w:val="005D5F1C"/>
    <w:rsid w:val="005D5F61"/>
    <w:rsid w:val="005D5FCC"/>
    <w:rsid w:val="005D60EC"/>
    <w:rsid w:val="005D62A8"/>
    <w:rsid w:val="005D62FE"/>
    <w:rsid w:val="005D630F"/>
    <w:rsid w:val="005D6317"/>
    <w:rsid w:val="005D6351"/>
    <w:rsid w:val="005D6472"/>
    <w:rsid w:val="005D647C"/>
    <w:rsid w:val="005D653C"/>
    <w:rsid w:val="005D65A7"/>
    <w:rsid w:val="005D693E"/>
    <w:rsid w:val="005D6AB5"/>
    <w:rsid w:val="005D6AB7"/>
    <w:rsid w:val="005D6C19"/>
    <w:rsid w:val="005D6CDB"/>
    <w:rsid w:val="005D6DEE"/>
    <w:rsid w:val="005D6E0E"/>
    <w:rsid w:val="005D6EC9"/>
    <w:rsid w:val="005D6EFF"/>
    <w:rsid w:val="005D6F33"/>
    <w:rsid w:val="005D6F94"/>
    <w:rsid w:val="005D7177"/>
    <w:rsid w:val="005D72A0"/>
    <w:rsid w:val="005D72CA"/>
    <w:rsid w:val="005D7385"/>
    <w:rsid w:val="005D7399"/>
    <w:rsid w:val="005D744C"/>
    <w:rsid w:val="005D7496"/>
    <w:rsid w:val="005D74DA"/>
    <w:rsid w:val="005D74F2"/>
    <w:rsid w:val="005D74FC"/>
    <w:rsid w:val="005D7524"/>
    <w:rsid w:val="005D7762"/>
    <w:rsid w:val="005D7763"/>
    <w:rsid w:val="005D7841"/>
    <w:rsid w:val="005D784A"/>
    <w:rsid w:val="005D7862"/>
    <w:rsid w:val="005D7A40"/>
    <w:rsid w:val="005D7A48"/>
    <w:rsid w:val="005D7AD0"/>
    <w:rsid w:val="005D7B75"/>
    <w:rsid w:val="005D7C4E"/>
    <w:rsid w:val="005D7C5F"/>
    <w:rsid w:val="005D7D23"/>
    <w:rsid w:val="005E0007"/>
    <w:rsid w:val="005E00E0"/>
    <w:rsid w:val="005E00E8"/>
    <w:rsid w:val="005E010A"/>
    <w:rsid w:val="005E01BA"/>
    <w:rsid w:val="005E0222"/>
    <w:rsid w:val="005E0292"/>
    <w:rsid w:val="005E02A6"/>
    <w:rsid w:val="005E02D8"/>
    <w:rsid w:val="005E0495"/>
    <w:rsid w:val="005E0543"/>
    <w:rsid w:val="005E07DC"/>
    <w:rsid w:val="005E0810"/>
    <w:rsid w:val="005E08F6"/>
    <w:rsid w:val="005E0960"/>
    <w:rsid w:val="005E0AAC"/>
    <w:rsid w:val="005E0C61"/>
    <w:rsid w:val="005E0DB0"/>
    <w:rsid w:val="005E0ED2"/>
    <w:rsid w:val="005E0EE6"/>
    <w:rsid w:val="005E103A"/>
    <w:rsid w:val="005E1216"/>
    <w:rsid w:val="005E135C"/>
    <w:rsid w:val="005E13EB"/>
    <w:rsid w:val="005E15C4"/>
    <w:rsid w:val="005E15CD"/>
    <w:rsid w:val="005E16A2"/>
    <w:rsid w:val="005E16CB"/>
    <w:rsid w:val="005E172F"/>
    <w:rsid w:val="005E184B"/>
    <w:rsid w:val="005E18CC"/>
    <w:rsid w:val="005E193C"/>
    <w:rsid w:val="005E1A60"/>
    <w:rsid w:val="005E1AFB"/>
    <w:rsid w:val="005E1BA4"/>
    <w:rsid w:val="005E1C62"/>
    <w:rsid w:val="005E1DB3"/>
    <w:rsid w:val="005E1F51"/>
    <w:rsid w:val="005E1F9F"/>
    <w:rsid w:val="005E22EA"/>
    <w:rsid w:val="005E23DB"/>
    <w:rsid w:val="005E23EF"/>
    <w:rsid w:val="005E248D"/>
    <w:rsid w:val="005E24D2"/>
    <w:rsid w:val="005E2501"/>
    <w:rsid w:val="005E2535"/>
    <w:rsid w:val="005E262A"/>
    <w:rsid w:val="005E26A8"/>
    <w:rsid w:val="005E2896"/>
    <w:rsid w:val="005E291D"/>
    <w:rsid w:val="005E2A42"/>
    <w:rsid w:val="005E2A88"/>
    <w:rsid w:val="005E2AC6"/>
    <w:rsid w:val="005E2CB8"/>
    <w:rsid w:val="005E2D9C"/>
    <w:rsid w:val="005E2F07"/>
    <w:rsid w:val="005E2F80"/>
    <w:rsid w:val="005E307C"/>
    <w:rsid w:val="005E30D0"/>
    <w:rsid w:val="005E3128"/>
    <w:rsid w:val="005E31C3"/>
    <w:rsid w:val="005E3255"/>
    <w:rsid w:val="005E3328"/>
    <w:rsid w:val="005E34AC"/>
    <w:rsid w:val="005E34EA"/>
    <w:rsid w:val="005E3717"/>
    <w:rsid w:val="005E3763"/>
    <w:rsid w:val="005E37CA"/>
    <w:rsid w:val="005E39B6"/>
    <w:rsid w:val="005E39DA"/>
    <w:rsid w:val="005E3AC7"/>
    <w:rsid w:val="005E3B52"/>
    <w:rsid w:val="005E3B6D"/>
    <w:rsid w:val="005E3C0C"/>
    <w:rsid w:val="005E3C3C"/>
    <w:rsid w:val="005E3D4D"/>
    <w:rsid w:val="005E3D58"/>
    <w:rsid w:val="005E3E5E"/>
    <w:rsid w:val="005E3EA4"/>
    <w:rsid w:val="005E3EE5"/>
    <w:rsid w:val="005E3FA2"/>
    <w:rsid w:val="005E3FB9"/>
    <w:rsid w:val="005E3FC9"/>
    <w:rsid w:val="005E40D0"/>
    <w:rsid w:val="005E4138"/>
    <w:rsid w:val="005E41BC"/>
    <w:rsid w:val="005E42E4"/>
    <w:rsid w:val="005E43C4"/>
    <w:rsid w:val="005E446D"/>
    <w:rsid w:val="005E453C"/>
    <w:rsid w:val="005E4581"/>
    <w:rsid w:val="005E46CB"/>
    <w:rsid w:val="005E471E"/>
    <w:rsid w:val="005E4885"/>
    <w:rsid w:val="005E4917"/>
    <w:rsid w:val="005E4AB7"/>
    <w:rsid w:val="005E4B13"/>
    <w:rsid w:val="005E4B5B"/>
    <w:rsid w:val="005E4BFB"/>
    <w:rsid w:val="005E4C0A"/>
    <w:rsid w:val="005E4C0C"/>
    <w:rsid w:val="005E4C55"/>
    <w:rsid w:val="005E4C84"/>
    <w:rsid w:val="005E4E97"/>
    <w:rsid w:val="005E4ECB"/>
    <w:rsid w:val="005E4F85"/>
    <w:rsid w:val="005E4FA2"/>
    <w:rsid w:val="005E503E"/>
    <w:rsid w:val="005E504F"/>
    <w:rsid w:val="005E5188"/>
    <w:rsid w:val="005E51BF"/>
    <w:rsid w:val="005E51D9"/>
    <w:rsid w:val="005E5205"/>
    <w:rsid w:val="005E5221"/>
    <w:rsid w:val="005E528B"/>
    <w:rsid w:val="005E5290"/>
    <w:rsid w:val="005E5339"/>
    <w:rsid w:val="005E53B3"/>
    <w:rsid w:val="005E53B7"/>
    <w:rsid w:val="005E53D6"/>
    <w:rsid w:val="005E540D"/>
    <w:rsid w:val="005E5441"/>
    <w:rsid w:val="005E5484"/>
    <w:rsid w:val="005E5636"/>
    <w:rsid w:val="005E5804"/>
    <w:rsid w:val="005E5808"/>
    <w:rsid w:val="005E582E"/>
    <w:rsid w:val="005E586F"/>
    <w:rsid w:val="005E5881"/>
    <w:rsid w:val="005E59E3"/>
    <w:rsid w:val="005E5A6B"/>
    <w:rsid w:val="005E5AF7"/>
    <w:rsid w:val="005E5B1A"/>
    <w:rsid w:val="005E5B5A"/>
    <w:rsid w:val="005E5BBE"/>
    <w:rsid w:val="005E5C8E"/>
    <w:rsid w:val="005E5D12"/>
    <w:rsid w:val="005E5E3B"/>
    <w:rsid w:val="005E5E3D"/>
    <w:rsid w:val="005E5ED2"/>
    <w:rsid w:val="005E5EF5"/>
    <w:rsid w:val="005E5F17"/>
    <w:rsid w:val="005E603D"/>
    <w:rsid w:val="005E61EC"/>
    <w:rsid w:val="005E62AC"/>
    <w:rsid w:val="005E62FE"/>
    <w:rsid w:val="005E6319"/>
    <w:rsid w:val="005E631F"/>
    <w:rsid w:val="005E6345"/>
    <w:rsid w:val="005E638E"/>
    <w:rsid w:val="005E64BA"/>
    <w:rsid w:val="005E66CB"/>
    <w:rsid w:val="005E6822"/>
    <w:rsid w:val="005E6926"/>
    <w:rsid w:val="005E6A0D"/>
    <w:rsid w:val="005E6C53"/>
    <w:rsid w:val="005E6C94"/>
    <w:rsid w:val="005E6DA3"/>
    <w:rsid w:val="005E6E2E"/>
    <w:rsid w:val="005E6EEE"/>
    <w:rsid w:val="005E6F5A"/>
    <w:rsid w:val="005E700F"/>
    <w:rsid w:val="005E7022"/>
    <w:rsid w:val="005E702B"/>
    <w:rsid w:val="005E70BB"/>
    <w:rsid w:val="005E70DC"/>
    <w:rsid w:val="005E7120"/>
    <w:rsid w:val="005E7173"/>
    <w:rsid w:val="005E71C8"/>
    <w:rsid w:val="005E71F2"/>
    <w:rsid w:val="005E7299"/>
    <w:rsid w:val="005E7304"/>
    <w:rsid w:val="005E7441"/>
    <w:rsid w:val="005E7486"/>
    <w:rsid w:val="005E7519"/>
    <w:rsid w:val="005E76E7"/>
    <w:rsid w:val="005E7783"/>
    <w:rsid w:val="005E78A1"/>
    <w:rsid w:val="005E79DB"/>
    <w:rsid w:val="005E79E8"/>
    <w:rsid w:val="005E7AD3"/>
    <w:rsid w:val="005E7B8A"/>
    <w:rsid w:val="005E7B8F"/>
    <w:rsid w:val="005E7B90"/>
    <w:rsid w:val="005E7BBD"/>
    <w:rsid w:val="005E7BD1"/>
    <w:rsid w:val="005E7C0D"/>
    <w:rsid w:val="005E7CEE"/>
    <w:rsid w:val="005E7CFC"/>
    <w:rsid w:val="005E7D30"/>
    <w:rsid w:val="005E7D3B"/>
    <w:rsid w:val="005E7D5E"/>
    <w:rsid w:val="005E7DF3"/>
    <w:rsid w:val="005E7EED"/>
    <w:rsid w:val="005E7FCE"/>
    <w:rsid w:val="005F028C"/>
    <w:rsid w:val="005F0318"/>
    <w:rsid w:val="005F0558"/>
    <w:rsid w:val="005F05DA"/>
    <w:rsid w:val="005F0684"/>
    <w:rsid w:val="005F06B9"/>
    <w:rsid w:val="005F07DC"/>
    <w:rsid w:val="005F0855"/>
    <w:rsid w:val="005F08B9"/>
    <w:rsid w:val="005F0926"/>
    <w:rsid w:val="005F0936"/>
    <w:rsid w:val="005F0A42"/>
    <w:rsid w:val="005F0BDF"/>
    <w:rsid w:val="005F0BFA"/>
    <w:rsid w:val="005F0CBE"/>
    <w:rsid w:val="005F0D7F"/>
    <w:rsid w:val="005F0DD0"/>
    <w:rsid w:val="005F0F1F"/>
    <w:rsid w:val="005F0F48"/>
    <w:rsid w:val="005F1056"/>
    <w:rsid w:val="005F10C9"/>
    <w:rsid w:val="005F116B"/>
    <w:rsid w:val="005F11EB"/>
    <w:rsid w:val="005F1200"/>
    <w:rsid w:val="005F1449"/>
    <w:rsid w:val="005F14D6"/>
    <w:rsid w:val="005F156F"/>
    <w:rsid w:val="005F15B8"/>
    <w:rsid w:val="005F165F"/>
    <w:rsid w:val="005F1692"/>
    <w:rsid w:val="005F16BC"/>
    <w:rsid w:val="005F17B7"/>
    <w:rsid w:val="005F17BA"/>
    <w:rsid w:val="005F1827"/>
    <w:rsid w:val="005F18CC"/>
    <w:rsid w:val="005F1968"/>
    <w:rsid w:val="005F197C"/>
    <w:rsid w:val="005F1AD3"/>
    <w:rsid w:val="005F1B5C"/>
    <w:rsid w:val="005F1B65"/>
    <w:rsid w:val="005F1BE6"/>
    <w:rsid w:val="005F1C3F"/>
    <w:rsid w:val="005F1CE1"/>
    <w:rsid w:val="005F1D09"/>
    <w:rsid w:val="005F1D8B"/>
    <w:rsid w:val="005F1E0D"/>
    <w:rsid w:val="005F1F87"/>
    <w:rsid w:val="005F2000"/>
    <w:rsid w:val="005F200F"/>
    <w:rsid w:val="005F21F0"/>
    <w:rsid w:val="005F22CB"/>
    <w:rsid w:val="005F2357"/>
    <w:rsid w:val="005F255E"/>
    <w:rsid w:val="005F2589"/>
    <w:rsid w:val="005F2597"/>
    <w:rsid w:val="005F265C"/>
    <w:rsid w:val="005F2713"/>
    <w:rsid w:val="005F27D3"/>
    <w:rsid w:val="005F2847"/>
    <w:rsid w:val="005F2967"/>
    <w:rsid w:val="005F2992"/>
    <w:rsid w:val="005F29E2"/>
    <w:rsid w:val="005F2A58"/>
    <w:rsid w:val="005F2B2E"/>
    <w:rsid w:val="005F2B46"/>
    <w:rsid w:val="005F2B6A"/>
    <w:rsid w:val="005F2D15"/>
    <w:rsid w:val="005F2D8D"/>
    <w:rsid w:val="005F2DF9"/>
    <w:rsid w:val="005F2E3F"/>
    <w:rsid w:val="005F2EAC"/>
    <w:rsid w:val="005F2EC9"/>
    <w:rsid w:val="005F3062"/>
    <w:rsid w:val="005F30D9"/>
    <w:rsid w:val="005F31F2"/>
    <w:rsid w:val="005F32ED"/>
    <w:rsid w:val="005F335C"/>
    <w:rsid w:val="005F347C"/>
    <w:rsid w:val="005F34FB"/>
    <w:rsid w:val="005F35B3"/>
    <w:rsid w:val="005F35D4"/>
    <w:rsid w:val="005F3671"/>
    <w:rsid w:val="005F36A6"/>
    <w:rsid w:val="005F36B1"/>
    <w:rsid w:val="005F386B"/>
    <w:rsid w:val="005F3ABC"/>
    <w:rsid w:val="005F3CA7"/>
    <w:rsid w:val="005F3D6F"/>
    <w:rsid w:val="005F3DC6"/>
    <w:rsid w:val="005F3DCF"/>
    <w:rsid w:val="005F3E7A"/>
    <w:rsid w:val="005F3F72"/>
    <w:rsid w:val="005F3F97"/>
    <w:rsid w:val="005F3FBD"/>
    <w:rsid w:val="005F41F6"/>
    <w:rsid w:val="005F423D"/>
    <w:rsid w:val="005F4488"/>
    <w:rsid w:val="005F4550"/>
    <w:rsid w:val="005F45A2"/>
    <w:rsid w:val="005F45C5"/>
    <w:rsid w:val="005F4686"/>
    <w:rsid w:val="005F4699"/>
    <w:rsid w:val="005F47A7"/>
    <w:rsid w:val="005F482B"/>
    <w:rsid w:val="005F486D"/>
    <w:rsid w:val="005F49F2"/>
    <w:rsid w:val="005F4A5E"/>
    <w:rsid w:val="005F4ADA"/>
    <w:rsid w:val="005F4C45"/>
    <w:rsid w:val="005F4CB6"/>
    <w:rsid w:val="005F4D1A"/>
    <w:rsid w:val="005F4D5F"/>
    <w:rsid w:val="005F4D7C"/>
    <w:rsid w:val="005F4DA9"/>
    <w:rsid w:val="005F4DE8"/>
    <w:rsid w:val="005F4E9D"/>
    <w:rsid w:val="005F4F04"/>
    <w:rsid w:val="005F4F41"/>
    <w:rsid w:val="005F5050"/>
    <w:rsid w:val="005F508D"/>
    <w:rsid w:val="005F50B4"/>
    <w:rsid w:val="005F50D3"/>
    <w:rsid w:val="005F5154"/>
    <w:rsid w:val="005F5186"/>
    <w:rsid w:val="005F529C"/>
    <w:rsid w:val="005F53B5"/>
    <w:rsid w:val="005F5483"/>
    <w:rsid w:val="005F5515"/>
    <w:rsid w:val="005F55DA"/>
    <w:rsid w:val="005F55E8"/>
    <w:rsid w:val="005F5650"/>
    <w:rsid w:val="005F568B"/>
    <w:rsid w:val="005F5730"/>
    <w:rsid w:val="005F574C"/>
    <w:rsid w:val="005F5795"/>
    <w:rsid w:val="005F57AF"/>
    <w:rsid w:val="005F5981"/>
    <w:rsid w:val="005F598B"/>
    <w:rsid w:val="005F5991"/>
    <w:rsid w:val="005F59E4"/>
    <w:rsid w:val="005F5A7B"/>
    <w:rsid w:val="005F5A84"/>
    <w:rsid w:val="005F5B7D"/>
    <w:rsid w:val="005F5BE4"/>
    <w:rsid w:val="005F6086"/>
    <w:rsid w:val="005F618D"/>
    <w:rsid w:val="005F6200"/>
    <w:rsid w:val="005F624E"/>
    <w:rsid w:val="005F62D7"/>
    <w:rsid w:val="005F6386"/>
    <w:rsid w:val="005F638C"/>
    <w:rsid w:val="005F63F3"/>
    <w:rsid w:val="005F6446"/>
    <w:rsid w:val="005F6515"/>
    <w:rsid w:val="005F6552"/>
    <w:rsid w:val="005F6565"/>
    <w:rsid w:val="005F65C0"/>
    <w:rsid w:val="005F66AA"/>
    <w:rsid w:val="005F6742"/>
    <w:rsid w:val="005F67AA"/>
    <w:rsid w:val="005F68D4"/>
    <w:rsid w:val="005F6937"/>
    <w:rsid w:val="005F697F"/>
    <w:rsid w:val="005F69DC"/>
    <w:rsid w:val="005F6A9B"/>
    <w:rsid w:val="005F6D6E"/>
    <w:rsid w:val="005F6E5B"/>
    <w:rsid w:val="005F6EB8"/>
    <w:rsid w:val="005F6F50"/>
    <w:rsid w:val="005F7209"/>
    <w:rsid w:val="005F72E0"/>
    <w:rsid w:val="005F732E"/>
    <w:rsid w:val="005F738B"/>
    <w:rsid w:val="005F73A7"/>
    <w:rsid w:val="005F73C0"/>
    <w:rsid w:val="005F73FB"/>
    <w:rsid w:val="005F7478"/>
    <w:rsid w:val="005F7497"/>
    <w:rsid w:val="005F759F"/>
    <w:rsid w:val="005F7640"/>
    <w:rsid w:val="005F766D"/>
    <w:rsid w:val="005F772D"/>
    <w:rsid w:val="005F7785"/>
    <w:rsid w:val="005F77C6"/>
    <w:rsid w:val="005F77EF"/>
    <w:rsid w:val="005F7817"/>
    <w:rsid w:val="005F7843"/>
    <w:rsid w:val="005F785F"/>
    <w:rsid w:val="005F79B3"/>
    <w:rsid w:val="005F79C6"/>
    <w:rsid w:val="005F7A0E"/>
    <w:rsid w:val="005F7AB9"/>
    <w:rsid w:val="005F7ACB"/>
    <w:rsid w:val="005F7B10"/>
    <w:rsid w:val="005F7C7F"/>
    <w:rsid w:val="005F7CF5"/>
    <w:rsid w:val="005F7DA0"/>
    <w:rsid w:val="005F7DBF"/>
    <w:rsid w:val="005F7E63"/>
    <w:rsid w:val="005F7EA8"/>
    <w:rsid w:val="005F7FBC"/>
    <w:rsid w:val="006000B6"/>
    <w:rsid w:val="006000FD"/>
    <w:rsid w:val="0060013B"/>
    <w:rsid w:val="00600214"/>
    <w:rsid w:val="0060022E"/>
    <w:rsid w:val="0060031C"/>
    <w:rsid w:val="006003D9"/>
    <w:rsid w:val="00600468"/>
    <w:rsid w:val="0060058E"/>
    <w:rsid w:val="006005A9"/>
    <w:rsid w:val="00600651"/>
    <w:rsid w:val="006008F5"/>
    <w:rsid w:val="006009A3"/>
    <w:rsid w:val="006009EF"/>
    <w:rsid w:val="00600C28"/>
    <w:rsid w:val="00600CAD"/>
    <w:rsid w:val="00600F51"/>
    <w:rsid w:val="00600F6F"/>
    <w:rsid w:val="00600FC4"/>
    <w:rsid w:val="00601045"/>
    <w:rsid w:val="0060113B"/>
    <w:rsid w:val="00601190"/>
    <w:rsid w:val="006011D4"/>
    <w:rsid w:val="006011DC"/>
    <w:rsid w:val="00601473"/>
    <w:rsid w:val="006014EE"/>
    <w:rsid w:val="00601589"/>
    <w:rsid w:val="00601593"/>
    <w:rsid w:val="0060160E"/>
    <w:rsid w:val="0060161B"/>
    <w:rsid w:val="0060163A"/>
    <w:rsid w:val="006017B1"/>
    <w:rsid w:val="006017BA"/>
    <w:rsid w:val="006017C2"/>
    <w:rsid w:val="0060190E"/>
    <w:rsid w:val="00601A89"/>
    <w:rsid w:val="00601B19"/>
    <w:rsid w:val="00601B25"/>
    <w:rsid w:val="00601B65"/>
    <w:rsid w:val="00601B7C"/>
    <w:rsid w:val="00601C56"/>
    <w:rsid w:val="00601DD5"/>
    <w:rsid w:val="00601E9E"/>
    <w:rsid w:val="00601EEF"/>
    <w:rsid w:val="00601EF1"/>
    <w:rsid w:val="00601F04"/>
    <w:rsid w:val="00601F2A"/>
    <w:rsid w:val="00601FC8"/>
    <w:rsid w:val="00602040"/>
    <w:rsid w:val="006020B2"/>
    <w:rsid w:val="00602149"/>
    <w:rsid w:val="006021F3"/>
    <w:rsid w:val="00602213"/>
    <w:rsid w:val="00602263"/>
    <w:rsid w:val="0060233E"/>
    <w:rsid w:val="006023B1"/>
    <w:rsid w:val="006023DB"/>
    <w:rsid w:val="0060242A"/>
    <w:rsid w:val="00602434"/>
    <w:rsid w:val="006024A2"/>
    <w:rsid w:val="00602586"/>
    <w:rsid w:val="00602738"/>
    <w:rsid w:val="0060274A"/>
    <w:rsid w:val="00602751"/>
    <w:rsid w:val="006027B3"/>
    <w:rsid w:val="006029FD"/>
    <w:rsid w:val="00602A3A"/>
    <w:rsid w:val="00602BC9"/>
    <w:rsid w:val="00602C65"/>
    <w:rsid w:val="00602C81"/>
    <w:rsid w:val="00602D4C"/>
    <w:rsid w:val="00602D84"/>
    <w:rsid w:val="00602DA1"/>
    <w:rsid w:val="00602E0F"/>
    <w:rsid w:val="00602E57"/>
    <w:rsid w:val="00602E68"/>
    <w:rsid w:val="00602F52"/>
    <w:rsid w:val="00602FB3"/>
    <w:rsid w:val="00603084"/>
    <w:rsid w:val="006030A1"/>
    <w:rsid w:val="006030B6"/>
    <w:rsid w:val="006030DD"/>
    <w:rsid w:val="00603171"/>
    <w:rsid w:val="0060319B"/>
    <w:rsid w:val="00603212"/>
    <w:rsid w:val="00603241"/>
    <w:rsid w:val="00603291"/>
    <w:rsid w:val="006032C0"/>
    <w:rsid w:val="0060340F"/>
    <w:rsid w:val="0060360B"/>
    <w:rsid w:val="006036FE"/>
    <w:rsid w:val="0060371D"/>
    <w:rsid w:val="00603792"/>
    <w:rsid w:val="00603831"/>
    <w:rsid w:val="0060393D"/>
    <w:rsid w:val="00603A00"/>
    <w:rsid w:val="00603B54"/>
    <w:rsid w:val="00603B9D"/>
    <w:rsid w:val="00603C00"/>
    <w:rsid w:val="00603D38"/>
    <w:rsid w:val="00603D5C"/>
    <w:rsid w:val="00604150"/>
    <w:rsid w:val="00604259"/>
    <w:rsid w:val="00604386"/>
    <w:rsid w:val="006043D5"/>
    <w:rsid w:val="006045AC"/>
    <w:rsid w:val="00604683"/>
    <w:rsid w:val="00604754"/>
    <w:rsid w:val="0060489D"/>
    <w:rsid w:val="006048F9"/>
    <w:rsid w:val="00604BD7"/>
    <w:rsid w:val="00604CD2"/>
    <w:rsid w:val="00604CE1"/>
    <w:rsid w:val="00604D50"/>
    <w:rsid w:val="00604E0E"/>
    <w:rsid w:val="00604E5F"/>
    <w:rsid w:val="00604ED1"/>
    <w:rsid w:val="00604F09"/>
    <w:rsid w:val="00604FB8"/>
    <w:rsid w:val="00605053"/>
    <w:rsid w:val="00605098"/>
    <w:rsid w:val="006050B9"/>
    <w:rsid w:val="0060519A"/>
    <w:rsid w:val="006052D2"/>
    <w:rsid w:val="0060536F"/>
    <w:rsid w:val="0060540B"/>
    <w:rsid w:val="006054A9"/>
    <w:rsid w:val="00605507"/>
    <w:rsid w:val="0060551E"/>
    <w:rsid w:val="006055DB"/>
    <w:rsid w:val="00605610"/>
    <w:rsid w:val="0060561F"/>
    <w:rsid w:val="0060566E"/>
    <w:rsid w:val="0060577E"/>
    <w:rsid w:val="006057CB"/>
    <w:rsid w:val="00605806"/>
    <w:rsid w:val="006058A1"/>
    <w:rsid w:val="006058EA"/>
    <w:rsid w:val="006058EC"/>
    <w:rsid w:val="0060596D"/>
    <w:rsid w:val="0060599A"/>
    <w:rsid w:val="00605A8B"/>
    <w:rsid w:val="00605B61"/>
    <w:rsid w:val="00605BCE"/>
    <w:rsid w:val="00605CB3"/>
    <w:rsid w:val="00605CE3"/>
    <w:rsid w:val="00605D12"/>
    <w:rsid w:val="00605E88"/>
    <w:rsid w:val="00605EBC"/>
    <w:rsid w:val="00605ED1"/>
    <w:rsid w:val="00605EE0"/>
    <w:rsid w:val="00605F45"/>
    <w:rsid w:val="00605F77"/>
    <w:rsid w:val="00605F89"/>
    <w:rsid w:val="00605F97"/>
    <w:rsid w:val="00605FDA"/>
    <w:rsid w:val="00605FE4"/>
    <w:rsid w:val="00606173"/>
    <w:rsid w:val="006061F7"/>
    <w:rsid w:val="0060634D"/>
    <w:rsid w:val="006064AB"/>
    <w:rsid w:val="00606512"/>
    <w:rsid w:val="00606526"/>
    <w:rsid w:val="00606560"/>
    <w:rsid w:val="00606577"/>
    <w:rsid w:val="0060659E"/>
    <w:rsid w:val="00606655"/>
    <w:rsid w:val="00606840"/>
    <w:rsid w:val="00606892"/>
    <w:rsid w:val="006068F9"/>
    <w:rsid w:val="006069C2"/>
    <w:rsid w:val="006069E9"/>
    <w:rsid w:val="006069F7"/>
    <w:rsid w:val="00606AD8"/>
    <w:rsid w:val="00606AE5"/>
    <w:rsid w:val="00606B95"/>
    <w:rsid w:val="00606B96"/>
    <w:rsid w:val="00606C80"/>
    <w:rsid w:val="00606CA2"/>
    <w:rsid w:val="00606D76"/>
    <w:rsid w:val="00606DAC"/>
    <w:rsid w:val="00606E3D"/>
    <w:rsid w:val="00606F48"/>
    <w:rsid w:val="00606F5F"/>
    <w:rsid w:val="00607233"/>
    <w:rsid w:val="006072D5"/>
    <w:rsid w:val="006072F3"/>
    <w:rsid w:val="006073C1"/>
    <w:rsid w:val="006074C8"/>
    <w:rsid w:val="006075DD"/>
    <w:rsid w:val="00607661"/>
    <w:rsid w:val="006076AC"/>
    <w:rsid w:val="00607721"/>
    <w:rsid w:val="0060776F"/>
    <w:rsid w:val="00607795"/>
    <w:rsid w:val="006077D4"/>
    <w:rsid w:val="00607A1B"/>
    <w:rsid w:val="00607AC9"/>
    <w:rsid w:val="00607B13"/>
    <w:rsid w:val="00607BFA"/>
    <w:rsid w:val="00607C85"/>
    <w:rsid w:val="00607CAD"/>
    <w:rsid w:val="00607D07"/>
    <w:rsid w:val="00607D16"/>
    <w:rsid w:val="00607DEF"/>
    <w:rsid w:val="00607E02"/>
    <w:rsid w:val="00607FE3"/>
    <w:rsid w:val="0061004D"/>
    <w:rsid w:val="00610100"/>
    <w:rsid w:val="0061018F"/>
    <w:rsid w:val="0061032B"/>
    <w:rsid w:val="0061036D"/>
    <w:rsid w:val="006104C5"/>
    <w:rsid w:val="006104E0"/>
    <w:rsid w:val="006105B5"/>
    <w:rsid w:val="006105F3"/>
    <w:rsid w:val="0061060F"/>
    <w:rsid w:val="006106FC"/>
    <w:rsid w:val="00610745"/>
    <w:rsid w:val="00610796"/>
    <w:rsid w:val="0061079E"/>
    <w:rsid w:val="006109AA"/>
    <w:rsid w:val="006109D6"/>
    <w:rsid w:val="00610A02"/>
    <w:rsid w:val="00610B8B"/>
    <w:rsid w:val="00610CA3"/>
    <w:rsid w:val="00610DBF"/>
    <w:rsid w:val="00610EE8"/>
    <w:rsid w:val="00610F5B"/>
    <w:rsid w:val="00611066"/>
    <w:rsid w:val="006110B0"/>
    <w:rsid w:val="0061113F"/>
    <w:rsid w:val="006111C1"/>
    <w:rsid w:val="006111D8"/>
    <w:rsid w:val="0061130D"/>
    <w:rsid w:val="006114F0"/>
    <w:rsid w:val="00611517"/>
    <w:rsid w:val="006115DE"/>
    <w:rsid w:val="0061162E"/>
    <w:rsid w:val="0061168F"/>
    <w:rsid w:val="006116FC"/>
    <w:rsid w:val="006117A7"/>
    <w:rsid w:val="006117F2"/>
    <w:rsid w:val="006117FC"/>
    <w:rsid w:val="00611840"/>
    <w:rsid w:val="00611880"/>
    <w:rsid w:val="00611B37"/>
    <w:rsid w:val="00611BA9"/>
    <w:rsid w:val="00611BC7"/>
    <w:rsid w:val="00611C25"/>
    <w:rsid w:val="00611C9A"/>
    <w:rsid w:val="00611C9D"/>
    <w:rsid w:val="00611DCC"/>
    <w:rsid w:val="00611E79"/>
    <w:rsid w:val="00611EA9"/>
    <w:rsid w:val="00611ECF"/>
    <w:rsid w:val="00611F1A"/>
    <w:rsid w:val="00611FD7"/>
    <w:rsid w:val="0061201C"/>
    <w:rsid w:val="0061207B"/>
    <w:rsid w:val="00612116"/>
    <w:rsid w:val="006121C0"/>
    <w:rsid w:val="00612285"/>
    <w:rsid w:val="0061230F"/>
    <w:rsid w:val="0061238B"/>
    <w:rsid w:val="00612538"/>
    <w:rsid w:val="0061259E"/>
    <w:rsid w:val="006125A6"/>
    <w:rsid w:val="00612669"/>
    <w:rsid w:val="00612679"/>
    <w:rsid w:val="00612793"/>
    <w:rsid w:val="006127C6"/>
    <w:rsid w:val="0061280C"/>
    <w:rsid w:val="00612957"/>
    <w:rsid w:val="006129CF"/>
    <w:rsid w:val="00612A15"/>
    <w:rsid w:val="00612BCC"/>
    <w:rsid w:val="00612C09"/>
    <w:rsid w:val="00612C15"/>
    <w:rsid w:val="00612C83"/>
    <w:rsid w:val="00612D07"/>
    <w:rsid w:val="00612DE0"/>
    <w:rsid w:val="00612DF8"/>
    <w:rsid w:val="00612E50"/>
    <w:rsid w:val="00612E64"/>
    <w:rsid w:val="00612F74"/>
    <w:rsid w:val="00612F8E"/>
    <w:rsid w:val="00612FB0"/>
    <w:rsid w:val="00613021"/>
    <w:rsid w:val="0061302C"/>
    <w:rsid w:val="006131DB"/>
    <w:rsid w:val="006132C3"/>
    <w:rsid w:val="006132FA"/>
    <w:rsid w:val="00613328"/>
    <w:rsid w:val="0061338B"/>
    <w:rsid w:val="0061346B"/>
    <w:rsid w:val="006134ED"/>
    <w:rsid w:val="00613601"/>
    <w:rsid w:val="006136C9"/>
    <w:rsid w:val="00613735"/>
    <w:rsid w:val="006137F1"/>
    <w:rsid w:val="006138A7"/>
    <w:rsid w:val="0061399A"/>
    <w:rsid w:val="00613ADA"/>
    <w:rsid w:val="00613B0D"/>
    <w:rsid w:val="00613B14"/>
    <w:rsid w:val="00613B2D"/>
    <w:rsid w:val="00613B33"/>
    <w:rsid w:val="00613B54"/>
    <w:rsid w:val="00613C42"/>
    <w:rsid w:val="00613D5E"/>
    <w:rsid w:val="00613DEA"/>
    <w:rsid w:val="00613E12"/>
    <w:rsid w:val="00613E6A"/>
    <w:rsid w:val="00613EBD"/>
    <w:rsid w:val="0061407E"/>
    <w:rsid w:val="006140A7"/>
    <w:rsid w:val="006140BA"/>
    <w:rsid w:val="00614123"/>
    <w:rsid w:val="0061417B"/>
    <w:rsid w:val="006141D2"/>
    <w:rsid w:val="0061424F"/>
    <w:rsid w:val="00614309"/>
    <w:rsid w:val="00614339"/>
    <w:rsid w:val="00614354"/>
    <w:rsid w:val="0061436C"/>
    <w:rsid w:val="00614448"/>
    <w:rsid w:val="006144F2"/>
    <w:rsid w:val="00614648"/>
    <w:rsid w:val="00614661"/>
    <w:rsid w:val="006146CD"/>
    <w:rsid w:val="006146DC"/>
    <w:rsid w:val="00614775"/>
    <w:rsid w:val="006147A7"/>
    <w:rsid w:val="0061498F"/>
    <w:rsid w:val="00614ADD"/>
    <w:rsid w:val="00614B59"/>
    <w:rsid w:val="00614B8D"/>
    <w:rsid w:val="00614E85"/>
    <w:rsid w:val="00614EAE"/>
    <w:rsid w:val="0061508A"/>
    <w:rsid w:val="0061512E"/>
    <w:rsid w:val="00615183"/>
    <w:rsid w:val="006151BD"/>
    <w:rsid w:val="006151F7"/>
    <w:rsid w:val="00615216"/>
    <w:rsid w:val="0061529D"/>
    <w:rsid w:val="00615336"/>
    <w:rsid w:val="0061548B"/>
    <w:rsid w:val="006154B9"/>
    <w:rsid w:val="006154CA"/>
    <w:rsid w:val="006154E6"/>
    <w:rsid w:val="006155CC"/>
    <w:rsid w:val="006157EF"/>
    <w:rsid w:val="00615858"/>
    <w:rsid w:val="006158AE"/>
    <w:rsid w:val="00615CA4"/>
    <w:rsid w:val="00615D15"/>
    <w:rsid w:val="00615EB7"/>
    <w:rsid w:val="00615F16"/>
    <w:rsid w:val="00615F33"/>
    <w:rsid w:val="00615F3E"/>
    <w:rsid w:val="00616049"/>
    <w:rsid w:val="00616145"/>
    <w:rsid w:val="0061626E"/>
    <w:rsid w:val="00616375"/>
    <w:rsid w:val="006163C0"/>
    <w:rsid w:val="00616625"/>
    <w:rsid w:val="00616637"/>
    <w:rsid w:val="00616736"/>
    <w:rsid w:val="00616858"/>
    <w:rsid w:val="0061698B"/>
    <w:rsid w:val="006169CB"/>
    <w:rsid w:val="00616B38"/>
    <w:rsid w:val="00616B89"/>
    <w:rsid w:val="00616C94"/>
    <w:rsid w:val="00616CE9"/>
    <w:rsid w:val="00616D6B"/>
    <w:rsid w:val="00616EF7"/>
    <w:rsid w:val="00617102"/>
    <w:rsid w:val="0061714E"/>
    <w:rsid w:val="00617178"/>
    <w:rsid w:val="006171CA"/>
    <w:rsid w:val="00617320"/>
    <w:rsid w:val="00617341"/>
    <w:rsid w:val="0061735D"/>
    <w:rsid w:val="006174D2"/>
    <w:rsid w:val="0061752E"/>
    <w:rsid w:val="00617758"/>
    <w:rsid w:val="00617777"/>
    <w:rsid w:val="006177B3"/>
    <w:rsid w:val="006177D1"/>
    <w:rsid w:val="0061780D"/>
    <w:rsid w:val="0061783A"/>
    <w:rsid w:val="0061783E"/>
    <w:rsid w:val="006179CB"/>
    <w:rsid w:val="006179D8"/>
    <w:rsid w:val="00617A59"/>
    <w:rsid w:val="00617AEF"/>
    <w:rsid w:val="00617B29"/>
    <w:rsid w:val="00617CAC"/>
    <w:rsid w:val="00617CD4"/>
    <w:rsid w:val="00617D12"/>
    <w:rsid w:val="00617D65"/>
    <w:rsid w:val="00617E05"/>
    <w:rsid w:val="00617F55"/>
    <w:rsid w:val="00617F59"/>
    <w:rsid w:val="006200AC"/>
    <w:rsid w:val="00620116"/>
    <w:rsid w:val="00620263"/>
    <w:rsid w:val="006202C0"/>
    <w:rsid w:val="006203E9"/>
    <w:rsid w:val="00620516"/>
    <w:rsid w:val="0062060B"/>
    <w:rsid w:val="0062069A"/>
    <w:rsid w:val="00620738"/>
    <w:rsid w:val="00620846"/>
    <w:rsid w:val="0062090B"/>
    <w:rsid w:val="00620919"/>
    <w:rsid w:val="006209DE"/>
    <w:rsid w:val="00620A50"/>
    <w:rsid w:val="00620A74"/>
    <w:rsid w:val="00620B34"/>
    <w:rsid w:val="00620BD2"/>
    <w:rsid w:val="00620BD6"/>
    <w:rsid w:val="00620C35"/>
    <w:rsid w:val="00620CE1"/>
    <w:rsid w:val="00620E6B"/>
    <w:rsid w:val="00620E98"/>
    <w:rsid w:val="00620EEC"/>
    <w:rsid w:val="00620EF7"/>
    <w:rsid w:val="00620FBC"/>
    <w:rsid w:val="00620FBD"/>
    <w:rsid w:val="00621004"/>
    <w:rsid w:val="006211A1"/>
    <w:rsid w:val="0062126F"/>
    <w:rsid w:val="00621293"/>
    <w:rsid w:val="00621392"/>
    <w:rsid w:val="00621415"/>
    <w:rsid w:val="00621417"/>
    <w:rsid w:val="0062145A"/>
    <w:rsid w:val="00621484"/>
    <w:rsid w:val="006214A6"/>
    <w:rsid w:val="006214FD"/>
    <w:rsid w:val="00621508"/>
    <w:rsid w:val="0062154D"/>
    <w:rsid w:val="006215BF"/>
    <w:rsid w:val="00621675"/>
    <w:rsid w:val="00621949"/>
    <w:rsid w:val="00621969"/>
    <w:rsid w:val="00621B9E"/>
    <w:rsid w:val="00621C27"/>
    <w:rsid w:val="00621D95"/>
    <w:rsid w:val="00621E43"/>
    <w:rsid w:val="00621E50"/>
    <w:rsid w:val="00621EE5"/>
    <w:rsid w:val="00621EF7"/>
    <w:rsid w:val="00621F04"/>
    <w:rsid w:val="00621FD7"/>
    <w:rsid w:val="00621FDE"/>
    <w:rsid w:val="00622026"/>
    <w:rsid w:val="0062205C"/>
    <w:rsid w:val="006220BB"/>
    <w:rsid w:val="006221CC"/>
    <w:rsid w:val="006221CF"/>
    <w:rsid w:val="006221E6"/>
    <w:rsid w:val="00622204"/>
    <w:rsid w:val="006223AF"/>
    <w:rsid w:val="0062243C"/>
    <w:rsid w:val="006224DA"/>
    <w:rsid w:val="0062252F"/>
    <w:rsid w:val="00622549"/>
    <w:rsid w:val="00622578"/>
    <w:rsid w:val="006225A1"/>
    <w:rsid w:val="00622641"/>
    <w:rsid w:val="006226B5"/>
    <w:rsid w:val="00622747"/>
    <w:rsid w:val="006227C0"/>
    <w:rsid w:val="0062282E"/>
    <w:rsid w:val="0062289F"/>
    <w:rsid w:val="0062297F"/>
    <w:rsid w:val="00622A2C"/>
    <w:rsid w:val="00622B17"/>
    <w:rsid w:val="00622B34"/>
    <w:rsid w:val="00622B38"/>
    <w:rsid w:val="00622CD1"/>
    <w:rsid w:val="00622D5D"/>
    <w:rsid w:val="00622DFA"/>
    <w:rsid w:val="00622E7A"/>
    <w:rsid w:val="00622EE6"/>
    <w:rsid w:val="00622F06"/>
    <w:rsid w:val="00622FA2"/>
    <w:rsid w:val="00622FD3"/>
    <w:rsid w:val="00623059"/>
    <w:rsid w:val="0062307C"/>
    <w:rsid w:val="00623098"/>
    <w:rsid w:val="00623144"/>
    <w:rsid w:val="00623171"/>
    <w:rsid w:val="00623187"/>
    <w:rsid w:val="006232E6"/>
    <w:rsid w:val="006232EE"/>
    <w:rsid w:val="006233AD"/>
    <w:rsid w:val="00623445"/>
    <w:rsid w:val="0062347D"/>
    <w:rsid w:val="00623546"/>
    <w:rsid w:val="006235DF"/>
    <w:rsid w:val="006235FF"/>
    <w:rsid w:val="00623671"/>
    <w:rsid w:val="006236A1"/>
    <w:rsid w:val="0062377F"/>
    <w:rsid w:val="006237D2"/>
    <w:rsid w:val="006237EF"/>
    <w:rsid w:val="00623820"/>
    <w:rsid w:val="0062385B"/>
    <w:rsid w:val="006238F1"/>
    <w:rsid w:val="00623928"/>
    <w:rsid w:val="006239F4"/>
    <w:rsid w:val="006239FF"/>
    <w:rsid w:val="00623A25"/>
    <w:rsid w:val="00623A48"/>
    <w:rsid w:val="00623A51"/>
    <w:rsid w:val="00623C33"/>
    <w:rsid w:val="00623C56"/>
    <w:rsid w:val="00623CB4"/>
    <w:rsid w:val="00623D48"/>
    <w:rsid w:val="00623D9E"/>
    <w:rsid w:val="00623E8C"/>
    <w:rsid w:val="00623ECC"/>
    <w:rsid w:val="00623F2F"/>
    <w:rsid w:val="00623FAA"/>
    <w:rsid w:val="006240F2"/>
    <w:rsid w:val="00624172"/>
    <w:rsid w:val="0062419B"/>
    <w:rsid w:val="006241C3"/>
    <w:rsid w:val="00624263"/>
    <w:rsid w:val="00624408"/>
    <w:rsid w:val="0062442C"/>
    <w:rsid w:val="0062445B"/>
    <w:rsid w:val="006244D0"/>
    <w:rsid w:val="00624629"/>
    <w:rsid w:val="0062463A"/>
    <w:rsid w:val="0062467F"/>
    <w:rsid w:val="006246DB"/>
    <w:rsid w:val="0062481D"/>
    <w:rsid w:val="006248E6"/>
    <w:rsid w:val="006248FB"/>
    <w:rsid w:val="0062496B"/>
    <w:rsid w:val="006249BD"/>
    <w:rsid w:val="00624A05"/>
    <w:rsid w:val="00624A59"/>
    <w:rsid w:val="00624B37"/>
    <w:rsid w:val="00624B8F"/>
    <w:rsid w:val="00624C81"/>
    <w:rsid w:val="00624CD3"/>
    <w:rsid w:val="00624D1C"/>
    <w:rsid w:val="00624EA5"/>
    <w:rsid w:val="00624FD2"/>
    <w:rsid w:val="00624FF1"/>
    <w:rsid w:val="00625236"/>
    <w:rsid w:val="00625237"/>
    <w:rsid w:val="00625244"/>
    <w:rsid w:val="006252B2"/>
    <w:rsid w:val="0062534A"/>
    <w:rsid w:val="006253E5"/>
    <w:rsid w:val="00625504"/>
    <w:rsid w:val="00625539"/>
    <w:rsid w:val="006255C1"/>
    <w:rsid w:val="00625779"/>
    <w:rsid w:val="006257E4"/>
    <w:rsid w:val="006257E9"/>
    <w:rsid w:val="006258BE"/>
    <w:rsid w:val="006258F7"/>
    <w:rsid w:val="00625930"/>
    <w:rsid w:val="00625B4E"/>
    <w:rsid w:val="00625CDD"/>
    <w:rsid w:val="00625E22"/>
    <w:rsid w:val="0062606D"/>
    <w:rsid w:val="00626080"/>
    <w:rsid w:val="00626250"/>
    <w:rsid w:val="0062628B"/>
    <w:rsid w:val="006262CA"/>
    <w:rsid w:val="006262F7"/>
    <w:rsid w:val="0062631E"/>
    <w:rsid w:val="006263A9"/>
    <w:rsid w:val="006263D6"/>
    <w:rsid w:val="006263E8"/>
    <w:rsid w:val="006264D7"/>
    <w:rsid w:val="00626518"/>
    <w:rsid w:val="0062659C"/>
    <w:rsid w:val="0062662D"/>
    <w:rsid w:val="00626679"/>
    <w:rsid w:val="00626712"/>
    <w:rsid w:val="00626786"/>
    <w:rsid w:val="00626789"/>
    <w:rsid w:val="00626806"/>
    <w:rsid w:val="00626897"/>
    <w:rsid w:val="006268A0"/>
    <w:rsid w:val="006268E0"/>
    <w:rsid w:val="006269CD"/>
    <w:rsid w:val="00626AE6"/>
    <w:rsid w:val="00626BD3"/>
    <w:rsid w:val="00626C5B"/>
    <w:rsid w:val="00626DAB"/>
    <w:rsid w:val="00627040"/>
    <w:rsid w:val="00627115"/>
    <w:rsid w:val="00627201"/>
    <w:rsid w:val="00627246"/>
    <w:rsid w:val="00627379"/>
    <w:rsid w:val="006273B0"/>
    <w:rsid w:val="006273C7"/>
    <w:rsid w:val="0062741C"/>
    <w:rsid w:val="006275F0"/>
    <w:rsid w:val="00627712"/>
    <w:rsid w:val="0062771B"/>
    <w:rsid w:val="006277CB"/>
    <w:rsid w:val="0062780B"/>
    <w:rsid w:val="006278D2"/>
    <w:rsid w:val="006279B5"/>
    <w:rsid w:val="006279E1"/>
    <w:rsid w:val="00627A25"/>
    <w:rsid w:val="00627B75"/>
    <w:rsid w:val="00627BA8"/>
    <w:rsid w:val="00627C3B"/>
    <w:rsid w:val="00627C71"/>
    <w:rsid w:val="00627CD7"/>
    <w:rsid w:val="00627D6B"/>
    <w:rsid w:val="00627F48"/>
    <w:rsid w:val="00627FEF"/>
    <w:rsid w:val="00630078"/>
    <w:rsid w:val="006301BC"/>
    <w:rsid w:val="006302A1"/>
    <w:rsid w:val="006302C4"/>
    <w:rsid w:val="0063033C"/>
    <w:rsid w:val="00630343"/>
    <w:rsid w:val="00630411"/>
    <w:rsid w:val="0063042E"/>
    <w:rsid w:val="00630544"/>
    <w:rsid w:val="00630585"/>
    <w:rsid w:val="006305FC"/>
    <w:rsid w:val="00630652"/>
    <w:rsid w:val="006306AB"/>
    <w:rsid w:val="00630790"/>
    <w:rsid w:val="00630791"/>
    <w:rsid w:val="006307F4"/>
    <w:rsid w:val="0063095A"/>
    <w:rsid w:val="006309E3"/>
    <w:rsid w:val="00630A92"/>
    <w:rsid w:val="00630AA1"/>
    <w:rsid w:val="00630BFF"/>
    <w:rsid w:val="00630CEC"/>
    <w:rsid w:val="00630DA1"/>
    <w:rsid w:val="00630DBE"/>
    <w:rsid w:val="00630DC7"/>
    <w:rsid w:val="00630E8F"/>
    <w:rsid w:val="00630FCC"/>
    <w:rsid w:val="006310AB"/>
    <w:rsid w:val="006310AC"/>
    <w:rsid w:val="00631181"/>
    <w:rsid w:val="0063118E"/>
    <w:rsid w:val="00631261"/>
    <w:rsid w:val="00631284"/>
    <w:rsid w:val="00631315"/>
    <w:rsid w:val="006313C0"/>
    <w:rsid w:val="00631443"/>
    <w:rsid w:val="00631660"/>
    <w:rsid w:val="006318A3"/>
    <w:rsid w:val="006318F3"/>
    <w:rsid w:val="00631A08"/>
    <w:rsid w:val="00631A31"/>
    <w:rsid w:val="00631A44"/>
    <w:rsid w:val="00631AAE"/>
    <w:rsid w:val="00631C4F"/>
    <w:rsid w:val="00631C97"/>
    <w:rsid w:val="00631D15"/>
    <w:rsid w:val="00631D36"/>
    <w:rsid w:val="00631DFE"/>
    <w:rsid w:val="00631E8B"/>
    <w:rsid w:val="00631F37"/>
    <w:rsid w:val="00631F94"/>
    <w:rsid w:val="00631FBB"/>
    <w:rsid w:val="00632075"/>
    <w:rsid w:val="0063219A"/>
    <w:rsid w:val="006321D1"/>
    <w:rsid w:val="006321E2"/>
    <w:rsid w:val="006322C2"/>
    <w:rsid w:val="0063240C"/>
    <w:rsid w:val="006324D8"/>
    <w:rsid w:val="006324DA"/>
    <w:rsid w:val="006324F9"/>
    <w:rsid w:val="00632533"/>
    <w:rsid w:val="006325C4"/>
    <w:rsid w:val="006325EB"/>
    <w:rsid w:val="00632717"/>
    <w:rsid w:val="00632737"/>
    <w:rsid w:val="00632765"/>
    <w:rsid w:val="006328CE"/>
    <w:rsid w:val="006329B0"/>
    <w:rsid w:val="00632A2F"/>
    <w:rsid w:val="00632C3F"/>
    <w:rsid w:val="00632C96"/>
    <w:rsid w:val="00632CE9"/>
    <w:rsid w:val="00632E82"/>
    <w:rsid w:val="00632EA4"/>
    <w:rsid w:val="0063306B"/>
    <w:rsid w:val="00633112"/>
    <w:rsid w:val="0063323D"/>
    <w:rsid w:val="0063331E"/>
    <w:rsid w:val="00633373"/>
    <w:rsid w:val="00633380"/>
    <w:rsid w:val="0063341B"/>
    <w:rsid w:val="00633441"/>
    <w:rsid w:val="0063344D"/>
    <w:rsid w:val="0063345E"/>
    <w:rsid w:val="00633698"/>
    <w:rsid w:val="006336F6"/>
    <w:rsid w:val="006339A7"/>
    <w:rsid w:val="00633A6F"/>
    <w:rsid w:val="00633B93"/>
    <w:rsid w:val="00633C2A"/>
    <w:rsid w:val="00633C2F"/>
    <w:rsid w:val="00633C68"/>
    <w:rsid w:val="00633C80"/>
    <w:rsid w:val="00633C8C"/>
    <w:rsid w:val="00633E45"/>
    <w:rsid w:val="00633F77"/>
    <w:rsid w:val="006341EE"/>
    <w:rsid w:val="00634213"/>
    <w:rsid w:val="00634215"/>
    <w:rsid w:val="00634263"/>
    <w:rsid w:val="00634363"/>
    <w:rsid w:val="00634498"/>
    <w:rsid w:val="006345ED"/>
    <w:rsid w:val="0063473F"/>
    <w:rsid w:val="00634805"/>
    <w:rsid w:val="0063484C"/>
    <w:rsid w:val="00634968"/>
    <w:rsid w:val="00634A41"/>
    <w:rsid w:val="00634AE7"/>
    <w:rsid w:val="00634B67"/>
    <w:rsid w:val="00634B8E"/>
    <w:rsid w:val="00634C01"/>
    <w:rsid w:val="00634CEB"/>
    <w:rsid w:val="00634DA0"/>
    <w:rsid w:val="00634DF5"/>
    <w:rsid w:val="00634EEB"/>
    <w:rsid w:val="00634F47"/>
    <w:rsid w:val="00634F8C"/>
    <w:rsid w:val="00635003"/>
    <w:rsid w:val="00635006"/>
    <w:rsid w:val="00635135"/>
    <w:rsid w:val="006351F2"/>
    <w:rsid w:val="006352A0"/>
    <w:rsid w:val="006352F8"/>
    <w:rsid w:val="0063539A"/>
    <w:rsid w:val="006355A6"/>
    <w:rsid w:val="0063561E"/>
    <w:rsid w:val="006358E6"/>
    <w:rsid w:val="0063597C"/>
    <w:rsid w:val="00635B6D"/>
    <w:rsid w:val="00635BCA"/>
    <w:rsid w:val="00635BD6"/>
    <w:rsid w:val="00635C06"/>
    <w:rsid w:val="00635C4C"/>
    <w:rsid w:val="00635C52"/>
    <w:rsid w:val="00635D78"/>
    <w:rsid w:val="00635D8B"/>
    <w:rsid w:val="00635DA6"/>
    <w:rsid w:val="00635DD7"/>
    <w:rsid w:val="00635E1C"/>
    <w:rsid w:val="00635E32"/>
    <w:rsid w:val="00635E7F"/>
    <w:rsid w:val="00635F1A"/>
    <w:rsid w:val="00635FC1"/>
    <w:rsid w:val="006362EC"/>
    <w:rsid w:val="00636469"/>
    <w:rsid w:val="00636715"/>
    <w:rsid w:val="0063678F"/>
    <w:rsid w:val="006367C7"/>
    <w:rsid w:val="006368E8"/>
    <w:rsid w:val="006368FE"/>
    <w:rsid w:val="006369FC"/>
    <w:rsid w:val="00636A9F"/>
    <w:rsid w:val="00636AEF"/>
    <w:rsid w:val="00636B2C"/>
    <w:rsid w:val="00636B38"/>
    <w:rsid w:val="00636BED"/>
    <w:rsid w:val="00636C07"/>
    <w:rsid w:val="00636C08"/>
    <w:rsid w:val="00636D38"/>
    <w:rsid w:val="00636D44"/>
    <w:rsid w:val="00636DA3"/>
    <w:rsid w:val="00636DE1"/>
    <w:rsid w:val="00637006"/>
    <w:rsid w:val="0063710E"/>
    <w:rsid w:val="00637113"/>
    <w:rsid w:val="00637181"/>
    <w:rsid w:val="006372CA"/>
    <w:rsid w:val="006373FE"/>
    <w:rsid w:val="0063765A"/>
    <w:rsid w:val="00637691"/>
    <w:rsid w:val="0063782E"/>
    <w:rsid w:val="006378F7"/>
    <w:rsid w:val="006378FD"/>
    <w:rsid w:val="00637A1C"/>
    <w:rsid w:val="00637A8A"/>
    <w:rsid w:val="00637C31"/>
    <w:rsid w:val="00637C5E"/>
    <w:rsid w:val="00637CE2"/>
    <w:rsid w:val="00637EE9"/>
    <w:rsid w:val="00637F45"/>
    <w:rsid w:val="00637F64"/>
    <w:rsid w:val="00637F6A"/>
    <w:rsid w:val="0064001F"/>
    <w:rsid w:val="00640051"/>
    <w:rsid w:val="00640080"/>
    <w:rsid w:val="006401A4"/>
    <w:rsid w:val="00640245"/>
    <w:rsid w:val="00640368"/>
    <w:rsid w:val="0064037F"/>
    <w:rsid w:val="00640414"/>
    <w:rsid w:val="006404EE"/>
    <w:rsid w:val="006407A6"/>
    <w:rsid w:val="00640814"/>
    <w:rsid w:val="00640972"/>
    <w:rsid w:val="0064099A"/>
    <w:rsid w:val="00640A0A"/>
    <w:rsid w:val="00640A20"/>
    <w:rsid w:val="00640A78"/>
    <w:rsid w:val="00640BC5"/>
    <w:rsid w:val="00640E7D"/>
    <w:rsid w:val="00640E9C"/>
    <w:rsid w:val="00640EAE"/>
    <w:rsid w:val="00640F2D"/>
    <w:rsid w:val="00640F5D"/>
    <w:rsid w:val="00641048"/>
    <w:rsid w:val="00641124"/>
    <w:rsid w:val="00641195"/>
    <w:rsid w:val="00641246"/>
    <w:rsid w:val="006413E1"/>
    <w:rsid w:val="006414CD"/>
    <w:rsid w:val="0064152A"/>
    <w:rsid w:val="0064155E"/>
    <w:rsid w:val="006416A2"/>
    <w:rsid w:val="006416A4"/>
    <w:rsid w:val="006416C5"/>
    <w:rsid w:val="006416CC"/>
    <w:rsid w:val="006417C0"/>
    <w:rsid w:val="006417C5"/>
    <w:rsid w:val="00641886"/>
    <w:rsid w:val="0064197C"/>
    <w:rsid w:val="00641AA8"/>
    <w:rsid w:val="00641B2C"/>
    <w:rsid w:val="00641B68"/>
    <w:rsid w:val="00641C0D"/>
    <w:rsid w:val="00641C90"/>
    <w:rsid w:val="00641CB9"/>
    <w:rsid w:val="00641CF0"/>
    <w:rsid w:val="00641EC0"/>
    <w:rsid w:val="0064203B"/>
    <w:rsid w:val="0064221E"/>
    <w:rsid w:val="0064224E"/>
    <w:rsid w:val="00642381"/>
    <w:rsid w:val="006423C1"/>
    <w:rsid w:val="00642405"/>
    <w:rsid w:val="00642423"/>
    <w:rsid w:val="00642427"/>
    <w:rsid w:val="00642448"/>
    <w:rsid w:val="006424C9"/>
    <w:rsid w:val="006425A7"/>
    <w:rsid w:val="00642659"/>
    <w:rsid w:val="00642686"/>
    <w:rsid w:val="00642731"/>
    <w:rsid w:val="00642781"/>
    <w:rsid w:val="0064292B"/>
    <w:rsid w:val="00642975"/>
    <w:rsid w:val="00642A5F"/>
    <w:rsid w:val="00642A99"/>
    <w:rsid w:val="00642AD4"/>
    <w:rsid w:val="00642ADA"/>
    <w:rsid w:val="00642B10"/>
    <w:rsid w:val="00642B27"/>
    <w:rsid w:val="00642C70"/>
    <w:rsid w:val="00642CAD"/>
    <w:rsid w:val="00642D22"/>
    <w:rsid w:val="00642D3A"/>
    <w:rsid w:val="00642D6B"/>
    <w:rsid w:val="00642DA0"/>
    <w:rsid w:val="00642EC9"/>
    <w:rsid w:val="00642F95"/>
    <w:rsid w:val="00642FCA"/>
    <w:rsid w:val="00643026"/>
    <w:rsid w:val="0064304A"/>
    <w:rsid w:val="00643053"/>
    <w:rsid w:val="0064313A"/>
    <w:rsid w:val="00643266"/>
    <w:rsid w:val="00643281"/>
    <w:rsid w:val="006432E4"/>
    <w:rsid w:val="00643316"/>
    <w:rsid w:val="00643435"/>
    <w:rsid w:val="0064348E"/>
    <w:rsid w:val="00643492"/>
    <w:rsid w:val="00643591"/>
    <w:rsid w:val="006435AD"/>
    <w:rsid w:val="006435D2"/>
    <w:rsid w:val="00643655"/>
    <w:rsid w:val="006436E5"/>
    <w:rsid w:val="00643700"/>
    <w:rsid w:val="0064372A"/>
    <w:rsid w:val="00643799"/>
    <w:rsid w:val="006437D5"/>
    <w:rsid w:val="00643AD0"/>
    <w:rsid w:val="00643AFA"/>
    <w:rsid w:val="00643B1B"/>
    <w:rsid w:val="00643C0B"/>
    <w:rsid w:val="00643C18"/>
    <w:rsid w:val="00643CAC"/>
    <w:rsid w:val="00643E2B"/>
    <w:rsid w:val="00643E54"/>
    <w:rsid w:val="00643EC2"/>
    <w:rsid w:val="00643EEE"/>
    <w:rsid w:val="00643F7B"/>
    <w:rsid w:val="00643F7C"/>
    <w:rsid w:val="00643FC8"/>
    <w:rsid w:val="00643FCE"/>
    <w:rsid w:val="00644030"/>
    <w:rsid w:val="0064405C"/>
    <w:rsid w:val="00644084"/>
    <w:rsid w:val="0064423E"/>
    <w:rsid w:val="0064424B"/>
    <w:rsid w:val="00644287"/>
    <w:rsid w:val="006442B3"/>
    <w:rsid w:val="006442B6"/>
    <w:rsid w:val="00644381"/>
    <w:rsid w:val="00644457"/>
    <w:rsid w:val="00644466"/>
    <w:rsid w:val="006444B6"/>
    <w:rsid w:val="006445DC"/>
    <w:rsid w:val="006445F1"/>
    <w:rsid w:val="0064472B"/>
    <w:rsid w:val="0064474B"/>
    <w:rsid w:val="006447EF"/>
    <w:rsid w:val="00644894"/>
    <w:rsid w:val="006448B0"/>
    <w:rsid w:val="006448DB"/>
    <w:rsid w:val="00644948"/>
    <w:rsid w:val="00644A42"/>
    <w:rsid w:val="00644AC7"/>
    <w:rsid w:val="00644AD4"/>
    <w:rsid w:val="00644B3B"/>
    <w:rsid w:val="00644C85"/>
    <w:rsid w:val="00644CF2"/>
    <w:rsid w:val="00644D18"/>
    <w:rsid w:val="00644DA6"/>
    <w:rsid w:val="00644DCC"/>
    <w:rsid w:val="00644FE7"/>
    <w:rsid w:val="0064503E"/>
    <w:rsid w:val="00645165"/>
    <w:rsid w:val="00645263"/>
    <w:rsid w:val="00645278"/>
    <w:rsid w:val="0064535E"/>
    <w:rsid w:val="00645453"/>
    <w:rsid w:val="006454E0"/>
    <w:rsid w:val="006455E5"/>
    <w:rsid w:val="00645616"/>
    <w:rsid w:val="006459DF"/>
    <w:rsid w:val="00645A76"/>
    <w:rsid w:val="00645B2D"/>
    <w:rsid w:val="00645C2C"/>
    <w:rsid w:val="00645C63"/>
    <w:rsid w:val="00645D10"/>
    <w:rsid w:val="00645F0D"/>
    <w:rsid w:val="00645F21"/>
    <w:rsid w:val="00645F2C"/>
    <w:rsid w:val="00645F7B"/>
    <w:rsid w:val="00646048"/>
    <w:rsid w:val="006461AA"/>
    <w:rsid w:val="006462E2"/>
    <w:rsid w:val="00646376"/>
    <w:rsid w:val="00646394"/>
    <w:rsid w:val="006463A6"/>
    <w:rsid w:val="006463B7"/>
    <w:rsid w:val="006463CB"/>
    <w:rsid w:val="006463DD"/>
    <w:rsid w:val="006464B9"/>
    <w:rsid w:val="006466D7"/>
    <w:rsid w:val="006467A6"/>
    <w:rsid w:val="006467AC"/>
    <w:rsid w:val="006467E0"/>
    <w:rsid w:val="006467F9"/>
    <w:rsid w:val="006469B2"/>
    <w:rsid w:val="00646A35"/>
    <w:rsid w:val="00646A44"/>
    <w:rsid w:val="00646AEE"/>
    <w:rsid w:val="00646BF5"/>
    <w:rsid w:val="00646CD3"/>
    <w:rsid w:val="00646E93"/>
    <w:rsid w:val="00646F68"/>
    <w:rsid w:val="00647042"/>
    <w:rsid w:val="006470A2"/>
    <w:rsid w:val="0064718F"/>
    <w:rsid w:val="006471D9"/>
    <w:rsid w:val="006472BF"/>
    <w:rsid w:val="00647364"/>
    <w:rsid w:val="0064740E"/>
    <w:rsid w:val="00647508"/>
    <w:rsid w:val="00647528"/>
    <w:rsid w:val="006475D4"/>
    <w:rsid w:val="00647647"/>
    <w:rsid w:val="0064766D"/>
    <w:rsid w:val="006477B4"/>
    <w:rsid w:val="00647812"/>
    <w:rsid w:val="006478DA"/>
    <w:rsid w:val="00647982"/>
    <w:rsid w:val="00647B32"/>
    <w:rsid w:val="00647BF6"/>
    <w:rsid w:val="00647C68"/>
    <w:rsid w:val="00647CDC"/>
    <w:rsid w:val="00647D56"/>
    <w:rsid w:val="00647D90"/>
    <w:rsid w:val="00647FCD"/>
    <w:rsid w:val="00647FDC"/>
    <w:rsid w:val="00650019"/>
    <w:rsid w:val="00650073"/>
    <w:rsid w:val="00650106"/>
    <w:rsid w:val="006502DD"/>
    <w:rsid w:val="0065041C"/>
    <w:rsid w:val="0065051D"/>
    <w:rsid w:val="0065052A"/>
    <w:rsid w:val="0065064B"/>
    <w:rsid w:val="0065064E"/>
    <w:rsid w:val="00650715"/>
    <w:rsid w:val="0065079E"/>
    <w:rsid w:val="006508CC"/>
    <w:rsid w:val="006508D2"/>
    <w:rsid w:val="006508EE"/>
    <w:rsid w:val="00650952"/>
    <w:rsid w:val="006509AA"/>
    <w:rsid w:val="00650ABF"/>
    <w:rsid w:val="00650AD4"/>
    <w:rsid w:val="00650B12"/>
    <w:rsid w:val="00650B4B"/>
    <w:rsid w:val="00650C0B"/>
    <w:rsid w:val="00650C4E"/>
    <w:rsid w:val="00650C53"/>
    <w:rsid w:val="00650CB0"/>
    <w:rsid w:val="00650D32"/>
    <w:rsid w:val="00650F2F"/>
    <w:rsid w:val="00650FC0"/>
    <w:rsid w:val="00650FC7"/>
    <w:rsid w:val="00650FE0"/>
    <w:rsid w:val="00650FE1"/>
    <w:rsid w:val="00650FED"/>
    <w:rsid w:val="00651029"/>
    <w:rsid w:val="00651059"/>
    <w:rsid w:val="006510B1"/>
    <w:rsid w:val="00651139"/>
    <w:rsid w:val="006511E7"/>
    <w:rsid w:val="00651215"/>
    <w:rsid w:val="00651284"/>
    <w:rsid w:val="006512AD"/>
    <w:rsid w:val="006512C8"/>
    <w:rsid w:val="006512EC"/>
    <w:rsid w:val="00651317"/>
    <w:rsid w:val="00651379"/>
    <w:rsid w:val="006513A4"/>
    <w:rsid w:val="00651429"/>
    <w:rsid w:val="006514E7"/>
    <w:rsid w:val="006515AA"/>
    <w:rsid w:val="006515CD"/>
    <w:rsid w:val="00651797"/>
    <w:rsid w:val="00651921"/>
    <w:rsid w:val="006519B7"/>
    <w:rsid w:val="00651B85"/>
    <w:rsid w:val="00651C6B"/>
    <w:rsid w:val="00651CCA"/>
    <w:rsid w:val="00651DA6"/>
    <w:rsid w:val="00651E33"/>
    <w:rsid w:val="00651E64"/>
    <w:rsid w:val="00651F00"/>
    <w:rsid w:val="00651F34"/>
    <w:rsid w:val="00651F9B"/>
    <w:rsid w:val="006521B3"/>
    <w:rsid w:val="006521BE"/>
    <w:rsid w:val="00652393"/>
    <w:rsid w:val="006523E8"/>
    <w:rsid w:val="006524AB"/>
    <w:rsid w:val="0065259F"/>
    <w:rsid w:val="0065261C"/>
    <w:rsid w:val="00652629"/>
    <w:rsid w:val="00652697"/>
    <w:rsid w:val="006526DE"/>
    <w:rsid w:val="006526E4"/>
    <w:rsid w:val="00652725"/>
    <w:rsid w:val="0065274F"/>
    <w:rsid w:val="00652756"/>
    <w:rsid w:val="00652764"/>
    <w:rsid w:val="00652767"/>
    <w:rsid w:val="00652783"/>
    <w:rsid w:val="006529EB"/>
    <w:rsid w:val="00652B04"/>
    <w:rsid w:val="00652BBB"/>
    <w:rsid w:val="00652CAA"/>
    <w:rsid w:val="00652CC7"/>
    <w:rsid w:val="00652D2B"/>
    <w:rsid w:val="00652E5B"/>
    <w:rsid w:val="00652F17"/>
    <w:rsid w:val="00652FEE"/>
    <w:rsid w:val="00652FF3"/>
    <w:rsid w:val="006531CD"/>
    <w:rsid w:val="006531E8"/>
    <w:rsid w:val="006532B0"/>
    <w:rsid w:val="006533F0"/>
    <w:rsid w:val="00653479"/>
    <w:rsid w:val="00653486"/>
    <w:rsid w:val="006534FF"/>
    <w:rsid w:val="00653551"/>
    <w:rsid w:val="00653657"/>
    <w:rsid w:val="0065369C"/>
    <w:rsid w:val="00653777"/>
    <w:rsid w:val="00653848"/>
    <w:rsid w:val="006538AD"/>
    <w:rsid w:val="006538F9"/>
    <w:rsid w:val="00653923"/>
    <w:rsid w:val="00653C58"/>
    <w:rsid w:val="00653C73"/>
    <w:rsid w:val="00653C80"/>
    <w:rsid w:val="00653D82"/>
    <w:rsid w:val="00653D8D"/>
    <w:rsid w:val="00653DC2"/>
    <w:rsid w:val="00653EA8"/>
    <w:rsid w:val="0065425E"/>
    <w:rsid w:val="00654266"/>
    <w:rsid w:val="006543A2"/>
    <w:rsid w:val="006543A7"/>
    <w:rsid w:val="00654450"/>
    <w:rsid w:val="006544C4"/>
    <w:rsid w:val="0065459C"/>
    <w:rsid w:val="00654684"/>
    <w:rsid w:val="006546B8"/>
    <w:rsid w:val="00654711"/>
    <w:rsid w:val="006548D9"/>
    <w:rsid w:val="00654906"/>
    <w:rsid w:val="0065496B"/>
    <w:rsid w:val="006549F5"/>
    <w:rsid w:val="00654A89"/>
    <w:rsid w:val="00654BCF"/>
    <w:rsid w:val="00654C76"/>
    <w:rsid w:val="00654E20"/>
    <w:rsid w:val="00654E9C"/>
    <w:rsid w:val="00654FE3"/>
    <w:rsid w:val="00655028"/>
    <w:rsid w:val="006550DE"/>
    <w:rsid w:val="0065510A"/>
    <w:rsid w:val="0065516C"/>
    <w:rsid w:val="006552B8"/>
    <w:rsid w:val="00655495"/>
    <w:rsid w:val="006554C8"/>
    <w:rsid w:val="00655608"/>
    <w:rsid w:val="00655611"/>
    <w:rsid w:val="00655650"/>
    <w:rsid w:val="006556B4"/>
    <w:rsid w:val="00655745"/>
    <w:rsid w:val="00655770"/>
    <w:rsid w:val="0065578C"/>
    <w:rsid w:val="00655861"/>
    <w:rsid w:val="00655906"/>
    <w:rsid w:val="00655925"/>
    <w:rsid w:val="00655972"/>
    <w:rsid w:val="00655984"/>
    <w:rsid w:val="006559A1"/>
    <w:rsid w:val="00655B4E"/>
    <w:rsid w:val="00655C15"/>
    <w:rsid w:val="00655C8E"/>
    <w:rsid w:val="00655CE6"/>
    <w:rsid w:val="00655D21"/>
    <w:rsid w:val="00655FD1"/>
    <w:rsid w:val="006560DA"/>
    <w:rsid w:val="00656196"/>
    <w:rsid w:val="00656259"/>
    <w:rsid w:val="00656278"/>
    <w:rsid w:val="0065638E"/>
    <w:rsid w:val="00656686"/>
    <w:rsid w:val="006566F2"/>
    <w:rsid w:val="0065670B"/>
    <w:rsid w:val="006567D3"/>
    <w:rsid w:val="00656887"/>
    <w:rsid w:val="006568A2"/>
    <w:rsid w:val="006569DC"/>
    <w:rsid w:val="00656A03"/>
    <w:rsid w:val="00656A3B"/>
    <w:rsid w:val="00656AFA"/>
    <w:rsid w:val="00656CA9"/>
    <w:rsid w:val="00656CC6"/>
    <w:rsid w:val="00656D8E"/>
    <w:rsid w:val="00656F25"/>
    <w:rsid w:val="00656F43"/>
    <w:rsid w:val="00656FEA"/>
    <w:rsid w:val="00657212"/>
    <w:rsid w:val="00657240"/>
    <w:rsid w:val="00657298"/>
    <w:rsid w:val="00657564"/>
    <w:rsid w:val="00657584"/>
    <w:rsid w:val="006575CB"/>
    <w:rsid w:val="00657676"/>
    <w:rsid w:val="006576D9"/>
    <w:rsid w:val="006576EF"/>
    <w:rsid w:val="006577BA"/>
    <w:rsid w:val="0065788A"/>
    <w:rsid w:val="00657891"/>
    <w:rsid w:val="00657947"/>
    <w:rsid w:val="00657A3A"/>
    <w:rsid w:val="00657A50"/>
    <w:rsid w:val="00657BB0"/>
    <w:rsid w:val="00657D20"/>
    <w:rsid w:val="00657D73"/>
    <w:rsid w:val="00657DEA"/>
    <w:rsid w:val="00657E8A"/>
    <w:rsid w:val="00657F64"/>
    <w:rsid w:val="00657F68"/>
    <w:rsid w:val="00657F95"/>
    <w:rsid w:val="00657FCF"/>
    <w:rsid w:val="0066003F"/>
    <w:rsid w:val="0066006A"/>
    <w:rsid w:val="00660073"/>
    <w:rsid w:val="0066009E"/>
    <w:rsid w:val="00660142"/>
    <w:rsid w:val="0066039F"/>
    <w:rsid w:val="006603B0"/>
    <w:rsid w:val="00660631"/>
    <w:rsid w:val="00660633"/>
    <w:rsid w:val="006608ED"/>
    <w:rsid w:val="00660928"/>
    <w:rsid w:val="00660939"/>
    <w:rsid w:val="00660982"/>
    <w:rsid w:val="00660A46"/>
    <w:rsid w:val="00660AA4"/>
    <w:rsid w:val="00660CE4"/>
    <w:rsid w:val="00660CFA"/>
    <w:rsid w:val="00660E6D"/>
    <w:rsid w:val="00660E86"/>
    <w:rsid w:val="00660F3F"/>
    <w:rsid w:val="00660F43"/>
    <w:rsid w:val="00660FAB"/>
    <w:rsid w:val="006610E3"/>
    <w:rsid w:val="00661104"/>
    <w:rsid w:val="006611A2"/>
    <w:rsid w:val="00661217"/>
    <w:rsid w:val="0066127D"/>
    <w:rsid w:val="006614C5"/>
    <w:rsid w:val="00661531"/>
    <w:rsid w:val="006615FC"/>
    <w:rsid w:val="006616CF"/>
    <w:rsid w:val="0066171D"/>
    <w:rsid w:val="006618B6"/>
    <w:rsid w:val="006618F7"/>
    <w:rsid w:val="0066198B"/>
    <w:rsid w:val="006619E7"/>
    <w:rsid w:val="00661A61"/>
    <w:rsid w:val="00661AC9"/>
    <w:rsid w:val="00661BBC"/>
    <w:rsid w:val="00661BBF"/>
    <w:rsid w:val="00661BD8"/>
    <w:rsid w:val="00661C55"/>
    <w:rsid w:val="00661CAE"/>
    <w:rsid w:val="00661D22"/>
    <w:rsid w:val="00661E0C"/>
    <w:rsid w:val="0066219A"/>
    <w:rsid w:val="006621AD"/>
    <w:rsid w:val="00662377"/>
    <w:rsid w:val="00662406"/>
    <w:rsid w:val="00662479"/>
    <w:rsid w:val="006624CC"/>
    <w:rsid w:val="006626CB"/>
    <w:rsid w:val="00662802"/>
    <w:rsid w:val="0066284C"/>
    <w:rsid w:val="0066287E"/>
    <w:rsid w:val="00662894"/>
    <w:rsid w:val="00662971"/>
    <w:rsid w:val="0066297B"/>
    <w:rsid w:val="006629C1"/>
    <w:rsid w:val="006629D4"/>
    <w:rsid w:val="00662A20"/>
    <w:rsid w:val="00662A75"/>
    <w:rsid w:val="00662B0D"/>
    <w:rsid w:val="00662B89"/>
    <w:rsid w:val="00662C79"/>
    <w:rsid w:val="00662C91"/>
    <w:rsid w:val="00662CEA"/>
    <w:rsid w:val="00662D80"/>
    <w:rsid w:val="00662E7C"/>
    <w:rsid w:val="0066304A"/>
    <w:rsid w:val="00663060"/>
    <w:rsid w:val="0066319A"/>
    <w:rsid w:val="006632FB"/>
    <w:rsid w:val="00663379"/>
    <w:rsid w:val="006633CA"/>
    <w:rsid w:val="00663416"/>
    <w:rsid w:val="0066347E"/>
    <w:rsid w:val="006634BB"/>
    <w:rsid w:val="006634D5"/>
    <w:rsid w:val="006635E0"/>
    <w:rsid w:val="006636DB"/>
    <w:rsid w:val="0066370A"/>
    <w:rsid w:val="0066373B"/>
    <w:rsid w:val="006637D4"/>
    <w:rsid w:val="00663803"/>
    <w:rsid w:val="00663898"/>
    <w:rsid w:val="006638D9"/>
    <w:rsid w:val="006639A2"/>
    <w:rsid w:val="00663A76"/>
    <w:rsid w:val="00663ACE"/>
    <w:rsid w:val="00663C2B"/>
    <w:rsid w:val="00663D13"/>
    <w:rsid w:val="00663D3C"/>
    <w:rsid w:val="00663E49"/>
    <w:rsid w:val="00663F1D"/>
    <w:rsid w:val="00663F25"/>
    <w:rsid w:val="00663FFE"/>
    <w:rsid w:val="00664109"/>
    <w:rsid w:val="00664140"/>
    <w:rsid w:val="0066419D"/>
    <w:rsid w:val="006642D9"/>
    <w:rsid w:val="00664425"/>
    <w:rsid w:val="00664466"/>
    <w:rsid w:val="006645B9"/>
    <w:rsid w:val="00664619"/>
    <w:rsid w:val="0066463D"/>
    <w:rsid w:val="006646C0"/>
    <w:rsid w:val="006646FF"/>
    <w:rsid w:val="00664743"/>
    <w:rsid w:val="0066474E"/>
    <w:rsid w:val="00664837"/>
    <w:rsid w:val="006648D5"/>
    <w:rsid w:val="00664AFD"/>
    <w:rsid w:val="00664B1B"/>
    <w:rsid w:val="00664B45"/>
    <w:rsid w:val="00664B6A"/>
    <w:rsid w:val="00664C7C"/>
    <w:rsid w:val="00664DE6"/>
    <w:rsid w:val="00664E14"/>
    <w:rsid w:val="00664FFC"/>
    <w:rsid w:val="006650CC"/>
    <w:rsid w:val="0066521A"/>
    <w:rsid w:val="00665228"/>
    <w:rsid w:val="006652E5"/>
    <w:rsid w:val="00665364"/>
    <w:rsid w:val="0066540C"/>
    <w:rsid w:val="0066549E"/>
    <w:rsid w:val="006656BD"/>
    <w:rsid w:val="006656EC"/>
    <w:rsid w:val="00665832"/>
    <w:rsid w:val="006658B2"/>
    <w:rsid w:val="0066591E"/>
    <w:rsid w:val="0066596C"/>
    <w:rsid w:val="00665996"/>
    <w:rsid w:val="006659C2"/>
    <w:rsid w:val="006659E0"/>
    <w:rsid w:val="00665A45"/>
    <w:rsid w:val="00665BF7"/>
    <w:rsid w:val="00665CCF"/>
    <w:rsid w:val="00665D50"/>
    <w:rsid w:val="00665EC1"/>
    <w:rsid w:val="00666082"/>
    <w:rsid w:val="006661D7"/>
    <w:rsid w:val="00666260"/>
    <w:rsid w:val="00666281"/>
    <w:rsid w:val="0066628D"/>
    <w:rsid w:val="006664B4"/>
    <w:rsid w:val="006664E8"/>
    <w:rsid w:val="00666527"/>
    <w:rsid w:val="006665A6"/>
    <w:rsid w:val="006665E4"/>
    <w:rsid w:val="00666629"/>
    <w:rsid w:val="00666638"/>
    <w:rsid w:val="006666CB"/>
    <w:rsid w:val="006666F3"/>
    <w:rsid w:val="0066682C"/>
    <w:rsid w:val="0066685F"/>
    <w:rsid w:val="00666866"/>
    <w:rsid w:val="00666ABB"/>
    <w:rsid w:val="00666B14"/>
    <w:rsid w:val="00666B15"/>
    <w:rsid w:val="00666B4E"/>
    <w:rsid w:val="00666B55"/>
    <w:rsid w:val="00666BE4"/>
    <w:rsid w:val="00666C1D"/>
    <w:rsid w:val="00666C4E"/>
    <w:rsid w:val="00666C87"/>
    <w:rsid w:val="00666C88"/>
    <w:rsid w:val="00666CDB"/>
    <w:rsid w:val="00666DF1"/>
    <w:rsid w:val="00666E2C"/>
    <w:rsid w:val="00666E7A"/>
    <w:rsid w:val="00666EED"/>
    <w:rsid w:val="00666F7E"/>
    <w:rsid w:val="006670FB"/>
    <w:rsid w:val="0066710D"/>
    <w:rsid w:val="00667272"/>
    <w:rsid w:val="0066728C"/>
    <w:rsid w:val="006672E9"/>
    <w:rsid w:val="00667381"/>
    <w:rsid w:val="0066739A"/>
    <w:rsid w:val="006673B2"/>
    <w:rsid w:val="00667491"/>
    <w:rsid w:val="00667512"/>
    <w:rsid w:val="0066751F"/>
    <w:rsid w:val="00667740"/>
    <w:rsid w:val="0066776B"/>
    <w:rsid w:val="006677DF"/>
    <w:rsid w:val="00667820"/>
    <w:rsid w:val="00667942"/>
    <w:rsid w:val="00667959"/>
    <w:rsid w:val="006679B5"/>
    <w:rsid w:val="00667B2E"/>
    <w:rsid w:val="00667C0F"/>
    <w:rsid w:val="00667D0D"/>
    <w:rsid w:val="00667DEA"/>
    <w:rsid w:val="00667DF7"/>
    <w:rsid w:val="00667E83"/>
    <w:rsid w:val="00667EB4"/>
    <w:rsid w:val="00667ED0"/>
    <w:rsid w:val="00667F53"/>
    <w:rsid w:val="00667F7C"/>
    <w:rsid w:val="00670004"/>
    <w:rsid w:val="00670061"/>
    <w:rsid w:val="00670195"/>
    <w:rsid w:val="0067020F"/>
    <w:rsid w:val="00670253"/>
    <w:rsid w:val="0067026F"/>
    <w:rsid w:val="006702B6"/>
    <w:rsid w:val="0067031B"/>
    <w:rsid w:val="00670344"/>
    <w:rsid w:val="0067036B"/>
    <w:rsid w:val="0067046E"/>
    <w:rsid w:val="00670471"/>
    <w:rsid w:val="0067059F"/>
    <w:rsid w:val="00670614"/>
    <w:rsid w:val="006706A4"/>
    <w:rsid w:val="00670742"/>
    <w:rsid w:val="00670806"/>
    <w:rsid w:val="0067082D"/>
    <w:rsid w:val="00670876"/>
    <w:rsid w:val="0067097E"/>
    <w:rsid w:val="00670B3E"/>
    <w:rsid w:val="00670BC1"/>
    <w:rsid w:val="00670BCB"/>
    <w:rsid w:val="00670C31"/>
    <w:rsid w:val="00670D53"/>
    <w:rsid w:val="00670D8B"/>
    <w:rsid w:val="00670EE9"/>
    <w:rsid w:val="00670F79"/>
    <w:rsid w:val="0067128E"/>
    <w:rsid w:val="006712CF"/>
    <w:rsid w:val="00671323"/>
    <w:rsid w:val="0067136F"/>
    <w:rsid w:val="006713DC"/>
    <w:rsid w:val="00671486"/>
    <w:rsid w:val="006715F5"/>
    <w:rsid w:val="0067172C"/>
    <w:rsid w:val="006717E9"/>
    <w:rsid w:val="0067186F"/>
    <w:rsid w:val="0067198F"/>
    <w:rsid w:val="006719A9"/>
    <w:rsid w:val="00671A81"/>
    <w:rsid w:val="00671ACB"/>
    <w:rsid w:val="00671B22"/>
    <w:rsid w:val="00671BB0"/>
    <w:rsid w:val="00671E9E"/>
    <w:rsid w:val="00671F24"/>
    <w:rsid w:val="00671F48"/>
    <w:rsid w:val="00671FE7"/>
    <w:rsid w:val="00672009"/>
    <w:rsid w:val="0067230C"/>
    <w:rsid w:val="006723FC"/>
    <w:rsid w:val="0067241C"/>
    <w:rsid w:val="0067248A"/>
    <w:rsid w:val="00672500"/>
    <w:rsid w:val="00672531"/>
    <w:rsid w:val="00672541"/>
    <w:rsid w:val="006725BA"/>
    <w:rsid w:val="006726CD"/>
    <w:rsid w:val="0067270D"/>
    <w:rsid w:val="00672746"/>
    <w:rsid w:val="0067285E"/>
    <w:rsid w:val="006728C2"/>
    <w:rsid w:val="00672928"/>
    <w:rsid w:val="00672A5D"/>
    <w:rsid w:val="00672A76"/>
    <w:rsid w:val="00672A7D"/>
    <w:rsid w:val="00672BCE"/>
    <w:rsid w:val="00672C71"/>
    <w:rsid w:val="00672CF5"/>
    <w:rsid w:val="00672DEF"/>
    <w:rsid w:val="00672E4D"/>
    <w:rsid w:val="00673039"/>
    <w:rsid w:val="00673043"/>
    <w:rsid w:val="00673091"/>
    <w:rsid w:val="006731E7"/>
    <w:rsid w:val="006731F9"/>
    <w:rsid w:val="0067320D"/>
    <w:rsid w:val="00673422"/>
    <w:rsid w:val="00673466"/>
    <w:rsid w:val="00673493"/>
    <w:rsid w:val="006734B2"/>
    <w:rsid w:val="00673770"/>
    <w:rsid w:val="006737B6"/>
    <w:rsid w:val="006737C6"/>
    <w:rsid w:val="006738D2"/>
    <w:rsid w:val="006738F7"/>
    <w:rsid w:val="00673972"/>
    <w:rsid w:val="0067399D"/>
    <w:rsid w:val="00673A5B"/>
    <w:rsid w:val="00673A8A"/>
    <w:rsid w:val="00673A93"/>
    <w:rsid w:val="00673AB4"/>
    <w:rsid w:val="00673CCC"/>
    <w:rsid w:val="00673D6F"/>
    <w:rsid w:val="00673D9A"/>
    <w:rsid w:val="00674009"/>
    <w:rsid w:val="0067402E"/>
    <w:rsid w:val="006740B5"/>
    <w:rsid w:val="006740C0"/>
    <w:rsid w:val="006741F8"/>
    <w:rsid w:val="006742A8"/>
    <w:rsid w:val="00674436"/>
    <w:rsid w:val="006744A3"/>
    <w:rsid w:val="006744D8"/>
    <w:rsid w:val="0067450C"/>
    <w:rsid w:val="0067451F"/>
    <w:rsid w:val="00674549"/>
    <w:rsid w:val="0067466E"/>
    <w:rsid w:val="006746AA"/>
    <w:rsid w:val="006746F7"/>
    <w:rsid w:val="006748B3"/>
    <w:rsid w:val="006748C3"/>
    <w:rsid w:val="00674949"/>
    <w:rsid w:val="00674A12"/>
    <w:rsid w:val="00674A94"/>
    <w:rsid w:val="00674B07"/>
    <w:rsid w:val="00674BB4"/>
    <w:rsid w:val="00674C36"/>
    <w:rsid w:val="00674CA9"/>
    <w:rsid w:val="00674CE7"/>
    <w:rsid w:val="00674D85"/>
    <w:rsid w:val="00674D91"/>
    <w:rsid w:val="00674E84"/>
    <w:rsid w:val="00674FDF"/>
    <w:rsid w:val="0067508C"/>
    <w:rsid w:val="0067509C"/>
    <w:rsid w:val="0067514B"/>
    <w:rsid w:val="006751A4"/>
    <w:rsid w:val="00675204"/>
    <w:rsid w:val="0067520A"/>
    <w:rsid w:val="00675297"/>
    <w:rsid w:val="0067537F"/>
    <w:rsid w:val="006753B7"/>
    <w:rsid w:val="00675477"/>
    <w:rsid w:val="006754DD"/>
    <w:rsid w:val="00675578"/>
    <w:rsid w:val="006756AF"/>
    <w:rsid w:val="006756BA"/>
    <w:rsid w:val="00675851"/>
    <w:rsid w:val="00675970"/>
    <w:rsid w:val="006759C9"/>
    <w:rsid w:val="006759DC"/>
    <w:rsid w:val="00675BD1"/>
    <w:rsid w:val="00675BF8"/>
    <w:rsid w:val="00675D2C"/>
    <w:rsid w:val="00675D44"/>
    <w:rsid w:val="00675E38"/>
    <w:rsid w:val="00675EC2"/>
    <w:rsid w:val="0067603C"/>
    <w:rsid w:val="006760F6"/>
    <w:rsid w:val="006761AD"/>
    <w:rsid w:val="006761D8"/>
    <w:rsid w:val="006761EF"/>
    <w:rsid w:val="00676256"/>
    <w:rsid w:val="00676276"/>
    <w:rsid w:val="006762CB"/>
    <w:rsid w:val="0067630B"/>
    <w:rsid w:val="00676388"/>
    <w:rsid w:val="00676390"/>
    <w:rsid w:val="006764EC"/>
    <w:rsid w:val="006765EB"/>
    <w:rsid w:val="00676855"/>
    <w:rsid w:val="0067687F"/>
    <w:rsid w:val="006768A6"/>
    <w:rsid w:val="006768C9"/>
    <w:rsid w:val="0067699A"/>
    <w:rsid w:val="00676A4F"/>
    <w:rsid w:val="00676AC8"/>
    <w:rsid w:val="00676D21"/>
    <w:rsid w:val="00676D5E"/>
    <w:rsid w:val="00676E01"/>
    <w:rsid w:val="00676E0D"/>
    <w:rsid w:val="00676E45"/>
    <w:rsid w:val="00676E9F"/>
    <w:rsid w:val="00676EC8"/>
    <w:rsid w:val="00676EDA"/>
    <w:rsid w:val="00676EFA"/>
    <w:rsid w:val="00676F05"/>
    <w:rsid w:val="00676F07"/>
    <w:rsid w:val="00677063"/>
    <w:rsid w:val="00677073"/>
    <w:rsid w:val="006770B1"/>
    <w:rsid w:val="006770B6"/>
    <w:rsid w:val="0067737E"/>
    <w:rsid w:val="00677450"/>
    <w:rsid w:val="006774AF"/>
    <w:rsid w:val="006774BE"/>
    <w:rsid w:val="0067751A"/>
    <w:rsid w:val="006775F7"/>
    <w:rsid w:val="006776A5"/>
    <w:rsid w:val="006776BE"/>
    <w:rsid w:val="006776CD"/>
    <w:rsid w:val="00677944"/>
    <w:rsid w:val="00677A7E"/>
    <w:rsid w:val="00677AAD"/>
    <w:rsid w:val="00677B46"/>
    <w:rsid w:val="00677B80"/>
    <w:rsid w:val="00677BB1"/>
    <w:rsid w:val="00677BC2"/>
    <w:rsid w:val="00677C71"/>
    <w:rsid w:val="00677F12"/>
    <w:rsid w:val="00677F92"/>
    <w:rsid w:val="00677FCB"/>
    <w:rsid w:val="0068000E"/>
    <w:rsid w:val="0068001F"/>
    <w:rsid w:val="006800A7"/>
    <w:rsid w:val="006800EC"/>
    <w:rsid w:val="0068010D"/>
    <w:rsid w:val="0068013E"/>
    <w:rsid w:val="006801B1"/>
    <w:rsid w:val="006802D9"/>
    <w:rsid w:val="00680335"/>
    <w:rsid w:val="00680367"/>
    <w:rsid w:val="0068037B"/>
    <w:rsid w:val="006804BF"/>
    <w:rsid w:val="00680564"/>
    <w:rsid w:val="00680607"/>
    <w:rsid w:val="006806C7"/>
    <w:rsid w:val="00680797"/>
    <w:rsid w:val="0068098A"/>
    <w:rsid w:val="00680A95"/>
    <w:rsid w:val="00680ABE"/>
    <w:rsid w:val="00680BAA"/>
    <w:rsid w:val="00680BAD"/>
    <w:rsid w:val="00680BDB"/>
    <w:rsid w:val="00680C94"/>
    <w:rsid w:val="00680E36"/>
    <w:rsid w:val="00680EB0"/>
    <w:rsid w:val="00680EFF"/>
    <w:rsid w:val="00680F21"/>
    <w:rsid w:val="0068101D"/>
    <w:rsid w:val="00681044"/>
    <w:rsid w:val="0068116B"/>
    <w:rsid w:val="006811AF"/>
    <w:rsid w:val="006811B6"/>
    <w:rsid w:val="006811DD"/>
    <w:rsid w:val="00681282"/>
    <w:rsid w:val="006812B4"/>
    <w:rsid w:val="00681301"/>
    <w:rsid w:val="006814F8"/>
    <w:rsid w:val="006814FF"/>
    <w:rsid w:val="00681504"/>
    <w:rsid w:val="0068155D"/>
    <w:rsid w:val="0068165C"/>
    <w:rsid w:val="0068166C"/>
    <w:rsid w:val="00681674"/>
    <w:rsid w:val="006817DD"/>
    <w:rsid w:val="006818FE"/>
    <w:rsid w:val="0068191A"/>
    <w:rsid w:val="00681937"/>
    <w:rsid w:val="00681A4F"/>
    <w:rsid w:val="00681ABB"/>
    <w:rsid w:val="00681B12"/>
    <w:rsid w:val="00681C97"/>
    <w:rsid w:val="00681CD3"/>
    <w:rsid w:val="00681CDF"/>
    <w:rsid w:val="00681D2E"/>
    <w:rsid w:val="00681D60"/>
    <w:rsid w:val="00681D7F"/>
    <w:rsid w:val="00681E09"/>
    <w:rsid w:val="00681EF6"/>
    <w:rsid w:val="00681FFB"/>
    <w:rsid w:val="00682139"/>
    <w:rsid w:val="00682143"/>
    <w:rsid w:val="0068226C"/>
    <w:rsid w:val="006822DD"/>
    <w:rsid w:val="00682393"/>
    <w:rsid w:val="0068246A"/>
    <w:rsid w:val="006824FA"/>
    <w:rsid w:val="00682509"/>
    <w:rsid w:val="0068253E"/>
    <w:rsid w:val="0068269E"/>
    <w:rsid w:val="006826D6"/>
    <w:rsid w:val="0068274C"/>
    <w:rsid w:val="00682791"/>
    <w:rsid w:val="006827A2"/>
    <w:rsid w:val="006827D6"/>
    <w:rsid w:val="006828AA"/>
    <w:rsid w:val="006828B2"/>
    <w:rsid w:val="006828F0"/>
    <w:rsid w:val="0068299A"/>
    <w:rsid w:val="00682A5B"/>
    <w:rsid w:val="00682A84"/>
    <w:rsid w:val="00682A91"/>
    <w:rsid w:val="00682DC6"/>
    <w:rsid w:val="00682E72"/>
    <w:rsid w:val="00682ED3"/>
    <w:rsid w:val="00682EEE"/>
    <w:rsid w:val="00682F15"/>
    <w:rsid w:val="00682F17"/>
    <w:rsid w:val="00682F3D"/>
    <w:rsid w:val="00682F51"/>
    <w:rsid w:val="00682FE2"/>
    <w:rsid w:val="00683042"/>
    <w:rsid w:val="006830AA"/>
    <w:rsid w:val="006830CA"/>
    <w:rsid w:val="00683118"/>
    <w:rsid w:val="0068333B"/>
    <w:rsid w:val="006833F8"/>
    <w:rsid w:val="00683479"/>
    <w:rsid w:val="0068347B"/>
    <w:rsid w:val="006835B7"/>
    <w:rsid w:val="00683730"/>
    <w:rsid w:val="0068387D"/>
    <w:rsid w:val="006839CB"/>
    <w:rsid w:val="00683A2A"/>
    <w:rsid w:val="00683A4C"/>
    <w:rsid w:val="00683A50"/>
    <w:rsid w:val="00683ADC"/>
    <w:rsid w:val="00683AF4"/>
    <w:rsid w:val="00683B58"/>
    <w:rsid w:val="00683C26"/>
    <w:rsid w:val="00683D72"/>
    <w:rsid w:val="00683DE3"/>
    <w:rsid w:val="00683DE7"/>
    <w:rsid w:val="00683E8B"/>
    <w:rsid w:val="00683ED0"/>
    <w:rsid w:val="00683ED3"/>
    <w:rsid w:val="00683FB5"/>
    <w:rsid w:val="00684026"/>
    <w:rsid w:val="0068404B"/>
    <w:rsid w:val="00684076"/>
    <w:rsid w:val="006840F6"/>
    <w:rsid w:val="00684320"/>
    <w:rsid w:val="00684347"/>
    <w:rsid w:val="00684371"/>
    <w:rsid w:val="0068440D"/>
    <w:rsid w:val="0068441F"/>
    <w:rsid w:val="0068442C"/>
    <w:rsid w:val="0068460A"/>
    <w:rsid w:val="006846C5"/>
    <w:rsid w:val="006847B2"/>
    <w:rsid w:val="006848CE"/>
    <w:rsid w:val="006848E4"/>
    <w:rsid w:val="0068493A"/>
    <w:rsid w:val="006849AF"/>
    <w:rsid w:val="00684A16"/>
    <w:rsid w:val="00684AB9"/>
    <w:rsid w:val="00684AC2"/>
    <w:rsid w:val="00684AEB"/>
    <w:rsid w:val="00684C9C"/>
    <w:rsid w:val="00684CC2"/>
    <w:rsid w:val="00684D76"/>
    <w:rsid w:val="00685047"/>
    <w:rsid w:val="00685082"/>
    <w:rsid w:val="006850C2"/>
    <w:rsid w:val="00685117"/>
    <w:rsid w:val="0068513E"/>
    <w:rsid w:val="006851F2"/>
    <w:rsid w:val="00685214"/>
    <w:rsid w:val="0068540A"/>
    <w:rsid w:val="00685458"/>
    <w:rsid w:val="00685502"/>
    <w:rsid w:val="00685535"/>
    <w:rsid w:val="006856A3"/>
    <w:rsid w:val="00685788"/>
    <w:rsid w:val="00685826"/>
    <w:rsid w:val="0068583E"/>
    <w:rsid w:val="0068587C"/>
    <w:rsid w:val="006859A1"/>
    <w:rsid w:val="00685AEA"/>
    <w:rsid w:val="00685B14"/>
    <w:rsid w:val="00685B45"/>
    <w:rsid w:val="00685B78"/>
    <w:rsid w:val="00685C75"/>
    <w:rsid w:val="00685D4B"/>
    <w:rsid w:val="00685D5A"/>
    <w:rsid w:val="00685E21"/>
    <w:rsid w:val="00685F17"/>
    <w:rsid w:val="00686030"/>
    <w:rsid w:val="00686048"/>
    <w:rsid w:val="006860BE"/>
    <w:rsid w:val="00686110"/>
    <w:rsid w:val="0068615E"/>
    <w:rsid w:val="0068616B"/>
    <w:rsid w:val="0068623A"/>
    <w:rsid w:val="006862DB"/>
    <w:rsid w:val="006863C3"/>
    <w:rsid w:val="006863D0"/>
    <w:rsid w:val="00686451"/>
    <w:rsid w:val="006865FD"/>
    <w:rsid w:val="00686882"/>
    <w:rsid w:val="006868F5"/>
    <w:rsid w:val="006869EB"/>
    <w:rsid w:val="00686BC5"/>
    <w:rsid w:val="00686C03"/>
    <w:rsid w:val="00686D4E"/>
    <w:rsid w:val="00686D64"/>
    <w:rsid w:val="00686D7D"/>
    <w:rsid w:val="00686E57"/>
    <w:rsid w:val="00686E6B"/>
    <w:rsid w:val="00686EDB"/>
    <w:rsid w:val="00686EED"/>
    <w:rsid w:val="00686F8F"/>
    <w:rsid w:val="00686FFC"/>
    <w:rsid w:val="006871A2"/>
    <w:rsid w:val="006871D9"/>
    <w:rsid w:val="006871F5"/>
    <w:rsid w:val="00687240"/>
    <w:rsid w:val="006873C4"/>
    <w:rsid w:val="0068744A"/>
    <w:rsid w:val="006876B1"/>
    <w:rsid w:val="006877D7"/>
    <w:rsid w:val="00687812"/>
    <w:rsid w:val="0068785E"/>
    <w:rsid w:val="00687907"/>
    <w:rsid w:val="00687920"/>
    <w:rsid w:val="006879AD"/>
    <w:rsid w:val="006879D1"/>
    <w:rsid w:val="00687A66"/>
    <w:rsid w:val="00687B52"/>
    <w:rsid w:val="00687BC6"/>
    <w:rsid w:val="00687C19"/>
    <w:rsid w:val="00687C54"/>
    <w:rsid w:val="00687EAC"/>
    <w:rsid w:val="00687EB3"/>
    <w:rsid w:val="00687EDD"/>
    <w:rsid w:val="00687F44"/>
    <w:rsid w:val="0069001B"/>
    <w:rsid w:val="00690022"/>
    <w:rsid w:val="00690076"/>
    <w:rsid w:val="006900B0"/>
    <w:rsid w:val="00690122"/>
    <w:rsid w:val="0069013A"/>
    <w:rsid w:val="00690292"/>
    <w:rsid w:val="006902F0"/>
    <w:rsid w:val="00690444"/>
    <w:rsid w:val="00690491"/>
    <w:rsid w:val="006904A2"/>
    <w:rsid w:val="006904B6"/>
    <w:rsid w:val="0069050E"/>
    <w:rsid w:val="0069053C"/>
    <w:rsid w:val="006906E3"/>
    <w:rsid w:val="006907B4"/>
    <w:rsid w:val="0069087E"/>
    <w:rsid w:val="0069096A"/>
    <w:rsid w:val="006909C6"/>
    <w:rsid w:val="00690A25"/>
    <w:rsid w:val="00690A57"/>
    <w:rsid w:val="00690AC9"/>
    <w:rsid w:val="00690DDE"/>
    <w:rsid w:val="00690E09"/>
    <w:rsid w:val="00690E1B"/>
    <w:rsid w:val="00690E63"/>
    <w:rsid w:val="006910C2"/>
    <w:rsid w:val="00691187"/>
    <w:rsid w:val="006911B9"/>
    <w:rsid w:val="0069127B"/>
    <w:rsid w:val="006912AB"/>
    <w:rsid w:val="00691370"/>
    <w:rsid w:val="0069139B"/>
    <w:rsid w:val="006913DA"/>
    <w:rsid w:val="00691432"/>
    <w:rsid w:val="006916A9"/>
    <w:rsid w:val="006916CF"/>
    <w:rsid w:val="006916D6"/>
    <w:rsid w:val="00691896"/>
    <w:rsid w:val="00691930"/>
    <w:rsid w:val="00691B9E"/>
    <w:rsid w:val="00691BE7"/>
    <w:rsid w:val="00691C21"/>
    <w:rsid w:val="00691D30"/>
    <w:rsid w:val="00691D33"/>
    <w:rsid w:val="00691E2D"/>
    <w:rsid w:val="00691F83"/>
    <w:rsid w:val="006920D5"/>
    <w:rsid w:val="0069210C"/>
    <w:rsid w:val="006921C7"/>
    <w:rsid w:val="006921F0"/>
    <w:rsid w:val="0069228D"/>
    <w:rsid w:val="006922AC"/>
    <w:rsid w:val="00692444"/>
    <w:rsid w:val="006925A0"/>
    <w:rsid w:val="006926A5"/>
    <w:rsid w:val="006926CD"/>
    <w:rsid w:val="006926D9"/>
    <w:rsid w:val="00692710"/>
    <w:rsid w:val="00692759"/>
    <w:rsid w:val="006927DF"/>
    <w:rsid w:val="006927F4"/>
    <w:rsid w:val="00692804"/>
    <w:rsid w:val="00692807"/>
    <w:rsid w:val="006928A9"/>
    <w:rsid w:val="006928AE"/>
    <w:rsid w:val="00692979"/>
    <w:rsid w:val="00692A6D"/>
    <w:rsid w:val="00692A8E"/>
    <w:rsid w:val="00692B44"/>
    <w:rsid w:val="00692B67"/>
    <w:rsid w:val="00692C05"/>
    <w:rsid w:val="00692C4B"/>
    <w:rsid w:val="00692E15"/>
    <w:rsid w:val="00692EA5"/>
    <w:rsid w:val="00692EC2"/>
    <w:rsid w:val="00692F71"/>
    <w:rsid w:val="00692F73"/>
    <w:rsid w:val="00692FE9"/>
    <w:rsid w:val="00693007"/>
    <w:rsid w:val="00693099"/>
    <w:rsid w:val="006930A5"/>
    <w:rsid w:val="006930B0"/>
    <w:rsid w:val="006930D0"/>
    <w:rsid w:val="00693261"/>
    <w:rsid w:val="00693287"/>
    <w:rsid w:val="006932BE"/>
    <w:rsid w:val="00693352"/>
    <w:rsid w:val="00693447"/>
    <w:rsid w:val="006936F7"/>
    <w:rsid w:val="0069394B"/>
    <w:rsid w:val="00693971"/>
    <w:rsid w:val="00693ADC"/>
    <w:rsid w:val="00693C76"/>
    <w:rsid w:val="00693DFB"/>
    <w:rsid w:val="00693E5B"/>
    <w:rsid w:val="00693FD1"/>
    <w:rsid w:val="00693FDD"/>
    <w:rsid w:val="00694070"/>
    <w:rsid w:val="0069413C"/>
    <w:rsid w:val="006941AE"/>
    <w:rsid w:val="0069424C"/>
    <w:rsid w:val="00694438"/>
    <w:rsid w:val="0069448C"/>
    <w:rsid w:val="006944B1"/>
    <w:rsid w:val="00694567"/>
    <w:rsid w:val="006945CB"/>
    <w:rsid w:val="00694659"/>
    <w:rsid w:val="00694691"/>
    <w:rsid w:val="00694696"/>
    <w:rsid w:val="00694789"/>
    <w:rsid w:val="00694845"/>
    <w:rsid w:val="00694898"/>
    <w:rsid w:val="006948FE"/>
    <w:rsid w:val="00694B69"/>
    <w:rsid w:val="00694BE1"/>
    <w:rsid w:val="00694C22"/>
    <w:rsid w:val="00694CDF"/>
    <w:rsid w:val="00694CF7"/>
    <w:rsid w:val="00694D1D"/>
    <w:rsid w:val="00694DE8"/>
    <w:rsid w:val="00694E79"/>
    <w:rsid w:val="00694E7A"/>
    <w:rsid w:val="00694ED1"/>
    <w:rsid w:val="00694F50"/>
    <w:rsid w:val="00695003"/>
    <w:rsid w:val="0069504B"/>
    <w:rsid w:val="0069506D"/>
    <w:rsid w:val="0069507F"/>
    <w:rsid w:val="006950CE"/>
    <w:rsid w:val="006951A6"/>
    <w:rsid w:val="006951B3"/>
    <w:rsid w:val="00695215"/>
    <w:rsid w:val="00695250"/>
    <w:rsid w:val="0069526C"/>
    <w:rsid w:val="00695565"/>
    <w:rsid w:val="0069556C"/>
    <w:rsid w:val="0069560A"/>
    <w:rsid w:val="0069573A"/>
    <w:rsid w:val="0069576B"/>
    <w:rsid w:val="0069578C"/>
    <w:rsid w:val="006958AC"/>
    <w:rsid w:val="00695994"/>
    <w:rsid w:val="006959B0"/>
    <w:rsid w:val="00695A71"/>
    <w:rsid w:val="00695B19"/>
    <w:rsid w:val="00695C63"/>
    <w:rsid w:val="00695CC9"/>
    <w:rsid w:val="00695CDF"/>
    <w:rsid w:val="00695D6A"/>
    <w:rsid w:val="00695E1A"/>
    <w:rsid w:val="00695F1F"/>
    <w:rsid w:val="00695F7E"/>
    <w:rsid w:val="00695FD7"/>
    <w:rsid w:val="006960F0"/>
    <w:rsid w:val="00696172"/>
    <w:rsid w:val="00696277"/>
    <w:rsid w:val="00696303"/>
    <w:rsid w:val="0069633A"/>
    <w:rsid w:val="00696374"/>
    <w:rsid w:val="0069638F"/>
    <w:rsid w:val="006965E8"/>
    <w:rsid w:val="0069665F"/>
    <w:rsid w:val="00696744"/>
    <w:rsid w:val="00696843"/>
    <w:rsid w:val="00696A4B"/>
    <w:rsid w:val="00696ABE"/>
    <w:rsid w:val="00696AF0"/>
    <w:rsid w:val="00696B85"/>
    <w:rsid w:val="00696BCA"/>
    <w:rsid w:val="00696BF4"/>
    <w:rsid w:val="00696CE8"/>
    <w:rsid w:val="00696E88"/>
    <w:rsid w:val="00696F20"/>
    <w:rsid w:val="00696FEA"/>
    <w:rsid w:val="00697128"/>
    <w:rsid w:val="00697187"/>
    <w:rsid w:val="0069719F"/>
    <w:rsid w:val="006972B1"/>
    <w:rsid w:val="006972D8"/>
    <w:rsid w:val="006972D9"/>
    <w:rsid w:val="00697541"/>
    <w:rsid w:val="006975AF"/>
    <w:rsid w:val="00697732"/>
    <w:rsid w:val="00697949"/>
    <w:rsid w:val="006979F7"/>
    <w:rsid w:val="00697C3C"/>
    <w:rsid w:val="00697E8A"/>
    <w:rsid w:val="00697E91"/>
    <w:rsid w:val="00697F2C"/>
    <w:rsid w:val="00697F69"/>
    <w:rsid w:val="006A000B"/>
    <w:rsid w:val="006A00D4"/>
    <w:rsid w:val="006A015F"/>
    <w:rsid w:val="006A0179"/>
    <w:rsid w:val="006A02C5"/>
    <w:rsid w:val="006A02E4"/>
    <w:rsid w:val="006A03B3"/>
    <w:rsid w:val="006A0499"/>
    <w:rsid w:val="006A04A1"/>
    <w:rsid w:val="006A04B3"/>
    <w:rsid w:val="006A0613"/>
    <w:rsid w:val="006A0666"/>
    <w:rsid w:val="006A06F9"/>
    <w:rsid w:val="006A080C"/>
    <w:rsid w:val="006A089D"/>
    <w:rsid w:val="006A093C"/>
    <w:rsid w:val="006A0950"/>
    <w:rsid w:val="006A0A57"/>
    <w:rsid w:val="006A0AA5"/>
    <w:rsid w:val="006A0D45"/>
    <w:rsid w:val="006A0D99"/>
    <w:rsid w:val="006A0F40"/>
    <w:rsid w:val="006A1026"/>
    <w:rsid w:val="006A109B"/>
    <w:rsid w:val="006A1140"/>
    <w:rsid w:val="006A1281"/>
    <w:rsid w:val="006A129F"/>
    <w:rsid w:val="006A12BE"/>
    <w:rsid w:val="006A1355"/>
    <w:rsid w:val="006A159D"/>
    <w:rsid w:val="006A15DC"/>
    <w:rsid w:val="006A169A"/>
    <w:rsid w:val="006A18FE"/>
    <w:rsid w:val="006A1B7E"/>
    <w:rsid w:val="006A1BE1"/>
    <w:rsid w:val="006A1CAB"/>
    <w:rsid w:val="006A1CB2"/>
    <w:rsid w:val="006A1E3D"/>
    <w:rsid w:val="006A1F6E"/>
    <w:rsid w:val="006A1F8E"/>
    <w:rsid w:val="006A22EE"/>
    <w:rsid w:val="006A233F"/>
    <w:rsid w:val="006A237E"/>
    <w:rsid w:val="006A23B9"/>
    <w:rsid w:val="006A2451"/>
    <w:rsid w:val="006A2496"/>
    <w:rsid w:val="006A24CD"/>
    <w:rsid w:val="006A2633"/>
    <w:rsid w:val="006A264D"/>
    <w:rsid w:val="006A27F0"/>
    <w:rsid w:val="006A2889"/>
    <w:rsid w:val="006A28D4"/>
    <w:rsid w:val="006A296E"/>
    <w:rsid w:val="006A2AE1"/>
    <w:rsid w:val="006A2B71"/>
    <w:rsid w:val="006A2B84"/>
    <w:rsid w:val="006A2BFC"/>
    <w:rsid w:val="006A2C1A"/>
    <w:rsid w:val="006A2C24"/>
    <w:rsid w:val="006A2CE1"/>
    <w:rsid w:val="006A2D61"/>
    <w:rsid w:val="006A2D87"/>
    <w:rsid w:val="006A2E01"/>
    <w:rsid w:val="006A2E80"/>
    <w:rsid w:val="006A2F44"/>
    <w:rsid w:val="006A2F57"/>
    <w:rsid w:val="006A2FB0"/>
    <w:rsid w:val="006A3009"/>
    <w:rsid w:val="006A31AB"/>
    <w:rsid w:val="006A31BB"/>
    <w:rsid w:val="006A3251"/>
    <w:rsid w:val="006A3474"/>
    <w:rsid w:val="006A3510"/>
    <w:rsid w:val="006A3563"/>
    <w:rsid w:val="006A35DD"/>
    <w:rsid w:val="006A362F"/>
    <w:rsid w:val="006A386C"/>
    <w:rsid w:val="006A3981"/>
    <w:rsid w:val="006A39B4"/>
    <w:rsid w:val="006A3AC8"/>
    <w:rsid w:val="006A3B43"/>
    <w:rsid w:val="006A3BAE"/>
    <w:rsid w:val="006A3C93"/>
    <w:rsid w:val="006A3D4C"/>
    <w:rsid w:val="006A3D4D"/>
    <w:rsid w:val="006A3D54"/>
    <w:rsid w:val="006A3E53"/>
    <w:rsid w:val="006A3E66"/>
    <w:rsid w:val="006A3F28"/>
    <w:rsid w:val="006A3FE7"/>
    <w:rsid w:val="006A4071"/>
    <w:rsid w:val="006A41A8"/>
    <w:rsid w:val="006A43EF"/>
    <w:rsid w:val="006A44CF"/>
    <w:rsid w:val="006A457D"/>
    <w:rsid w:val="006A4675"/>
    <w:rsid w:val="006A46C2"/>
    <w:rsid w:val="006A46E6"/>
    <w:rsid w:val="006A46E7"/>
    <w:rsid w:val="006A472D"/>
    <w:rsid w:val="006A482B"/>
    <w:rsid w:val="006A484A"/>
    <w:rsid w:val="006A4954"/>
    <w:rsid w:val="006A4A6B"/>
    <w:rsid w:val="006A4A88"/>
    <w:rsid w:val="006A4B08"/>
    <w:rsid w:val="006A4B16"/>
    <w:rsid w:val="006A4BCC"/>
    <w:rsid w:val="006A4D1B"/>
    <w:rsid w:val="006A4D3A"/>
    <w:rsid w:val="006A4D49"/>
    <w:rsid w:val="006A4D60"/>
    <w:rsid w:val="006A4E26"/>
    <w:rsid w:val="006A4EE6"/>
    <w:rsid w:val="006A4F71"/>
    <w:rsid w:val="006A50A9"/>
    <w:rsid w:val="006A50F6"/>
    <w:rsid w:val="006A5145"/>
    <w:rsid w:val="006A5151"/>
    <w:rsid w:val="006A5358"/>
    <w:rsid w:val="006A5414"/>
    <w:rsid w:val="006A57BB"/>
    <w:rsid w:val="006A582D"/>
    <w:rsid w:val="006A587F"/>
    <w:rsid w:val="006A589C"/>
    <w:rsid w:val="006A591D"/>
    <w:rsid w:val="006A59D4"/>
    <w:rsid w:val="006A5A02"/>
    <w:rsid w:val="006A5A97"/>
    <w:rsid w:val="006A5BCA"/>
    <w:rsid w:val="006A5C0C"/>
    <w:rsid w:val="006A5CDE"/>
    <w:rsid w:val="006A5E58"/>
    <w:rsid w:val="006A5E7D"/>
    <w:rsid w:val="006A5EA4"/>
    <w:rsid w:val="006A5EE4"/>
    <w:rsid w:val="006A5EFF"/>
    <w:rsid w:val="006A6023"/>
    <w:rsid w:val="006A617B"/>
    <w:rsid w:val="006A6214"/>
    <w:rsid w:val="006A6227"/>
    <w:rsid w:val="006A6263"/>
    <w:rsid w:val="006A63ED"/>
    <w:rsid w:val="006A6489"/>
    <w:rsid w:val="006A64E5"/>
    <w:rsid w:val="006A64ED"/>
    <w:rsid w:val="006A6615"/>
    <w:rsid w:val="006A664C"/>
    <w:rsid w:val="006A6802"/>
    <w:rsid w:val="006A680A"/>
    <w:rsid w:val="006A6927"/>
    <w:rsid w:val="006A696F"/>
    <w:rsid w:val="006A6975"/>
    <w:rsid w:val="006A6A01"/>
    <w:rsid w:val="006A6A22"/>
    <w:rsid w:val="006A6A52"/>
    <w:rsid w:val="006A6A73"/>
    <w:rsid w:val="006A6A84"/>
    <w:rsid w:val="006A6A8C"/>
    <w:rsid w:val="006A6AB4"/>
    <w:rsid w:val="006A6ACC"/>
    <w:rsid w:val="006A6B6B"/>
    <w:rsid w:val="006A6B90"/>
    <w:rsid w:val="006A6C6F"/>
    <w:rsid w:val="006A6DEC"/>
    <w:rsid w:val="006A6E03"/>
    <w:rsid w:val="006A6EAA"/>
    <w:rsid w:val="006A6F3D"/>
    <w:rsid w:val="006A6FA5"/>
    <w:rsid w:val="006A7106"/>
    <w:rsid w:val="006A7116"/>
    <w:rsid w:val="006A71CE"/>
    <w:rsid w:val="006A7386"/>
    <w:rsid w:val="006A7405"/>
    <w:rsid w:val="006A74D2"/>
    <w:rsid w:val="006A76AB"/>
    <w:rsid w:val="006A76B5"/>
    <w:rsid w:val="006A779E"/>
    <w:rsid w:val="006A77E6"/>
    <w:rsid w:val="006A784E"/>
    <w:rsid w:val="006A7850"/>
    <w:rsid w:val="006A78C7"/>
    <w:rsid w:val="006A7A0B"/>
    <w:rsid w:val="006A7B71"/>
    <w:rsid w:val="006A7C14"/>
    <w:rsid w:val="006A7C3C"/>
    <w:rsid w:val="006A7C8C"/>
    <w:rsid w:val="006A7E5F"/>
    <w:rsid w:val="006A7E81"/>
    <w:rsid w:val="006A7EBC"/>
    <w:rsid w:val="006A7F95"/>
    <w:rsid w:val="006A7FEE"/>
    <w:rsid w:val="006B008D"/>
    <w:rsid w:val="006B0146"/>
    <w:rsid w:val="006B01B7"/>
    <w:rsid w:val="006B01C5"/>
    <w:rsid w:val="006B01FC"/>
    <w:rsid w:val="006B0264"/>
    <w:rsid w:val="006B02D6"/>
    <w:rsid w:val="006B0596"/>
    <w:rsid w:val="006B05B2"/>
    <w:rsid w:val="006B06D9"/>
    <w:rsid w:val="006B0708"/>
    <w:rsid w:val="006B0727"/>
    <w:rsid w:val="006B0783"/>
    <w:rsid w:val="006B079A"/>
    <w:rsid w:val="006B0925"/>
    <w:rsid w:val="006B09C0"/>
    <w:rsid w:val="006B0A75"/>
    <w:rsid w:val="006B0AA0"/>
    <w:rsid w:val="006B0AD5"/>
    <w:rsid w:val="006B0BCB"/>
    <w:rsid w:val="006B0BF7"/>
    <w:rsid w:val="006B0CE3"/>
    <w:rsid w:val="006B0DB7"/>
    <w:rsid w:val="006B0E18"/>
    <w:rsid w:val="006B0EDE"/>
    <w:rsid w:val="006B0F1C"/>
    <w:rsid w:val="006B10BD"/>
    <w:rsid w:val="006B1126"/>
    <w:rsid w:val="006B1132"/>
    <w:rsid w:val="006B1235"/>
    <w:rsid w:val="006B1245"/>
    <w:rsid w:val="006B1326"/>
    <w:rsid w:val="006B1337"/>
    <w:rsid w:val="006B13C1"/>
    <w:rsid w:val="006B1584"/>
    <w:rsid w:val="006B15B0"/>
    <w:rsid w:val="006B168E"/>
    <w:rsid w:val="006B168F"/>
    <w:rsid w:val="006B16E7"/>
    <w:rsid w:val="006B170E"/>
    <w:rsid w:val="006B171B"/>
    <w:rsid w:val="006B1765"/>
    <w:rsid w:val="006B1817"/>
    <w:rsid w:val="006B1ACC"/>
    <w:rsid w:val="006B1B27"/>
    <w:rsid w:val="006B1BD2"/>
    <w:rsid w:val="006B1C05"/>
    <w:rsid w:val="006B1C0D"/>
    <w:rsid w:val="006B1DCF"/>
    <w:rsid w:val="006B1EFA"/>
    <w:rsid w:val="006B208F"/>
    <w:rsid w:val="006B20C7"/>
    <w:rsid w:val="006B2125"/>
    <w:rsid w:val="006B21A4"/>
    <w:rsid w:val="006B21EE"/>
    <w:rsid w:val="006B2232"/>
    <w:rsid w:val="006B223B"/>
    <w:rsid w:val="006B23BA"/>
    <w:rsid w:val="006B2437"/>
    <w:rsid w:val="006B250E"/>
    <w:rsid w:val="006B25F2"/>
    <w:rsid w:val="006B261B"/>
    <w:rsid w:val="006B279A"/>
    <w:rsid w:val="006B281A"/>
    <w:rsid w:val="006B29D7"/>
    <w:rsid w:val="006B2A07"/>
    <w:rsid w:val="006B2A87"/>
    <w:rsid w:val="006B2A92"/>
    <w:rsid w:val="006B2B66"/>
    <w:rsid w:val="006B2B9F"/>
    <w:rsid w:val="006B2BE1"/>
    <w:rsid w:val="006B2BFD"/>
    <w:rsid w:val="006B2C26"/>
    <w:rsid w:val="006B2CB4"/>
    <w:rsid w:val="006B2D0B"/>
    <w:rsid w:val="006B2D3A"/>
    <w:rsid w:val="006B2D75"/>
    <w:rsid w:val="006B2D88"/>
    <w:rsid w:val="006B2E0D"/>
    <w:rsid w:val="006B2E64"/>
    <w:rsid w:val="006B2ED1"/>
    <w:rsid w:val="006B2F6E"/>
    <w:rsid w:val="006B2FA7"/>
    <w:rsid w:val="006B2FF1"/>
    <w:rsid w:val="006B2FFC"/>
    <w:rsid w:val="006B305C"/>
    <w:rsid w:val="006B30E3"/>
    <w:rsid w:val="006B311C"/>
    <w:rsid w:val="006B3129"/>
    <w:rsid w:val="006B3162"/>
    <w:rsid w:val="006B3179"/>
    <w:rsid w:val="006B328D"/>
    <w:rsid w:val="006B32AD"/>
    <w:rsid w:val="006B32B9"/>
    <w:rsid w:val="006B334E"/>
    <w:rsid w:val="006B33A3"/>
    <w:rsid w:val="006B33BC"/>
    <w:rsid w:val="006B3554"/>
    <w:rsid w:val="006B36BB"/>
    <w:rsid w:val="006B3715"/>
    <w:rsid w:val="006B373B"/>
    <w:rsid w:val="006B37D3"/>
    <w:rsid w:val="006B38B3"/>
    <w:rsid w:val="006B38D4"/>
    <w:rsid w:val="006B39EF"/>
    <w:rsid w:val="006B3A38"/>
    <w:rsid w:val="006B3A79"/>
    <w:rsid w:val="006B3B95"/>
    <w:rsid w:val="006B3BE4"/>
    <w:rsid w:val="006B3C61"/>
    <w:rsid w:val="006B3DA1"/>
    <w:rsid w:val="006B3DAD"/>
    <w:rsid w:val="006B3DDD"/>
    <w:rsid w:val="006B3E78"/>
    <w:rsid w:val="006B3EB3"/>
    <w:rsid w:val="006B3EE0"/>
    <w:rsid w:val="006B3F13"/>
    <w:rsid w:val="006B3F5D"/>
    <w:rsid w:val="006B405B"/>
    <w:rsid w:val="006B4256"/>
    <w:rsid w:val="006B4257"/>
    <w:rsid w:val="006B4365"/>
    <w:rsid w:val="006B4392"/>
    <w:rsid w:val="006B45BD"/>
    <w:rsid w:val="006B45E5"/>
    <w:rsid w:val="006B461E"/>
    <w:rsid w:val="006B462C"/>
    <w:rsid w:val="006B46B0"/>
    <w:rsid w:val="006B46E1"/>
    <w:rsid w:val="006B47C2"/>
    <w:rsid w:val="006B4832"/>
    <w:rsid w:val="006B4878"/>
    <w:rsid w:val="006B48A9"/>
    <w:rsid w:val="006B4A0E"/>
    <w:rsid w:val="006B4A2F"/>
    <w:rsid w:val="006B4AE8"/>
    <w:rsid w:val="006B4B37"/>
    <w:rsid w:val="006B4BD2"/>
    <w:rsid w:val="006B4BDC"/>
    <w:rsid w:val="006B4C1E"/>
    <w:rsid w:val="006B4C74"/>
    <w:rsid w:val="006B4DD0"/>
    <w:rsid w:val="006B4DE3"/>
    <w:rsid w:val="006B4E0D"/>
    <w:rsid w:val="006B4E47"/>
    <w:rsid w:val="006B4E49"/>
    <w:rsid w:val="006B504C"/>
    <w:rsid w:val="006B50A6"/>
    <w:rsid w:val="006B50F7"/>
    <w:rsid w:val="006B5146"/>
    <w:rsid w:val="006B5159"/>
    <w:rsid w:val="006B515F"/>
    <w:rsid w:val="006B51CD"/>
    <w:rsid w:val="006B51EB"/>
    <w:rsid w:val="006B53C7"/>
    <w:rsid w:val="006B544B"/>
    <w:rsid w:val="006B547A"/>
    <w:rsid w:val="006B5508"/>
    <w:rsid w:val="006B5556"/>
    <w:rsid w:val="006B558E"/>
    <w:rsid w:val="006B5611"/>
    <w:rsid w:val="006B5694"/>
    <w:rsid w:val="006B57A4"/>
    <w:rsid w:val="006B582B"/>
    <w:rsid w:val="006B58D5"/>
    <w:rsid w:val="006B591F"/>
    <w:rsid w:val="006B5983"/>
    <w:rsid w:val="006B59BD"/>
    <w:rsid w:val="006B5A0F"/>
    <w:rsid w:val="006B5A64"/>
    <w:rsid w:val="006B5A85"/>
    <w:rsid w:val="006B5B2E"/>
    <w:rsid w:val="006B5B8A"/>
    <w:rsid w:val="006B5C7A"/>
    <w:rsid w:val="006B5DA5"/>
    <w:rsid w:val="006B5ED8"/>
    <w:rsid w:val="006B5F11"/>
    <w:rsid w:val="006B5FA0"/>
    <w:rsid w:val="006B61D1"/>
    <w:rsid w:val="006B6277"/>
    <w:rsid w:val="006B629C"/>
    <w:rsid w:val="006B63A5"/>
    <w:rsid w:val="006B63BF"/>
    <w:rsid w:val="006B64E4"/>
    <w:rsid w:val="006B6548"/>
    <w:rsid w:val="006B65F6"/>
    <w:rsid w:val="006B6637"/>
    <w:rsid w:val="006B66A2"/>
    <w:rsid w:val="006B670A"/>
    <w:rsid w:val="006B672F"/>
    <w:rsid w:val="006B6A0A"/>
    <w:rsid w:val="006B6A25"/>
    <w:rsid w:val="006B6A40"/>
    <w:rsid w:val="006B6ADF"/>
    <w:rsid w:val="006B6B98"/>
    <w:rsid w:val="006B6C14"/>
    <w:rsid w:val="006B6C30"/>
    <w:rsid w:val="006B6C4D"/>
    <w:rsid w:val="006B6EB2"/>
    <w:rsid w:val="006B6F37"/>
    <w:rsid w:val="006B7069"/>
    <w:rsid w:val="006B70C6"/>
    <w:rsid w:val="006B7173"/>
    <w:rsid w:val="006B726F"/>
    <w:rsid w:val="006B72CC"/>
    <w:rsid w:val="006B73BE"/>
    <w:rsid w:val="006B73CA"/>
    <w:rsid w:val="006B73EA"/>
    <w:rsid w:val="006B745D"/>
    <w:rsid w:val="006B7465"/>
    <w:rsid w:val="006B759F"/>
    <w:rsid w:val="006B75AA"/>
    <w:rsid w:val="006B7739"/>
    <w:rsid w:val="006B775E"/>
    <w:rsid w:val="006B77DC"/>
    <w:rsid w:val="006B7838"/>
    <w:rsid w:val="006B787F"/>
    <w:rsid w:val="006B7968"/>
    <w:rsid w:val="006B7C41"/>
    <w:rsid w:val="006B7C4D"/>
    <w:rsid w:val="006B7CBF"/>
    <w:rsid w:val="006B7D38"/>
    <w:rsid w:val="006B7E02"/>
    <w:rsid w:val="006B7F16"/>
    <w:rsid w:val="006B7FE9"/>
    <w:rsid w:val="006C0091"/>
    <w:rsid w:val="006C028B"/>
    <w:rsid w:val="006C02D6"/>
    <w:rsid w:val="006C0315"/>
    <w:rsid w:val="006C0316"/>
    <w:rsid w:val="006C05CE"/>
    <w:rsid w:val="006C05DB"/>
    <w:rsid w:val="006C05DE"/>
    <w:rsid w:val="006C060F"/>
    <w:rsid w:val="006C08AB"/>
    <w:rsid w:val="006C0950"/>
    <w:rsid w:val="006C09A2"/>
    <w:rsid w:val="006C09E5"/>
    <w:rsid w:val="006C0A11"/>
    <w:rsid w:val="006C0ABD"/>
    <w:rsid w:val="006C0AF7"/>
    <w:rsid w:val="006C0B16"/>
    <w:rsid w:val="006C0B75"/>
    <w:rsid w:val="006C0C07"/>
    <w:rsid w:val="006C0C3E"/>
    <w:rsid w:val="006C0CCD"/>
    <w:rsid w:val="006C0D97"/>
    <w:rsid w:val="006C0DAB"/>
    <w:rsid w:val="006C0DF9"/>
    <w:rsid w:val="006C0E7C"/>
    <w:rsid w:val="006C0EA5"/>
    <w:rsid w:val="006C0F65"/>
    <w:rsid w:val="006C1136"/>
    <w:rsid w:val="006C114E"/>
    <w:rsid w:val="006C11B8"/>
    <w:rsid w:val="006C11B9"/>
    <w:rsid w:val="006C1248"/>
    <w:rsid w:val="006C1359"/>
    <w:rsid w:val="006C13F2"/>
    <w:rsid w:val="006C13FE"/>
    <w:rsid w:val="006C1463"/>
    <w:rsid w:val="006C1482"/>
    <w:rsid w:val="006C1578"/>
    <w:rsid w:val="006C1609"/>
    <w:rsid w:val="006C1820"/>
    <w:rsid w:val="006C1850"/>
    <w:rsid w:val="006C1883"/>
    <w:rsid w:val="006C18CA"/>
    <w:rsid w:val="006C198B"/>
    <w:rsid w:val="006C19CD"/>
    <w:rsid w:val="006C1A02"/>
    <w:rsid w:val="006C1B8B"/>
    <w:rsid w:val="006C1C67"/>
    <w:rsid w:val="006C1DA7"/>
    <w:rsid w:val="006C1E6E"/>
    <w:rsid w:val="006C1ED3"/>
    <w:rsid w:val="006C1EE6"/>
    <w:rsid w:val="006C1F4A"/>
    <w:rsid w:val="006C1FAA"/>
    <w:rsid w:val="006C1FAE"/>
    <w:rsid w:val="006C1FD6"/>
    <w:rsid w:val="006C216D"/>
    <w:rsid w:val="006C22C5"/>
    <w:rsid w:val="006C23C7"/>
    <w:rsid w:val="006C23CC"/>
    <w:rsid w:val="006C23D2"/>
    <w:rsid w:val="006C23DC"/>
    <w:rsid w:val="006C2495"/>
    <w:rsid w:val="006C24C9"/>
    <w:rsid w:val="006C24D0"/>
    <w:rsid w:val="006C25AF"/>
    <w:rsid w:val="006C263A"/>
    <w:rsid w:val="006C265D"/>
    <w:rsid w:val="006C2707"/>
    <w:rsid w:val="006C272A"/>
    <w:rsid w:val="006C2819"/>
    <w:rsid w:val="006C28DA"/>
    <w:rsid w:val="006C2A54"/>
    <w:rsid w:val="006C2A85"/>
    <w:rsid w:val="006C2B7F"/>
    <w:rsid w:val="006C2B89"/>
    <w:rsid w:val="006C2BDF"/>
    <w:rsid w:val="006C2CF2"/>
    <w:rsid w:val="006C2CFD"/>
    <w:rsid w:val="006C2D11"/>
    <w:rsid w:val="006C2E30"/>
    <w:rsid w:val="006C2E92"/>
    <w:rsid w:val="006C2ED0"/>
    <w:rsid w:val="006C2F8F"/>
    <w:rsid w:val="006C3017"/>
    <w:rsid w:val="006C326A"/>
    <w:rsid w:val="006C3293"/>
    <w:rsid w:val="006C32AE"/>
    <w:rsid w:val="006C3450"/>
    <w:rsid w:val="006C3494"/>
    <w:rsid w:val="006C3549"/>
    <w:rsid w:val="006C376D"/>
    <w:rsid w:val="006C389A"/>
    <w:rsid w:val="006C38E0"/>
    <w:rsid w:val="006C3A9E"/>
    <w:rsid w:val="006C3AAC"/>
    <w:rsid w:val="006C3AF6"/>
    <w:rsid w:val="006C3C50"/>
    <w:rsid w:val="006C3C87"/>
    <w:rsid w:val="006C3C8C"/>
    <w:rsid w:val="006C3D02"/>
    <w:rsid w:val="006C3D3F"/>
    <w:rsid w:val="006C3DE0"/>
    <w:rsid w:val="006C3E67"/>
    <w:rsid w:val="006C3EBE"/>
    <w:rsid w:val="006C3ECB"/>
    <w:rsid w:val="006C3EFD"/>
    <w:rsid w:val="006C3F11"/>
    <w:rsid w:val="006C3F4D"/>
    <w:rsid w:val="006C401E"/>
    <w:rsid w:val="006C41C7"/>
    <w:rsid w:val="006C4207"/>
    <w:rsid w:val="006C4293"/>
    <w:rsid w:val="006C431A"/>
    <w:rsid w:val="006C43CB"/>
    <w:rsid w:val="006C4406"/>
    <w:rsid w:val="006C44C4"/>
    <w:rsid w:val="006C44D4"/>
    <w:rsid w:val="006C452E"/>
    <w:rsid w:val="006C4681"/>
    <w:rsid w:val="006C48BA"/>
    <w:rsid w:val="006C48E2"/>
    <w:rsid w:val="006C496B"/>
    <w:rsid w:val="006C4A78"/>
    <w:rsid w:val="006C4BBF"/>
    <w:rsid w:val="006C4BDA"/>
    <w:rsid w:val="006C4C1F"/>
    <w:rsid w:val="006C4C61"/>
    <w:rsid w:val="006C4C81"/>
    <w:rsid w:val="006C4CF1"/>
    <w:rsid w:val="006C4E5E"/>
    <w:rsid w:val="006C4F53"/>
    <w:rsid w:val="006C4F98"/>
    <w:rsid w:val="006C5104"/>
    <w:rsid w:val="006C5171"/>
    <w:rsid w:val="006C517F"/>
    <w:rsid w:val="006C519C"/>
    <w:rsid w:val="006C5205"/>
    <w:rsid w:val="006C5233"/>
    <w:rsid w:val="006C5279"/>
    <w:rsid w:val="006C52F0"/>
    <w:rsid w:val="006C531D"/>
    <w:rsid w:val="006C534F"/>
    <w:rsid w:val="006C5363"/>
    <w:rsid w:val="006C54E8"/>
    <w:rsid w:val="006C5536"/>
    <w:rsid w:val="006C5622"/>
    <w:rsid w:val="006C56F9"/>
    <w:rsid w:val="006C5AA7"/>
    <w:rsid w:val="006C5BBE"/>
    <w:rsid w:val="006C5C4A"/>
    <w:rsid w:val="006C5CB6"/>
    <w:rsid w:val="006C5D53"/>
    <w:rsid w:val="006C5DBE"/>
    <w:rsid w:val="006C5E74"/>
    <w:rsid w:val="006C5EA4"/>
    <w:rsid w:val="006C5F49"/>
    <w:rsid w:val="006C614A"/>
    <w:rsid w:val="006C6211"/>
    <w:rsid w:val="006C6283"/>
    <w:rsid w:val="006C6320"/>
    <w:rsid w:val="006C646D"/>
    <w:rsid w:val="006C6478"/>
    <w:rsid w:val="006C6557"/>
    <w:rsid w:val="006C65B7"/>
    <w:rsid w:val="006C6642"/>
    <w:rsid w:val="006C69A1"/>
    <w:rsid w:val="006C6AD2"/>
    <w:rsid w:val="006C6CBA"/>
    <w:rsid w:val="006C6DDD"/>
    <w:rsid w:val="006C6DF7"/>
    <w:rsid w:val="006C6EA9"/>
    <w:rsid w:val="006C70B5"/>
    <w:rsid w:val="006C71C8"/>
    <w:rsid w:val="006C7206"/>
    <w:rsid w:val="006C7274"/>
    <w:rsid w:val="006C7275"/>
    <w:rsid w:val="006C72D6"/>
    <w:rsid w:val="006C73E1"/>
    <w:rsid w:val="006C73EE"/>
    <w:rsid w:val="006C743A"/>
    <w:rsid w:val="006C7449"/>
    <w:rsid w:val="006C75F3"/>
    <w:rsid w:val="006C7628"/>
    <w:rsid w:val="006C76EC"/>
    <w:rsid w:val="006C773C"/>
    <w:rsid w:val="006C7745"/>
    <w:rsid w:val="006C775A"/>
    <w:rsid w:val="006C77B8"/>
    <w:rsid w:val="006C77D6"/>
    <w:rsid w:val="006C781C"/>
    <w:rsid w:val="006C7878"/>
    <w:rsid w:val="006C78E3"/>
    <w:rsid w:val="006C7925"/>
    <w:rsid w:val="006C7936"/>
    <w:rsid w:val="006C7999"/>
    <w:rsid w:val="006C79AC"/>
    <w:rsid w:val="006C7A91"/>
    <w:rsid w:val="006C7ADB"/>
    <w:rsid w:val="006C7ADD"/>
    <w:rsid w:val="006C7B04"/>
    <w:rsid w:val="006C7B2B"/>
    <w:rsid w:val="006C7BF4"/>
    <w:rsid w:val="006C7BFB"/>
    <w:rsid w:val="006C7D38"/>
    <w:rsid w:val="006C7ECD"/>
    <w:rsid w:val="006C7EE3"/>
    <w:rsid w:val="006D006E"/>
    <w:rsid w:val="006D00DF"/>
    <w:rsid w:val="006D022F"/>
    <w:rsid w:val="006D025F"/>
    <w:rsid w:val="006D037C"/>
    <w:rsid w:val="006D0393"/>
    <w:rsid w:val="006D057D"/>
    <w:rsid w:val="006D05E7"/>
    <w:rsid w:val="006D06C0"/>
    <w:rsid w:val="006D06C3"/>
    <w:rsid w:val="006D072F"/>
    <w:rsid w:val="006D07BB"/>
    <w:rsid w:val="006D07CE"/>
    <w:rsid w:val="006D0824"/>
    <w:rsid w:val="006D08BB"/>
    <w:rsid w:val="006D09BE"/>
    <w:rsid w:val="006D0A66"/>
    <w:rsid w:val="006D0B36"/>
    <w:rsid w:val="006D0CB2"/>
    <w:rsid w:val="006D0CE2"/>
    <w:rsid w:val="006D0DB2"/>
    <w:rsid w:val="006D0E76"/>
    <w:rsid w:val="006D0F6F"/>
    <w:rsid w:val="006D0F74"/>
    <w:rsid w:val="006D0FC7"/>
    <w:rsid w:val="006D1016"/>
    <w:rsid w:val="006D1041"/>
    <w:rsid w:val="006D10D1"/>
    <w:rsid w:val="006D1208"/>
    <w:rsid w:val="006D1349"/>
    <w:rsid w:val="006D13AB"/>
    <w:rsid w:val="006D14A5"/>
    <w:rsid w:val="006D168E"/>
    <w:rsid w:val="006D180E"/>
    <w:rsid w:val="006D1A06"/>
    <w:rsid w:val="006D1A5D"/>
    <w:rsid w:val="006D1AA5"/>
    <w:rsid w:val="006D1AE6"/>
    <w:rsid w:val="006D1BA2"/>
    <w:rsid w:val="006D1BB5"/>
    <w:rsid w:val="006D1CFC"/>
    <w:rsid w:val="006D1CFD"/>
    <w:rsid w:val="006D1D28"/>
    <w:rsid w:val="006D1D39"/>
    <w:rsid w:val="006D1D4A"/>
    <w:rsid w:val="006D1D59"/>
    <w:rsid w:val="006D1D60"/>
    <w:rsid w:val="006D1DB0"/>
    <w:rsid w:val="006D1E06"/>
    <w:rsid w:val="006D1E2E"/>
    <w:rsid w:val="006D1EFE"/>
    <w:rsid w:val="006D1F16"/>
    <w:rsid w:val="006D1F85"/>
    <w:rsid w:val="006D2051"/>
    <w:rsid w:val="006D205A"/>
    <w:rsid w:val="006D2256"/>
    <w:rsid w:val="006D2278"/>
    <w:rsid w:val="006D22A9"/>
    <w:rsid w:val="006D23C7"/>
    <w:rsid w:val="006D2508"/>
    <w:rsid w:val="006D259B"/>
    <w:rsid w:val="006D25D9"/>
    <w:rsid w:val="006D2606"/>
    <w:rsid w:val="006D266D"/>
    <w:rsid w:val="006D268B"/>
    <w:rsid w:val="006D26C7"/>
    <w:rsid w:val="006D26C9"/>
    <w:rsid w:val="006D276C"/>
    <w:rsid w:val="006D27B4"/>
    <w:rsid w:val="006D284F"/>
    <w:rsid w:val="006D286D"/>
    <w:rsid w:val="006D2962"/>
    <w:rsid w:val="006D2A5A"/>
    <w:rsid w:val="006D2B92"/>
    <w:rsid w:val="006D2C4C"/>
    <w:rsid w:val="006D2CBB"/>
    <w:rsid w:val="006D2D06"/>
    <w:rsid w:val="006D2DA9"/>
    <w:rsid w:val="006D2E77"/>
    <w:rsid w:val="006D2EDE"/>
    <w:rsid w:val="006D2F44"/>
    <w:rsid w:val="006D2F67"/>
    <w:rsid w:val="006D30B4"/>
    <w:rsid w:val="006D30B8"/>
    <w:rsid w:val="006D3175"/>
    <w:rsid w:val="006D3209"/>
    <w:rsid w:val="006D32DB"/>
    <w:rsid w:val="006D3340"/>
    <w:rsid w:val="006D3345"/>
    <w:rsid w:val="006D3531"/>
    <w:rsid w:val="006D3625"/>
    <w:rsid w:val="006D362F"/>
    <w:rsid w:val="006D377C"/>
    <w:rsid w:val="006D3882"/>
    <w:rsid w:val="006D38F9"/>
    <w:rsid w:val="006D3960"/>
    <w:rsid w:val="006D3AE8"/>
    <w:rsid w:val="006D3BF7"/>
    <w:rsid w:val="006D3CF7"/>
    <w:rsid w:val="006D3D84"/>
    <w:rsid w:val="006D3DAC"/>
    <w:rsid w:val="006D3ECD"/>
    <w:rsid w:val="006D3EDA"/>
    <w:rsid w:val="006D4030"/>
    <w:rsid w:val="006D40E4"/>
    <w:rsid w:val="006D40EB"/>
    <w:rsid w:val="006D419A"/>
    <w:rsid w:val="006D42A3"/>
    <w:rsid w:val="006D42BE"/>
    <w:rsid w:val="006D42D8"/>
    <w:rsid w:val="006D4351"/>
    <w:rsid w:val="006D435C"/>
    <w:rsid w:val="006D43F1"/>
    <w:rsid w:val="006D4418"/>
    <w:rsid w:val="006D44C6"/>
    <w:rsid w:val="006D45BD"/>
    <w:rsid w:val="006D46F6"/>
    <w:rsid w:val="006D4708"/>
    <w:rsid w:val="006D475D"/>
    <w:rsid w:val="006D484F"/>
    <w:rsid w:val="006D4E16"/>
    <w:rsid w:val="006D4EE9"/>
    <w:rsid w:val="006D4FAF"/>
    <w:rsid w:val="006D50BF"/>
    <w:rsid w:val="006D526E"/>
    <w:rsid w:val="006D54BA"/>
    <w:rsid w:val="006D5557"/>
    <w:rsid w:val="006D570A"/>
    <w:rsid w:val="006D572D"/>
    <w:rsid w:val="006D5753"/>
    <w:rsid w:val="006D5772"/>
    <w:rsid w:val="006D57FF"/>
    <w:rsid w:val="006D5848"/>
    <w:rsid w:val="006D5871"/>
    <w:rsid w:val="006D5949"/>
    <w:rsid w:val="006D5965"/>
    <w:rsid w:val="006D5ADE"/>
    <w:rsid w:val="006D5B25"/>
    <w:rsid w:val="006D5BEC"/>
    <w:rsid w:val="006D5D0D"/>
    <w:rsid w:val="006D5D14"/>
    <w:rsid w:val="006D5D81"/>
    <w:rsid w:val="006D5DA6"/>
    <w:rsid w:val="006D5DFC"/>
    <w:rsid w:val="006D5E26"/>
    <w:rsid w:val="006D5ECA"/>
    <w:rsid w:val="006D5FDE"/>
    <w:rsid w:val="006D6115"/>
    <w:rsid w:val="006D6119"/>
    <w:rsid w:val="006D6128"/>
    <w:rsid w:val="006D61AA"/>
    <w:rsid w:val="006D61BB"/>
    <w:rsid w:val="006D61EB"/>
    <w:rsid w:val="006D6268"/>
    <w:rsid w:val="006D62B9"/>
    <w:rsid w:val="006D647A"/>
    <w:rsid w:val="006D65AB"/>
    <w:rsid w:val="006D6694"/>
    <w:rsid w:val="006D66A5"/>
    <w:rsid w:val="006D6728"/>
    <w:rsid w:val="006D681C"/>
    <w:rsid w:val="006D6823"/>
    <w:rsid w:val="006D683E"/>
    <w:rsid w:val="006D6840"/>
    <w:rsid w:val="006D6957"/>
    <w:rsid w:val="006D696B"/>
    <w:rsid w:val="006D69E3"/>
    <w:rsid w:val="006D6AE4"/>
    <w:rsid w:val="006D6CFC"/>
    <w:rsid w:val="006D6D80"/>
    <w:rsid w:val="006D6DC3"/>
    <w:rsid w:val="006D6DC9"/>
    <w:rsid w:val="006D6E3A"/>
    <w:rsid w:val="006D6E92"/>
    <w:rsid w:val="006D6EB6"/>
    <w:rsid w:val="006D6F26"/>
    <w:rsid w:val="006D6F80"/>
    <w:rsid w:val="006D704E"/>
    <w:rsid w:val="006D70B5"/>
    <w:rsid w:val="006D7273"/>
    <w:rsid w:val="006D72AB"/>
    <w:rsid w:val="006D7346"/>
    <w:rsid w:val="006D7548"/>
    <w:rsid w:val="006D7584"/>
    <w:rsid w:val="006D7659"/>
    <w:rsid w:val="006D7690"/>
    <w:rsid w:val="006D7692"/>
    <w:rsid w:val="006D77A8"/>
    <w:rsid w:val="006D7A17"/>
    <w:rsid w:val="006D7B4D"/>
    <w:rsid w:val="006D7B4F"/>
    <w:rsid w:val="006D7B81"/>
    <w:rsid w:val="006D7C0F"/>
    <w:rsid w:val="006D7CB0"/>
    <w:rsid w:val="006D7D84"/>
    <w:rsid w:val="006D7DBD"/>
    <w:rsid w:val="006D7EA1"/>
    <w:rsid w:val="006D7ECB"/>
    <w:rsid w:val="006D7EEC"/>
    <w:rsid w:val="006E0069"/>
    <w:rsid w:val="006E007B"/>
    <w:rsid w:val="006E00D6"/>
    <w:rsid w:val="006E020F"/>
    <w:rsid w:val="006E039C"/>
    <w:rsid w:val="006E0554"/>
    <w:rsid w:val="006E072D"/>
    <w:rsid w:val="006E075E"/>
    <w:rsid w:val="006E07C5"/>
    <w:rsid w:val="006E080A"/>
    <w:rsid w:val="006E08D0"/>
    <w:rsid w:val="006E0907"/>
    <w:rsid w:val="006E0AE3"/>
    <w:rsid w:val="006E0B3E"/>
    <w:rsid w:val="006E0B6B"/>
    <w:rsid w:val="006E0B90"/>
    <w:rsid w:val="006E0C84"/>
    <w:rsid w:val="006E0E49"/>
    <w:rsid w:val="006E0E4B"/>
    <w:rsid w:val="006E0F86"/>
    <w:rsid w:val="006E10C9"/>
    <w:rsid w:val="006E1170"/>
    <w:rsid w:val="006E1222"/>
    <w:rsid w:val="006E13FB"/>
    <w:rsid w:val="006E1476"/>
    <w:rsid w:val="006E152C"/>
    <w:rsid w:val="006E15E8"/>
    <w:rsid w:val="006E1687"/>
    <w:rsid w:val="006E16A9"/>
    <w:rsid w:val="006E1795"/>
    <w:rsid w:val="006E17BA"/>
    <w:rsid w:val="006E1806"/>
    <w:rsid w:val="006E184F"/>
    <w:rsid w:val="006E1898"/>
    <w:rsid w:val="006E192E"/>
    <w:rsid w:val="006E1987"/>
    <w:rsid w:val="006E1A38"/>
    <w:rsid w:val="006E1ACD"/>
    <w:rsid w:val="006E1AD2"/>
    <w:rsid w:val="006E1AF0"/>
    <w:rsid w:val="006E1BD7"/>
    <w:rsid w:val="006E1D61"/>
    <w:rsid w:val="006E1DB4"/>
    <w:rsid w:val="006E1E30"/>
    <w:rsid w:val="006E1FC2"/>
    <w:rsid w:val="006E1FEA"/>
    <w:rsid w:val="006E205D"/>
    <w:rsid w:val="006E20CA"/>
    <w:rsid w:val="006E2110"/>
    <w:rsid w:val="006E21B1"/>
    <w:rsid w:val="006E232A"/>
    <w:rsid w:val="006E23BC"/>
    <w:rsid w:val="006E242E"/>
    <w:rsid w:val="006E24EE"/>
    <w:rsid w:val="006E25AE"/>
    <w:rsid w:val="006E25C4"/>
    <w:rsid w:val="006E2725"/>
    <w:rsid w:val="006E272C"/>
    <w:rsid w:val="006E272E"/>
    <w:rsid w:val="006E2735"/>
    <w:rsid w:val="006E274A"/>
    <w:rsid w:val="006E290D"/>
    <w:rsid w:val="006E29E0"/>
    <w:rsid w:val="006E29E9"/>
    <w:rsid w:val="006E2A22"/>
    <w:rsid w:val="006E2A80"/>
    <w:rsid w:val="006E2A99"/>
    <w:rsid w:val="006E2AA9"/>
    <w:rsid w:val="006E2B05"/>
    <w:rsid w:val="006E2B10"/>
    <w:rsid w:val="006E2C08"/>
    <w:rsid w:val="006E2C27"/>
    <w:rsid w:val="006E2CC9"/>
    <w:rsid w:val="006E2CD8"/>
    <w:rsid w:val="006E2D17"/>
    <w:rsid w:val="006E2D18"/>
    <w:rsid w:val="006E2DDB"/>
    <w:rsid w:val="006E2E06"/>
    <w:rsid w:val="006E2E71"/>
    <w:rsid w:val="006E2FAF"/>
    <w:rsid w:val="006E2FC3"/>
    <w:rsid w:val="006E2FC9"/>
    <w:rsid w:val="006E3004"/>
    <w:rsid w:val="006E30BB"/>
    <w:rsid w:val="006E30C2"/>
    <w:rsid w:val="006E318F"/>
    <w:rsid w:val="006E31B2"/>
    <w:rsid w:val="006E3222"/>
    <w:rsid w:val="006E324D"/>
    <w:rsid w:val="006E3298"/>
    <w:rsid w:val="006E33B6"/>
    <w:rsid w:val="006E33C7"/>
    <w:rsid w:val="006E33DF"/>
    <w:rsid w:val="006E3402"/>
    <w:rsid w:val="006E3424"/>
    <w:rsid w:val="006E3642"/>
    <w:rsid w:val="006E371F"/>
    <w:rsid w:val="006E383B"/>
    <w:rsid w:val="006E384F"/>
    <w:rsid w:val="006E3A62"/>
    <w:rsid w:val="006E3B23"/>
    <w:rsid w:val="006E3B77"/>
    <w:rsid w:val="006E3B7B"/>
    <w:rsid w:val="006E3BFF"/>
    <w:rsid w:val="006E3D26"/>
    <w:rsid w:val="006E3D48"/>
    <w:rsid w:val="006E3D90"/>
    <w:rsid w:val="006E3DE6"/>
    <w:rsid w:val="006E3F48"/>
    <w:rsid w:val="006E4038"/>
    <w:rsid w:val="006E40AE"/>
    <w:rsid w:val="006E40D7"/>
    <w:rsid w:val="006E41F5"/>
    <w:rsid w:val="006E4290"/>
    <w:rsid w:val="006E4310"/>
    <w:rsid w:val="006E4325"/>
    <w:rsid w:val="006E4361"/>
    <w:rsid w:val="006E440B"/>
    <w:rsid w:val="006E442E"/>
    <w:rsid w:val="006E467F"/>
    <w:rsid w:val="006E47A9"/>
    <w:rsid w:val="006E47B8"/>
    <w:rsid w:val="006E47E5"/>
    <w:rsid w:val="006E4869"/>
    <w:rsid w:val="006E4978"/>
    <w:rsid w:val="006E4AC7"/>
    <w:rsid w:val="006E4AE9"/>
    <w:rsid w:val="006E4BAE"/>
    <w:rsid w:val="006E4C1A"/>
    <w:rsid w:val="006E4C83"/>
    <w:rsid w:val="006E4EA6"/>
    <w:rsid w:val="006E50B5"/>
    <w:rsid w:val="006E50F2"/>
    <w:rsid w:val="006E5241"/>
    <w:rsid w:val="006E52FD"/>
    <w:rsid w:val="006E533C"/>
    <w:rsid w:val="006E539D"/>
    <w:rsid w:val="006E5408"/>
    <w:rsid w:val="006E5453"/>
    <w:rsid w:val="006E54D2"/>
    <w:rsid w:val="006E54E1"/>
    <w:rsid w:val="006E553C"/>
    <w:rsid w:val="006E5546"/>
    <w:rsid w:val="006E55C0"/>
    <w:rsid w:val="006E55EA"/>
    <w:rsid w:val="006E5629"/>
    <w:rsid w:val="006E5710"/>
    <w:rsid w:val="006E5755"/>
    <w:rsid w:val="006E58D5"/>
    <w:rsid w:val="006E5964"/>
    <w:rsid w:val="006E59E3"/>
    <w:rsid w:val="006E5A7C"/>
    <w:rsid w:val="006E5B5B"/>
    <w:rsid w:val="006E5BA1"/>
    <w:rsid w:val="006E5C1B"/>
    <w:rsid w:val="006E5C92"/>
    <w:rsid w:val="006E5CBF"/>
    <w:rsid w:val="006E5D2A"/>
    <w:rsid w:val="006E5EBD"/>
    <w:rsid w:val="006E5FBA"/>
    <w:rsid w:val="006E6059"/>
    <w:rsid w:val="006E6085"/>
    <w:rsid w:val="006E60A1"/>
    <w:rsid w:val="006E61BB"/>
    <w:rsid w:val="006E61C1"/>
    <w:rsid w:val="006E61D9"/>
    <w:rsid w:val="006E6206"/>
    <w:rsid w:val="006E62CF"/>
    <w:rsid w:val="006E62FB"/>
    <w:rsid w:val="006E6467"/>
    <w:rsid w:val="006E6489"/>
    <w:rsid w:val="006E64E3"/>
    <w:rsid w:val="006E664A"/>
    <w:rsid w:val="006E6715"/>
    <w:rsid w:val="006E68DA"/>
    <w:rsid w:val="006E68EB"/>
    <w:rsid w:val="006E692E"/>
    <w:rsid w:val="006E6970"/>
    <w:rsid w:val="006E69F1"/>
    <w:rsid w:val="006E69FA"/>
    <w:rsid w:val="006E6A2C"/>
    <w:rsid w:val="006E6A8E"/>
    <w:rsid w:val="006E6AE9"/>
    <w:rsid w:val="006E6B3C"/>
    <w:rsid w:val="006E6BCB"/>
    <w:rsid w:val="006E6D07"/>
    <w:rsid w:val="006E6D53"/>
    <w:rsid w:val="006E6D5F"/>
    <w:rsid w:val="006E6D64"/>
    <w:rsid w:val="006E6DEA"/>
    <w:rsid w:val="006E6E12"/>
    <w:rsid w:val="006E6F03"/>
    <w:rsid w:val="006E7038"/>
    <w:rsid w:val="006E7059"/>
    <w:rsid w:val="006E7064"/>
    <w:rsid w:val="006E7140"/>
    <w:rsid w:val="006E7165"/>
    <w:rsid w:val="006E7188"/>
    <w:rsid w:val="006E719D"/>
    <w:rsid w:val="006E727E"/>
    <w:rsid w:val="006E72D2"/>
    <w:rsid w:val="006E73F4"/>
    <w:rsid w:val="006E742E"/>
    <w:rsid w:val="006E7466"/>
    <w:rsid w:val="006E751D"/>
    <w:rsid w:val="006E7583"/>
    <w:rsid w:val="006E75F0"/>
    <w:rsid w:val="006E765A"/>
    <w:rsid w:val="006E7744"/>
    <w:rsid w:val="006E77F3"/>
    <w:rsid w:val="006E796F"/>
    <w:rsid w:val="006E7976"/>
    <w:rsid w:val="006E7A09"/>
    <w:rsid w:val="006E7B2B"/>
    <w:rsid w:val="006E7BCC"/>
    <w:rsid w:val="006E7C7A"/>
    <w:rsid w:val="006E7E4F"/>
    <w:rsid w:val="006E7E60"/>
    <w:rsid w:val="006E7E75"/>
    <w:rsid w:val="006E7F2F"/>
    <w:rsid w:val="006E7F3E"/>
    <w:rsid w:val="006F008B"/>
    <w:rsid w:val="006F00D3"/>
    <w:rsid w:val="006F01B4"/>
    <w:rsid w:val="006F0336"/>
    <w:rsid w:val="006F0432"/>
    <w:rsid w:val="006F04C7"/>
    <w:rsid w:val="006F0531"/>
    <w:rsid w:val="006F05E1"/>
    <w:rsid w:val="006F0613"/>
    <w:rsid w:val="006F0665"/>
    <w:rsid w:val="006F0686"/>
    <w:rsid w:val="006F0794"/>
    <w:rsid w:val="006F07C5"/>
    <w:rsid w:val="006F080F"/>
    <w:rsid w:val="006F0969"/>
    <w:rsid w:val="006F0A0E"/>
    <w:rsid w:val="006F0AD1"/>
    <w:rsid w:val="006F0ADC"/>
    <w:rsid w:val="006F0B03"/>
    <w:rsid w:val="006F0C01"/>
    <w:rsid w:val="006F0D0E"/>
    <w:rsid w:val="006F0E37"/>
    <w:rsid w:val="006F0F68"/>
    <w:rsid w:val="006F102D"/>
    <w:rsid w:val="006F1152"/>
    <w:rsid w:val="006F118F"/>
    <w:rsid w:val="006F11A6"/>
    <w:rsid w:val="006F1318"/>
    <w:rsid w:val="006F1380"/>
    <w:rsid w:val="006F1384"/>
    <w:rsid w:val="006F1451"/>
    <w:rsid w:val="006F149C"/>
    <w:rsid w:val="006F1632"/>
    <w:rsid w:val="006F166B"/>
    <w:rsid w:val="006F169A"/>
    <w:rsid w:val="006F16A9"/>
    <w:rsid w:val="006F1734"/>
    <w:rsid w:val="006F17A0"/>
    <w:rsid w:val="006F1868"/>
    <w:rsid w:val="006F1889"/>
    <w:rsid w:val="006F19D0"/>
    <w:rsid w:val="006F1BA8"/>
    <w:rsid w:val="006F1D63"/>
    <w:rsid w:val="006F1E0F"/>
    <w:rsid w:val="006F1E41"/>
    <w:rsid w:val="006F1E85"/>
    <w:rsid w:val="006F1E9B"/>
    <w:rsid w:val="006F1F06"/>
    <w:rsid w:val="006F1F15"/>
    <w:rsid w:val="006F1FE7"/>
    <w:rsid w:val="006F2012"/>
    <w:rsid w:val="006F20C9"/>
    <w:rsid w:val="006F226B"/>
    <w:rsid w:val="006F239A"/>
    <w:rsid w:val="006F2475"/>
    <w:rsid w:val="006F2496"/>
    <w:rsid w:val="006F2506"/>
    <w:rsid w:val="006F2559"/>
    <w:rsid w:val="006F2573"/>
    <w:rsid w:val="006F26E3"/>
    <w:rsid w:val="006F2914"/>
    <w:rsid w:val="006F293B"/>
    <w:rsid w:val="006F2942"/>
    <w:rsid w:val="006F29C5"/>
    <w:rsid w:val="006F29DE"/>
    <w:rsid w:val="006F2A41"/>
    <w:rsid w:val="006F2BD3"/>
    <w:rsid w:val="006F2C00"/>
    <w:rsid w:val="006F2C12"/>
    <w:rsid w:val="006F2C8F"/>
    <w:rsid w:val="006F2FDC"/>
    <w:rsid w:val="006F2FE5"/>
    <w:rsid w:val="006F30BF"/>
    <w:rsid w:val="006F30D2"/>
    <w:rsid w:val="006F3102"/>
    <w:rsid w:val="006F314A"/>
    <w:rsid w:val="006F31F1"/>
    <w:rsid w:val="006F3288"/>
    <w:rsid w:val="006F3460"/>
    <w:rsid w:val="006F34B7"/>
    <w:rsid w:val="006F34FD"/>
    <w:rsid w:val="006F3547"/>
    <w:rsid w:val="006F3601"/>
    <w:rsid w:val="006F3642"/>
    <w:rsid w:val="006F3652"/>
    <w:rsid w:val="006F3694"/>
    <w:rsid w:val="006F3726"/>
    <w:rsid w:val="006F37ED"/>
    <w:rsid w:val="006F385D"/>
    <w:rsid w:val="006F3891"/>
    <w:rsid w:val="006F393B"/>
    <w:rsid w:val="006F39FD"/>
    <w:rsid w:val="006F3A06"/>
    <w:rsid w:val="006F3B47"/>
    <w:rsid w:val="006F3B8B"/>
    <w:rsid w:val="006F3BA2"/>
    <w:rsid w:val="006F3BC1"/>
    <w:rsid w:val="006F3C22"/>
    <w:rsid w:val="006F3C6E"/>
    <w:rsid w:val="006F3CC9"/>
    <w:rsid w:val="006F3E2A"/>
    <w:rsid w:val="006F403A"/>
    <w:rsid w:val="006F405A"/>
    <w:rsid w:val="006F406E"/>
    <w:rsid w:val="006F4143"/>
    <w:rsid w:val="006F4148"/>
    <w:rsid w:val="006F4285"/>
    <w:rsid w:val="006F437A"/>
    <w:rsid w:val="006F4479"/>
    <w:rsid w:val="006F4607"/>
    <w:rsid w:val="006F4612"/>
    <w:rsid w:val="006F4623"/>
    <w:rsid w:val="006F4639"/>
    <w:rsid w:val="006F4746"/>
    <w:rsid w:val="006F474A"/>
    <w:rsid w:val="006F4791"/>
    <w:rsid w:val="006F47B9"/>
    <w:rsid w:val="006F4917"/>
    <w:rsid w:val="006F497B"/>
    <w:rsid w:val="006F4981"/>
    <w:rsid w:val="006F4A96"/>
    <w:rsid w:val="006F4CAD"/>
    <w:rsid w:val="006F505E"/>
    <w:rsid w:val="006F50B7"/>
    <w:rsid w:val="006F50E7"/>
    <w:rsid w:val="006F5192"/>
    <w:rsid w:val="006F51A9"/>
    <w:rsid w:val="006F522E"/>
    <w:rsid w:val="006F52C2"/>
    <w:rsid w:val="006F52E2"/>
    <w:rsid w:val="006F5301"/>
    <w:rsid w:val="006F5348"/>
    <w:rsid w:val="006F537B"/>
    <w:rsid w:val="006F5429"/>
    <w:rsid w:val="006F546F"/>
    <w:rsid w:val="006F5592"/>
    <w:rsid w:val="006F562D"/>
    <w:rsid w:val="006F56E7"/>
    <w:rsid w:val="006F56F4"/>
    <w:rsid w:val="006F5707"/>
    <w:rsid w:val="006F5786"/>
    <w:rsid w:val="006F58D8"/>
    <w:rsid w:val="006F5929"/>
    <w:rsid w:val="006F599A"/>
    <w:rsid w:val="006F5B57"/>
    <w:rsid w:val="006F5B5A"/>
    <w:rsid w:val="006F5B5C"/>
    <w:rsid w:val="006F5BAA"/>
    <w:rsid w:val="006F5CFE"/>
    <w:rsid w:val="006F5D04"/>
    <w:rsid w:val="006F5D61"/>
    <w:rsid w:val="006F5D69"/>
    <w:rsid w:val="006F5E25"/>
    <w:rsid w:val="006F5E2C"/>
    <w:rsid w:val="006F5EAB"/>
    <w:rsid w:val="006F5F48"/>
    <w:rsid w:val="006F5FAB"/>
    <w:rsid w:val="006F6079"/>
    <w:rsid w:val="006F60EE"/>
    <w:rsid w:val="006F6166"/>
    <w:rsid w:val="006F626C"/>
    <w:rsid w:val="006F62A2"/>
    <w:rsid w:val="006F63A6"/>
    <w:rsid w:val="006F652C"/>
    <w:rsid w:val="006F65E4"/>
    <w:rsid w:val="006F676F"/>
    <w:rsid w:val="006F681F"/>
    <w:rsid w:val="006F6925"/>
    <w:rsid w:val="006F6AFF"/>
    <w:rsid w:val="006F6BFE"/>
    <w:rsid w:val="006F6CB6"/>
    <w:rsid w:val="006F6E6D"/>
    <w:rsid w:val="006F6EE6"/>
    <w:rsid w:val="006F6F18"/>
    <w:rsid w:val="006F6FFD"/>
    <w:rsid w:val="006F715C"/>
    <w:rsid w:val="006F7183"/>
    <w:rsid w:val="006F71E9"/>
    <w:rsid w:val="006F7219"/>
    <w:rsid w:val="006F7226"/>
    <w:rsid w:val="006F7234"/>
    <w:rsid w:val="006F7354"/>
    <w:rsid w:val="006F73C0"/>
    <w:rsid w:val="006F73DD"/>
    <w:rsid w:val="006F7426"/>
    <w:rsid w:val="006F746A"/>
    <w:rsid w:val="006F757F"/>
    <w:rsid w:val="006F7686"/>
    <w:rsid w:val="006F768D"/>
    <w:rsid w:val="006F76F7"/>
    <w:rsid w:val="006F775D"/>
    <w:rsid w:val="006F7822"/>
    <w:rsid w:val="006F7832"/>
    <w:rsid w:val="006F792A"/>
    <w:rsid w:val="006F798A"/>
    <w:rsid w:val="006F79E8"/>
    <w:rsid w:val="006F7A10"/>
    <w:rsid w:val="006F7A19"/>
    <w:rsid w:val="006F7A96"/>
    <w:rsid w:val="006F7AF2"/>
    <w:rsid w:val="006F7B07"/>
    <w:rsid w:val="006F7B6E"/>
    <w:rsid w:val="006F7C34"/>
    <w:rsid w:val="006F7C7C"/>
    <w:rsid w:val="006F7CBC"/>
    <w:rsid w:val="006F7D59"/>
    <w:rsid w:val="006F7EB4"/>
    <w:rsid w:val="006F7ECC"/>
    <w:rsid w:val="006F7F83"/>
    <w:rsid w:val="006F7F9E"/>
    <w:rsid w:val="00700029"/>
    <w:rsid w:val="0070013F"/>
    <w:rsid w:val="0070030D"/>
    <w:rsid w:val="0070045F"/>
    <w:rsid w:val="007004DA"/>
    <w:rsid w:val="0070076C"/>
    <w:rsid w:val="0070080E"/>
    <w:rsid w:val="007008B7"/>
    <w:rsid w:val="007008F0"/>
    <w:rsid w:val="0070096D"/>
    <w:rsid w:val="00700AA4"/>
    <w:rsid w:val="00700BFB"/>
    <w:rsid w:val="00700C71"/>
    <w:rsid w:val="00700CF8"/>
    <w:rsid w:val="00700EAD"/>
    <w:rsid w:val="00700EBC"/>
    <w:rsid w:val="00700EE0"/>
    <w:rsid w:val="00700EE1"/>
    <w:rsid w:val="007010C6"/>
    <w:rsid w:val="007011C5"/>
    <w:rsid w:val="007011E6"/>
    <w:rsid w:val="007011F9"/>
    <w:rsid w:val="0070124D"/>
    <w:rsid w:val="007012F6"/>
    <w:rsid w:val="0070130F"/>
    <w:rsid w:val="0070131C"/>
    <w:rsid w:val="00701320"/>
    <w:rsid w:val="0070133C"/>
    <w:rsid w:val="007013A8"/>
    <w:rsid w:val="00701491"/>
    <w:rsid w:val="00701508"/>
    <w:rsid w:val="007015E6"/>
    <w:rsid w:val="00701609"/>
    <w:rsid w:val="007017C1"/>
    <w:rsid w:val="00701812"/>
    <w:rsid w:val="00701846"/>
    <w:rsid w:val="0070192F"/>
    <w:rsid w:val="00701964"/>
    <w:rsid w:val="00701989"/>
    <w:rsid w:val="00701A13"/>
    <w:rsid w:val="00701A29"/>
    <w:rsid w:val="00701A4F"/>
    <w:rsid w:val="00701C35"/>
    <w:rsid w:val="00701C41"/>
    <w:rsid w:val="00701C47"/>
    <w:rsid w:val="00701FED"/>
    <w:rsid w:val="0070202D"/>
    <w:rsid w:val="00702055"/>
    <w:rsid w:val="007020DF"/>
    <w:rsid w:val="007020EE"/>
    <w:rsid w:val="00702315"/>
    <w:rsid w:val="007023FE"/>
    <w:rsid w:val="00702489"/>
    <w:rsid w:val="0070268F"/>
    <w:rsid w:val="007026C4"/>
    <w:rsid w:val="007027F5"/>
    <w:rsid w:val="00702816"/>
    <w:rsid w:val="00702A37"/>
    <w:rsid w:val="00702A51"/>
    <w:rsid w:val="00702AB5"/>
    <w:rsid w:val="00702AF9"/>
    <w:rsid w:val="00702B15"/>
    <w:rsid w:val="00702CBD"/>
    <w:rsid w:val="00702D36"/>
    <w:rsid w:val="00702D8B"/>
    <w:rsid w:val="00702ECE"/>
    <w:rsid w:val="00702F13"/>
    <w:rsid w:val="00702FB6"/>
    <w:rsid w:val="00703075"/>
    <w:rsid w:val="0070308A"/>
    <w:rsid w:val="00703117"/>
    <w:rsid w:val="00703189"/>
    <w:rsid w:val="00703356"/>
    <w:rsid w:val="007033C0"/>
    <w:rsid w:val="007033C6"/>
    <w:rsid w:val="00703444"/>
    <w:rsid w:val="0070349C"/>
    <w:rsid w:val="0070369D"/>
    <w:rsid w:val="007036B7"/>
    <w:rsid w:val="00703740"/>
    <w:rsid w:val="00703760"/>
    <w:rsid w:val="0070376B"/>
    <w:rsid w:val="007037BA"/>
    <w:rsid w:val="007037C4"/>
    <w:rsid w:val="0070399A"/>
    <w:rsid w:val="007039EE"/>
    <w:rsid w:val="00703A31"/>
    <w:rsid w:val="00703B14"/>
    <w:rsid w:val="00703B42"/>
    <w:rsid w:val="00703CEB"/>
    <w:rsid w:val="00703D34"/>
    <w:rsid w:val="00703D52"/>
    <w:rsid w:val="00703D64"/>
    <w:rsid w:val="00703DCB"/>
    <w:rsid w:val="00703EBF"/>
    <w:rsid w:val="00703F0B"/>
    <w:rsid w:val="00703F10"/>
    <w:rsid w:val="007042E4"/>
    <w:rsid w:val="00704388"/>
    <w:rsid w:val="007044B9"/>
    <w:rsid w:val="00704611"/>
    <w:rsid w:val="007046BD"/>
    <w:rsid w:val="007047D7"/>
    <w:rsid w:val="00704809"/>
    <w:rsid w:val="00704849"/>
    <w:rsid w:val="00704917"/>
    <w:rsid w:val="00704927"/>
    <w:rsid w:val="00704A32"/>
    <w:rsid w:val="00704BD7"/>
    <w:rsid w:val="00704C96"/>
    <w:rsid w:val="00704CA8"/>
    <w:rsid w:val="00704D03"/>
    <w:rsid w:val="00704F97"/>
    <w:rsid w:val="00705101"/>
    <w:rsid w:val="0070512E"/>
    <w:rsid w:val="00705148"/>
    <w:rsid w:val="0070528E"/>
    <w:rsid w:val="007052E5"/>
    <w:rsid w:val="0070541B"/>
    <w:rsid w:val="00705443"/>
    <w:rsid w:val="007054AA"/>
    <w:rsid w:val="007054CA"/>
    <w:rsid w:val="007054D6"/>
    <w:rsid w:val="00705562"/>
    <w:rsid w:val="007055D8"/>
    <w:rsid w:val="007056B9"/>
    <w:rsid w:val="007056D8"/>
    <w:rsid w:val="00705741"/>
    <w:rsid w:val="00705775"/>
    <w:rsid w:val="007057CF"/>
    <w:rsid w:val="007058C1"/>
    <w:rsid w:val="00705C5C"/>
    <w:rsid w:val="00705E09"/>
    <w:rsid w:val="00705E61"/>
    <w:rsid w:val="0070607D"/>
    <w:rsid w:val="007061A9"/>
    <w:rsid w:val="007061BA"/>
    <w:rsid w:val="007061FD"/>
    <w:rsid w:val="00706298"/>
    <w:rsid w:val="00706350"/>
    <w:rsid w:val="007063FD"/>
    <w:rsid w:val="0070642E"/>
    <w:rsid w:val="00706583"/>
    <w:rsid w:val="007065A9"/>
    <w:rsid w:val="007065F1"/>
    <w:rsid w:val="007066CF"/>
    <w:rsid w:val="00706808"/>
    <w:rsid w:val="00706825"/>
    <w:rsid w:val="00706867"/>
    <w:rsid w:val="007068A7"/>
    <w:rsid w:val="007068C7"/>
    <w:rsid w:val="00706939"/>
    <w:rsid w:val="00706A31"/>
    <w:rsid w:val="00706A52"/>
    <w:rsid w:val="00706BE9"/>
    <w:rsid w:val="00706E68"/>
    <w:rsid w:val="00706EC3"/>
    <w:rsid w:val="00706F43"/>
    <w:rsid w:val="00706F53"/>
    <w:rsid w:val="00706F7A"/>
    <w:rsid w:val="00707003"/>
    <w:rsid w:val="007070D4"/>
    <w:rsid w:val="00707221"/>
    <w:rsid w:val="00707235"/>
    <w:rsid w:val="007072DA"/>
    <w:rsid w:val="007072DE"/>
    <w:rsid w:val="007072F7"/>
    <w:rsid w:val="00707320"/>
    <w:rsid w:val="007073C3"/>
    <w:rsid w:val="007073E7"/>
    <w:rsid w:val="007074E1"/>
    <w:rsid w:val="007074E2"/>
    <w:rsid w:val="00707519"/>
    <w:rsid w:val="00707552"/>
    <w:rsid w:val="007075A1"/>
    <w:rsid w:val="0070773E"/>
    <w:rsid w:val="007077C5"/>
    <w:rsid w:val="00707944"/>
    <w:rsid w:val="00707A17"/>
    <w:rsid w:val="00707AB5"/>
    <w:rsid w:val="00707B2A"/>
    <w:rsid w:val="00707B46"/>
    <w:rsid w:val="00707BC7"/>
    <w:rsid w:val="00707C05"/>
    <w:rsid w:val="00707C4E"/>
    <w:rsid w:val="00707C83"/>
    <w:rsid w:val="00707F68"/>
    <w:rsid w:val="00707F93"/>
    <w:rsid w:val="00707FA2"/>
    <w:rsid w:val="007100C2"/>
    <w:rsid w:val="007101F2"/>
    <w:rsid w:val="00710291"/>
    <w:rsid w:val="00710397"/>
    <w:rsid w:val="007105F3"/>
    <w:rsid w:val="0071066C"/>
    <w:rsid w:val="0071084D"/>
    <w:rsid w:val="0071089E"/>
    <w:rsid w:val="007108D3"/>
    <w:rsid w:val="00710AEF"/>
    <w:rsid w:val="00710B35"/>
    <w:rsid w:val="00710B99"/>
    <w:rsid w:val="00710D5E"/>
    <w:rsid w:val="00710DB5"/>
    <w:rsid w:val="00710E25"/>
    <w:rsid w:val="00710EE9"/>
    <w:rsid w:val="00710EF6"/>
    <w:rsid w:val="00710F15"/>
    <w:rsid w:val="007110E0"/>
    <w:rsid w:val="0071111A"/>
    <w:rsid w:val="00711140"/>
    <w:rsid w:val="007111B6"/>
    <w:rsid w:val="00711318"/>
    <w:rsid w:val="00711331"/>
    <w:rsid w:val="00711411"/>
    <w:rsid w:val="007114BF"/>
    <w:rsid w:val="00711561"/>
    <w:rsid w:val="00711628"/>
    <w:rsid w:val="00711825"/>
    <w:rsid w:val="0071184D"/>
    <w:rsid w:val="00711909"/>
    <w:rsid w:val="00711939"/>
    <w:rsid w:val="007119D9"/>
    <w:rsid w:val="00711A15"/>
    <w:rsid w:val="00711A8C"/>
    <w:rsid w:val="00711CA0"/>
    <w:rsid w:val="00711D12"/>
    <w:rsid w:val="00711D26"/>
    <w:rsid w:val="00711E6C"/>
    <w:rsid w:val="00711E7C"/>
    <w:rsid w:val="00711E80"/>
    <w:rsid w:val="00712008"/>
    <w:rsid w:val="0071209E"/>
    <w:rsid w:val="00712260"/>
    <w:rsid w:val="007122AD"/>
    <w:rsid w:val="0071234A"/>
    <w:rsid w:val="00712480"/>
    <w:rsid w:val="007124B3"/>
    <w:rsid w:val="007124DC"/>
    <w:rsid w:val="007125F2"/>
    <w:rsid w:val="007126BF"/>
    <w:rsid w:val="007126F8"/>
    <w:rsid w:val="0071275B"/>
    <w:rsid w:val="007128C1"/>
    <w:rsid w:val="00712939"/>
    <w:rsid w:val="007129BD"/>
    <w:rsid w:val="00712A11"/>
    <w:rsid w:val="00712A25"/>
    <w:rsid w:val="00712A8E"/>
    <w:rsid w:val="00712A99"/>
    <w:rsid w:val="00712B7D"/>
    <w:rsid w:val="00712CDE"/>
    <w:rsid w:val="00712D03"/>
    <w:rsid w:val="00712DCA"/>
    <w:rsid w:val="00712DE6"/>
    <w:rsid w:val="00712EBC"/>
    <w:rsid w:val="00712F57"/>
    <w:rsid w:val="00712FA4"/>
    <w:rsid w:val="00713095"/>
    <w:rsid w:val="0071309F"/>
    <w:rsid w:val="007130E2"/>
    <w:rsid w:val="007130F4"/>
    <w:rsid w:val="0071319C"/>
    <w:rsid w:val="007131D5"/>
    <w:rsid w:val="00713283"/>
    <w:rsid w:val="0071330C"/>
    <w:rsid w:val="007134B0"/>
    <w:rsid w:val="007135B6"/>
    <w:rsid w:val="007137FD"/>
    <w:rsid w:val="007138E0"/>
    <w:rsid w:val="0071396D"/>
    <w:rsid w:val="0071398D"/>
    <w:rsid w:val="00713BC4"/>
    <w:rsid w:val="00713D62"/>
    <w:rsid w:val="00713DFE"/>
    <w:rsid w:val="00713E3E"/>
    <w:rsid w:val="00713EDB"/>
    <w:rsid w:val="00713F35"/>
    <w:rsid w:val="00713F3C"/>
    <w:rsid w:val="00713F8A"/>
    <w:rsid w:val="00714247"/>
    <w:rsid w:val="00714376"/>
    <w:rsid w:val="007143D1"/>
    <w:rsid w:val="0071442A"/>
    <w:rsid w:val="007144A6"/>
    <w:rsid w:val="007144DE"/>
    <w:rsid w:val="00714581"/>
    <w:rsid w:val="00714605"/>
    <w:rsid w:val="00714642"/>
    <w:rsid w:val="00714774"/>
    <w:rsid w:val="007147F1"/>
    <w:rsid w:val="007147FD"/>
    <w:rsid w:val="0071482E"/>
    <w:rsid w:val="00714921"/>
    <w:rsid w:val="00714AB4"/>
    <w:rsid w:val="00714B43"/>
    <w:rsid w:val="00714BAE"/>
    <w:rsid w:val="00714DAE"/>
    <w:rsid w:val="00714DE6"/>
    <w:rsid w:val="00714E90"/>
    <w:rsid w:val="00715040"/>
    <w:rsid w:val="0071509B"/>
    <w:rsid w:val="007150C9"/>
    <w:rsid w:val="00715102"/>
    <w:rsid w:val="00715291"/>
    <w:rsid w:val="00715294"/>
    <w:rsid w:val="007153D2"/>
    <w:rsid w:val="007154BC"/>
    <w:rsid w:val="0071555D"/>
    <w:rsid w:val="007155EE"/>
    <w:rsid w:val="007156A1"/>
    <w:rsid w:val="007156AC"/>
    <w:rsid w:val="00715718"/>
    <w:rsid w:val="00715758"/>
    <w:rsid w:val="00715789"/>
    <w:rsid w:val="007157D1"/>
    <w:rsid w:val="0071595B"/>
    <w:rsid w:val="00715969"/>
    <w:rsid w:val="0071599F"/>
    <w:rsid w:val="007159D7"/>
    <w:rsid w:val="00715A8A"/>
    <w:rsid w:val="00715C6B"/>
    <w:rsid w:val="00715D18"/>
    <w:rsid w:val="00715D2B"/>
    <w:rsid w:val="00715DEC"/>
    <w:rsid w:val="00715E00"/>
    <w:rsid w:val="00715ED4"/>
    <w:rsid w:val="00716004"/>
    <w:rsid w:val="0071608E"/>
    <w:rsid w:val="00716154"/>
    <w:rsid w:val="00716158"/>
    <w:rsid w:val="007162E7"/>
    <w:rsid w:val="00716372"/>
    <w:rsid w:val="007163E2"/>
    <w:rsid w:val="00716476"/>
    <w:rsid w:val="007164B9"/>
    <w:rsid w:val="007164E8"/>
    <w:rsid w:val="00716511"/>
    <w:rsid w:val="007165CB"/>
    <w:rsid w:val="00716687"/>
    <w:rsid w:val="0071669D"/>
    <w:rsid w:val="007167C9"/>
    <w:rsid w:val="007168E1"/>
    <w:rsid w:val="0071698F"/>
    <w:rsid w:val="007169DA"/>
    <w:rsid w:val="00716A99"/>
    <w:rsid w:val="00716AD5"/>
    <w:rsid w:val="00716AE9"/>
    <w:rsid w:val="00716BA4"/>
    <w:rsid w:val="00716BAC"/>
    <w:rsid w:val="00716D7A"/>
    <w:rsid w:val="00716DF5"/>
    <w:rsid w:val="00716DFD"/>
    <w:rsid w:val="00716E6B"/>
    <w:rsid w:val="00716EBF"/>
    <w:rsid w:val="00716F77"/>
    <w:rsid w:val="00717010"/>
    <w:rsid w:val="00717095"/>
    <w:rsid w:val="007170BC"/>
    <w:rsid w:val="007172D6"/>
    <w:rsid w:val="007173C4"/>
    <w:rsid w:val="00717584"/>
    <w:rsid w:val="007175C2"/>
    <w:rsid w:val="007176B4"/>
    <w:rsid w:val="0071779E"/>
    <w:rsid w:val="0071787D"/>
    <w:rsid w:val="0071792B"/>
    <w:rsid w:val="00717A94"/>
    <w:rsid w:val="00717BD2"/>
    <w:rsid w:val="00717C8A"/>
    <w:rsid w:val="00717D62"/>
    <w:rsid w:val="00717DF3"/>
    <w:rsid w:val="00717E1E"/>
    <w:rsid w:val="00717E7A"/>
    <w:rsid w:val="00717F2F"/>
    <w:rsid w:val="00717F36"/>
    <w:rsid w:val="00717F5E"/>
    <w:rsid w:val="00717FA8"/>
    <w:rsid w:val="007200A5"/>
    <w:rsid w:val="00720171"/>
    <w:rsid w:val="007201C4"/>
    <w:rsid w:val="007201E2"/>
    <w:rsid w:val="0072022C"/>
    <w:rsid w:val="00720319"/>
    <w:rsid w:val="0072035C"/>
    <w:rsid w:val="007203EC"/>
    <w:rsid w:val="00720548"/>
    <w:rsid w:val="00720671"/>
    <w:rsid w:val="007207BE"/>
    <w:rsid w:val="0072094B"/>
    <w:rsid w:val="0072096B"/>
    <w:rsid w:val="00720A5D"/>
    <w:rsid w:val="00720B7D"/>
    <w:rsid w:val="00720BA4"/>
    <w:rsid w:val="00720D17"/>
    <w:rsid w:val="00720DE1"/>
    <w:rsid w:val="00720E72"/>
    <w:rsid w:val="00720EC6"/>
    <w:rsid w:val="00720F0F"/>
    <w:rsid w:val="00720F3E"/>
    <w:rsid w:val="00720F73"/>
    <w:rsid w:val="00720FF0"/>
    <w:rsid w:val="00721019"/>
    <w:rsid w:val="007210B6"/>
    <w:rsid w:val="00721147"/>
    <w:rsid w:val="0072147E"/>
    <w:rsid w:val="00721489"/>
    <w:rsid w:val="00721554"/>
    <w:rsid w:val="0072156B"/>
    <w:rsid w:val="007215D0"/>
    <w:rsid w:val="007216CB"/>
    <w:rsid w:val="007217AC"/>
    <w:rsid w:val="007218DC"/>
    <w:rsid w:val="007219A1"/>
    <w:rsid w:val="00721A45"/>
    <w:rsid w:val="00721B09"/>
    <w:rsid w:val="00721D06"/>
    <w:rsid w:val="00721E1B"/>
    <w:rsid w:val="00721E44"/>
    <w:rsid w:val="00721E6E"/>
    <w:rsid w:val="00721ED0"/>
    <w:rsid w:val="00721EE7"/>
    <w:rsid w:val="00721F13"/>
    <w:rsid w:val="00721F3E"/>
    <w:rsid w:val="00722031"/>
    <w:rsid w:val="007220AC"/>
    <w:rsid w:val="00722187"/>
    <w:rsid w:val="007221B5"/>
    <w:rsid w:val="00722289"/>
    <w:rsid w:val="007222E2"/>
    <w:rsid w:val="007222F8"/>
    <w:rsid w:val="0072233E"/>
    <w:rsid w:val="007225E9"/>
    <w:rsid w:val="0072268C"/>
    <w:rsid w:val="00722704"/>
    <w:rsid w:val="0072270E"/>
    <w:rsid w:val="00722843"/>
    <w:rsid w:val="007228A0"/>
    <w:rsid w:val="00722A6E"/>
    <w:rsid w:val="00722AFF"/>
    <w:rsid w:val="00722B46"/>
    <w:rsid w:val="00722BE6"/>
    <w:rsid w:val="00722C00"/>
    <w:rsid w:val="00722DB3"/>
    <w:rsid w:val="00722DE1"/>
    <w:rsid w:val="00722ED7"/>
    <w:rsid w:val="00722F1E"/>
    <w:rsid w:val="00722F68"/>
    <w:rsid w:val="00722FB7"/>
    <w:rsid w:val="00723028"/>
    <w:rsid w:val="00723073"/>
    <w:rsid w:val="007230AA"/>
    <w:rsid w:val="007232BB"/>
    <w:rsid w:val="007233DE"/>
    <w:rsid w:val="007235B8"/>
    <w:rsid w:val="007235F1"/>
    <w:rsid w:val="0072376B"/>
    <w:rsid w:val="00723802"/>
    <w:rsid w:val="00723828"/>
    <w:rsid w:val="007238FC"/>
    <w:rsid w:val="00723A0E"/>
    <w:rsid w:val="00723A62"/>
    <w:rsid w:val="00723AAB"/>
    <w:rsid w:val="00723C94"/>
    <w:rsid w:val="00723E57"/>
    <w:rsid w:val="00723EEA"/>
    <w:rsid w:val="00724005"/>
    <w:rsid w:val="00724186"/>
    <w:rsid w:val="0072420A"/>
    <w:rsid w:val="0072427D"/>
    <w:rsid w:val="007242E0"/>
    <w:rsid w:val="00724333"/>
    <w:rsid w:val="00724377"/>
    <w:rsid w:val="0072438F"/>
    <w:rsid w:val="007243AF"/>
    <w:rsid w:val="00724492"/>
    <w:rsid w:val="00724521"/>
    <w:rsid w:val="00724533"/>
    <w:rsid w:val="0072461F"/>
    <w:rsid w:val="0072465A"/>
    <w:rsid w:val="0072475E"/>
    <w:rsid w:val="007248E9"/>
    <w:rsid w:val="0072497F"/>
    <w:rsid w:val="00724A73"/>
    <w:rsid w:val="00724B5C"/>
    <w:rsid w:val="00724CED"/>
    <w:rsid w:val="00724D17"/>
    <w:rsid w:val="00724E12"/>
    <w:rsid w:val="00724EA1"/>
    <w:rsid w:val="00724EF4"/>
    <w:rsid w:val="00724F41"/>
    <w:rsid w:val="0072510F"/>
    <w:rsid w:val="0072515B"/>
    <w:rsid w:val="0072534C"/>
    <w:rsid w:val="00725470"/>
    <w:rsid w:val="00725636"/>
    <w:rsid w:val="00725640"/>
    <w:rsid w:val="00725651"/>
    <w:rsid w:val="007256BE"/>
    <w:rsid w:val="0072574C"/>
    <w:rsid w:val="00725839"/>
    <w:rsid w:val="0072583E"/>
    <w:rsid w:val="00725885"/>
    <w:rsid w:val="007258D7"/>
    <w:rsid w:val="007258EA"/>
    <w:rsid w:val="00725976"/>
    <w:rsid w:val="00725A09"/>
    <w:rsid w:val="00725A4A"/>
    <w:rsid w:val="00725AD7"/>
    <w:rsid w:val="00725B1B"/>
    <w:rsid w:val="00725B2D"/>
    <w:rsid w:val="00725C1D"/>
    <w:rsid w:val="00725CEC"/>
    <w:rsid w:val="00725E1A"/>
    <w:rsid w:val="00725E65"/>
    <w:rsid w:val="00725E89"/>
    <w:rsid w:val="00725EC3"/>
    <w:rsid w:val="00725F38"/>
    <w:rsid w:val="00725FDB"/>
    <w:rsid w:val="00726183"/>
    <w:rsid w:val="00726200"/>
    <w:rsid w:val="0072632C"/>
    <w:rsid w:val="007263A7"/>
    <w:rsid w:val="0072649F"/>
    <w:rsid w:val="0072657A"/>
    <w:rsid w:val="0072669C"/>
    <w:rsid w:val="0072679A"/>
    <w:rsid w:val="00726849"/>
    <w:rsid w:val="0072699F"/>
    <w:rsid w:val="00726A6D"/>
    <w:rsid w:val="00726B28"/>
    <w:rsid w:val="00726BA4"/>
    <w:rsid w:val="00726C62"/>
    <w:rsid w:val="00726C91"/>
    <w:rsid w:val="00726D25"/>
    <w:rsid w:val="00726D7D"/>
    <w:rsid w:val="00726DB9"/>
    <w:rsid w:val="00726E18"/>
    <w:rsid w:val="00726E3C"/>
    <w:rsid w:val="00726E5D"/>
    <w:rsid w:val="00726F41"/>
    <w:rsid w:val="00727011"/>
    <w:rsid w:val="007272DE"/>
    <w:rsid w:val="007272E8"/>
    <w:rsid w:val="0072730D"/>
    <w:rsid w:val="007273BF"/>
    <w:rsid w:val="00727415"/>
    <w:rsid w:val="00727425"/>
    <w:rsid w:val="00727487"/>
    <w:rsid w:val="00727489"/>
    <w:rsid w:val="0072750E"/>
    <w:rsid w:val="007275BF"/>
    <w:rsid w:val="007276C2"/>
    <w:rsid w:val="00727A7A"/>
    <w:rsid w:val="00727A80"/>
    <w:rsid w:val="00727A9D"/>
    <w:rsid w:val="00727B9A"/>
    <w:rsid w:val="00727BBB"/>
    <w:rsid w:val="00727BC3"/>
    <w:rsid w:val="00727C54"/>
    <w:rsid w:val="00727CFF"/>
    <w:rsid w:val="00727D77"/>
    <w:rsid w:val="00727DDD"/>
    <w:rsid w:val="00727F6B"/>
    <w:rsid w:val="00727F7A"/>
    <w:rsid w:val="00727FA7"/>
    <w:rsid w:val="00730007"/>
    <w:rsid w:val="0073004A"/>
    <w:rsid w:val="00730068"/>
    <w:rsid w:val="007300C7"/>
    <w:rsid w:val="0073013A"/>
    <w:rsid w:val="007301B4"/>
    <w:rsid w:val="0073022C"/>
    <w:rsid w:val="00730482"/>
    <w:rsid w:val="007304F7"/>
    <w:rsid w:val="007305E8"/>
    <w:rsid w:val="00730671"/>
    <w:rsid w:val="00730722"/>
    <w:rsid w:val="00730793"/>
    <w:rsid w:val="007307C3"/>
    <w:rsid w:val="0073096D"/>
    <w:rsid w:val="007309F0"/>
    <w:rsid w:val="00730A8B"/>
    <w:rsid w:val="00730ABC"/>
    <w:rsid w:val="00730C14"/>
    <w:rsid w:val="00730E22"/>
    <w:rsid w:val="00730E98"/>
    <w:rsid w:val="00730F4B"/>
    <w:rsid w:val="0073109E"/>
    <w:rsid w:val="0073117F"/>
    <w:rsid w:val="007311EB"/>
    <w:rsid w:val="00731206"/>
    <w:rsid w:val="00731358"/>
    <w:rsid w:val="00731422"/>
    <w:rsid w:val="007315AB"/>
    <w:rsid w:val="0073177F"/>
    <w:rsid w:val="007317C8"/>
    <w:rsid w:val="007317EB"/>
    <w:rsid w:val="00731928"/>
    <w:rsid w:val="0073195E"/>
    <w:rsid w:val="007319BC"/>
    <w:rsid w:val="00731A9A"/>
    <w:rsid w:val="00731BA6"/>
    <w:rsid w:val="00731D89"/>
    <w:rsid w:val="00731E00"/>
    <w:rsid w:val="00731F0E"/>
    <w:rsid w:val="00731F7E"/>
    <w:rsid w:val="0073219C"/>
    <w:rsid w:val="007321CF"/>
    <w:rsid w:val="00732264"/>
    <w:rsid w:val="007322CB"/>
    <w:rsid w:val="0073237E"/>
    <w:rsid w:val="0073248B"/>
    <w:rsid w:val="00732502"/>
    <w:rsid w:val="0073252F"/>
    <w:rsid w:val="0073261A"/>
    <w:rsid w:val="0073266D"/>
    <w:rsid w:val="007327CB"/>
    <w:rsid w:val="00732882"/>
    <w:rsid w:val="007328A3"/>
    <w:rsid w:val="0073292E"/>
    <w:rsid w:val="00732A01"/>
    <w:rsid w:val="00732A59"/>
    <w:rsid w:val="00732A7E"/>
    <w:rsid w:val="00732B36"/>
    <w:rsid w:val="00732B47"/>
    <w:rsid w:val="00732B9F"/>
    <w:rsid w:val="00732E42"/>
    <w:rsid w:val="00732E6C"/>
    <w:rsid w:val="00732EFB"/>
    <w:rsid w:val="00732F9D"/>
    <w:rsid w:val="00733047"/>
    <w:rsid w:val="00733131"/>
    <w:rsid w:val="0073327F"/>
    <w:rsid w:val="007332BA"/>
    <w:rsid w:val="007333E8"/>
    <w:rsid w:val="00733402"/>
    <w:rsid w:val="0073350D"/>
    <w:rsid w:val="0073358B"/>
    <w:rsid w:val="007336D0"/>
    <w:rsid w:val="00733738"/>
    <w:rsid w:val="0073373B"/>
    <w:rsid w:val="007337D2"/>
    <w:rsid w:val="007339CB"/>
    <w:rsid w:val="00733AA6"/>
    <w:rsid w:val="00733BE6"/>
    <w:rsid w:val="00733C6D"/>
    <w:rsid w:val="00733CEB"/>
    <w:rsid w:val="00733CF3"/>
    <w:rsid w:val="00733D90"/>
    <w:rsid w:val="00733E8A"/>
    <w:rsid w:val="00733ECF"/>
    <w:rsid w:val="00733FB5"/>
    <w:rsid w:val="00733FD6"/>
    <w:rsid w:val="00733FEE"/>
    <w:rsid w:val="00734007"/>
    <w:rsid w:val="007340A3"/>
    <w:rsid w:val="00734160"/>
    <w:rsid w:val="0073422D"/>
    <w:rsid w:val="007342D5"/>
    <w:rsid w:val="00734356"/>
    <w:rsid w:val="007343F1"/>
    <w:rsid w:val="007343F8"/>
    <w:rsid w:val="00734470"/>
    <w:rsid w:val="00734498"/>
    <w:rsid w:val="007344F4"/>
    <w:rsid w:val="007344FA"/>
    <w:rsid w:val="0073460A"/>
    <w:rsid w:val="00734683"/>
    <w:rsid w:val="00734684"/>
    <w:rsid w:val="00734736"/>
    <w:rsid w:val="00734791"/>
    <w:rsid w:val="007347CA"/>
    <w:rsid w:val="007348C8"/>
    <w:rsid w:val="00734940"/>
    <w:rsid w:val="00734954"/>
    <w:rsid w:val="00734979"/>
    <w:rsid w:val="00734980"/>
    <w:rsid w:val="007349C0"/>
    <w:rsid w:val="00734A14"/>
    <w:rsid w:val="00734A27"/>
    <w:rsid w:val="00734A36"/>
    <w:rsid w:val="00734A54"/>
    <w:rsid w:val="00734A7B"/>
    <w:rsid w:val="00734A93"/>
    <w:rsid w:val="00734C24"/>
    <w:rsid w:val="00734C74"/>
    <w:rsid w:val="00734CA3"/>
    <w:rsid w:val="00734D88"/>
    <w:rsid w:val="00734DBD"/>
    <w:rsid w:val="00734E18"/>
    <w:rsid w:val="00734ED0"/>
    <w:rsid w:val="00735138"/>
    <w:rsid w:val="00735193"/>
    <w:rsid w:val="007351C4"/>
    <w:rsid w:val="0073521B"/>
    <w:rsid w:val="007352D3"/>
    <w:rsid w:val="007353A4"/>
    <w:rsid w:val="00735413"/>
    <w:rsid w:val="007354FB"/>
    <w:rsid w:val="007355F3"/>
    <w:rsid w:val="007356FB"/>
    <w:rsid w:val="00735816"/>
    <w:rsid w:val="0073586F"/>
    <w:rsid w:val="00735BF9"/>
    <w:rsid w:val="00735C1C"/>
    <w:rsid w:val="00735C8C"/>
    <w:rsid w:val="00735D72"/>
    <w:rsid w:val="00735DC9"/>
    <w:rsid w:val="00735DD5"/>
    <w:rsid w:val="00735E13"/>
    <w:rsid w:val="00735FAF"/>
    <w:rsid w:val="00736000"/>
    <w:rsid w:val="00736029"/>
    <w:rsid w:val="007360B5"/>
    <w:rsid w:val="0073618A"/>
    <w:rsid w:val="007361AB"/>
    <w:rsid w:val="007361B8"/>
    <w:rsid w:val="00736248"/>
    <w:rsid w:val="00736253"/>
    <w:rsid w:val="007362D3"/>
    <w:rsid w:val="00736318"/>
    <w:rsid w:val="007363BC"/>
    <w:rsid w:val="007364C3"/>
    <w:rsid w:val="00736705"/>
    <w:rsid w:val="007367D2"/>
    <w:rsid w:val="00736893"/>
    <w:rsid w:val="007369B5"/>
    <w:rsid w:val="007369BB"/>
    <w:rsid w:val="00736A24"/>
    <w:rsid w:val="00736A47"/>
    <w:rsid w:val="00736A52"/>
    <w:rsid w:val="00736A7D"/>
    <w:rsid w:val="00736A9D"/>
    <w:rsid w:val="00736ADF"/>
    <w:rsid w:val="00736B61"/>
    <w:rsid w:val="00736B97"/>
    <w:rsid w:val="00736C3D"/>
    <w:rsid w:val="00736D78"/>
    <w:rsid w:val="00736E07"/>
    <w:rsid w:val="00736E2E"/>
    <w:rsid w:val="00736E3C"/>
    <w:rsid w:val="00736E4D"/>
    <w:rsid w:val="00736E70"/>
    <w:rsid w:val="00736E9A"/>
    <w:rsid w:val="00736EB3"/>
    <w:rsid w:val="00736EEA"/>
    <w:rsid w:val="00736F00"/>
    <w:rsid w:val="007370A8"/>
    <w:rsid w:val="007370AE"/>
    <w:rsid w:val="007370BB"/>
    <w:rsid w:val="007370BC"/>
    <w:rsid w:val="007370BF"/>
    <w:rsid w:val="007370E1"/>
    <w:rsid w:val="007371F9"/>
    <w:rsid w:val="00737207"/>
    <w:rsid w:val="00737402"/>
    <w:rsid w:val="00737403"/>
    <w:rsid w:val="00737474"/>
    <w:rsid w:val="007377A1"/>
    <w:rsid w:val="007378AD"/>
    <w:rsid w:val="007378B1"/>
    <w:rsid w:val="007378F2"/>
    <w:rsid w:val="0073793C"/>
    <w:rsid w:val="00737A6E"/>
    <w:rsid w:val="00737ACB"/>
    <w:rsid w:val="00737B8E"/>
    <w:rsid w:val="00737C18"/>
    <w:rsid w:val="00737C71"/>
    <w:rsid w:val="00737CD2"/>
    <w:rsid w:val="00737D6C"/>
    <w:rsid w:val="00737DAF"/>
    <w:rsid w:val="00737DC1"/>
    <w:rsid w:val="00737DD3"/>
    <w:rsid w:val="00737E1E"/>
    <w:rsid w:val="00737E35"/>
    <w:rsid w:val="00737E7F"/>
    <w:rsid w:val="00737F26"/>
    <w:rsid w:val="0074006D"/>
    <w:rsid w:val="007400AD"/>
    <w:rsid w:val="00740127"/>
    <w:rsid w:val="0074016D"/>
    <w:rsid w:val="00740197"/>
    <w:rsid w:val="0074019A"/>
    <w:rsid w:val="00740392"/>
    <w:rsid w:val="0074041B"/>
    <w:rsid w:val="007405A6"/>
    <w:rsid w:val="00740649"/>
    <w:rsid w:val="00740690"/>
    <w:rsid w:val="0074074F"/>
    <w:rsid w:val="00740770"/>
    <w:rsid w:val="0074083D"/>
    <w:rsid w:val="00740946"/>
    <w:rsid w:val="0074097C"/>
    <w:rsid w:val="00740A33"/>
    <w:rsid w:val="00740A4A"/>
    <w:rsid w:val="00740A69"/>
    <w:rsid w:val="00740A77"/>
    <w:rsid w:val="00740B1A"/>
    <w:rsid w:val="00740BDA"/>
    <w:rsid w:val="00740C34"/>
    <w:rsid w:val="00740C75"/>
    <w:rsid w:val="00740D06"/>
    <w:rsid w:val="00740EC0"/>
    <w:rsid w:val="00740F83"/>
    <w:rsid w:val="00740FCF"/>
    <w:rsid w:val="007410F9"/>
    <w:rsid w:val="00741167"/>
    <w:rsid w:val="00741188"/>
    <w:rsid w:val="0074127A"/>
    <w:rsid w:val="007412C9"/>
    <w:rsid w:val="007413A5"/>
    <w:rsid w:val="007413D6"/>
    <w:rsid w:val="007413F8"/>
    <w:rsid w:val="00741459"/>
    <w:rsid w:val="0074150C"/>
    <w:rsid w:val="0074168E"/>
    <w:rsid w:val="007416C1"/>
    <w:rsid w:val="007416E3"/>
    <w:rsid w:val="00741777"/>
    <w:rsid w:val="00741AF1"/>
    <w:rsid w:val="00741B24"/>
    <w:rsid w:val="00741B6E"/>
    <w:rsid w:val="00741C06"/>
    <w:rsid w:val="00741D20"/>
    <w:rsid w:val="00741E27"/>
    <w:rsid w:val="0074207F"/>
    <w:rsid w:val="007421D4"/>
    <w:rsid w:val="00742255"/>
    <w:rsid w:val="00742279"/>
    <w:rsid w:val="007422AA"/>
    <w:rsid w:val="0074231E"/>
    <w:rsid w:val="0074232C"/>
    <w:rsid w:val="00742460"/>
    <w:rsid w:val="00742597"/>
    <w:rsid w:val="0074262A"/>
    <w:rsid w:val="0074265B"/>
    <w:rsid w:val="007426B1"/>
    <w:rsid w:val="007426B2"/>
    <w:rsid w:val="00742857"/>
    <w:rsid w:val="007429E3"/>
    <w:rsid w:val="00742A88"/>
    <w:rsid w:val="00742B65"/>
    <w:rsid w:val="00742BBF"/>
    <w:rsid w:val="00742BDA"/>
    <w:rsid w:val="00742C72"/>
    <w:rsid w:val="00742CF9"/>
    <w:rsid w:val="00742F84"/>
    <w:rsid w:val="007430F1"/>
    <w:rsid w:val="007431A8"/>
    <w:rsid w:val="00743274"/>
    <w:rsid w:val="007432CF"/>
    <w:rsid w:val="00743372"/>
    <w:rsid w:val="0074339F"/>
    <w:rsid w:val="00743402"/>
    <w:rsid w:val="0074342A"/>
    <w:rsid w:val="007434B7"/>
    <w:rsid w:val="007434BD"/>
    <w:rsid w:val="007436B2"/>
    <w:rsid w:val="0074372A"/>
    <w:rsid w:val="007437EE"/>
    <w:rsid w:val="0074381F"/>
    <w:rsid w:val="00743A13"/>
    <w:rsid w:val="00743A9E"/>
    <w:rsid w:val="00743AE2"/>
    <w:rsid w:val="00743C70"/>
    <w:rsid w:val="00743D40"/>
    <w:rsid w:val="00743DB1"/>
    <w:rsid w:val="00743DEF"/>
    <w:rsid w:val="00743E57"/>
    <w:rsid w:val="00743E65"/>
    <w:rsid w:val="00743E9D"/>
    <w:rsid w:val="00743EAC"/>
    <w:rsid w:val="00743F62"/>
    <w:rsid w:val="00743FAB"/>
    <w:rsid w:val="00744018"/>
    <w:rsid w:val="00744033"/>
    <w:rsid w:val="00744047"/>
    <w:rsid w:val="007440B4"/>
    <w:rsid w:val="00744146"/>
    <w:rsid w:val="007441C7"/>
    <w:rsid w:val="00744230"/>
    <w:rsid w:val="00744240"/>
    <w:rsid w:val="0074431A"/>
    <w:rsid w:val="0074434A"/>
    <w:rsid w:val="00744420"/>
    <w:rsid w:val="0074453D"/>
    <w:rsid w:val="0074455C"/>
    <w:rsid w:val="00744576"/>
    <w:rsid w:val="00744590"/>
    <w:rsid w:val="00744591"/>
    <w:rsid w:val="0074463C"/>
    <w:rsid w:val="007446E2"/>
    <w:rsid w:val="007447AA"/>
    <w:rsid w:val="007447C1"/>
    <w:rsid w:val="007448D4"/>
    <w:rsid w:val="007448E1"/>
    <w:rsid w:val="007449BF"/>
    <w:rsid w:val="00744A70"/>
    <w:rsid w:val="00744D48"/>
    <w:rsid w:val="00744F95"/>
    <w:rsid w:val="00744FDB"/>
    <w:rsid w:val="0074514F"/>
    <w:rsid w:val="007451C9"/>
    <w:rsid w:val="007452E5"/>
    <w:rsid w:val="007453B0"/>
    <w:rsid w:val="007454FD"/>
    <w:rsid w:val="00745529"/>
    <w:rsid w:val="00745548"/>
    <w:rsid w:val="00745680"/>
    <w:rsid w:val="0074571C"/>
    <w:rsid w:val="00745787"/>
    <w:rsid w:val="00745794"/>
    <w:rsid w:val="00745A4C"/>
    <w:rsid w:val="00745AD1"/>
    <w:rsid w:val="00745C22"/>
    <w:rsid w:val="00745C24"/>
    <w:rsid w:val="00745C2C"/>
    <w:rsid w:val="00745C68"/>
    <w:rsid w:val="00745DB1"/>
    <w:rsid w:val="00746039"/>
    <w:rsid w:val="00746051"/>
    <w:rsid w:val="0074608A"/>
    <w:rsid w:val="007460E6"/>
    <w:rsid w:val="0074617F"/>
    <w:rsid w:val="007461A5"/>
    <w:rsid w:val="0074628E"/>
    <w:rsid w:val="007462F7"/>
    <w:rsid w:val="0074636A"/>
    <w:rsid w:val="0074646B"/>
    <w:rsid w:val="0074657F"/>
    <w:rsid w:val="00746587"/>
    <w:rsid w:val="0074658D"/>
    <w:rsid w:val="007467A2"/>
    <w:rsid w:val="0074687E"/>
    <w:rsid w:val="00746990"/>
    <w:rsid w:val="007469A9"/>
    <w:rsid w:val="007469D8"/>
    <w:rsid w:val="00746A4A"/>
    <w:rsid w:val="00746B53"/>
    <w:rsid w:val="00746BA3"/>
    <w:rsid w:val="00746C08"/>
    <w:rsid w:val="00746D85"/>
    <w:rsid w:val="00746DF6"/>
    <w:rsid w:val="00746E31"/>
    <w:rsid w:val="00746E39"/>
    <w:rsid w:val="00746EB7"/>
    <w:rsid w:val="00746F55"/>
    <w:rsid w:val="00746F9C"/>
    <w:rsid w:val="0074710F"/>
    <w:rsid w:val="00747267"/>
    <w:rsid w:val="00747290"/>
    <w:rsid w:val="007472EC"/>
    <w:rsid w:val="007473B9"/>
    <w:rsid w:val="0074740F"/>
    <w:rsid w:val="0074753D"/>
    <w:rsid w:val="00747603"/>
    <w:rsid w:val="00747645"/>
    <w:rsid w:val="00747669"/>
    <w:rsid w:val="00747697"/>
    <w:rsid w:val="007476E7"/>
    <w:rsid w:val="00747751"/>
    <w:rsid w:val="00747782"/>
    <w:rsid w:val="007477B3"/>
    <w:rsid w:val="00747870"/>
    <w:rsid w:val="00747996"/>
    <w:rsid w:val="00747A25"/>
    <w:rsid w:val="00747A6B"/>
    <w:rsid w:val="00747A8D"/>
    <w:rsid w:val="00747AA9"/>
    <w:rsid w:val="00747AFA"/>
    <w:rsid w:val="00747B4B"/>
    <w:rsid w:val="00747B5A"/>
    <w:rsid w:val="00747CBB"/>
    <w:rsid w:val="00747E00"/>
    <w:rsid w:val="00747E95"/>
    <w:rsid w:val="00747ED4"/>
    <w:rsid w:val="00747F4D"/>
    <w:rsid w:val="00747F9D"/>
    <w:rsid w:val="0075004F"/>
    <w:rsid w:val="00750050"/>
    <w:rsid w:val="0075008A"/>
    <w:rsid w:val="0075011C"/>
    <w:rsid w:val="007502FA"/>
    <w:rsid w:val="007503E9"/>
    <w:rsid w:val="007504F4"/>
    <w:rsid w:val="00750526"/>
    <w:rsid w:val="00750566"/>
    <w:rsid w:val="0075059F"/>
    <w:rsid w:val="007505A4"/>
    <w:rsid w:val="00750778"/>
    <w:rsid w:val="00750873"/>
    <w:rsid w:val="0075088C"/>
    <w:rsid w:val="00750991"/>
    <w:rsid w:val="00750B42"/>
    <w:rsid w:val="00750B8B"/>
    <w:rsid w:val="00750BC4"/>
    <w:rsid w:val="00750C47"/>
    <w:rsid w:val="00750C4D"/>
    <w:rsid w:val="00750CB3"/>
    <w:rsid w:val="00750D7F"/>
    <w:rsid w:val="00750E2F"/>
    <w:rsid w:val="00750EB1"/>
    <w:rsid w:val="00750FB1"/>
    <w:rsid w:val="007511FA"/>
    <w:rsid w:val="007512B8"/>
    <w:rsid w:val="007513A6"/>
    <w:rsid w:val="007513E5"/>
    <w:rsid w:val="00751499"/>
    <w:rsid w:val="00751578"/>
    <w:rsid w:val="007515A6"/>
    <w:rsid w:val="007515EE"/>
    <w:rsid w:val="00751629"/>
    <w:rsid w:val="00751639"/>
    <w:rsid w:val="007516D4"/>
    <w:rsid w:val="0075178D"/>
    <w:rsid w:val="00751887"/>
    <w:rsid w:val="0075190E"/>
    <w:rsid w:val="00751ABA"/>
    <w:rsid w:val="00751AF6"/>
    <w:rsid w:val="00751C77"/>
    <w:rsid w:val="00751E20"/>
    <w:rsid w:val="00751E36"/>
    <w:rsid w:val="00751E4B"/>
    <w:rsid w:val="00751E9A"/>
    <w:rsid w:val="00751E9C"/>
    <w:rsid w:val="00751EF6"/>
    <w:rsid w:val="00752182"/>
    <w:rsid w:val="0075218B"/>
    <w:rsid w:val="007521F1"/>
    <w:rsid w:val="00752237"/>
    <w:rsid w:val="00752289"/>
    <w:rsid w:val="007522EE"/>
    <w:rsid w:val="00752337"/>
    <w:rsid w:val="0075246B"/>
    <w:rsid w:val="007524CF"/>
    <w:rsid w:val="007524ED"/>
    <w:rsid w:val="00752661"/>
    <w:rsid w:val="007527A8"/>
    <w:rsid w:val="007529AD"/>
    <w:rsid w:val="007529D1"/>
    <w:rsid w:val="007529EA"/>
    <w:rsid w:val="00752A1B"/>
    <w:rsid w:val="00752B5F"/>
    <w:rsid w:val="00752B82"/>
    <w:rsid w:val="00752CA7"/>
    <w:rsid w:val="00752D3B"/>
    <w:rsid w:val="00752D58"/>
    <w:rsid w:val="00752DEA"/>
    <w:rsid w:val="00752E51"/>
    <w:rsid w:val="00752E72"/>
    <w:rsid w:val="00752F5C"/>
    <w:rsid w:val="00753032"/>
    <w:rsid w:val="0075303A"/>
    <w:rsid w:val="00753057"/>
    <w:rsid w:val="00753109"/>
    <w:rsid w:val="007531EB"/>
    <w:rsid w:val="00753257"/>
    <w:rsid w:val="00753318"/>
    <w:rsid w:val="00753342"/>
    <w:rsid w:val="007533E8"/>
    <w:rsid w:val="007533EA"/>
    <w:rsid w:val="007533F7"/>
    <w:rsid w:val="0075345A"/>
    <w:rsid w:val="00753517"/>
    <w:rsid w:val="00753677"/>
    <w:rsid w:val="0075367C"/>
    <w:rsid w:val="007537C0"/>
    <w:rsid w:val="007538CE"/>
    <w:rsid w:val="00753936"/>
    <w:rsid w:val="007539AF"/>
    <w:rsid w:val="00753BBF"/>
    <w:rsid w:val="00753C6B"/>
    <w:rsid w:val="00753CA4"/>
    <w:rsid w:val="00753CC8"/>
    <w:rsid w:val="00753D5E"/>
    <w:rsid w:val="00753DC4"/>
    <w:rsid w:val="00753E1A"/>
    <w:rsid w:val="00753EFF"/>
    <w:rsid w:val="00753F44"/>
    <w:rsid w:val="00753FCC"/>
    <w:rsid w:val="007540E8"/>
    <w:rsid w:val="00754111"/>
    <w:rsid w:val="007542CA"/>
    <w:rsid w:val="007542DB"/>
    <w:rsid w:val="0075435E"/>
    <w:rsid w:val="00754364"/>
    <w:rsid w:val="00754490"/>
    <w:rsid w:val="00754534"/>
    <w:rsid w:val="0075453F"/>
    <w:rsid w:val="00754586"/>
    <w:rsid w:val="007545B7"/>
    <w:rsid w:val="007546BD"/>
    <w:rsid w:val="007547D5"/>
    <w:rsid w:val="00754893"/>
    <w:rsid w:val="007548FF"/>
    <w:rsid w:val="00754996"/>
    <w:rsid w:val="007549DE"/>
    <w:rsid w:val="00754AAD"/>
    <w:rsid w:val="00754AC5"/>
    <w:rsid w:val="00754BA9"/>
    <w:rsid w:val="00754BBD"/>
    <w:rsid w:val="00754BF6"/>
    <w:rsid w:val="00754F74"/>
    <w:rsid w:val="00754FC4"/>
    <w:rsid w:val="00754FEA"/>
    <w:rsid w:val="00754FEC"/>
    <w:rsid w:val="0075506E"/>
    <w:rsid w:val="00755122"/>
    <w:rsid w:val="00755173"/>
    <w:rsid w:val="00755296"/>
    <w:rsid w:val="00755327"/>
    <w:rsid w:val="007554F2"/>
    <w:rsid w:val="007555BE"/>
    <w:rsid w:val="0075581C"/>
    <w:rsid w:val="007559D1"/>
    <w:rsid w:val="00755A81"/>
    <w:rsid w:val="00755DD5"/>
    <w:rsid w:val="00755E27"/>
    <w:rsid w:val="00755E6F"/>
    <w:rsid w:val="00755F96"/>
    <w:rsid w:val="00756096"/>
    <w:rsid w:val="007562AA"/>
    <w:rsid w:val="007562B4"/>
    <w:rsid w:val="007563B0"/>
    <w:rsid w:val="007564CA"/>
    <w:rsid w:val="00756507"/>
    <w:rsid w:val="00756559"/>
    <w:rsid w:val="00756684"/>
    <w:rsid w:val="007566DF"/>
    <w:rsid w:val="007567A4"/>
    <w:rsid w:val="007567D3"/>
    <w:rsid w:val="007568D7"/>
    <w:rsid w:val="007568F0"/>
    <w:rsid w:val="00756996"/>
    <w:rsid w:val="00756A41"/>
    <w:rsid w:val="00756AA6"/>
    <w:rsid w:val="00756B13"/>
    <w:rsid w:val="00756D55"/>
    <w:rsid w:val="00756E67"/>
    <w:rsid w:val="00756F03"/>
    <w:rsid w:val="007571E8"/>
    <w:rsid w:val="00757238"/>
    <w:rsid w:val="00757319"/>
    <w:rsid w:val="007574A0"/>
    <w:rsid w:val="0075753F"/>
    <w:rsid w:val="0075781D"/>
    <w:rsid w:val="0075784D"/>
    <w:rsid w:val="0075796C"/>
    <w:rsid w:val="00757A76"/>
    <w:rsid w:val="00757AE0"/>
    <w:rsid w:val="00757B20"/>
    <w:rsid w:val="00757B8D"/>
    <w:rsid w:val="00757BF4"/>
    <w:rsid w:val="00757C68"/>
    <w:rsid w:val="00757CE2"/>
    <w:rsid w:val="00757DF7"/>
    <w:rsid w:val="00757E2B"/>
    <w:rsid w:val="00757E46"/>
    <w:rsid w:val="00757E57"/>
    <w:rsid w:val="00757FF7"/>
    <w:rsid w:val="00760044"/>
    <w:rsid w:val="0076007F"/>
    <w:rsid w:val="0076015D"/>
    <w:rsid w:val="00760178"/>
    <w:rsid w:val="00760283"/>
    <w:rsid w:val="0076031D"/>
    <w:rsid w:val="007604E9"/>
    <w:rsid w:val="0076051A"/>
    <w:rsid w:val="00760529"/>
    <w:rsid w:val="00760559"/>
    <w:rsid w:val="007605F5"/>
    <w:rsid w:val="007606C5"/>
    <w:rsid w:val="007606FE"/>
    <w:rsid w:val="00760773"/>
    <w:rsid w:val="007607C9"/>
    <w:rsid w:val="00760878"/>
    <w:rsid w:val="007608EA"/>
    <w:rsid w:val="0076090F"/>
    <w:rsid w:val="00760AC8"/>
    <w:rsid w:val="00760C99"/>
    <w:rsid w:val="00760D05"/>
    <w:rsid w:val="00760D17"/>
    <w:rsid w:val="00760D48"/>
    <w:rsid w:val="00760E44"/>
    <w:rsid w:val="00760EE2"/>
    <w:rsid w:val="00760F1F"/>
    <w:rsid w:val="00760F7D"/>
    <w:rsid w:val="0076109D"/>
    <w:rsid w:val="00761138"/>
    <w:rsid w:val="0076121D"/>
    <w:rsid w:val="00761245"/>
    <w:rsid w:val="00761285"/>
    <w:rsid w:val="00761299"/>
    <w:rsid w:val="007612B5"/>
    <w:rsid w:val="007612EF"/>
    <w:rsid w:val="0076136F"/>
    <w:rsid w:val="00761405"/>
    <w:rsid w:val="007614C5"/>
    <w:rsid w:val="007614F9"/>
    <w:rsid w:val="00761555"/>
    <w:rsid w:val="00761559"/>
    <w:rsid w:val="00761570"/>
    <w:rsid w:val="00761691"/>
    <w:rsid w:val="007616BC"/>
    <w:rsid w:val="00761788"/>
    <w:rsid w:val="00761969"/>
    <w:rsid w:val="007619AF"/>
    <w:rsid w:val="00761A76"/>
    <w:rsid w:val="00761A86"/>
    <w:rsid w:val="00761BA6"/>
    <w:rsid w:val="00761BBA"/>
    <w:rsid w:val="00761BBC"/>
    <w:rsid w:val="00761C29"/>
    <w:rsid w:val="00761C82"/>
    <w:rsid w:val="00761DE4"/>
    <w:rsid w:val="00761EDE"/>
    <w:rsid w:val="0076206B"/>
    <w:rsid w:val="007620EB"/>
    <w:rsid w:val="00762148"/>
    <w:rsid w:val="0076223B"/>
    <w:rsid w:val="00762253"/>
    <w:rsid w:val="007622D7"/>
    <w:rsid w:val="00762308"/>
    <w:rsid w:val="00762323"/>
    <w:rsid w:val="0076241E"/>
    <w:rsid w:val="00762575"/>
    <w:rsid w:val="0076277C"/>
    <w:rsid w:val="0076279B"/>
    <w:rsid w:val="007627A6"/>
    <w:rsid w:val="007627EF"/>
    <w:rsid w:val="007627FF"/>
    <w:rsid w:val="0076282F"/>
    <w:rsid w:val="00762985"/>
    <w:rsid w:val="00762A81"/>
    <w:rsid w:val="00762AA1"/>
    <w:rsid w:val="00762B66"/>
    <w:rsid w:val="00762C6D"/>
    <w:rsid w:val="00762C8F"/>
    <w:rsid w:val="00762CE8"/>
    <w:rsid w:val="00762D97"/>
    <w:rsid w:val="00762E5E"/>
    <w:rsid w:val="00762EC4"/>
    <w:rsid w:val="00763314"/>
    <w:rsid w:val="0076336D"/>
    <w:rsid w:val="007633ED"/>
    <w:rsid w:val="00763551"/>
    <w:rsid w:val="0076355B"/>
    <w:rsid w:val="0076369F"/>
    <w:rsid w:val="00763811"/>
    <w:rsid w:val="007638F1"/>
    <w:rsid w:val="007639F0"/>
    <w:rsid w:val="00763A45"/>
    <w:rsid w:val="00763B47"/>
    <w:rsid w:val="00763BA9"/>
    <w:rsid w:val="00763C25"/>
    <w:rsid w:val="00763C43"/>
    <w:rsid w:val="00763C5C"/>
    <w:rsid w:val="00763C84"/>
    <w:rsid w:val="00763D0B"/>
    <w:rsid w:val="00763DDE"/>
    <w:rsid w:val="00763F6C"/>
    <w:rsid w:val="007640DA"/>
    <w:rsid w:val="007642F2"/>
    <w:rsid w:val="0076435B"/>
    <w:rsid w:val="0076435E"/>
    <w:rsid w:val="0076436E"/>
    <w:rsid w:val="0076439C"/>
    <w:rsid w:val="007643CD"/>
    <w:rsid w:val="007644E7"/>
    <w:rsid w:val="0076451F"/>
    <w:rsid w:val="00764580"/>
    <w:rsid w:val="007646C2"/>
    <w:rsid w:val="00764759"/>
    <w:rsid w:val="00764781"/>
    <w:rsid w:val="007647A6"/>
    <w:rsid w:val="00764803"/>
    <w:rsid w:val="007648A0"/>
    <w:rsid w:val="007648E4"/>
    <w:rsid w:val="00764986"/>
    <w:rsid w:val="00764A01"/>
    <w:rsid w:val="00764B37"/>
    <w:rsid w:val="00764CFE"/>
    <w:rsid w:val="00764D04"/>
    <w:rsid w:val="00764DFB"/>
    <w:rsid w:val="00764E69"/>
    <w:rsid w:val="00764ECB"/>
    <w:rsid w:val="00764F1E"/>
    <w:rsid w:val="00764F33"/>
    <w:rsid w:val="00764F4A"/>
    <w:rsid w:val="00764F54"/>
    <w:rsid w:val="00764FF6"/>
    <w:rsid w:val="0076511F"/>
    <w:rsid w:val="00765142"/>
    <w:rsid w:val="0076516C"/>
    <w:rsid w:val="0076527B"/>
    <w:rsid w:val="0076533D"/>
    <w:rsid w:val="0076557A"/>
    <w:rsid w:val="007656DD"/>
    <w:rsid w:val="0076570D"/>
    <w:rsid w:val="0076576E"/>
    <w:rsid w:val="0076577F"/>
    <w:rsid w:val="00765806"/>
    <w:rsid w:val="007658A8"/>
    <w:rsid w:val="007658B0"/>
    <w:rsid w:val="00765903"/>
    <w:rsid w:val="00765988"/>
    <w:rsid w:val="0076598A"/>
    <w:rsid w:val="007659E5"/>
    <w:rsid w:val="00765BF1"/>
    <w:rsid w:val="00765CE0"/>
    <w:rsid w:val="00765D0E"/>
    <w:rsid w:val="00765DB2"/>
    <w:rsid w:val="00765DEB"/>
    <w:rsid w:val="00765DFB"/>
    <w:rsid w:val="00765E7A"/>
    <w:rsid w:val="00765EE2"/>
    <w:rsid w:val="00765F40"/>
    <w:rsid w:val="00765FB7"/>
    <w:rsid w:val="00765FF0"/>
    <w:rsid w:val="007660E6"/>
    <w:rsid w:val="00766450"/>
    <w:rsid w:val="00766553"/>
    <w:rsid w:val="0076656C"/>
    <w:rsid w:val="0076657A"/>
    <w:rsid w:val="007665B1"/>
    <w:rsid w:val="007665B7"/>
    <w:rsid w:val="007665E5"/>
    <w:rsid w:val="0076662D"/>
    <w:rsid w:val="00766752"/>
    <w:rsid w:val="0076681E"/>
    <w:rsid w:val="00766976"/>
    <w:rsid w:val="0076698A"/>
    <w:rsid w:val="00766B4D"/>
    <w:rsid w:val="00766B96"/>
    <w:rsid w:val="00766C28"/>
    <w:rsid w:val="00766C6A"/>
    <w:rsid w:val="00766DC6"/>
    <w:rsid w:val="00766FD0"/>
    <w:rsid w:val="007670B1"/>
    <w:rsid w:val="00767148"/>
    <w:rsid w:val="007672AA"/>
    <w:rsid w:val="00767316"/>
    <w:rsid w:val="0076734B"/>
    <w:rsid w:val="00767365"/>
    <w:rsid w:val="007673C3"/>
    <w:rsid w:val="0076741E"/>
    <w:rsid w:val="007675C0"/>
    <w:rsid w:val="00767699"/>
    <w:rsid w:val="007676A7"/>
    <w:rsid w:val="00767867"/>
    <w:rsid w:val="007678BA"/>
    <w:rsid w:val="00767977"/>
    <w:rsid w:val="007679B1"/>
    <w:rsid w:val="00767AB3"/>
    <w:rsid w:val="00767B62"/>
    <w:rsid w:val="00767BEF"/>
    <w:rsid w:val="00767F01"/>
    <w:rsid w:val="00767F1C"/>
    <w:rsid w:val="00767F22"/>
    <w:rsid w:val="00770070"/>
    <w:rsid w:val="00770145"/>
    <w:rsid w:val="007701B3"/>
    <w:rsid w:val="00770283"/>
    <w:rsid w:val="0077037B"/>
    <w:rsid w:val="007704CA"/>
    <w:rsid w:val="00770526"/>
    <w:rsid w:val="00770652"/>
    <w:rsid w:val="007706AE"/>
    <w:rsid w:val="0077071D"/>
    <w:rsid w:val="0077073D"/>
    <w:rsid w:val="007707A7"/>
    <w:rsid w:val="007708C4"/>
    <w:rsid w:val="00770A1F"/>
    <w:rsid w:val="00770B3E"/>
    <w:rsid w:val="00770B82"/>
    <w:rsid w:val="00770B90"/>
    <w:rsid w:val="00770BB3"/>
    <w:rsid w:val="00770D55"/>
    <w:rsid w:val="00770DE1"/>
    <w:rsid w:val="00770E86"/>
    <w:rsid w:val="00770F52"/>
    <w:rsid w:val="00770F83"/>
    <w:rsid w:val="0077113B"/>
    <w:rsid w:val="0077116A"/>
    <w:rsid w:val="007711FF"/>
    <w:rsid w:val="0077121B"/>
    <w:rsid w:val="00771422"/>
    <w:rsid w:val="007714C9"/>
    <w:rsid w:val="00771573"/>
    <w:rsid w:val="007715B0"/>
    <w:rsid w:val="007715B7"/>
    <w:rsid w:val="00771742"/>
    <w:rsid w:val="00771896"/>
    <w:rsid w:val="007718B6"/>
    <w:rsid w:val="00771A15"/>
    <w:rsid w:val="00771A46"/>
    <w:rsid w:val="00771A6F"/>
    <w:rsid w:val="00771AB3"/>
    <w:rsid w:val="00771ABB"/>
    <w:rsid w:val="00771B5A"/>
    <w:rsid w:val="00771BCC"/>
    <w:rsid w:val="00771BD0"/>
    <w:rsid w:val="00771C91"/>
    <w:rsid w:val="00771CFF"/>
    <w:rsid w:val="00771EBA"/>
    <w:rsid w:val="00771EEF"/>
    <w:rsid w:val="00771F5E"/>
    <w:rsid w:val="00771FC5"/>
    <w:rsid w:val="00772020"/>
    <w:rsid w:val="007721B0"/>
    <w:rsid w:val="007721E3"/>
    <w:rsid w:val="0077231E"/>
    <w:rsid w:val="00772378"/>
    <w:rsid w:val="007723C6"/>
    <w:rsid w:val="007726E9"/>
    <w:rsid w:val="0077271F"/>
    <w:rsid w:val="0077284F"/>
    <w:rsid w:val="0077299E"/>
    <w:rsid w:val="007729B8"/>
    <w:rsid w:val="00772B9D"/>
    <w:rsid w:val="00772BE9"/>
    <w:rsid w:val="00772D64"/>
    <w:rsid w:val="00772E67"/>
    <w:rsid w:val="007731AE"/>
    <w:rsid w:val="007731BA"/>
    <w:rsid w:val="0077333C"/>
    <w:rsid w:val="007733A8"/>
    <w:rsid w:val="007733ED"/>
    <w:rsid w:val="0077345D"/>
    <w:rsid w:val="007734A0"/>
    <w:rsid w:val="007734D9"/>
    <w:rsid w:val="007735C5"/>
    <w:rsid w:val="0077363F"/>
    <w:rsid w:val="007737C6"/>
    <w:rsid w:val="007738B1"/>
    <w:rsid w:val="007738BC"/>
    <w:rsid w:val="00773A42"/>
    <w:rsid w:val="00773BD1"/>
    <w:rsid w:val="00773CD2"/>
    <w:rsid w:val="00773CE3"/>
    <w:rsid w:val="00773D92"/>
    <w:rsid w:val="00773E48"/>
    <w:rsid w:val="00773ECC"/>
    <w:rsid w:val="00773EEF"/>
    <w:rsid w:val="00773FB6"/>
    <w:rsid w:val="00774000"/>
    <w:rsid w:val="00774095"/>
    <w:rsid w:val="0077410E"/>
    <w:rsid w:val="007742E7"/>
    <w:rsid w:val="00774380"/>
    <w:rsid w:val="00774390"/>
    <w:rsid w:val="007743A1"/>
    <w:rsid w:val="0077459E"/>
    <w:rsid w:val="00774605"/>
    <w:rsid w:val="00774739"/>
    <w:rsid w:val="0077478E"/>
    <w:rsid w:val="007747E5"/>
    <w:rsid w:val="007748FD"/>
    <w:rsid w:val="00774902"/>
    <w:rsid w:val="007749CA"/>
    <w:rsid w:val="00774A6F"/>
    <w:rsid w:val="00774A9B"/>
    <w:rsid w:val="00774B42"/>
    <w:rsid w:val="00774B6E"/>
    <w:rsid w:val="00774BF0"/>
    <w:rsid w:val="00774C77"/>
    <w:rsid w:val="00774D3D"/>
    <w:rsid w:val="00774D5F"/>
    <w:rsid w:val="00774FCE"/>
    <w:rsid w:val="0077509F"/>
    <w:rsid w:val="00775217"/>
    <w:rsid w:val="007754CB"/>
    <w:rsid w:val="007755C3"/>
    <w:rsid w:val="007756EA"/>
    <w:rsid w:val="00775798"/>
    <w:rsid w:val="007757D1"/>
    <w:rsid w:val="0077586D"/>
    <w:rsid w:val="00775896"/>
    <w:rsid w:val="00775915"/>
    <w:rsid w:val="007759B7"/>
    <w:rsid w:val="007759CB"/>
    <w:rsid w:val="00775AAE"/>
    <w:rsid w:val="00775AF9"/>
    <w:rsid w:val="00775B0C"/>
    <w:rsid w:val="00775B9A"/>
    <w:rsid w:val="00775CEB"/>
    <w:rsid w:val="00775D05"/>
    <w:rsid w:val="00775D4B"/>
    <w:rsid w:val="00775E12"/>
    <w:rsid w:val="00775F09"/>
    <w:rsid w:val="00775FAC"/>
    <w:rsid w:val="00775FCB"/>
    <w:rsid w:val="00776169"/>
    <w:rsid w:val="007761D0"/>
    <w:rsid w:val="0077621E"/>
    <w:rsid w:val="0077624F"/>
    <w:rsid w:val="007762C9"/>
    <w:rsid w:val="007762D7"/>
    <w:rsid w:val="007763B3"/>
    <w:rsid w:val="007764E0"/>
    <w:rsid w:val="007765D5"/>
    <w:rsid w:val="00776616"/>
    <w:rsid w:val="007766F3"/>
    <w:rsid w:val="00776782"/>
    <w:rsid w:val="007768AB"/>
    <w:rsid w:val="00776A3F"/>
    <w:rsid w:val="00776A90"/>
    <w:rsid w:val="00776B20"/>
    <w:rsid w:val="00776B30"/>
    <w:rsid w:val="00776B41"/>
    <w:rsid w:val="00776DB8"/>
    <w:rsid w:val="00776DBD"/>
    <w:rsid w:val="00776E4C"/>
    <w:rsid w:val="00776EC8"/>
    <w:rsid w:val="00776EDB"/>
    <w:rsid w:val="0077707A"/>
    <w:rsid w:val="007770E6"/>
    <w:rsid w:val="00777195"/>
    <w:rsid w:val="007771C5"/>
    <w:rsid w:val="0077729A"/>
    <w:rsid w:val="007772DE"/>
    <w:rsid w:val="007772E5"/>
    <w:rsid w:val="007773A5"/>
    <w:rsid w:val="00777407"/>
    <w:rsid w:val="00777505"/>
    <w:rsid w:val="00777516"/>
    <w:rsid w:val="00777576"/>
    <w:rsid w:val="00777654"/>
    <w:rsid w:val="007776C9"/>
    <w:rsid w:val="007776ED"/>
    <w:rsid w:val="007777B2"/>
    <w:rsid w:val="00777808"/>
    <w:rsid w:val="007778A8"/>
    <w:rsid w:val="00777C99"/>
    <w:rsid w:val="00777D90"/>
    <w:rsid w:val="00777E37"/>
    <w:rsid w:val="00777E7A"/>
    <w:rsid w:val="00777E88"/>
    <w:rsid w:val="00777F30"/>
    <w:rsid w:val="007800E6"/>
    <w:rsid w:val="00780145"/>
    <w:rsid w:val="007801DD"/>
    <w:rsid w:val="0078027F"/>
    <w:rsid w:val="00780363"/>
    <w:rsid w:val="0078036A"/>
    <w:rsid w:val="00780394"/>
    <w:rsid w:val="00780442"/>
    <w:rsid w:val="0078051D"/>
    <w:rsid w:val="0078069C"/>
    <w:rsid w:val="007806F1"/>
    <w:rsid w:val="00780706"/>
    <w:rsid w:val="00780727"/>
    <w:rsid w:val="00780792"/>
    <w:rsid w:val="0078080F"/>
    <w:rsid w:val="00780875"/>
    <w:rsid w:val="00780A6C"/>
    <w:rsid w:val="00780AF4"/>
    <w:rsid w:val="00780B9C"/>
    <w:rsid w:val="00780D64"/>
    <w:rsid w:val="00780DA2"/>
    <w:rsid w:val="00780E96"/>
    <w:rsid w:val="00780F45"/>
    <w:rsid w:val="00781182"/>
    <w:rsid w:val="007812C6"/>
    <w:rsid w:val="007812DB"/>
    <w:rsid w:val="00781327"/>
    <w:rsid w:val="0078133F"/>
    <w:rsid w:val="007815CE"/>
    <w:rsid w:val="00781602"/>
    <w:rsid w:val="0078167B"/>
    <w:rsid w:val="007816F1"/>
    <w:rsid w:val="007816F2"/>
    <w:rsid w:val="00781779"/>
    <w:rsid w:val="00781782"/>
    <w:rsid w:val="0078181F"/>
    <w:rsid w:val="00781913"/>
    <w:rsid w:val="007819F3"/>
    <w:rsid w:val="00781B14"/>
    <w:rsid w:val="00781B72"/>
    <w:rsid w:val="00781C27"/>
    <w:rsid w:val="00781C37"/>
    <w:rsid w:val="00781C46"/>
    <w:rsid w:val="00781DEF"/>
    <w:rsid w:val="00781EF7"/>
    <w:rsid w:val="00781FE0"/>
    <w:rsid w:val="00781FF3"/>
    <w:rsid w:val="0078205C"/>
    <w:rsid w:val="00782101"/>
    <w:rsid w:val="0078221C"/>
    <w:rsid w:val="00782303"/>
    <w:rsid w:val="00782798"/>
    <w:rsid w:val="0078284A"/>
    <w:rsid w:val="0078287B"/>
    <w:rsid w:val="007828D2"/>
    <w:rsid w:val="00782942"/>
    <w:rsid w:val="007829E9"/>
    <w:rsid w:val="00782A59"/>
    <w:rsid w:val="00782AFF"/>
    <w:rsid w:val="00782B47"/>
    <w:rsid w:val="00782B81"/>
    <w:rsid w:val="00782BD3"/>
    <w:rsid w:val="00782C09"/>
    <w:rsid w:val="00782C44"/>
    <w:rsid w:val="00782C66"/>
    <w:rsid w:val="00782D28"/>
    <w:rsid w:val="00782E03"/>
    <w:rsid w:val="00782E35"/>
    <w:rsid w:val="00782F8C"/>
    <w:rsid w:val="00783002"/>
    <w:rsid w:val="0078304E"/>
    <w:rsid w:val="007830E8"/>
    <w:rsid w:val="00783214"/>
    <w:rsid w:val="00783227"/>
    <w:rsid w:val="007832A3"/>
    <w:rsid w:val="0078344A"/>
    <w:rsid w:val="007834F0"/>
    <w:rsid w:val="00783503"/>
    <w:rsid w:val="00783588"/>
    <w:rsid w:val="0078358C"/>
    <w:rsid w:val="007835B0"/>
    <w:rsid w:val="007835F6"/>
    <w:rsid w:val="00783628"/>
    <w:rsid w:val="0078380A"/>
    <w:rsid w:val="0078381A"/>
    <w:rsid w:val="007838A2"/>
    <w:rsid w:val="0078390A"/>
    <w:rsid w:val="00783925"/>
    <w:rsid w:val="00783926"/>
    <w:rsid w:val="00783975"/>
    <w:rsid w:val="00783A6B"/>
    <w:rsid w:val="00783A95"/>
    <w:rsid w:val="00783C0B"/>
    <w:rsid w:val="00783C41"/>
    <w:rsid w:val="00783C78"/>
    <w:rsid w:val="00783D51"/>
    <w:rsid w:val="00783DA3"/>
    <w:rsid w:val="00783EFF"/>
    <w:rsid w:val="00783F27"/>
    <w:rsid w:val="00783F5A"/>
    <w:rsid w:val="00783F9B"/>
    <w:rsid w:val="0078418A"/>
    <w:rsid w:val="007841A5"/>
    <w:rsid w:val="0078426F"/>
    <w:rsid w:val="0078427B"/>
    <w:rsid w:val="00784304"/>
    <w:rsid w:val="00784314"/>
    <w:rsid w:val="00784326"/>
    <w:rsid w:val="007843D0"/>
    <w:rsid w:val="00784450"/>
    <w:rsid w:val="00784509"/>
    <w:rsid w:val="00784533"/>
    <w:rsid w:val="007845CA"/>
    <w:rsid w:val="007845FA"/>
    <w:rsid w:val="007846B2"/>
    <w:rsid w:val="007846FB"/>
    <w:rsid w:val="00784772"/>
    <w:rsid w:val="007848E2"/>
    <w:rsid w:val="00784924"/>
    <w:rsid w:val="00784981"/>
    <w:rsid w:val="00784A8B"/>
    <w:rsid w:val="00784AF0"/>
    <w:rsid w:val="00784B09"/>
    <w:rsid w:val="00784C3D"/>
    <w:rsid w:val="00784C4D"/>
    <w:rsid w:val="00784C80"/>
    <w:rsid w:val="00784C96"/>
    <w:rsid w:val="00784E10"/>
    <w:rsid w:val="00784F3E"/>
    <w:rsid w:val="007850E4"/>
    <w:rsid w:val="00785107"/>
    <w:rsid w:val="00785171"/>
    <w:rsid w:val="007851B7"/>
    <w:rsid w:val="007851BF"/>
    <w:rsid w:val="007852C1"/>
    <w:rsid w:val="00785397"/>
    <w:rsid w:val="00785455"/>
    <w:rsid w:val="00785495"/>
    <w:rsid w:val="007854C3"/>
    <w:rsid w:val="0078550A"/>
    <w:rsid w:val="007855EE"/>
    <w:rsid w:val="007855F9"/>
    <w:rsid w:val="007856B5"/>
    <w:rsid w:val="0078571B"/>
    <w:rsid w:val="007858C2"/>
    <w:rsid w:val="007858E4"/>
    <w:rsid w:val="00785BF0"/>
    <w:rsid w:val="00785BFB"/>
    <w:rsid w:val="00785D5C"/>
    <w:rsid w:val="00785DB3"/>
    <w:rsid w:val="00785E2A"/>
    <w:rsid w:val="00785EB4"/>
    <w:rsid w:val="00785ECF"/>
    <w:rsid w:val="00785FD5"/>
    <w:rsid w:val="00785FF4"/>
    <w:rsid w:val="0078615F"/>
    <w:rsid w:val="007861B3"/>
    <w:rsid w:val="007862AC"/>
    <w:rsid w:val="00786309"/>
    <w:rsid w:val="00786335"/>
    <w:rsid w:val="00786395"/>
    <w:rsid w:val="00786443"/>
    <w:rsid w:val="007865CF"/>
    <w:rsid w:val="00786624"/>
    <w:rsid w:val="0078664F"/>
    <w:rsid w:val="007866D9"/>
    <w:rsid w:val="007866E7"/>
    <w:rsid w:val="007866E9"/>
    <w:rsid w:val="0078678E"/>
    <w:rsid w:val="0078680C"/>
    <w:rsid w:val="00786873"/>
    <w:rsid w:val="00786A79"/>
    <w:rsid w:val="00786AF0"/>
    <w:rsid w:val="00786B00"/>
    <w:rsid w:val="00786BC2"/>
    <w:rsid w:val="00786C8E"/>
    <w:rsid w:val="00786DFC"/>
    <w:rsid w:val="00786E6D"/>
    <w:rsid w:val="00787025"/>
    <w:rsid w:val="007870BD"/>
    <w:rsid w:val="007870C7"/>
    <w:rsid w:val="0078711D"/>
    <w:rsid w:val="0078719A"/>
    <w:rsid w:val="007871C4"/>
    <w:rsid w:val="007871F8"/>
    <w:rsid w:val="0078728C"/>
    <w:rsid w:val="007873F1"/>
    <w:rsid w:val="007873F6"/>
    <w:rsid w:val="0078740D"/>
    <w:rsid w:val="00787459"/>
    <w:rsid w:val="00787621"/>
    <w:rsid w:val="007876F0"/>
    <w:rsid w:val="00787770"/>
    <w:rsid w:val="0078788A"/>
    <w:rsid w:val="007878A9"/>
    <w:rsid w:val="0078795D"/>
    <w:rsid w:val="00787B54"/>
    <w:rsid w:val="00787C54"/>
    <w:rsid w:val="00787C8A"/>
    <w:rsid w:val="00787D48"/>
    <w:rsid w:val="00787D63"/>
    <w:rsid w:val="00787D64"/>
    <w:rsid w:val="00787DDC"/>
    <w:rsid w:val="00787EA6"/>
    <w:rsid w:val="00787F7F"/>
    <w:rsid w:val="00787FB3"/>
    <w:rsid w:val="00790030"/>
    <w:rsid w:val="0079010A"/>
    <w:rsid w:val="007901A8"/>
    <w:rsid w:val="007901D4"/>
    <w:rsid w:val="00790210"/>
    <w:rsid w:val="00790304"/>
    <w:rsid w:val="00790342"/>
    <w:rsid w:val="007903F8"/>
    <w:rsid w:val="0079041A"/>
    <w:rsid w:val="00790499"/>
    <w:rsid w:val="0079065D"/>
    <w:rsid w:val="0079076A"/>
    <w:rsid w:val="007907A8"/>
    <w:rsid w:val="007907E7"/>
    <w:rsid w:val="00790855"/>
    <w:rsid w:val="00790873"/>
    <w:rsid w:val="00790885"/>
    <w:rsid w:val="007908B1"/>
    <w:rsid w:val="00790964"/>
    <w:rsid w:val="00790A45"/>
    <w:rsid w:val="00790A5A"/>
    <w:rsid w:val="00790A8E"/>
    <w:rsid w:val="00790AA9"/>
    <w:rsid w:val="00790AC5"/>
    <w:rsid w:val="00790B67"/>
    <w:rsid w:val="00790BFB"/>
    <w:rsid w:val="00790C01"/>
    <w:rsid w:val="00790C36"/>
    <w:rsid w:val="00790C5F"/>
    <w:rsid w:val="00790CD6"/>
    <w:rsid w:val="00790CD7"/>
    <w:rsid w:val="00790DA0"/>
    <w:rsid w:val="00790DF8"/>
    <w:rsid w:val="00790E3F"/>
    <w:rsid w:val="00790E95"/>
    <w:rsid w:val="00790F44"/>
    <w:rsid w:val="00791122"/>
    <w:rsid w:val="007911FB"/>
    <w:rsid w:val="007912F1"/>
    <w:rsid w:val="00791321"/>
    <w:rsid w:val="00791330"/>
    <w:rsid w:val="00791374"/>
    <w:rsid w:val="007914C9"/>
    <w:rsid w:val="007916CF"/>
    <w:rsid w:val="00791922"/>
    <w:rsid w:val="00791A38"/>
    <w:rsid w:val="00791A47"/>
    <w:rsid w:val="00791C40"/>
    <w:rsid w:val="00791DB7"/>
    <w:rsid w:val="00791DE4"/>
    <w:rsid w:val="00791E45"/>
    <w:rsid w:val="00791ED9"/>
    <w:rsid w:val="00791F0E"/>
    <w:rsid w:val="00791F22"/>
    <w:rsid w:val="00791FE7"/>
    <w:rsid w:val="00792068"/>
    <w:rsid w:val="0079206F"/>
    <w:rsid w:val="0079211C"/>
    <w:rsid w:val="00792194"/>
    <w:rsid w:val="007922E2"/>
    <w:rsid w:val="00792366"/>
    <w:rsid w:val="007923A6"/>
    <w:rsid w:val="007923EE"/>
    <w:rsid w:val="0079258A"/>
    <w:rsid w:val="007925F2"/>
    <w:rsid w:val="007925F7"/>
    <w:rsid w:val="00792617"/>
    <w:rsid w:val="007926DB"/>
    <w:rsid w:val="0079273B"/>
    <w:rsid w:val="007928AC"/>
    <w:rsid w:val="007929EA"/>
    <w:rsid w:val="00792A27"/>
    <w:rsid w:val="00792A6D"/>
    <w:rsid w:val="00792A7D"/>
    <w:rsid w:val="00792A83"/>
    <w:rsid w:val="00792B16"/>
    <w:rsid w:val="00792B6C"/>
    <w:rsid w:val="00792D0B"/>
    <w:rsid w:val="00792D2D"/>
    <w:rsid w:val="00792DD3"/>
    <w:rsid w:val="00792FC3"/>
    <w:rsid w:val="00793059"/>
    <w:rsid w:val="00793068"/>
    <w:rsid w:val="00793149"/>
    <w:rsid w:val="007932AB"/>
    <w:rsid w:val="0079333F"/>
    <w:rsid w:val="007933B0"/>
    <w:rsid w:val="00793474"/>
    <w:rsid w:val="00793570"/>
    <w:rsid w:val="007936AE"/>
    <w:rsid w:val="00793729"/>
    <w:rsid w:val="00793740"/>
    <w:rsid w:val="007937A8"/>
    <w:rsid w:val="00793903"/>
    <w:rsid w:val="00793931"/>
    <w:rsid w:val="00793945"/>
    <w:rsid w:val="00793958"/>
    <w:rsid w:val="00793A48"/>
    <w:rsid w:val="00793A75"/>
    <w:rsid w:val="00793AB4"/>
    <w:rsid w:val="00793C86"/>
    <w:rsid w:val="00793DCE"/>
    <w:rsid w:val="00793E58"/>
    <w:rsid w:val="00793E71"/>
    <w:rsid w:val="00793EEE"/>
    <w:rsid w:val="00793F89"/>
    <w:rsid w:val="00793FC7"/>
    <w:rsid w:val="00794008"/>
    <w:rsid w:val="0079406F"/>
    <w:rsid w:val="007943B6"/>
    <w:rsid w:val="007943E2"/>
    <w:rsid w:val="007943E5"/>
    <w:rsid w:val="00794544"/>
    <w:rsid w:val="007946E0"/>
    <w:rsid w:val="00794738"/>
    <w:rsid w:val="0079477F"/>
    <w:rsid w:val="007947C3"/>
    <w:rsid w:val="007947CE"/>
    <w:rsid w:val="007949E9"/>
    <w:rsid w:val="00794A2C"/>
    <w:rsid w:val="00794B01"/>
    <w:rsid w:val="00794B31"/>
    <w:rsid w:val="00794B88"/>
    <w:rsid w:val="00794BB4"/>
    <w:rsid w:val="00794C98"/>
    <w:rsid w:val="00794D29"/>
    <w:rsid w:val="00794D46"/>
    <w:rsid w:val="00794D92"/>
    <w:rsid w:val="00794E02"/>
    <w:rsid w:val="00794E3C"/>
    <w:rsid w:val="00794E74"/>
    <w:rsid w:val="00794F21"/>
    <w:rsid w:val="00794F42"/>
    <w:rsid w:val="007950A2"/>
    <w:rsid w:val="0079510E"/>
    <w:rsid w:val="007951C8"/>
    <w:rsid w:val="007951D5"/>
    <w:rsid w:val="007951F7"/>
    <w:rsid w:val="007952B8"/>
    <w:rsid w:val="0079536C"/>
    <w:rsid w:val="007953B9"/>
    <w:rsid w:val="007953D9"/>
    <w:rsid w:val="007953E6"/>
    <w:rsid w:val="0079544B"/>
    <w:rsid w:val="00795545"/>
    <w:rsid w:val="007955AA"/>
    <w:rsid w:val="0079562A"/>
    <w:rsid w:val="00795652"/>
    <w:rsid w:val="0079574C"/>
    <w:rsid w:val="00795769"/>
    <w:rsid w:val="007957BA"/>
    <w:rsid w:val="007958C7"/>
    <w:rsid w:val="007958F9"/>
    <w:rsid w:val="00795926"/>
    <w:rsid w:val="00795A40"/>
    <w:rsid w:val="00795A83"/>
    <w:rsid w:val="00795D2B"/>
    <w:rsid w:val="00795D36"/>
    <w:rsid w:val="00795D9C"/>
    <w:rsid w:val="00795E33"/>
    <w:rsid w:val="00795E8D"/>
    <w:rsid w:val="00795FE7"/>
    <w:rsid w:val="00796006"/>
    <w:rsid w:val="007960A8"/>
    <w:rsid w:val="007960E0"/>
    <w:rsid w:val="00796180"/>
    <w:rsid w:val="00796192"/>
    <w:rsid w:val="00796225"/>
    <w:rsid w:val="0079622B"/>
    <w:rsid w:val="00796384"/>
    <w:rsid w:val="007963D9"/>
    <w:rsid w:val="00796545"/>
    <w:rsid w:val="00796604"/>
    <w:rsid w:val="00796704"/>
    <w:rsid w:val="00796A1E"/>
    <w:rsid w:val="00796AD7"/>
    <w:rsid w:val="00796D03"/>
    <w:rsid w:val="00796D5B"/>
    <w:rsid w:val="00796D7B"/>
    <w:rsid w:val="00796DD1"/>
    <w:rsid w:val="00796E33"/>
    <w:rsid w:val="00796ED2"/>
    <w:rsid w:val="00796FD5"/>
    <w:rsid w:val="00796FFD"/>
    <w:rsid w:val="00797042"/>
    <w:rsid w:val="0079704D"/>
    <w:rsid w:val="00797190"/>
    <w:rsid w:val="0079724F"/>
    <w:rsid w:val="0079725D"/>
    <w:rsid w:val="007972AD"/>
    <w:rsid w:val="00797520"/>
    <w:rsid w:val="0079787E"/>
    <w:rsid w:val="007978EC"/>
    <w:rsid w:val="007978FE"/>
    <w:rsid w:val="007979BD"/>
    <w:rsid w:val="007979DF"/>
    <w:rsid w:val="00797A1E"/>
    <w:rsid w:val="00797B08"/>
    <w:rsid w:val="00797B6E"/>
    <w:rsid w:val="00797C19"/>
    <w:rsid w:val="00797C7E"/>
    <w:rsid w:val="00797CAC"/>
    <w:rsid w:val="00797DEF"/>
    <w:rsid w:val="007A0003"/>
    <w:rsid w:val="007A00C4"/>
    <w:rsid w:val="007A00D1"/>
    <w:rsid w:val="007A0178"/>
    <w:rsid w:val="007A02BD"/>
    <w:rsid w:val="007A02C5"/>
    <w:rsid w:val="007A032F"/>
    <w:rsid w:val="007A0349"/>
    <w:rsid w:val="007A03D3"/>
    <w:rsid w:val="007A04BB"/>
    <w:rsid w:val="007A055F"/>
    <w:rsid w:val="007A05AD"/>
    <w:rsid w:val="007A05EA"/>
    <w:rsid w:val="007A06CA"/>
    <w:rsid w:val="007A07AC"/>
    <w:rsid w:val="007A07EA"/>
    <w:rsid w:val="007A081D"/>
    <w:rsid w:val="007A08A4"/>
    <w:rsid w:val="007A09C0"/>
    <w:rsid w:val="007A09E6"/>
    <w:rsid w:val="007A0A91"/>
    <w:rsid w:val="007A0ACA"/>
    <w:rsid w:val="007A0B79"/>
    <w:rsid w:val="007A0BE1"/>
    <w:rsid w:val="007A0EB8"/>
    <w:rsid w:val="007A0F92"/>
    <w:rsid w:val="007A1247"/>
    <w:rsid w:val="007A1290"/>
    <w:rsid w:val="007A12CC"/>
    <w:rsid w:val="007A12FF"/>
    <w:rsid w:val="007A141F"/>
    <w:rsid w:val="007A1431"/>
    <w:rsid w:val="007A1452"/>
    <w:rsid w:val="007A1505"/>
    <w:rsid w:val="007A1539"/>
    <w:rsid w:val="007A16C3"/>
    <w:rsid w:val="007A16FA"/>
    <w:rsid w:val="007A1791"/>
    <w:rsid w:val="007A1798"/>
    <w:rsid w:val="007A179B"/>
    <w:rsid w:val="007A1801"/>
    <w:rsid w:val="007A1B36"/>
    <w:rsid w:val="007A1D5D"/>
    <w:rsid w:val="007A1E3E"/>
    <w:rsid w:val="007A1E52"/>
    <w:rsid w:val="007A1EC5"/>
    <w:rsid w:val="007A1F4B"/>
    <w:rsid w:val="007A1F93"/>
    <w:rsid w:val="007A1FC7"/>
    <w:rsid w:val="007A2064"/>
    <w:rsid w:val="007A206E"/>
    <w:rsid w:val="007A2179"/>
    <w:rsid w:val="007A21AF"/>
    <w:rsid w:val="007A228F"/>
    <w:rsid w:val="007A22B0"/>
    <w:rsid w:val="007A2333"/>
    <w:rsid w:val="007A233E"/>
    <w:rsid w:val="007A2394"/>
    <w:rsid w:val="007A23CE"/>
    <w:rsid w:val="007A2440"/>
    <w:rsid w:val="007A2479"/>
    <w:rsid w:val="007A24FD"/>
    <w:rsid w:val="007A25BA"/>
    <w:rsid w:val="007A2699"/>
    <w:rsid w:val="007A2709"/>
    <w:rsid w:val="007A2806"/>
    <w:rsid w:val="007A2A26"/>
    <w:rsid w:val="007A2C60"/>
    <w:rsid w:val="007A2DFC"/>
    <w:rsid w:val="007A2E75"/>
    <w:rsid w:val="007A2F12"/>
    <w:rsid w:val="007A2F2E"/>
    <w:rsid w:val="007A2F98"/>
    <w:rsid w:val="007A311F"/>
    <w:rsid w:val="007A3150"/>
    <w:rsid w:val="007A32CA"/>
    <w:rsid w:val="007A32F3"/>
    <w:rsid w:val="007A34BA"/>
    <w:rsid w:val="007A34F0"/>
    <w:rsid w:val="007A34FD"/>
    <w:rsid w:val="007A36A7"/>
    <w:rsid w:val="007A36C1"/>
    <w:rsid w:val="007A36CC"/>
    <w:rsid w:val="007A3809"/>
    <w:rsid w:val="007A3993"/>
    <w:rsid w:val="007A3B01"/>
    <w:rsid w:val="007A3C56"/>
    <w:rsid w:val="007A3D41"/>
    <w:rsid w:val="007A3D78"/>
    <w:rsid w:val="007A3DE1"/>
    <w:rsid w:val="007A3E1E"/>
    <w:rsid w:val="007A3FCB"/>
    <w:rsid w:val="007A400B"/>
    <w:rsid w:val="007A40AE"/>
    <w:rsid w:val="007A40B4"/>
    <w:rsid w:val="007A4122"/>
    <w:rsid w:val="007A4145"/>
    <w:rsid w:val="007A4162"/>
    <w:rsid w:val="007A417C"/>
    <w:rsid w:val="007A41FC"/>
    <w:rsid w:val="007A4213"/>
    <w:rsid w:val="007A4247"/>
    <w:rsid w:val="007A4263"/>
    <w:rsid w:val="007A430B"/>
    <w:rsid w:val="007A44DD"/>
    <w:rsid w:val="007A450E"/>
    <w:rsid w:val="007A452F"/>
    <w:rsid w:val="007A4637"/>
    <w:rsid w:val="007A463B"/>
    <w:rsid w:val="007A469D"/>
    <w:rsid w:val="007A4795"/>
    <w:rsid w:val="007A4952"/>
    <w:rsid w:val="007A496E"/>
    <w:rsid w:val="007A4AED"/>
    <w:rsid w:val="007A4BD8"/>
    <w:rsid w:val="007A4BF3"/>
    <w:rsid w:val="007A4C17"/>
    <w:rsid w:val="007A4C56"/>
    <w:rsid w:val="007A4CD2"/>
    <w:rsid w:val="007A4DB6"/>
    <w:rsid w:val="007A4E51"/>
    <w:rsid w:val="007A4F24"/>
    <w:rsid w:val="007A4FDF"/>
    <w:rsid w:val="007A4FF9"/>
    <w:rsid w:val="007A521B"/>
    <w:rsid w:val="007A522C"/>
    <w:rsid w:val="007A52C8"/>
    <w:rsid w:val="007A535E"/>
    <w:rsid w:val="007A548C"/>
    <w:rsid w:val="007A5595"/>
    <w:rsid w:val="007A55DA"/>
    <w:rsid w:val="007A5651"/>
    <w:rsid w:val="007A56C4"/>
    <w:rsid w:val="007A56D4"/>
    <w:rsid w:val="007A5727"/>
    <w:rsid w:val="007A572E"/>
    <w:rsid w:val="007A579B"/>
    <w:rsid w:val="007A57EC"/>
    <w:rsid w:val="007A58AF"/>
    <w:rsid w:val="007A58B8"/>
    <w:rsid w:val="007A59EA"/>
    <w:rsid w:val="007A5A86"/>
    <w:rsid w:val="007A5AD7"/>
    <w:rsid w:val="007A5ADF"/>
    <w:rsid w:val="007A5B3F"/>
    <w:rsid w:val="007A5C08"/>
    <w:rsid w:val="007A5E2D"/>
    <w:rsid w:val="007A5E9D"/>
    <w:rsid w:val="007A5F28"/>
    <w:rsid w:val="007A5F5F"/>
    <w:rsid w:val="007A5F9E"/>
    <w:rsid w:val="007A624E"/>
    <w:rsid w:val="007A633E"/>
    <w:rsid w:val="007A6363"/>
    <w:rsid w:val="007A6415"/>
    <w:rsid w:val="007A6454"/>
    <w:rsid w:val="007A64E5"/>
    <w:rsid w:val="007A6544"/>
    <w:rsid w:val="007A66A4"/>
    <w:rsid w:val="007A6853"/>
    <w:rsid w:val="007A691E"/>
    <w:rsid w:val="007A691F"/>
    <w:rsid w:val="007A6AA5"/>
    <w:rsid w:val="007A6AB1"/>
    <w:rsid w:val="007A6BB3"/>
    <w:rsid w:val="007A6D32"/>
    <w:rsid w:val="007A6D43"/>
    <w:rsid w:val="007A6D61"/>
    <w:rsid w:val="007A6DAC"/>
    <w:rsid w:val="007A6FB4"/>
    <w:rsid w:val="007A6FC2"/>
    <w:rsid w:val="007A7044"/>
    <w:rsid w:val="007A7054"/>
    <w:rsid w:val="007A708C"/>
    <w:rsid w:val="007A7109"/>
    <w:rsid w:val="007A7354"/>
    <w:rsid w:val="007A735F"/>
    <w:rsid w:val="007A7435"/>
    <w:rsid w:val="007A750F"/>
    <w:rsid w:val="007A7511"/>
    <w:rsid w:val="007A75D7"/>
    <w:rsid w:val="007A77B7"/>
    <w:rsid w:val="007A77E2"/>
    <w:rsid w:val="007A78AC"/>
    <w:rsid w:val="007A78C4"/>
    <w:rsid w:val="007A7A10"/>
    <w:rsid w:val="007A7B7F"/>
    <w:rsid w:val="007A7B98"/>
    <w:rsid w:val="007A7CD5"/>
    <w:rsid w:val="007A7D5B"/>
    <w:rsid w:val="007A7D8E"/>
    <w:rsid w:val="007A7E18"/>
    <w:rsid w:val="007A7F10"/>
    <w:rsid w:val="007A7F52"/>
    <w:rsid w:val="007A7FAE"/>
    <w:rsid w:val="007A7FC9"/>
    <w:rsid w:val="007B002A"/>
    <w:rsid w:val="007B0175"/>
    <w:rsid w:val="007B01DA"/>
    <w:rsid w:val="007B01F7"/>
    <w:rsid w:val="007B022B"/>
    <w:rsid w:val="007B02C4"/>
    <w:rsid w:val="007B039C"/>
    <w:rsid w:val="007B0405"/>
    <w:rsid w:val="007B04AB"/>
    <w:rsid w:val="007B04FF"/>
    <w:rsid w:val="007B050E"/>
    <w:rsid w:val="007B0860"/>
    <w:rsid w:val="007B08D0"/>
    <w:rsid w:val="007B0A09"/>
    <w:rsid w:val="007B0B1B"/>
    <w:rsid w:val="007B0B57"/>
    <w:rsid w:val="007B0C02"/>
    <w:rsid w:val="007B0D96"/>
    <w:rsid w:val="007B0DE5"/>
    <w:rsid w:val="007B0EB7"/>
    <w:rsid w:val="007B0F6D"/>
    <w:rsid w:val="007B0FCB"/>
    <w:rsid w:val="007B1022"/>
    <w:rsid w:val="007B1134"/>
    <w:rsid w:val="007B125D"/>
    <w:rsid w:val="007B1351"/>
    <w:rsid w:val="007B13F2"/>
    <w:rsid w:val="007B143E"/>
    <w:rsid w:val="007B164A"/>
    <w:rsid w:val="007B1778"/>
    <w:rsid w:val="007B183A"/>
    <w:rsid w:val="007B18BE"/>
    <w:rsid w:val="007B18D2"/>
    <w:rsid w:val="007B1959"/>
    <w:rsid w:val="007B19C0"/>
    <w:rsid w:val="007B19FA"/>
    <w:rsid w:val="007B1A90"/>
    <w:rsid w:val="007B1B76"/>
    <w:rsid w:val="007B1C95"/>
    <w:rsid w:val="007B1DA5"/>
    <w:rsid w:val="007B1FC0"/>
    <w:rsid w:val="007B1FC9"/>
    <w:rsid w:val="007B2005"/>
    <w:rsid w:val="007B2087"/>
    <w:rsid w:val="007B214A"/>
    <w:rsid w:val="007B226B"/>
    <w:rsid w:val="007B22B8"/>
    <w:rsid w:val="007B2365"/>
    <w:rsid w:val="007B2377"/>
    <w:rsid w:val="007B2470"/>
    <w:rsid w:val="007B2548"/>
    <w:rsid w:val="007B254F"/>
    <w:rsid w:val="007B2558"/>
    <w:rsid w:val="007B259F"/>
    <w:rsid w:val="007B266E"/>
    <w:rsid w:val="007B28A0"/>
    <w:rsid w:val="007B292F"/>
    <w:rsid w:val="007B29AF"/>
    <w:rsid w:val="007B2A41"/>
    <w:rsid w:val="007B2A6C"/>
    <w:rsid w:val="007B2A81"/>
    <w:rsid w:val="007B2BFE"/>
    <w:rsid w:val="007B2C36"/>
    <w:rsid w:val="007B2D32"/>
    <w:rsid w:val="007B2D4D"/>
    <w:rsid w:val="007B2E2B"/>
    <w:rsid w:val="007B2E9E"/>
    <w:rsid w:val="007B2F6C"/>
    <w:rsid w:val="007B2FB0"/>
    <w:rsid w:val="007B2FB1"/>
    <w:rsid w:val="007B313D"/>
    <w:rsid w:val="007B31BB"/>
    <w:rsid w:val="007B31E5"/>
    <w:rsid w:val="007B330F"/>
    <w:rsid w:val="007B34F9"/>
    <w:rsid w:val="007B3561"/>
    <w:rsid w:val="007B36DC"/>
    <w:rsid w:val="007B385A"/>
    <w:rsid w:val="007B38DA"/>
    <w:rsid w:val="007B3A3E"/>
    <w:rsid w:val="007B3A95"/>
    <w:rsid w:val="007B3C08"/>
    <w:rsid w:val="007B3C92"/>
    <w:rsid w:val="007B3CBA"/>
    <w:rsid w:val="007B3D63"/>
    <w:rsid w:val="007B3DBF"/>
    <w:rsid w:val="007B3E8B"/>
    <w:rsid w:val="007B3F1B"/>
    <w:rsid w:val="007B3FC9"/>
    <w:rsid w:val="007B3FCD"/>
    <w:rsid w:val="007B3FF3"/>
    <w:rsid w:val="007B4095"/>
    <w:rsid w:val="007B4185"/>
    <w:rsid w:val="007B42B1"/>
    <w:rsid w:val="007B4300"/>
    <w:rsid w:val="007B445F"/>
    <w:rsid w:val="007B44BD"/>
    <w:rsid w:val="007B45BA"/>
    <w:rsid w:val="007B45F0"/>
    <w:rsid w:val="007B4626"/>
    <w:rsid w:val="007B4645"/>
    <w:rsid w:val="007B46E3"/>
    <w:rsid w:val="007B46E5"/>
    <w:rsid w:val="007B4739"/>
    <w:rsid w:val="007B4851"/>
    <w:rsid w:val="007B4875"/>
    <w:rsid w:val="007B4893"/>
    <w:rsid w:val="007B48C4"/>
    <w:rsid w:val="007B4949"/>
    <w:rsid w:val="007B4991"/>
    <w:rsid w:val="007B4A13"/>
    <w:rsid w:val="007B4AA6"/>
    <w:rsid w:val="007B4B80"/>
    <w:rsid w:val="007B4BCD"/>
    <w:rsid w:val="007B4C52"/>
    <w:rsid w:val="007B4C53"/>
    <w:rsid w:val="007B4C55"/>
    <w:rsid w:val="007B4D37"/>
    <w:rsid w:val="007B4D7A"/>
    <w:rsid w:val="007B4DE2"/>
    <w:rsid w:val="007B501C"/>
    <w:rsid w:val="007B508C"/>
    <w:rsid w:val="007B50CA"/>
    <w:rsid w:val="007B50E0"/>
    <w:rsid w:val="007B5116"/>
    <w:rsid w:val="007B5141"/>
    <w:rsid w:val="007B5159"/>
    <w:rsid w:val="007B538E"/>
    <w:rsid w:val="007B53E8"/>
    <w:rsid w:val="007B549C"/>
    <w:rsid w:val="007B5547"/>
    <w:rsid w:val="007B5620"/>
    <w:rsid w:val="007B5672"/>
    <w:rsid w:val="007B56CB"/>
    <w:rsid w:val="007B5790"/>
    <w:rsid w:val="007B590C"/>
    <w:rsid w:val="007B5B58"/>
    <w:rsid w:val="007B5D31"/>
    <w:rsid w:val="007B5E16"/>
    <w:rsid w:val="007B5E34"/>
    <w:rsid w:val="007B5F2B"/>
    <w:rsid w:val="007B5F6D"/>
    <w:rsid w:val="007B5FA7"/>
    <w:rsid w:val="007B6063"/>
    <w:rsid w:val="007B6292"/>
    <w:rsid w:val="007B6334"/>
    <w:rsid w:val="007B63F0"/>
    <w:rsid w:val="007B645B"/>
    <w:rsid w:val="007B66DE"/>
    <w:rsid w:val="007B66F2"/>
    <w:rsid w:val="007B66F8"/>
    <w:rsid w:val="007B6704"/>
    <w:rsid w:val="007B6750"/>
    <w:rsid w:val="007B676A"/>
    <w:rsid w:val="007B67C6"/>
    <w:rsid w:val="007B6894"/>
    <w:rsid w:val="007B68E7"/>
    <w:rsid w:val="007B69CC"/>
    <w:rsid w:val="007B69D9"/>
    <w:rsid w:val="007B6A56"/>
    <w:rsid w:val="007B6B16"/>
    <w:rsid w:val="007B6BB8"/>
    <w:rsid w:val="007B6BD3"/>
    <w:rsid w:val="007B6D33"/>
    <w:rsid w:val="007B6EDD"/>
    <w:rsid w:val="007B6EDF"/>
    <w:rsid w:val="007B6F41"/>
    <w:rsid w:val="007B700F"/>
    <w:rsid w:val="007B71C1"/>
    <w:rsid w:val="007B7267"/>
    <w:rsid w:val="007B7365"/>
    <w:rsid w:val="007B73BF"/>
    <w:rsid w:val="007B7558"/>
    <w:rsid w:val="007B75F1"/>
    <w:rsid w:val="007B7631"/>
    <w:rsid w:val="007B7711"/>
    <w:rsid w:val="007B7761"/>
    <w:rsid w:val="007B7779"/>
    <w:rsid w:val="007B77C3"/>
    <w:rsid w:val="007B781A"/>
    <w:rsid w:val="007B782B"/>
    <w:rsid w:val="007B7839"/>
    <w:rsid w:val="007B785F"/>
    <w:rsid w:val="007B7892"/>
    <w:rsid w:val="007B78CB"/>
    <w:rsid w:val="007B78EA"/>
    <w:rsid w:val="007B78FD"/>
    <w:rsid w:val="007B7955"/>
    <w:rsid w:val="007B7956"/>
    <w:rsid w:val="007B79A9"/>
    <w:rsid w:val="007B79DD"/>
    <w:rsid w:val="007B79F2"/>
    <w:rsid w:val="007B7A13"/>
    <w:rsid w:val="007B7A6C"/>
    <w:rsid w:val="007B7AFF"/>
    <w:rsid w:val="007B7BC9"/>
    <w:rsid w:val="007B7BF6"/>
    <w:rsid w:val="007B7C8E"/>
    <w:rsid w:val="007B7D2B"/>
    <w:rsid w:val="007B7DBF"/>
    <w:rsid w:val="007B7DD0"/>
    <w:rsid w:val="007C0140"/>
    <w:rsid w:val="007C017E"/>
    <w:rsid w:val="007C02BF"/>
    <w:rsid w:val="007C02DF"/>
    <w:rsid w:val="007C0355"/>
    <w:rsid w:val="007C038C"/>
    <w:rsid w:val="007C0418"/>
    <w:rsid w:val="007C05EF"/>
    <w:rsid w:val="007C074C"/>
    <w:rsid w:val="007C0842"/>
    <w:rsid w:val="007C08BC"/>
    <w:rsid w:val="007C0928"/>
    <w:rsid w:val="007C0964"/>
    <w:rsid w:val="007C09D0"/>
    <w:rsid w:val="007C09FA"/>
    <w:rsid w:val="007C0AE6"/>
    <w:rsid w:val="007C0C29"/>
    <w:rsid w:val="007C0C2B"/>
    <w:rsid w:val="007C0C81"/>
    <w:rsid w:val="007C0CE6"/>
    <w:rsid w:val="007C0D9D"/>
    <w:rsid w:val="007C0F6E"/>
    <w:rsid w:val="007C1002"/>
    <w:rsid w:val="007C1009"/>
    <w:rsid w:val="007C116A"/>
    <w:rsid w:val="007C11B8"/>
    <w:rsid w:val="007C11D2"/>
    <w:rsid w:val="007C1257"/>
    <w:rsid w:val="007C125B"/>
    <w:rsid w:val="007C1313"/>
    <w:rsid w:val="007C1320"/>
    <w:rsid w:val="007C133C"/>
    <w:rsid w:val="007C1348"/>
    <w:rsid w:val="007C149B"/>
    <w:rsid w:val="007C14FA"/>
    <w:rsid w:val="007C164D"/>
    <w:rsid w:val="007C16D8"/>
    <w:rsid w:val="007C173D"/>
    <w:rsid w:val="007C174F"/>
    <w:rsid w:val="007C1A12"/>
    <w:rsid w:val="007C1A4D"/>
    <w:rsid w:val="007C1AC7"/>
    <w:rsid w:val="007C1B12"/>
    <w:rsid w:val="007C1B3C"/>
    <w:rsid w:val="007C1CA9"/>
    <w:rsid w:val="007C1CB8"/>
    <w:rsid w:val="007C1E23"/>
    <w:rsid w:val="007C1EE8"/>
    <w:rsid w:val="007C228F"/>
    <w:rsid w:val="007C23A9"/>
    <w:rsid w:val="007C23FC"/>
    <w:rsid w:val="007C2590"/>
    <w:rsid w:val="007C2593"/>
    <w:rsid w:val="007C25D6"/>
    <w:rsid w:val="007C26AD"/>
    <w:rsid w:val="007C271E"/>
    <w:rsid w:val="007C27D8"/>
    <w:rsid w:val="007C27E8"/>
    <w:rsid w:val="007C28CB"/>
    <w:rsid w:val="007C28CF"/>
    <w:rsid w:val="007C2A09"/>
    <w:rsid w:val="007C2AD3"/>
    <w:rsid w:val="007C2B34"/>
    <w:rsid w:val="007C2C67"/>
    <w:rsid w:val="007C2DCA"/>
    <w:rsid w:val="007C2E37"/>
    <w:rsid w:val="007C2F70"/>
    <w:rsid w:val="007C3029"/>
    <w:rsid w:val="007C307A"/>
    <w:rsid w:val="007C3143"/>
    <w:rsid w:val="007C319F"/>
    <w:rsid w:val="007C31A3"/>
    <w:rsid w:val="007C32ED"/>
    <w:rsid w:val="007C3345"/>
    <w:rsid w:val="007C335C"/>
    <w:rsid w:val="007C3383"/>
    <w:rsid w:val="007C33F5"/>
    <w:rsid w:val="007C3470"/>
    <w:rsid w:val="007C34D4"/>
    <w:rsid w:val="007C352B"/>
    <w:rsid w:val="007C35E3"/>
    <w:rsid w:val="007C3827"/>
    <w:rsid w:val="007C382E"/>
    <w:rsid w:val="007C389E"/>
    <w:rsid w:val="007C3967"/>
    <w:rsid w:val="007C397A"/>
    <w:rsid w:val="007C3A27"/>
    <w:rsid w:val="007C3B69"/>
    <w:rsid w:val="007C3CCB"/>
    <w:rsid w:val="007C3D02"/>
    <w:rsid w:val="007C3D5D"/>
    <w:rsid w:val="007C3D6B"/>
    <w:rsid w:val="007C3E2C"/>
    <w:rsid w:val="007C3EA0"/>
    <w:rsid w:val="007C3F65"/>
    <w:rsid w:val="007C4057"/>
    <w:rsid w:val="007C418A"/>
    <w:rsid w:val="007C41EF"/>
    <w:rsid w:val="007C41F5"/>
    <w:rsid w:val="007C4250"/>
    <w:rsid w:val="007C432D"/>
    <w:rsid w:val="007C437E"/>
    <w:rsid w:val="007C43D7"/>
    <w:rsid w:val="007C445E"/>
    <w:rsid w:val="007C4539"/>
    <w:rsid w:val="007C45C2"/>
    <w:rsid w:val="007C45C6"/>
    <w:rsid w:val="007C45D3"/>
    <w:rsid w:val="007C478D"/>
    <w:rsid w:val="007C4848"/>
    <w:rsid w:val="007C484D"/>
    <w:rsid w:val="007C485B"/>
    <w:rsid w:val="007C4863"/>
    <w:rsid w:val="007C493D"/>
    <w:rsid w:val="007C49F6"/>
    <w:rsid w:val="007C4A04"/>
    <w:rsid w:val="007C4A55"/>
    <w:rsid w:val="007C4A72"/>
    <w:rsid w:val="007C4A9C"/>
    <w:rsid w:val="007C4AAB"/>
    <w:rsid w:val="007C4B09"/>
    <w:rsid w:val="007C4B6B"/>
    <w:rsid w:val="007C4B74"/>
    <w:rsid w:val="007C4BA6"/>
    <w:rsid w:val="007C4BBD"/>
    <w:rsid w:val="007C4C34"/>
    <w:rsid w:val="007C4C45"/>
    <w:rsid w:val="007C4C59"/>
    <w:rsid w:val="007C4CBB"/>
    <w:rsid w:val="007C4CF5"/>
    <w:rsid w:val="007C4E76"/>
    <w:rsid w:val="007C4EE0"/>
    <w:rsid w:val="007C4F92"/>
    <w:rsid w:val="007C529E"/>
    <w:rsid w:val="007C5307"/>
    <w:rsid w:val="007C5383"/>
    <w:rsid w:val="007C538E"/>
    <w:rsid w:val="007C53C4"/>
    <w:rsid w:val="007C552B"/>
    <w:rsid w:val="007C55B5"/>
    <w:rsid w:val="007C5688"/>
    <w:rsid w:val="007C578B"/>
    <w:rsid w:val="007C58AC"/>
    <w:rsid w:val="007C5B8A"/>
    <w:rsid w:val="007C5D13"/>
    <w:rsid w:val="007C5ED9"/>
    <w:rsid w:val="007C5F23"/>
    <w:rsid w:val="007C5FEF"/>
    <w:rsid w:val="007C6013"/>
    <w:rsid w:val="007C601A"/>
    <w:rsid w:val="007C607E"/>
    <w:rsid w:val="007C61B8"/>
    <w:rsid w:val="007C626A"/>
    <w:rsid w:val="007C6298"/>
    <w:rsid w:val="007C62C1"/>
    <w:rsid w:val="007C62FD"/>
    <w:rsid w:val="007C6341"/>
    <w:rsid w:val="007C63DF"/>
    <w:rsid w:val="007C6408"/>
    <w:rsid w:val="007C6421"/>
    <w:rsid w:val="007C642F"/>
    <w:rsid w:val="007C648E"/>
    <w:rsid w:val="007C64F4"/>
    <w:rsid w:val="007C64F8"/>
    <w:rsid w:val="007C6681"/>
    <w:rsid w:val="007C67FE"/>
    <w:rsid w:val="007C68D2"/>
    <w:rsid w:val="007C693E"/>
    <w:rsid w:val="007C6940"/>
    <w:rsid w:val="007C6978"/>
    <w:rsid w:val="007C69BA"/>
    <w:rsid w:val="007C6A9A"/>
    <w:rsid w:val="007C6AA1"/>
    <w:rsid w:val="007C6B69"/>
    <w:rsid w:val="007C6C8B"/>
    <w:rsid w:val="007C6CFE"/>
    <w:rsid w:val="007C6D12"/>
    <w:rsid w:val="007C6D1E"/>
    <w:rsid w:val="007C6F7E"/>
    <w:rsid w:val="007C6FE5"/>
    <w:rsid w:val="007C702F"/>
    <w:rsid w:val="007C71FF"/>
    <w:rsid w:val="007C7251"/>
    <w:rsid w:val="007C726C"/>
    <w:rsid w:val="007C7315"/>
    <w:rsid w:val="007C7356"/>
    <w:rsid w:val="007C73A9"/>
    <w:rsid w:val="007C74A7"/>
    <w:rsid w:val="007C7512"/>
    <w:rsid w:val="007C7539"/>
    <w:rsid w:val="007C75BE"/>
    <w:rsid w:val="007C7679"/>
    <w:rsid w:val="007C76A1"/>
    <w:rsid w:val="007C7857"/>
    <w:rsid w:val="007C78E5"/>
    <w:rsid w:val="007C7934"/>
    <w:rsid w:val="007C7949"/>
    <w:rsid w:val="007C7953"/>
    <w:rsid w:val="007C79B6"/>
    <w:rsid w:val="007C7A38"/>
    <w:rsid w:val="007C7A3D"/>
    <w:rsid w:val="007C7A7E"/>
    <w:rsid w:val="007C7B86"/>
    <w:rsid w:val="007C7B92"/>
    <w:rsid w:val="007C7C2F"/>
    <w:rsid w:val="007C7D07"/>
    <w:rsid w:val="007C7E27"/>
    <w:rsid w:val="007C7FE1"/>
    <w:rsid w:val="007C7FFB"/>
    <w:rsid w:val="007D0012"/>
    <w:rsid w:val="007D0167"/>
    <w:rsid w:val="007D01BB"/>
    <w:rsid w:val="007D0213"/>
    <w:rsid w:val="007D021D"/>
    <w:rsid w:val="007D032F"/>
    <w:rsid w:val="007D0351"/>
    <w:rsid w:val="007D0358"/>
    <w:rsid w:val="007D03FA"/>
    <w:rsid w:val="007D053E"/>
    <w:rsid w:val="007D069F"/>
    <w:rsid w:val="007D074F"/>
    <w:rsid w:val="007D07AC"/>
    <w:rsid w:val="007D07F9"/>
    <w:rsid w:val="007D084C"/>
    <w:rsid w:val="007D089D"/>
    <w:rsid w:val="007D0980"/>
    <w:rsid w:val="007D0AF7"/>
    <w:rsid w:val="007D0B3D"/>
    <w:rsid w:val="007D0B91"/>
    <w:rsid w:val="007D0BEE"/>
    <w:rsid w:val="007D0BF9"/>
    <w:rsid w:val="007D0C75"/>
    <w:rsid w:val="007D0C85"/>
    <w:rsid w:val="007D0D30"/>
    <w:rsid w:val="007D0DA9"/>
    <w:rsid w:val="007D0E3D"/>
    <w:rsid w:val="007D0E74"/>
    <w:rsid w:val="007D0E91"/>
    <w:rsid w:val="007D0F28"/>
    <w:rsid w:val="007D0FA8"/>
    <w:rsid w:val="007D101F"/>
    <w:rsid w:val="007D1121"/>
    <w:rsid w:val="007D11D7"/>
    <w:rsid w:val="007D141B"/>
    <w:rsid w:val="007D1445"/>
    <w:rsid w:val="007D14E3"/>
    <w:rsid w:val="007D1594"/>
    <w:rsid w:val="007D15AB"/>
    <w:rsid w:val="007D15B4"/>
    <w:rsid w:val="007D16F1"/>
    <w:rsid w:val="007D1719"/>
    <w:rsid w:val="007D17E9"/>
    <w:rsid w:val="007D195F"/>
    <w:rsid w:val="007D19FF"/>
    <w:rsid w:val="007D1AD2"/>
    <w:rsid w:val="007D1AF1"/>
    <w:rsid w:val="007D1BE7"/>
    <w:rsid w:val="007D1C25"/>
    <w:rsid w:val="007D1C45"/>
    <w:rsid w:val="007D1D22"/>
    <w:rsid w:val="007D1D40"/>
    <w:rsid w:val="007D1DA0"/>
    <w:rsid w:val="007D1DFB"/>
    <w:rsid w:val="007D1E2F"/>
    <w:rsid w:val="007D1ECF"/>
    <w:rsid w:val="007D226E"/>
    <w:rsid w:val="007D228F"/>
    <w:rsid w:val="007D2319"/>
    <w:rsid w:val="007D2336"/>
    <w:rsid w:val="007D2418"/>
    <w:rsid w:val="007D24D0"/>
    <w:rsid w:val="007D2660"/>
    <w:rsid w:val="007D268D"/>
    <w:rsid w:val="007D2868"/>
    <w:rsid w:val="007D2883"/>
    <w:rsid w:val="007D289B"/>
    <w:rsid w:val="007D2A8F"/>
    <w:rsid w:val="007D2B94"/>
    <w:rsid w:val="007D2B98"/>
    <w:rsid w:val="007D2C04"/>
    <w:rsid w:val="007D2C3C"/>
    <w:rsid w:val="007D2C61"/>
    <w:rsid w:val="007D2CE2"/>
    <w:rsid w:val="007D2D65"/>
    <w:rsid w:val="007D2DE5"/>
    <w:rsid w:val="007D2E99"/>
    <w:rsid w:val="007D2EEF"/>
    <w:rsid w:val="007D2F1F"/>
    <w:rsid w:val="007D2F9A"/>
    <w:rsid w:val="007D301D"/>
    <w:rsid w:val="007D305E"/>
    <w:rsid w:val="007D30B0"/>
    <w:rsid w:val="007D3102"/>
    <w:rsid w:val="007D3269"/>
    <w:rsid w:val="007D32F2"/>
    <w:rsid w:val="007D336E"/>
    <w:rsid w:val="007D33BA"/>
    <w:rsid w:val="007D348F"/>
    <w:rsid w:val="007D34FE"/>
    <w:rsid w:val="007D3539"/>
    <w:rsid w:val="007D353B"/>
    <w:rsid w:val="007D35D9"/>
    <w:rsid w:val="007D35DC"/>
    <w:rsid w:val="007D3606"/>
    <w:rsid w:val="007D375B"/>
    <w:rsid w:val="007D377D"/>
    <w:rsid w:val="007D37D2"/>
    <w:rsid w:val="007D382D"/>
    <w:rsid w:val="007D3939"/>
    <w:rsid w:val="007D39A1"/>
    <w:rsid w:val="007D3A55"/>
    <w:rsid w:val="007D3B07"/>
    <w:rsid w:val="007D3B34"/>
    <w:rsid w:val="007D3B9C"/>
    <w:rsid w:val="007D3C07"/>
    <w:rsid w:val="007D3C91"/>
    <w:rsid w:val="007D3D02"/>
    <w:rsid w:val="007D3D50"/>
    <w:rsid w:val="007D3E19"/>
    <w:rsid w:val="007D3E23"/>
    <w:rsid w:val="007D3F12"/>
    <w:rsid w:val="007D4089"/>
    <w:rsid w:val="007D4094"/>
    <w:rsid w:val="007D4151"/>
    <w:rsid w:val="007D415F"/>
    <w:rsid w:val="007D4286"/>
    <w:rsid w:val="007D42C4"/>
    <w:rsid w:val="007D43D8"/>
    <w:rsid w:val="007D4411"/>
    <w:rsid w:val="007D44A8"/>
    <w:rsid w:val="007D4520"/>
    <w:rsid w:val="007D455A"/>
    <w:rsid w:val="007D4685"/>
    <w:rsid w:val="007D46A7"/>
    <w:rsid w:val="007D47C5"/>
    <w:rsid w:val="007D4834"/>
    <w:rsid w:val="007D4873"/>
    <w:rsid w:val="007D48DA"/>
    <w:rsid w:val="007D495F"/>
    <w:rsid w:val="007D49A6"/>
    <w:rsid w:val="007D49A8"/>
    <w:rsid w:val="007D4A2C"/>
    <w:rsid w:val="007D4AFA"/>
    <w:rsid w:val="007D4B3D"/>
    <w:rsid w:val="007D4CDC"/>
    <w:rsid w:val="007D4DFE"/>
    <w:rsid w:val="007D4E26"/>
    <w:rsid w:val="007D4E4D"/>
    <w:rsid w:val="007D4E5D"/>
    <w:rsid w:val="007D4F50"/>
    <w:rsid w:val="007D4FA0"/>
    <w:rsid w:val="007D4FD4"/>
    <w:rsid w:val="007D50A4"/>
    <w:rsid w:val="007D5148"/>
    <w:rsid w:val="007D5202"/>
    <w:rsid w:val="007D525E"/>
    <w:rsid w:val="007D52B8"/>
    <w:rsid w:val="007D5313"/>
    <w:rsid w:val="007D5318"/>
    <w:rsid w:val="007D5389"/>
    <w:rsid w:val="007D5561"/>
    <w:rsid w:val="007D55D3"/>
    <w:rsid w:val="007D55D4"/>
    <w:rsid w:val="007D5663"/>
    <w:rsid w:val="007D5733"/>
    <w:rsid w:val="007D57AA"/>
    <w:rsid w:val="007D58D2"/>
    <w:rsid w:val="007D5903"/>
    <w:rsid w:val="007D5976"/>
    <w:rsid w:val="007D5A08"/>
    <w:rsid w:val="007D5A12"/>
    <w:rsid w:val="007D5AB5"/>
    <w:rsid w:val="007D5B2B"/>
    <w:rsid w:val="007D5B3C"/>
    <w:rsid w:val="007D5B58"/>
    <w:rsid w:val="007D5B5A"/>
    <w:rsid w:val="007D5B63"/>
    <w:rsid w:val="007D5C5D"/>
    <w:rsid w:val="007D5CD8"/>
    <w:rsid w:val="007D5DDC"/>
    <w:rsid w:val="007D5DE4"/>
    <w:rsid w:val="007D5E81"/>
    <w:rsid w:val="007D5F6D"/>
    <w:rsid w:val="007D5F84"/>
    <w:rsid w:val="007D5FF6"/>
    <w:rsid w:val="007D601C"/>
    <w:rsid w:val="007D6027"/>
    <w:rsid w:val="007D60D0"/>
    <w:rsid w:val="007D619F"/>
    <w:rsid w:val="007D635C"/>
    <w:rsid w:val="007D6385"/>
    <w:rsid w:val="007D63FF"/>
    <w:rsid w:val="007D64D7"/>
    <w:rsid w:val="007D65F1"/>
    <w:rsid w:val="007D661A"/>
    <w:rsid w:val="007D6744"/>
    <w:rsid w:val="007D67B3"/>
    <w:rsid w:val="007D67B5"/>
    <w:rsid w:val="007D6838"/>
    <w:rsid w:val="007D698D"/>
    <w:rsid w:val="007D6A34"/>
    <w:rsid w:val="007D6A3A"/>
    <w:rsid w:val="007D6DBD"/>
    <w:rsid w:val="007D6DF6"/>
    <w:rsid w:val="007D6E60"/>
    <w:rsid w:val="007D6F31"/>
    <w:rsid w:val="007D6F3E"/>
    <w:rsid w:val="007D6FD0"/>
    <w:rsid w:val="007D705E"/>
    <w:rsid w:val="007D7085"/>
    <w:rsid w:val="007D70CC"/>
    <w:rsid w:val="007D7163"/>
    <w:rsid w:val="007D72F5"/>
    <w:rsid w:val="007D737D"/>
    <w:rsid w:val="007D7397"/>
    <w:rsid w:val="007D73BD"/>
    <w:rsid w:val="007D7400"/>
    <w:rsid w:val="007D74E3"/>
    <w:rsid w:val="007D7503"/>
    <w:rsid w:val="007D7534"/>
    <w:rsid w:val="007D75BB"/>
    <w:rsid w:val="007D762E"/>
    <w:rsid w:val="007D7637"/>
    <w:rsid w:val="007D7700"/>
    <w:rsid w:val="007D77AA"/>
    <w:rsid w:val="007D77CA"/>
    <w:rsid w:val="007D7937"/>
    <w:rsid w:val="007D7939"/>
    <w:rsid w:val="007D7961"/>
    <w:rsid w:val="007D7983"/>
    <w:rsid w:val="007D7AAE"/>
    <w:rsid w:val="007D7C0A"/>
    <w:rsid w:val="007D7C36"/>
    <w:rsid w:val="007D7E37"/>
    <w:rsid w:val="007D7F58"/>
    <w:rsid w:val="007E003E"/>
    <w:rsid w:val="007E0074"/>
    <w:rsid w:val="007E0129"/>
    <w:rsid w:val="007E01F2"/>
    <w:rsid w:val="007E028B"/>
    <w:rsid w:val="007E03D4"/>
    <w:rsid w:val="007E042B"/>
    <w:rsid w:val="007E04BE"/>
    <w:rsid w:val="007E0630"/>
    <w:rsid w:val="007E0710"/>
    <w:rsid w:val="007E0724"/>
    <w:rsid w:val="007E072E"/>
    <w:rsid w:val="007E08C1"/>
    <w:rsid w:val="007E0928"/>
    <w:rsid w:val="007E0A23"/>
    <w:rsid w:val="007E0AE2"/>
    <w:rsid w:val="007E0AF9"/>
    <w:rsid w:val="007E0B8F"/>
    <w:rsid w:val="007E0C78"/>
    <w:rsid w:val="007E0CA9"/>
    <w:rsid w:val="007E0CC8"/>
    <w:rsid w:val="007E0D43"/>
    <w:rsid w:val="007E0E78"/>
    <w:rsid w:val="007E0EE0"/>
    <w:rsid w:val="007E1009"/>
    <w:rsid w:val="007E1048"/>
    <w:rsid w:val="007E1185"/>
    <w:rsid w:val="007E11CF"/>
    <w:rsid w:val="007E135C"/>
    <w:rsid w:val="007E1362"/>
    <w:rsid w:val="007E1376"/>
    <w:rsid w:val="007E13C8"/>
    <w:rsid w:val="007E1428"/>
    <w:rsid w:val="007E152C"/>
    <w:rsid w:val="007E1680"/>
    <w:rsid w:val="007E168E"/>
    <w:rsid w:val="007E1747"/>
    <w:rsid w:val="007E174E"/>
    <w:rsid w:val="007E178C"/>
    <w:rsid w:val="007E180E"/>
    <w:rsid w:val="007E1856"/>
    <w:rsid w:val="007E186C"/>
    <w:rsid w:val="007E1964"/>
    <w:rsid w:val="007E19D3"/>
    <w:rsid w:val="007E1A2F"/>
    <w:rsid w:val="007E1A6D"/>
    <w:rsid w:val="007E1AB3"/>
    <w:rsid w:val="007E1AC6"/>
    <w:rsid w:val="007E1AFF"/>
    <w:rsid w:val="007E1B6C"/>
    <w:rsid w:val="007E1BD6"/>
    <w:rsid w:val="007E1BFA"/>
    <w:rsid w:val="007E1D59"/>
    <w:rsid w:val="007E1DCB"/>
    <w:rsid w:val="007E1E2C"/>
    <w:rsid w:val="007E1ECE"/>
    <w:rsid w:val="007E1F2B"/>
    <w:rsid w:val="007E21A8"/>
    <w:rsid w:val="007E2239"/>
    <w:rsid w:val="007E2367"/>
    <w:rsid w:val="007E248F"/>
    <w:rsid w:val="007E24E0"/>
    <w:rsid w:val="007E25A0"/>
    <w:rsid w:val="007E263B"/>
    <w:rsid w:val="007E2682"/>
    <w:rsid w:val="007E26EE"/>
    <w:rsid w:val="007E2800"/>
    <w:rsid w:val="007E28C5"/>
    <w:rsid w:val="007E296B"/>
    <w:rsid w:val="007E2A4F"/>
    <w:rsid w:val="007E2ABC"/>
    <w:rsid w:val="007E2AE6"/>
    <w:rsid w:val="007E2BC5"/>
    <w:rsid w:val="007E2BD3"/>
    <w:rsid w:val="007E2D81"/>
    <w:rsid w:val="007E2EC4"/>
    <w:rsid w:val="007E2F6E"/>
    <w:rsid w:val="007E30E2"/>
    <w:rsid w:val="007E30FC"/>
    <w:rsid w:val="007E3199"/>
    <w:rsid w:val="007E329C"/>
    <w:rsid w:val="007E32A8"/>
    <w:rsid w:val="007E3323"/>
    <w:rsid w:val="007E354F"/>
    <w:rsid w:val="007E355C"/>
    <w:rsid w:val="007E3642"/>
    <w:rsid w:val="007E3657"/>
    <w:rsid w:val="007E376E"/>
    <w:rsid w:val="007E37A2"/>
    <w:rsid w:val="007E37DD"/>
    <w:rsid w:val="007E38CA"/>
    <w:rsid w:val="007E38FF"/>
    <w:rsid w:val="007E3921"/>
    <w:rsid w:val="007E3961"/>
    <w:rsid w:val="007E3E92"/>
    <w:rsid w:val="007E3EA4"/>
    <w:rsid w:val="007E3EB3"/>
    <w:rsid w:val="007E3EDD"/>
    <w:rsid w:val="007E3EEF"/>
    <w:rsid w:val="007E3FF3"/>
    <w:rsid w:val="007E401D"/>
    <w:rsid w:val="007E40C1"/>
    <w:rsid w:val="007E4133"/>
    <w:rsid w:val="007E4185"/>
    <w:rsid w:val="007E41DD"/>
    <w:rsid w:val="007E41F9"/>
    <w:rsid w:val="007E4256"/>
    <w:rsid w:val="007E4309"/>
    <w:rsid w:val="007E439D"/>
    <w:rsid w:val="007E43AF"/>
    <w:rsid w:val="007E44FA"/>
    <w:rsid w:val="007E45DB"/>
    <w:rsid w:val="007E4709"/>
    <w:rsid w:val="007E4773"/>
    <w:rsid w:val="007E49B1"/>
    <w:rsid w:val="007E4A47"/>
    <w:rsid w:val="007E4A58"/>
    <w:rsid w:val="007E4BEF"/>
    <w:rsid w:val="007E4D9B"/>
    <w:rsid w:val="007E4E86"/>
    <w:rsid w:val="007E4E90"/>
    <w:rsid w:val="007E4F3F"/>
    <w:rsid w:val="007E4FCA"/>
    <w:rsid w:val="007E50A4"/>
    <w:rsid w:val="007E5230"/>
    <w:rsid w:val="007E524E"/>
    <w:rsid w:val="007E5272"/>
    <w:rsid w:val="007E53FF"/>
    <w:rsid w:val="007E54CC"/>
    <w:rsid w:val="007E5529"/>
    <w:rsid w:val="007E560E"/>
    <w:rsid w:val="007E5698"/>
    <w:rsid w:val="007E56EC"/>
    <w:rsid w:val="007E57C4"/>
    <w:rsid w:val="007E58A2"/>
    <w:rsid w:val="007E58A8"/>
    <w:rsid w:val="007E58F2"/>
    <w:rsid w:val="007E5AB1"/>
    <w:rsid w:val="007E5B77"/>
    <w:rsid w:val="007E5CF0"/>
    <w:rsid w:val="007E5EB3"/>
    <w:rsid w:val="007E5F0E"/>
    <w:rsid w:val="007E5F90"/>
    <w:rsid w:val="007E6018"/>
    <w:rsid w:val="007E60A3"/>
    <w:rsid w:val="007E613D"/>
    <w:rsid w:val="007E6178"/>
    <w:rsid w:val="007E6209"/>
    <w:rsid w:val="007E620A"/>
    <w:rsid w:val="007E62DB"/>
    <w:rsid w:val="007E663F"/>
    <w:rsid w:val="007E664B"/>
    <w:rsid w:val="007E66DF"/>
    <w:rsid w:val="007E6779"/>
    <w:rsid w:val="007E681D"/>
    <w:rsid w:val="007E682C"/>
    <w:rsid w:val="007E68D3"/>
    <w:rsid w:val="007E6954"/>
    <w:rsid w:val="007E6957"/>
    <w:rsid w:val="007E697C"/>
    <w:rsid w:val="007E69F6"/>
    <w:rsid w:val="007E6A63"/>
    <w:rsid w:val="007E6B23"/>
    <w:rsid w:val="007E6BB9"/>
    <w:rsid w:val="007E6C31"/>
    <w:rsid w:val="007E6C5D"/>
    <w:rsid w:val="007E6CE5"/>
    <w:rsid w:val="007E6D04"/>
    <w:rsid w:val="007E6EE1"/>
    <w:rsid w:val="007E6F5C"/>
    <w:rsid w:val="007E711B"/>
    <w:rsid w:val="007E71C0"/>
    <w:rsid w:val="007E72A3"/>
    <w:rsid w:val="007E72F9"/>
    <w:rsid w:val="007E7339"/>
    <w:rsid w:val="007E73E4"/>
    <w:rsid w:val="007E7437"/>
    <w:rsid w:val="007E7495"/>
    <w:rsid w:val="007E7612"/>
    <w:rsid w:val="007E763A"/>
    <w:rsid w:val="007E76BF"/>
    <w:rsid w:val="007E7772"/>
    <w:rsid w:val="007E789E"/>
    <w:rsid w:val="007E7969"/>
    <w:rsid w:val="007E79A7"/>
    <w:rsid w:val="007E79B3"/>
    <w:rsid w:val="007E7B04"/>
    <w:rsid w:val="007E7B84"/>
    <w:rsid w:val="007E7D4D"/>
    <w:rsid w:val="007E7DE7"/>
    <w:rsid w:val="007E7E40"/>
    <w:rsid w:val="007E7E5D"/>
    <w:rsid w:val="007F0207"/>
    <w:rsid w:val="007F0250"/>
    <w:rsid w:val="007F0338"/>
    <w:rsid w:val="007F0348"/>
    <w:rsid w:val="007F0389"/>
    <w:rsid w:val="007F052E"/>
    <w:rsid w:val="007F0634"/>
    <w:rsid w:val="007F07CF"/>
    <w:rsid w:val="007F08FA"/>
    <w:rsid w:val="007F08FF"/>
    <w:rsid w:val="007F0912"/>
    <w:rsid w:val="007F0915"/>
    <w:rsid w:val="007F0955"/>
    <w:rsid w:val="007F0A2F"/>
    <w:rsid w:val="007F0A87"/>
    <w:rsid w:val="007F0A8E"/>
    <w:rsid w:val="007F0B8A"/>
    <w:rsid w:val="007F0C8F"/>
    <w:rsid w:val="007F0CBB"/>
    <w:rsid w:val="007F0D4B"/>
    <w:rsid w:val="007F0DCC"/>
    <w:rsid w:val="007F0E37"/>
    <w:rsid w:val="007F0E3C"/>
    <w:rsid w:val="007F112A"/>
    <w:rsid w:val="007F1166"/>
    <w:rsid w:val="007F12B4"/>
    <w:rsid w:val="007F144A"/>
    <w:rsid w:val="007F158A"/>
    <w:rsid w:val="007F15CF"/>
    <w:rsid w:val="007F1740"/>
    <w:rsid w:val="007F179D"/>
    <w:rsid w:val="007F17B3"/>
    <w:rsid w:val="007F1939"/>
    <w:rsid w:val="007F1983"/>
    <w:rsid w:val="007F1AAB"/>
    <w:rsid w:val="007F1ACE"/>
    <w:rsid w:val="007F1AE0"/>
    <w:rsid w:val="007F1B01"/>
    <w:rsid w:val="007F1B1A"/>
    <w:rsid w:val="007F1BE2"/>
    <w:rsid w:val="007F1D16"/>
    <w:rsid w:val="007F1D90"/>
    <w:rsid w:val="007F1DB1"/>
    <w:rsid w:val="007F1F4C"/>
    <w:rsid w:val="007F1F99"/>
    <w:rsid w:val="007F2024"/>
    <w:rsid w:val="007F2042"/>
    <w:rsid w:val="007F208A"/>
    <w:rsid w:val="007F208E"/>
    <w:rsid w:val="007F20A3"/>
    <w:rsid w:val="007F20BD"/>
    <w:rsid w:val="007F210F"/>
    <w:rsid w:val="007F2213"/>
    <w:rsid w:val="007F230E"/>
    <w:rsid w:val="007F2324"/>
    <w:rsid w:val="007F235C"/>
    <w:rsid w:val="007F23F9"/>
    <w:rsid w:val="007F2437"/>
    <w:rsid w:val="007F244B"/>
    <w:rsid w:val="007F2472"/>
    <w:rsid w:val="007F24FD"/>
    <w:rsid w:val="007F2528"/>
    <w:rsid w:val="007F25DE"/>
    <w:rsid w:val="007F26AD"/>
    <w:rsid w:val="007F27C1"/>
    <w:rsid w:val="007F27F0"/>
    <w:rsid w:val="007F280A"/>
    <w:rsid w:val="007F281D"/>
    <w:rsid w:val="007F2904"/>
    <w:rsid w:val="007F2926"/>
    <w:rsid w:val="007F293D"/>
    <w:rsid w:val="007F2980"/>
    <w:rsid w:val="007F2A69"/>
    <w:rsid w:val="007F2AD4"/>
    <w:rsid w:val="007F2B52"/>
    <w:rsid w:val="007F2B82"/>
    <w:rsid w:val="007F2C1B"/>
    <w:rsid w:val="007F2C59"/>
    <w:rsid w:val="007F2D0F"/>
    <w:rsid w:val="007F2E39"/>
    <w:rsid w:val="007F2E6A"/>
    <w:rsid w:val="007F2F44"/>
    <w:rsid w:val="007F3075"/>
    <w:rsid w:val="007F30BB"/>
    <w:rsid w:val="007F313A"/>
    <w:rsid w:val="007F31B5"/>
    <w:rsid w:val="007F329F"/>
    <w:rsid w:val="007F32DE"/>
    <w:rsid w:val="007F3386"/>
    <w:rsid w:val="007F33DE"/>
    <w:rsid w:val="007F343E"/>
    <w:rsid w:val="007F3498"/>
    <w:rsid w:val="007F34F3"/>
    <w:rsid w:val="007F3517"/>
    <w:rsid w:val="007F3521"/>
    <w:rsid w:val="007F3532"/>
    <w:rsid w:val="007F3572"/>
    <w:rsid w:val="007F35F2"/>
    <w:rsid w:val="007F35F3"/>
    <w:rsid w:val="007F3603"/>
    <w:rsid w:val="007F368E"/>
    <w:rsid w:val="007F36C3"/>
    <w:rsid w:val="007F3700"/>
    <w:rsid w:val="007F3713"/>
    <w:rsid w:val="007F373C"/>
    <w:rsid w:val="007F374A"/>
    <w:rsid w:val="007F380A"/>
    <w:rsid w:val="007F38E8"/>
    <w:rsid w:val="007F3914"/>
    <w:rsid w:val="007F39A0"/>
    <w:rsid w:val="007F3A52"/>
    <w:rsid w:val="007F3AA2"/>
    <w:rsid w:val="007F3AC0"/>
    <w:rsid w:val="007F3B1C"/>
    <w:rsid w:val="007F3B21"/>
    <w:rsid w:val="007F3B2E"/>
    <w:rsid w:val="007F3C97"/>
    <w:rsid w:val="007F3D52"/>
    <w:rsid w:val="007F3DBD"/>
    <w:rsid w:val="007F3E37"/>
    <w:rsid w:val="007F3EA8"/>
    <w:rsid w:val="007F3F2D"/>
    <w:rsid w:val="007F40B7"/>
    <w:rsid w:val="007F415B"/>
    <w:rsid w:val="007F420E"/>
    <w:rsid w:val="007F42DF"/>
    <w:rsid w:val="007F434A"/>
    <w:rsid w:val="007F435D"/>
    <w:rsid w:val="007F4403"/>
    <w:rsid w:val="007F4416"/>
    <w:rsid w:val="007F4426"/>
    <w:rsid w:val="007F4530"/>
    <w:rsid w:val="007F455D"/>
    <w:rsid w:val="007F45FA"/>
    <w:rsid w:val="007F45FB"/>
    <w:rsid w:val="007F4646"/>
    <w:rsid w:val="007F4790"/>
    <w:rsid w:val="007F488C"/>
    <w:rsid w:val="007F4915"/>
    <w:rsid w:val="007F491C"/>
    <w:rsid w:val="007F49ED"/>
    <w:rsid w:val="007F49F5"/>
    <w:rsid w:val="007F4BBA"/>
    <w:rsid w:val="007F4BF4"/>
    <w:rsid w:val="007F4D34"/>
    <w:rsid w:val="007F4D7C"/>
    <w:rsid w:val="007F4DD3"/>
    <w:rsid w:val="007F4E28"/>
    <w:rsid w:val="007F4E46"/>
    <w:rsid w:val="007F4E94"/>
    <w:rsid w:val="007F4F66"/>
    <w:rsid w:val="007F4FEF"/>
    <w:rsid w:val="007F5063"/>
    <w:rsid w:val="007F5157"/>
    <w:rsid w:val="007F517C"/>
    <w:rsid w:val="007F5242"/>
    <w:rsid w:val="007F5272"/>
    <w:rsid w:val="007F5383"/>
    <w:rsid w:val="007F53AF"/>
    <w:rsid w:val="007F5414"/>
    <w:rsid w:val="007F54DD"/>
    <w:rsid w:val="007F54FC"/>
    <w:rsid w:val="007F565A"/>
    <w:rsid w:val="007F56E1"/>
    <w:rsid w:val="007F5712"/>
    <w:rsid w:val="007F574A"/>
    <w:rsid w:val="007F5770"/>
    <w:rsid w:val="007F57E9"/>
    <w:rsid w:val="007F5A2C"/>
    <w:rsid w:val="007F5BAE"/>
    <w:rsid w:val="007F5BF9"/>
    <w:rsid w:val="007F5D2F"/>
    <w:rsid w:val="007F5E57"/>
    <w:rsid w:val="007F5FBE"/>
    <w:rsid w:val="007F60D2"/>
    <w:rsid w:val="007F6305"/>
    <w:rsid w:val="007F6447"/>
    <w:rsid w:val="007F64A4"/>
    <w:rsid w:val="007F64F1"/>
    <w:rsid w:val="007F65E4"/>
    <w:rsid w:val="007F6780"/>
    <w:rsid w:val="007F67FA"/>
    <w:rsid w:val="007F682E"/>
    <w:rsid w:val="007F68A1"/>
    <w:rsid w:val="007F6A24"/>
    <w:rsid w:val="007F6A78"/>
    <w:rsid w:val="007F6B0F"/>
    <w:rsid w:val="007F6D25"/>
    <w:rsid w:val="007F6D38"/>
    <w:rsid w:val="007F6DEF"/>
    <w:rsid w:val="007F6E77"/>
    <w:rsid w:val="007F6E8C"/>
    <w:rsid w:val="007F6F20"/>
    <w:rsid w:val="007F7039"/>
    <w:rsid w:val="007F71EC"/>
    <w:rsid w:val="007F731B"/>
    <w:rsid w:val="007F737E"/>
    <w:rsid w:val="007F73A9"/>
    <w:rsid w:val="007F73F4"/>
    <w:rsid w:val="007F7581"/>
    <w:rsid w:val="007F7653"/>
    <w:rsid w:val="007F77C9"/>
    <w:rsid w:val="007F7808"/>
    <w:rsid w:val="007F7825"/>
    <w:rsid w:val="007F78C1"/>
    <w:rsid w:val="007F7992"/>
    <w:rsid w:val="007F7AD4"/>
    <w:rsid w:val="007F7AEC"/>
    <w:rsid w:val="007F7B20"/>
    <w:rsid w:val="007F7BC6"/>
    <w:rsid w:val="007F7C32"/>
    <w:rsid w:val="007F7C54"/>
    <w:rsid w:val="007F7D4E"/>
    <w:rsid w:val="007F7D50"/>
    <w:rsid w:val="007F7DE1"/>
    <w:rsid w:val="007F7E94"/>
    <w:rsid w:val="007F7EB1"/>
    <w:rsid w:val="007F7EFE"/>
    <w:rsid w:val="007F7F5F"/>
    <w:rsid w:val="00800018"/>
    <w:rsid w:val="00800096"/>
    <w:rsid w:val="00800142"/>
    <w:rsid w:val="0080020F"/>
    <w:rsid w:val="0080035E"/>
    <w:rsid w:val="0080037C"/>
    <w:rsid w:val="008003BD"/>
    <w:rsid w:val="0080046A"/>
    <w:rsid w:val="00800478"/>
    <w:rsid w:val="00800479"/>
    <w:rsid w:val="008005A2"/>
    <w:rsid w:val="00800622"/>
    <w:rsid w:val="00800636"/>
    <w:rsid w:val="00800759"/>
    <w:rsid w:val="00800776"/>
    <w:rsid w:val="008007C8"/>
    <w:rsid w:val="00800818"/>
    <w:rsid w:val="00800988"/>
    <w:rsid w:val="008009CA"/>
    <w:rsid w:val="00800A01"/>
    <w:rsid w:val="00800A6F"/>
    <w:rsid w:val="00800B23"/>
    <w:rsid w:val="00800CBC"/>
    <w:rsid w:val="00800DA6"/>
    <w:rsid w:val="00800EA5"/>
    <w:rsid w:val="00800F08"/>
    <w:rsid w:val="00800F85"/>
    <w:rsid w:val="00800FE4"/>
    <w:rsid w:val="0080105B"/>
    <w:rsid w:val="00801091"/>
    <w:rsid w:val="008011C7"/>
    <w:rsid w:val="0080123E"/>
    <w:rsid w:val="008013BD"/>
    <w:rsid w:val="008013C9"/>
    <w:rsid w:val="008014C4"/>
    <w:rsid w:val="008014E8"/>
    <w:rsid w:val="008014F3"/>
    <w:rsid w:val="00801753"/>
    <w:rsid w:val="00801789"/>
    <w:rsid w:val="008017F2"/>
    <w:rsid w:val="00801831"/>
    <w:rsid w:val="00801924"/>
    <w:rsid w:val="008019FA"/>
    <w:rsid w:val="00801A00"/>
    <w:rsid w:val="00801A0F"/>
    <w:rsid w:val="00801A9F"/>
    <w:rsid w:val="00801B1E"/>
    <w:rsid w:val="00801C89"/>
    <w:rsid w:val="00801CDC"/>
    <w:rsid w:val="00801DED"/>
    <w:rsid w:val="00801E7C"/>
    <w:rsid w:val="00801EB0"/>
    <w:rsid w:val="00801F21"/>
    <w:rsid w:val="00801FEF"/>
    <w:rsid w:val="00802024"/>
    <w:rsid w:val="00802077"/>
    <w:rsid w:val="008020D1"/>
    <w:rsid w:val="0080219A"/>
    <w:rsid w:val="008022A7"/>
    <w:rsid w:val="008023D7"/>
    <w:rsid w:val="00802508"/>
    <w:rsid w:val="00802585"/>
    <w:rsid w:val="0080260C"/>
    <w:rsid w:val="008026F6"/>
    <w:rsid w:val="008026F7"/>
    <w:rsid w:val="0080274B"/>
    <w:rsid w:val="00802893"/>
    <w:rsid w:val="008028D3"/>
    <w:rsid w:val="00802953"/>
    <w:rsid w:val="00802A44"/>
    <w:rsid w:val="00802ABB"/>
    <w:rsid w:val="00802B4E"/>
    <w:rsid w:val="00802CB6"/>
    <w:rsid w:val="00802F78"/>
    <w:rsid w:val="00802FBF"/>
    <w:rsid w:val="0080301D"/>
    <w:rsid w:val="00803044"/>
    <w:rsid w:val="00803061"/>
    <w:rsid w:val="008030D0"/>
    <w:rsid w:val="0080311A"/>
    <w:rsid w:val="0080316D"/>
    <w:rsid w:val="008031D1"/>
    <w:rsid w:val="0080321F"/>
    <w:rsid w:val="00803223"/>
    <w:rsid w:val="008032DB"/>
    <w:rsid w:val="00803366"/>
    <w:rsid w:val="008033A4"/>
    <w:rsid w:val="00803429"/>
    <w:rsid w:val="00803494"/>
    <w:rsid w:val="00803504"/>
    <w:rsid w:val="0080360B"/>
    <w:rsid w:val="008036C4"/>
    <w:rsid w:val="008036FF"/>
    <w:rsid w:val="0080377F"/>
    <w:rsid w:val="00803798"/>
    <w:rsid w:val="008038F3"/>
    <w:rsid w:val="0080394D"/>
    <w:rsid w:val="00803959"/>
    <w:rsid w:val="008039D6"/>
    <w:rsid w:val="008039E7"/>
    <w:rsid w:val="008039EE"/>
    <w:rsid w:val="00803AFF"/>
    <w:rsid w:val="00803B72"/>
    <w:rsid w:val="00803B9B"/>
    <w:rsid w:val="00803BDF"/>
    <w:rsid w:val="00803CF3"/>
    <w:rsid w:val="00803D2B"/>
    <w:rsid w:val="00803DB8"/>
    <w:rsid w:val="00803EA2"/>
    <w:rsid w:val="00803EF4"/>
    <w:rsid w:val="00803F2C"/>
    <w:rsid w:val="00803F41"/>
    <w:rsid w:val="00803F7B"/>
    <w:rsid w:val="00803F85"/>
    <w:rsid w:val="00803FCD"/>
    <w:rsid w:val="0080404E"/>
    <w:rsid w:val="00804069"/>
    <w:rsid w:val="008041A8"/>
    <w:rsid w:val="008041B7"/>
    <w:rsid w:val="00804252"/>
    <w:rsid w:val="0080445B"/>
    <w:rsid w:val="00804476"/>
    <w:rsid w:val="00804689"/>
    <w:rsid w:val="008046AC"/>
    <w:rsid w:val="008046BB"/>
    <w:rsid w:val="0080471D"/>
    <w:rsid w:val="00804738"/>
    <w:rsid w:val="0080475F"/>
    <w:rsid w:val="00804848"/>
    <w:rsid w:val="00804932"/>
    <w:rsid w:val="0080493B"/>
    <w:rsid w:val="00804A6C"/>
    <w:rsid w:val="00804AF3"/>
    <w:rsid w:val="00804CAF"/>
    <w:rsid w:val="00804CCC"/>
    <w:rsid w:val="00804D45"/>
    <w:rsid w:val="00804DC9"/>
    <w:rsid w:val="00804E11"/>
    <w:rsid w:val="00804EBE"/>
    <w:rsid w:val="00804F19"/>
    <w:rsid w:val="008050E3"/>
    <w:rsid w:val="0080524F"/>
    <w:rsid w:val="008052E2"/>
    <w:rsid w:val="00805366"/>
    <w:rsid w:val="008053E2"/>
    <w:rsid w:val="00805422"/>
    <w:rsid w:val="008054FB"/>
    <w:rsid w:val="0080568D"/>
    <w:rsid w:val="00805695"/>
    <w:rsid w:val="008057B3"/>
    <w:rsid w:val="008057D0"/>
    <w:rsid w:val="008057E4"/>
    <w:rsid w:val="00805880"/>
    <w:rsid w:val="00805884"/>
    <w:rsid w:val="00805A6E"/>
    <w:rsid w:val="00805B12"/>
    <w:rsid w:val="00805B19"/>
    <w:rsid w:val="00805B4D"/>
    <w:rsid w:val="00805B70"/>
    <w:rsid w:val="00805B7D"/>
    <w:rsid w:val="00805D04"/>
    <w:rsid w:val="00805D70"/>
    <w:rsid w:val="00805F99"/>
    <w:rsid w:val="00806205"/>
    <w:rsid w:val="0080624B"/>
    <w:rsid w:val="008062EE"/>
    <w:rsid w:val="0080636B"/>
    <w:rsid w:val="00806414"/>
    <w:rsid w:val="00806614"/>
    <w:rsid w:val="008067C5"/>
    <w:rsid w:val="0080686D"/>
    <w:rsid w:val="008069BD"/>
    <w:rsid w:val="008069C5"/>
    <w:rsid w:val="00806B33"/>
    <w:rsid w:val="00806B9F"/>
    <w:rsid w:val="00806BB1"/>
    <w:rsid w:val="00806CF3"/>
    <w:rsid w:val="00806D27"/>
    <w:rsid w:val="00806DA1"/>
    <w:rsid w:val="00806DC3"/>
    <w:rsid w:val="00806EC0"/>
    <w:rsid w:val="00806EC8"/>
    <w:rsid w:val="0080712E"/>
    <w:rsid w:val="008071E7"/>
    <w:rsid w:val="008071F0"/>
    <w:rsid w:val="00807246"/>
    <w:rsid w:val="008072D4"/>
    <w:rsid w:val="008072F1"/>
    <w:rsid w:val="00807430"/>
    <w:rsid w:val="0080759F"/>
    <w:rsid w:val="00807950"/>
    <w:rsid w:val="008079B0"/>
    <w:rsid w:val="00807A1D"/>
    <w:rsid w:val="00807ADB"/>
    <w:rsid w:val="00807ADD"/>
    <w:rsid w:val="00807BD8"/>
    <w:rsid w:val="00807D23"/>
    <w:rsid w:val="00807DBA"/>
    <w:rsid w:val="00807E28"/>
    <w:rsid w:val="00807EA8"/>
    <w:rsid w:val="00807EEB"/>
    <w:rsid w:val="00807FA3"/>
    <w:rsid w:val="00810072"/>
    <w:rsid w:val="008100DE"/>
    <w:rsid w:val="00810125"/>
    <w:rsid w:val="00810138"/>
    <w:rsid w:val="0081019F"/>
    <w:rsid w:val="00810394"/>
    <w:rsid w:val="008104CD"/>
    <w:rsid w:val="00810561"/>
    <w:rsid w:val="0081059A"/>
    <w:rsid w:val="008105DB"/>
    <w:rsid w:val="00810668"/>
    <w:rsid w:val="00810696"/>
    <w:rsid w:val="008106C6"/>
    <w:rsid w:val="0081078E"/>
    <w:rsid w:val="00810792"/>
    <w:rsid w:val="00810820"/>
    <w:rsid w:val="00810830"/>
    <w:rsid w:val="008108DF"/>
    <w:rsid w:val="008108EA"/>
    <w:rsid w:val="008108ED"/>
    <w:rsid w:val="0081091C"/>
    <w:rsid w:val="0081098B"/>
    <w:rsid w:val="00810995"/>
    <w:rsid w:val="00810A37"/>
    <w:rsid w:val="00810A6E"/>
    <w:rsid w:val="00810B29"/>
    <w:rsid w:val="00810C75"/>
    <w:rsid w:val="00810DB1"/>
    <w:rsid w:val="00810F5A"/>
    <w:rsid w:val="00810F85"/>
    <w:rsid w:val="00810FE3"/>
    <w:rsid w:val="0081101D"/>
    <w:rsid w:val="00811138"/>
    <w:rsid w:val="00811145"/>
    <w:rsid w:val="00811180"/>
    <w:rsid w:val="0081122A"/>
    <w:rsid w:val="008112F9"/>
    <w:rsid w:val="008113E2"/>
    <w:rsid w:val="008115FD"/>
    <w:rsid w:val="00811631"/>
    <w:rsid w:val="00811657"/>
    <w:rsid w:val="00811768"/>
    <w:rsid w:val="00811812"/>
    <w:rsid w:val="00811840"/>
    <w:rsid w:val="00811A5A"/>
    <w:rsid w:val="00811AA9"/>
    <w:rsid w:val="00811B58"/>
    <w:rsid w:val="00811C29"/>
    <w:rsid w:val="00811DA5"/>
    <w:rsid w:val="00811E33"/>
    <w:rsid w:val="00811EE2"/>
    <w:rsid w:val="00811F2A"/>
    <w:rsid w:val="00811F30"/>
    <w:rsid w:val="00811FED"/>
    <w:rsid w:val="0081204F"/>
    <w:rsid w:val="008120DC"/>
    <w:rsid w:val="0081222F"/>
    <w:rsid w:val="00812314"/>
    <w:rsid w:val="008123A7"/>
    <w:rsid w:val="008123E4"/>
    <w:rsid w:val="00812441"/>
    <w:rsid w:val="00812462"/>
    <w:rsid w:val="008124A4"/>
    <w:rsid w:val="008124E8"/>
    <w:rsid w:val="0081256B"/>
    <w:rsid w:val="0081256E"/>
    <w:rsid w:val="008125B3"/>
    <w:rsid w:val="008125E7"/>
    <w:rsid w:val="008126E0"/>
    <w:rsid w:val="0081272E"/>
    <w:rsid w:val="00812732"/>
    <w:rsid w:val="00812960"/>
    <w:rsid w:val="008129D5"/>
    <w:rsid w:val="00812A38"/>
    <w:rsid w:val="00812B1D"/>
    <w:rsid w:val="00812BB4"/>
    <w:rsid w:val="00812C10"/>
    <w:rsid w:val="00812D39"/>
    <w:rsid w:val="00812D9F"/>
    <w:rsid w:val="00812E6A"/>
    <w:rsid w:val="00812FCB"/>
    <w:rsid w:val="0081312B"/>
    <w:rsid w:val="00813151"/>
    <w:rsid w:val="0081318F"/>
    <w:rsid w:val="0081326E"/>
    <w:rsid w:val="008132B3"/>
    <w:rsid w:val="008132EC"/>
    <w:rsid w:val="008133CE"/>
    <w:rsid w:val="008134F9"/>
    <w:rsid w:val="008135D7"/>
    <w:rsid w:val="00813688"/>
    <w:rsid w:val="00813792"/>
    <w:rsid w:val="00813AA8"/>
    <w:rsid w:val="00813B22"/>
    <w:rsid w:val="00813BFA"/>
    <w:rsid w:val="00813C17"/>
    <w:rsid w:val="00813C50"/>
    <w:rsid w:val="00813CF0"/>
    <w:rsid w:val="00813F10"/>
    <w:rsid w:val="00813F6A"/>
    <w:rsid w:val="0081413A"/>
    <w:rsid w:val="00814143"/>
    <w:rsid w:val="00814148"/>
    <w:rsid w:val="008141CC"/>
    <w:rsid w:val="0081427D"/>
    <w:rsid w:val="008142B7"/>
    <w:rsid w:val="0081468D"/>
    <w:rsid w:val="00814900"/>
    <w:rsid w:val="00814934"/>
    <w:rsid w:val="00814A4E"/>
    <w:rsid w:val="00814A54"/>
    <w:rsid w:val="00814AF2"/>
    <w:rsid w:val="00814B00"/>
    <w:rsid w:val="00814BF4"/>
    <w:rsid w:val="00814C95"/>
    <w:rsid w:val="00814CB6"/>
    <w:rsid w:val="00814D36"/>
    <w:rsid w:val="00814D73"/>
    <w:rsid w:val="00814EE1"/>
    <w:rsid w:val="00814EF3"/>
    <w:rsid w:val="00814F54"/>
    <w:rsid w:val="008150C3"/>
    <w:rsid w:val="008150E5"/>
    <w:rsid w:val="00815168"/>
    <w:rsid w:val="00815370"/>
    <w:rsid w:val="00815599"/>
    <w:rsid w:val="008155B3"/>
    <w:rsid w:val="008155C0"/>
    <w:rsid w:val="0081563E"/>
    <w:rsid w:val="008156BE"/>
    <w:rsid w:val="008156FF"/>
    <w:rsid w:val="008159BA"/>
    <w:rsid w:val="008159D7"/>
    <w:rsid w:val="00815A2B"/>
    <w:rsid w:val="00815A72"/>
    <w:rsid w:val="00815A95"/>
    <w:rsid w:val="00815BE6"/>
    <w:rsid w:val="00815C68"/>
    <w:rsid w:val="00815C6E"/>
    <w:rsid w:val="00815C8B"/>
    <w:rsid w:val="00815C8C"/>
    <w:rsid w:val="00815E92"/>
    <w:rsid w:val="00816030"/>
    <w:rsid w:val="0081604A"/>
    <w:rsid w:val="008160C3"/>
    <w:rsid w:val="00816176"/>
    <w:rsid w:val="00816279"/>
    <w:rsid w:val="0081635C"/>
    <w:rsid w:val="008163DB"/>
    <w:rsid w:val="00816480"/>
    <w:rsid w:val="008164D7"/>
    <w:rsid w:val="0081658A"/>
    <w:rsid w:val="00816661"/>
    <w:rsid w:val="00816773"/>
    <w:rsid w:val="00816783"/>
    <w:rsid w:val="008167EF"/>
    <w:rsid w:val="00816829"/>
    <w:rsid w:val="00816867"/>
    <w:rsid w:val="0081687D"/>
    <w:rsid w:val="008168A1"/>
    <w:rsid w:val="008168A5"/>
    <w:rsid w:val="008168C5"/>
    <w:rsid w:val="008168E7"/>
    <w:rsid w:val="00816927"/>
    <w:rsid w:val="00816968"/>
    <w:rsid w:val="00816A0D"/>
    <w:rsid w:val="00816B87"/>
    <w:rsid w:val="00816D52"/>
    <w:rsid w:val="00816D76"/>
    <w:rsid w:val="00816EC4"/>
    <w:rsid w:val="00816ECF"/>
    <w:rsid w:val="00816F4E"/>
    <w:rsid w:val="00816F53"/>
    <w:rsid w:val="00816F79"/>
    <w:rsid w:val="00816F93"/>
    <w:rsid w:val="008170D2"/>
    <w:rsid w:val="008170EC"/>
    <w:rsid w:val="0081727C"/>
    <w:rsid w:val="00817296"/>
    <w:rsid w:val="008172B8"/>
    <w:rsid w:val="0081732F"/>
    <w:rsid w:val="0081736C"/>
    <w:rsid w:val="008173F4"/>
    <w:rsid w:val="008175AF"/>
    <w:rsid w:val="00817649"/>
    <w:rsid w:val="0081772E"/>
    <w:rsid w:val="0081773C"/>
    <w:rsid w:val="00817799"/>
    <w:rsid w:val="00817984"/>
    <w:rsid w:val="008179AB"/>
    <w:rsid w:val="00817A26"/>
    <w:rsid w:val="00817B4A"/>
    <w:rsid w:val="00817CC4"/>
    <w:rsid w:val="00817D6D"/>
    <w:rsid w:val="00817D89"/>
    <w:rsid w:val="00817DD1"/>
    <w:rsid w:val="00817DD4"/>
    <w:rsid w:val="00817DEE"/>
    <w:rsid w:val="00817E27"/>
    <w:rsid w:val="00817ED8"/>
    <w:rsid w:val="00817EF1"/>
    <w:rsid w:val="00820003"/>
    <w:rsid w:val="0082002F"/>
    <w:rsid w:val="008200E4"/>
    <w:rsid w:val="0082028A"/>
    <w:rsid w:val="008202C9"/>
    <w:rsid w:val="008202E6"/>
    <w:rsid w:val="00820317"/>
    <w:rsid w:val="00820323"/>
    <w:rsid w:val="0082038F"/>
    <w:rsid w:val="00820417"/>
    <w:rsid w:val="00820432"/>
    <w:rsid w:val="00820609"/>
    <w:rsid w:val="00820680"/>
    <w:rsid w:val="008206B0"/>
    <w:rsid w:val="008206BD"/>
    <w:rsid w:val="00820708"/>
    <w:rsid w:val="0082080E"/>
    <w:rsid w:val="00820946"/>
    <w:rsid w:val="0082094C"/>
    <w:rsid w:val="0082098A"/>
    <w:rsid w:val="008209E1"/>
    <w:rsid w:val="00820A44"/>
    <w:rsid w:val="00820ABE"/>
    <w:rsid w:val="00820AFE"/>
    <w:rsid w:val="00820B59"/>
    <w:rsid w:val="00820B91"/>
    <w:rsid w:val="00820C30"/>
    <w:rsid w:val="00820C9D"/>
    <w:rsid w:val="00820D93"/>
    <w:rsid w:val="00820DC8"/>
    <w:rsid w:val="00820E6A"/>
    <w:rsid w:val="00820EC4"/>
    <w:rsid w:val="00820FE3"/>
    <w:rsid w:val="0082106E"/>
    <w:rsid w:val="00821075"/>
    <w:rsid w:val="0082115A"/>
    <w:rsid w:val="00821294"/>
    <w:rsid w:val="008212AE"/>
    <w:rsid w:val="008212EA"/>
    <w:rsid w:val="00821481"/>
    <w:rsid w:val="008214DE"/>
    <w:rsid w:val="00821505"/>
    <w:rsid w:val="0082152F"/>
    <w:rsid w:val="0082158E"/>
    <w:rsid w:val="008215BF"/>
    <w:rsid w:val="00821680"/>
    <w:rsid w:val="008217FA"/>
    <w:rsid w:val="00821801"/>
    <w:rsid w:val="00821839"/>
    <w:rsid w:val="00821891"/>
    <w:rsid w:val="008218FD"/>
    <w:rsid w:val="008219C6"/>
    <w:rsid w:val="008219DD"/>
    <w:rsid w:val="00821A75"/>
    <w:rsid w:val="00821AC4"/>
    <w:rsid w:val="00821AFA"/>
    <w:rsid w:val="00821C04"/>
    <w:rsid w:val="00821C17"/>
    <w:rsid w:val="00821C34"/>
    <w:rsid w:val="00821E06"/>
    <w:rsid w:val="0082204B"/>
    <w:rsid w:val="00822070"/>
    <w:rsid w:val="00822166"/>
    <w:rsid w:val="00822274"/>
    <w:rsid w:val="0082227C"/>
    <w:rsid w:val="008223B2"/>
    <w:rsid w:val="00822513"/>
    <w:rsid w:val="0082254E"/>
    <w:rsid w:val="00822625"/>
    <w:rsid w:val="0082262B"/>
    <w:rsid w:val="008226E3"/>
    <w:rsid w:val="0082273F"/>
    <w:rsid w:val="00822748"/>
    <w:rsid w:val="0082283A"/>
    <w:rsid w:val="0082287E"/>
    <w:rsid w:val="008228E5"/>
    <w:rsid w:val="008229CE"/>
    <w:rsid w:val="00822A8E"/>
    <w:rsid w:val="00822BBD"/>
    <w:rsid w:val="00822C06"/>
    <w:rsid w:val="00822C55"/>
    <w:rsid w:val="00822D47"/>
    <w:rsid w:val="00822E6E"/>
    <w:rsid w:val="00822F41"/>
    <w:rsid w:val="008230D4"/>
    <w:rsid w:val="0082327E"/>
    <w:rsid w:val="008232D7"/>
    <w:rsid w:val="00823395"/>
    <w:rsid w:val="00823402"/>
    <w:rsid w:val="0082349D"/>
    <w:rsid w:val="008234AD"/>
    <w:rsid w:val="008234C9"/>
    <w:rsid w:val="00823537"/>
    <w:rsid w:val="00823540"/>
    <w:rsid w:val="00823588"/>
    <w:rsid w:val="0082363F"/>
    <w:rsid w:val="008236A2"/>
    <w:rsid w:val="008236ED"/>
    <w:rsid w:val="00823741"/>
    <w:rsid w:val="00823753"/>
    <w:rsid w:val="0082380D"/>
    <w:rsid w:val="0082398F"/>
    <w:rsid w:val="00823B79"/>
    <w:rsid w:val="00823CE2"/>
    <w:rsid w:val="00823E37"/>
    <w:rsid w:val="00823E6C"/>
    <w:rsid w:val="00823EA5"/>
    <w:rsid w:val="00823EBF"/>
    <w:rsid w:val="00824030"/>
    <w:rsid w:val="00824137"/>
    <w:rsid w:val="00824153"/>
    <w:rsid w:val="008241AB"/>
    <w:rsid w:val="00824216"/>
    <w:rsid w:val="00824245"/>
    <w:rsid w:val="008242C3"/>
    <w:rsid w:val="00824370"/>
    <w:rsid w:val="00824384"/>
    <w:rsid w:val="008243C4"/>
    <w:rsid w:val="008243DA"/>
    <w:rsid w:val="008243E5"/>
    <w:rsid w:val="008244A6"/>
    <w:rsid w:val="008244B7"/>
    <w:rsid w:val="008244D5"/>
    <w:rsid w:val="0082453C"/>
    <w:rsid w:val="00824596"/>
    <w:rsid w:val="008245F4"/>
    <w:rsid w:val="008246A5"/>
    <w:rsid w:val="00824710"/>
    <w:rsid w:val="0082474E"/>
    <w:rsid w:val="00824904"/>
    <w:rsid w:val="00824A35"/>
    <w:rsid w:val="00824A75"/>
    <w:rsid w:val="00824AE6"/>
    <w:rsid w:val="00824D3C"/>
    <w:rsid w:val="00824D6D"/>
    <w:rsid w:val="00824E6E"/>
    <w:rsid w:val="00824F3E"/>
    <w:rsid w:val="00824F99"/>
    <w:rsid w:val="0082510F"/>
    <w:rsid w:val="00825171"/>
    <w:rsid w:val="008251BB"/>
    <w:rsid w:val="00825268"/>
    <w:rsid w:val="008253CF"/>
    <w:rsid w:val="008253D7"/>
    <w:rsid w:val="00825416"/>
    <w:rsid w:val="00825552"/>
    <w:rsid w:val="008255D7"/>
    <w:rsid w:val="008257BB"/>
    <w:rsid w:val="008257CD"/>
    <w:rsid w:val="008258F0"/>
    <w:rsid w:val="00825A03"/>
    <w:rsid w:val="00825A48"/>
    <w:rsid w:val="00825B9C"/>
    <w:rsid w:val="00825C26"/>
    <w:rsid w:val="00825C74"/>
    <w:rsid w:val="00825D93"/>
    <w:rsid w:val="0082605B"/>
    <w:rsid w:val="00826109"/>
    <w:rsid w:val="0082610D"/>
    <w:rsid w:val="0082611B"/>
    <w:rsid w:val="00826141"/>
    <w:rsid w:val="008261DE"/>
    <w:rsid w:val="008262F3"/>
    <w:rsid w:val="008263EC"/>
    <w:rsid w:val="0082642D"/>
    <w:rsid w:val="0082646D"/>
    <w:rsid w:val="008264A1"/>
    <w:rsid w:val="0082669B"/>
    <w:rsid w:val="008266B2"/>
    <w:rsid w:val="0082675F"/>
    <w:rsid w:val="00826763"/>
    <w:rsid w:val="0082679A"/>
    <w:rsid w:val="008267C1"/>
    <w:rsid w:val="0082683B"/>
    <w:rsid w:val="008268F1"/>
    <w:rsid w:val="00826A6B"/>
    <w:rsid w:val="00826A81"/>
    <w:rsid w:val="00826B60"/>
    <w:rsid w:val="00826BC3"/>
    <w:rsid w:val="00826BC4"/>
    <w:rsid w:val="00826BE2"/>
    <w:rsid w:val="00826C18"/>
    <w:rsid w:val="00826C3C"/>
    <w:rsid w:val="00826C76"/>
    <w:rsid w:val="00826C87"/>
    <w:rsid w:val="00826C9E"/>
    <w:rsid w:val="00826D82"/>
    <w:rsid w:val="00826DE9"/>
    <w:rsid w:val="00826E01"/>
    <w:rsid w:val="00826F6B"/>
    <w:rsid w:val="008270EC"/>
    <w:rsid w:val="00827135"/>
    <w:rsid w:val="008272C4"/>
    <w:rsid w:val="008272CF"/>
    <w:rsid w:val="00827337"/>
    <w:rsid w:val="00827398"/>
    <w:rsid w:val="008273BE"/>
    <w:rsid w:val="008274DB"/>
    <w:rsid w:val="00827673"/>
    <w:rsid w:val="00827719"/>
    <w:rsid w:val="008278A4"/>
    <w:rsid w:val="008278A9"/>
    <w:rsid w:val="008278FA"/>
    <w:rsid w:val="0082790D"/>
    <w:rsid w:val="00827978"/>
    <w:rsid w:val="00827B5F"/>
    <w:rsid w:val="00827B64"/>
    <w:rsid w:val="00827BA5"/>
    <w:rsid w:val="00827C13"/>
    <w:rsid w:val="00827C15"/>
    <w:rsid w:val="00827C1D"/>
    <w:rsid w:val="00827C53"/>
    <w:rsid w:val="00827C54"/>
    <w:rsid w:val="00827E76"/>
    <w:rsid w:val="00827E83"/>
    <w:rsid w:val="00827EC5"/>
    <w:rsid w:val="00827EEF"/>
    <w:rsid w:val="00827F3B"/>
    <w:rsid w:val="00827F6B"/>
    <w:rsid w:val="00827F78"/>
    <w:rsid w:val="00830137"/>
    <w:rsid w:val="00830271"/>
    <w:rsid w:val="00830452"/>
    <w:rsid w:val="0083049D"/>
    <w:rsid w:val="008304D1"/>
    <w:rsid w:val="0083059F"/>
    <w:rsid w:val="00830672"/>
    <w:rsid w:val="008306EB"/>
    <w:rsid w:val="00830705"/>
    <w:rsid w:val="008307A1"/>
    <w:rsid w:val="008307B1"/>
    <w:rsid w:val="008307E1"/>
    <w:rsid w:val="00830845"/>
    <w:rsid w:val="00830907"/>
    <w:rsid w:val="00830A4E"/>
    <w:rsid w:val="00830A72"/>
    <w:rsid w:val="00830AFF"/>
    <w:rsid w:val="00830B97"/>
    <w:rsid w:val="00830C32"/>
    <w:rsid w:val="00830C8E"/>
    <w:rsid w:val="00830D5A"/>
    <w:rsid w:val="00830DD1"/>
    <w:rsid w:val="00830E40"/>
    <w:rsid w:val="00830EB9"/>
    <w:rsid w:val="00830F42"/>
    <w:rsid w:val="00830F9C"/>
    <w:rsid w:val="0083101E"/>
    <w:rsid w:val="00831076"/>
    <w:rsid w:val="00831113"/>
    <w:rsid w:val="00831117"/>
    <w:rsid w:val="008311EE"/>
    <w:rsid w:val="008312A0"/>
    <w:rsid w:val="00831362"/>
    <w:rsid w:val="008313AD"/>
    <w:rsid w:val="008313DB"/>
    <w:rsid w:val="008313E1"/>
    <w:rsid w:val="008314DD"/>
    <w:rsid w:val="008315D8"/>
    <w:rsid w:val="00831624"/>
    <w:rsid w:val="00831669"/>
    <w:rsid w:val="0083173D"/>
    <w:rsid w:val="008319EE"/>
    <w:rsid w:val="00831B1A"/>
    <w:rsid w:val="00831D28"/>
    <w:rsid w:val="00831D90"/>
    <w:rsid w:val="00831F3D"/>
    <w:rsid w:val="00831FB7"/>
    <w:rsid w:val="00831FE6"/>
    <w:rsid w:val="00832019"/>
    <w:rsid w:val="008320C7"/>
    <w:rsid w:val="00832154"/>
    <w:rsid w:val="008321EB"/>
    <w:rsid w:val="008322BA"/>
    <w:rsid w:val="00832354"/>
    <w:rsid w:val="0083235A"/>
    <w:rsid w:val="00832396"/>
    <w:rsid w:val="008323C2"/>
    <w:rsid w:val="00832492"/>
    <w:rsid w:val="008324AB"/>
    <w:rsid w:val="008325DC"/>
    <w:rsid w:val="00832602"/>
    <w:rsid w:val="0083261A"/>
    <w:rsid w:val="0083261D"/>
    <w:rsid w:val="0083280D"/>
    <w:rsid w:val="008329D8"/>
    <w:rsid w:val="008329E5"/>
    <w:rsid w:val="00832A46"/>
    <w:rsid w:val="00832C2C"/>
    <w:rsid w:val="00832C74"/>
    <w:rsid w:val="00832D5F"/>
    <w:rsid w:val="00832D85"/>
    <w:rsid w:val="00832DC0"/>
    <w:rsid w:val="00832DEB"/>
    <w:rsid w:val="00832E06"/>
    <w:rsid w:val="00832EA2"/>
    <w:rsid w:val="00832EDE"/>
    <w:rsid w:val="00832F53"/>
    <w:rsid w:val="00833028"/>
    <w:rsid w:val="008330C2"/>
    <w:rsid w:val="008331EB"/>
    <w:rsid w:val="00833492"/>
    <w:rsid w:val="008334B9"/>
    <w:rsid w:val="00833513"/>
    <w:rsid w:val="00833521"/>
    <w:rsid w:val="00833570"/>
    <w:rsid w:val="00833624"/>
    <w:rsid w:val="008336B8"/>
    <w:rsid w:val="008336FC"/>
    <w:rsid w:val="00833715"/>
    <w:rsid w:val="008337B3"/>
    <w:rsid w:val="0083384B"/>
    <w:rsid w:val="00833935"/>
    <w:rsid w:val="0083396B"/>
    <w:rsid w:val="00833979"/>
    <w:rsid w:val="008339D4"/>
    <w:rsid w:val="008339E3"/>
    <w:rsid w:val="00833A5D"/>
    <w:rsid w:val="00833B2A"/>
    <w:rsid w:val="00833BE4"/>
    <w:rsid w:val="00833CAA"/>
    <w:rsid w:val="00833E47"/>
    <w:rsid w:val="00833F45"/>
    <w:rsid w:val="00833F7A"/>
    <w:rsid w:val="00833FC3"/>
    <w:rsid w:val="0083402F"/>
    <w:rsid w:val="008340BE"/>
    <w:rsid w:val="008340E1"/>
    <w:rsid w:val="0083424D"/>
    <w:rsid w:val="00834686"/>
    <w:rsid w:val="0083469F"/>
    <w:rsid w:val="00834766"/>
    <w:rsid w:val="00834817"/>
    <w:rsid w:val="00834892"/>
    <w:rsid w:val="00834984"/>
    <w:rsid w:val="00834AA9"/>
    <w:rsid w:val="00834AFA"/>
    <w:rsid w:val="00834BB5"/>
    <w:rsid w:val="00834BD3"/>
    <w:rsid w:val="00834C44"/>
    <w:rsid w:val="00834C54"/>
    <w:rsid w:val="00834DA6"/>
    <w:rsid w:val="00834DB6"/>
    <w:rsid w:val="00834DB8"/>
    <w:rsid w:val="00834F08"/>
    <w:rsid w:val="00834FDE"/>
    <w:rsid w:val="0083500C"/>
    <w:rsid w:val="0083505E"/>
    <w:rsid w:val="00835226"/>
    <w:rsid w:val="00835306"/>
    <w:rsid w:val="00835494"/>
    <w:rsid w:val="008354AC"/>
    <w:rsid w:val="0083567D"/>
    <w:rsid w:val="00835698"/>
    <w:rsid w:val="008357C0"/>
    <w:rsid w:val="008357FE"/>
    <w:rsid w:val="00835931"/>
    <w:rsid w:val="00835A01"/>
    <w:rsid w:val="00835A5F"/>
    <w:rsid w:val="00835A77"/>
    <w:rsid w:val="00835A91"/>
    <w:rsid w:val="00835BE4"/>
    <w:rsid w:val="00835CA0"/>
    <w:rsid w:val="00835D0B"/>
    <w:rsid w:val="00835E35"/>
    <w:rsid w:val="00835E93"/>
    <w:rsid w:val="00835E99"/>
    <w:rsid w:val="00835EE2"/>
    <w:rsid w:val="00836006"/>
    <w:rsid w:val="00836011"/>
    <w:rsid w:val="00836060"/>
    <w:rsid w:val="00836180"/>
    <w:rsid w:val="0083618C"/>
    <w:rsid w:val="00836221"/>
    <w:rsid w:val="00836257"/>
    <w:rsid w:val="0083626C"/>
    <w:rsid w:val="00836307"/>
    <w:rsid w:val="00836309"/>
    <w:rsid w:val="008363D3"/>
    <w:rsid w:val="008363E4"/>
    <w:rsid w:val="00836461"/>
    <w:rsid w:val="00836493"/>
    <w:rsid w:val="00836A7A"/>
    <w:rsid w:val="00836B87"/>
    <w:rsid w:val="00836CA2"/>
    <w:rsid w:val="00836CD3"/>
    <w:rsid w:val="00836D2B"/>
    <w:rsid w:val="00836EF5"/>
    <w:rsid w:val="00836FC6"/>
    <w:rsid w:val="00836FE4"/>
    <w:rsid w:val="00837019"/>
    <w:rsid w:val="0083708A"/>
    <w:rsid w:val="0083712F"/>
    <w:rsid w:val="008371BC"/>
    <w:rsid w:val="0083721A"/>
    <w:rsid w:val="00837265"/>
    <w:rsid w:val="00837342"/>
    <w:rsid w:val="0083764F"/>
    <w:rsid w:val="008376A0"/>
    <w:rsid w:val="008376F0"/>
    <w:rsid w:val="00837704"/>
    <w:rsid w:val="008377A5"/>
    <w:rsid w:val="0083795D"/>
    <w:rsid w:val="0083799B"/>
    <w:rsid w:val="00837A63"/>
    <w:rsid w:val="00837B10"/>
    <w:rsid w:val="00837B19"/>
    <w:rsid w:val="00837B1B"/>
    <w:rsid w:val="00837B38"/>
    <w:rsid w:val="00837B6C"/>
    <w:rsid w:val="00837C5E"/>
    <w:rsid w:val="00837D17"/>
    <w:rsid w:val="00837D46"/>
    <w:rsid w:val="00837EFC"/>
    <w:rsid w:val="008400B8"/>
    <w:rsid w:val="00840267"/>
    <w:rsid w:val="0084027C"/>
    <w:rsid w:val="008402D7"/>
    <w:rsid w:val="00840317"/>
    <w:rsid w:val="008405AF"/>
    <w:rsid w:val="0084063B"/>
    <w:rsid w:val="008406B8"/>
    <w:rsid w:val="008407DF"/>
    <w:rsid w:val="00840BFE"/>
    <w:rsid w:val="00840C65"/>
    <w:rsid w:val="00840DC8"/>
    <w:rsid w:val="00841028"/>
    <w:rsid w:val="0084102B"/>
    <w:rsid w:val="00841041"/>
    <w:rsid w:val="008410A4"/>
    <w:rsid w:val="008410DF"/>
    <w:rsid w:val="008410E4"/>
    <w:rsid w:val="008410E8"/>
    <w:rsid w:val="008410FE"/>
    <w:rsid w:val="0084118C"/>
    <w:rsid w:val="0084120F"/>
    <w:rsid w:val="00841381"/>
    <w:rsid w:val="008413D9"/>
    <w:rsid w:val="008413E0"/>
    <w:rsid w:val="0084146E"/>
    <w:rsid w:val="00841548"/>
    <w:rsid w:val="00841568"/>
    <w:rsid w:val="0084169F"/>
    <w:rsid w:val="008417C2"/>
    <w:rsid w:val="008418CC"/>
    <w:rsid w:val="008419C9"/>
    <w:rsid w:val="008419EF"/>
    <w:rsid w:val="00841B82"/>
    <w:rsid w:val="00841BDE"/>
    <w:rsid w:val="00841C63"/>
    <w:rsid w:val="00841D56"/>
    <w:rsid w:val="00841DC9"/>
    <w:rsid w:val="00841DDB"/>
    <w:rsid w:val="00841EC3"/>
    <w:rsid w:val="00841EE5"/>
    <w:rsid w:val="00841F2E"/>
    <w:rsid w:val="00841F56"/>
    <w:rsid w:val="00841F9C"/>
    <w:rsid w:val="00841FC5"/>
    <w:rsid w:val="00841FF7"/>
    <w:rsid w:val="0084216C"/>
    <w:rsid w:val="0084245D"/>
    <w:rsid w:val="0084267F"/>
    <w:rsid w:val="00842739"/>
    <w:rsid w:val="00842741"/>
    <w:rsid w:val="008427B0"/>
    <w:rsid w:val="008427E5"/>
    <w:rsid w:val="00842AFE"/>
    <w:rsid w:val="00842B25"/>
    <w:rsid w:val="00842C06"/>
    <w:rsid w:val="00842C42"/>
    <w:rsid w:val="00842C59"/>
    <w:rsid w:val="00842D1D"/>
    <w:rsid w:val="00842D64"/>
    <w:rsid w:val="00842D65"/>
    <w:rsid w:val="00842F55"/>
    <w:rsid w:val="00842FE8"/>
    <w:rsid w:val="008431B2"/>
    <w:rsid w:val="00843252"/>
    <w:rsid w:val="00843275"/>
    <w:rsid w:val="0084333B"/>
    <w:rsid w:val="008433C5"/>
    <w:rsid w:val="008433C9"/>
    <w:rsid w:val="00843409"/>
    <w:rsid w:val="0084347A"/>
    <w:rsid w:val="008434D5"/>
    <w:rsid w:val="00843520"/>
    <w:rsid w:val="008435B7"/>
    <w:rsid w:val="008435D6"/>
    <w:rsid w:val="00843739"/>
    <w:rsid w:val="00843758"/>
    <w:rsid w:val="008437F5"/>
    <w:rsid w:val="008437FD"/>
    <w:rsid w:val="0084385E"/>
    <w:rsid w:val="00843B8E"/>
    <w:rsid w:val="00843B90"/>
    <w:rsid w:val="00843CE8"/>
    <w:rsid w:val="00843D1D"/>
    <w:rsid w:val="00843F9E"/>
    <w:rsid w:val="00844271"/>
    <w:rsid w:val="008443C9"/>
    <w:rsid w:val="008443FB"/>
    <w:rsid w:val="0084455D"/>
    <w:rsid w:val="008447AF"/>
    <w:rsid w:val="00844806"/>
    <w:rsid w:val="00844880"/>
    <w:rsid w:val="008448FE"/>
    <w:rsid w:val="00844952"/>
    <w:rsid w:val="008449EE"/>
    <w:rsid w:val="00844C8F"/>
    <w:rsid w:val="00844E1A"/>
    <w:rsid w:val="00844E5D"/>
    <w:rsid w:val="00844ED4"/>
    <w:rsid w:val="0084505E"/>
    <w:rsid w:val="008451FB"/>
    <w:rsid w:val="0084531E"/>
    <w:rsid w:val="0084537D"/>
    <w:rsid w:val="008453C7"/>
    <w:rsid w:val="008454C8"/>
    <w:rsid w:val="0084560E"/>
    <w:rsid w:val="00845784"/>
    <w:rsid w:val="0084579D"/>
    <w:rsid w:val="008457CD"/>
    <w:rsid w:val="0084580D"/>
    <w:rsid w:val="0084582D"/>
    <w:rsid w:val="008458CE"/>
    <w:rsid w:val="008458FB"/>
    <w:rsid w:val="00845985"/>
    <w:rsid w:val="008459BB"/>
    <w:rsid w:val="008459D5"/>
    <w:rsid w:val="00845AB8"/>
    <w:rsid w:val="00845AD3"/>
    <w:rsid w:val="00845ADB"/>
    <w:rsid w:val="00845B60"/>
    <w:rsid w:val="00845BB6"/>
    <w:rsid w:val="00845BD8"/>
    <w:rsid w:val="00845C17"/>
    <w:rsid w:val="00845F3D"/>
    <w:rsid w:val="00845F9E"/>
    <w:rsid w:val="00846069"/>
    <w:rsid w:val="008462F3"/>
    <w:rsid w:val="00846331"/>
    <w:rsid w:val="008466E3"/>
    <w:rsid w:val="008466E4"/>
    <w:rsid w:val="00846750"/>
    <w:rsid w:val="00846793"/>
    <w:rsid w:val="008467F8"/>
    <w:rsid w:val="008469A7"/>
    <w:rsid w:val="00846C49"/>
    <w:rsid w:val="00846C8F"/>
    <w:rsid w:val="00846D25"/>
    <w:rsid w:val="00846D57"/>
    <w:rsid w:val="00846E0E"/>
    <w:rsid w:val="00846E37"/>
    <w:rsid w:val="00846E97"/>
    <w:rsid w:val="00846F8F"/>
    <w:rsid w:val="00847055"/>
    <w:rsid w:val="008470C7"/>
    <w:rsid w:val="0084710D"/>
    <w:rsid w:val="00847184"/>
    <w:rsid w:val="00847245"/>
    <w:rsid w:val="00847302"/>
    <w:rsid w:val="008474F0"/>
    <w:rsid w:val="00847678"/>
    <w:rsid w:val="008477C2"/>
    <w:rsid w:val="0084782D"/>
    <w:rsid w:val="00847868"/>
    <w:rsid w:val="008478A9"/>
    <w:rsid w:val="008478D8"/>
    <w:rsid w:val="008479FC"/>
    <w:rsid w:val="00847A0A"/>
    <w:rsid w:val="00847AEB"/>
    <w:rsid w:val="00847BC7"/>
    <w:rsid w:val="00847BFD"/>
    <w:rsid w:val="00847C15"/>
    <w:rsid w:val="00847C4A"/>
    <w:rsid w:val="00847DD1"/>
    <w:rsid w:val="00847E19"/>
    <w:rsid w:val="0085003F"/>
    <w:rsid w:val="0085007A"/>
    <w:rsid w:val="00850087"/>
    <w:rsid w:val="0085008C"/>
    <w:rsid w:val="00850090"/>
    <w:rsid w:val="0085011C"/>
    <w:rsid w:val="0085023E"/>
    <w:rsid w:val="0085025E"/>
    <w:rsid w:val="008502D3"/>
    <w:rsid w:val="008503BF"/>
    <w:rsid w:val="0085044C"/>
    <w:rsid w:val="00850464"/>
    <w:rsid w:val="00850473"/>
    <w:rsid w:val="008504DD"/>
    <w:rsid w:val="0085052D"/>
    <w:rsid w:val="0085057D"/>
    <w:rsid w:val="008505DE"/>
    <w:rsid w:val="0085060A"/>
    <w:rsid w:val="008507BA"/>
    <w:rsid w:val="00850911"/>
    <w:rsid w:val="00850918"/>
    <w:rsid w:val="00850A2A"/>
    <w:rsid w:val="00850BCE"/>
    <w:rsid w:val="00850BF1"/>
    <w:rsid w:val="00850C0B"/>
    <w:rsid w:val="00850C86"/>
    <w:rsid w:val="00850CA6"/>
    <w:rsid w:val="00850CDD"/>
    <w:rsid w:val="00850E04"/>
    <w:rsid w:val="00850E5D"/>
    <w:rsid w:val="00850F57"/>
    <w:rsid w:val="00850FE3"/>
    <w:rsid w:val="00851003"/>
    <w:rsid w:val="00851022"/>
    <w:rsid w:val="00851112"/>
    <w:rsid w:val="00851142"/>
    <w:rsid w:val="008512AD"/>
    <w:rsid w:val="008512CB"/>
    <w:rsid w:val="0085131E"/>
    <w:rsid w:val="0085134D"/>
    <w:rsid w:val="008514E4"/>
    <w:rsid w:val="008515C5"/>
    <w:rsid w:val="00851635"/>
    <w:rsid w:val="008516F2"/>
    <w:rsid w:val="00851790"/>
    <w:rsid w:val="008518ED"/>
    <w:rsid w:val="00851974"/>
    <w:rsid w:val="00851A02"/>
    <w:rsid w:val="00851A11"/>
    <w:rsid w:val="00851A61"/>
    <w:rsid w:val="00851C17"/>
    <w:rsid w:val="00851C88"/>
    <w:rsid w:val="00851C9A"/>
    <w:rsid w:val="00851CAC"/>
    <w:rsid w:val="00851CEF"/>
    <w:rsid w:val="00851DD4"/>
    <w:rsid w:val="00851E3F"/>
    <w:rsid w:val="00851F74"/>
    <w:rsid w:val="00851FA5"/>
    <w:rsid w:val="0085201D"/>
    <w:rsid w:val="008520B3"/>
    <w:rsid w:val="008523B7"/>
    <w:rsid w:val="00852417"/>
    <w:rsid w:val="0085246E"/>
    <w:rsid w:val="008524B2"/>
    <w:rsid w:val="008526BD"/>
    <w:rsid w:val="008526C2"/>
    <w:rsid w:val="00852711"/>
    <w:rsid w:val="00852793"/>
    <w:rsid w:val="008527AD"/>
    <w:rsid w:val="00852822"/>
    <w:rsid w:val="008528B2"/>
    <w:rsid w:val="008528CC"/>
    <w:rsid w:val="008529BD"/>
    <w:rsid w:val="008529C5"/>
    <w:rsid w:val="00852AB6"/>
    <w:rsid w:val="00852B61"/>
    <w:rsid w:val="00852B86"/>
    <w:rsid w:val="00852BF1"/>
    <w:rsid w:val="00852C0E"/>
    <w:rsid w:val="00852CC3"/>
    <w:rsid w:val="00852D00"/>
    <w:rsid w:val="00852D33"/>
    <w:rsid w:val="00852E57"/>
    <w:rsid w:val="00852ECB"/>
    <w:rsid w:val="00852F19"/>
    <w:rsid w:val="00852F51"/>
    <w:rsid w:val="00852FE5"/>
    <w:rsid w:val="0085304A"/>
    <w:rsid w:val="008531C8"/>
    <w:rsid w:val="00853265"/>
    <w:rsid w:val="0085328D"/>
    <w:rsid w:val="00853359"/>
    <w:rsid w:val="008533AA"/>
    <w:rsid w:val="0085340A"/>
    <w:rsid w:val="008534CA"/>
    <w:rsid w:val="008534F1"/>
    <w:rsid w:val="0085350E"/>
    <w:rsid w:val="00853623"/>
    <w:rsid w:val="008536B2"/>
    <w:rsid w:val="00853785"/>
    <w:rsid w:val="00853797"/>
    <w:rsid w:val="00853811"/>
    <w:rsid w:val="0085388F"/>
    <w:rsid w:val="008538F0"/>
    <w:rsid w:val="00853901"/>
    <w:rsid w:val="00853A59"/>
    <w:rsid w:val="00853B63"/>
    <w:rsid w:val="00853B6A"/>
    <w:rsid w:val="00853B77"/>
    <w:rsid w:val="00853BDD"/>
    <w:rsid w:val="00853C09"/>
    <w:rsid w:val="00853C1F"/>
    <w:rsid w:val="00853D19"/>
    <w:rsid w:val="00853FE7"/>
    <w:rsid w:val="008540A5"/>
    <w:rsid w:val="0085419C"/>
    <w:rsid w:val="008541B0"/>
    <w:rsid w:val="008541F6"/>
    <w:rsid w:val="00854255"/>
    <w:rsid w:val="0085432E"/>
    <w:rsid w:val="008543BB"/>
    <w:rsid w:val="0085445B"/>
    <w:rsid w:val="0085447F"/>
    <w:rsid w:val="008544D1"/>
    <w:rsid w:val="00854551"/>
    <w:rsid w:val="008545B3"/>
    <w:rsid w:val="00854662"/>
    <w:rsid w:val="00854816"/>
    <w:rsid w:val="0085489E"/>
    <w:rsid w:val="0085491A"/>
    <w:rsid w:val="00854957"/>
    <w:rsid w:val="008549A3"/>
    <w:rsid w:val="00854A5F"/>
    <w:rsid w:val="00854B01"/>
    <w:rsid w:val="00854B4A"/>
    <w:rsid w:val="00854B8E"/>
    <w:rsid w:val="00854C51"/>
    <w:rsid w:val="00854C6D"/>
    <w:rsid w:val="00854C96"/>
    <w:rsid w:val="00854D6D"/>
    <w:rsid w:val="00854DDF"/>
    <w:rsid w:val="00854DE5"/>
    <w:rsid w:val="00854E04"/>
    <w:rsid w:val="00854E4D"/>
    <w:rsid w:val="00854E4E"/>
    <w:rsid w:val="00854F00"/>
    <w:rsid w:val="00854F35"/>
    <w:rsid w:val="00854F39"/>
    <w:rsid w:val="00855037"/>
    <w:rsid w:val="0085521A"/>
    <w:rsid w:val="008552C4"/>
    <w:rsid w:val="008552E2"/>
    <w:rsid w:val="008553CD"/>
    <w:rsid w:val="00855462"/>
    <w:rsid w:val="0085548C"/>
    <w:rsid w:val="008554CD"/>
    <w:rsid w:val="00855761"/>
    <w:rsid w:val="00855826"/>
    <w:rsid w:val="0085583D"/>
    <w:rsid w:val="00855854"/>
    <w:rsid w:val="00855998"/>
    <w:rsid w:val="00855A2D"/>
    <w:rsid w:val="00855AA7"/>
    <w:rsid w:val="00855B14"/>
    <w:rsid w:val="00855B91"/>
    <w:rsid w:val="00855BB6"/>
    <w:rsid w:val="00855D33"/>
    <w:rsid w:val="0085604F"/>
    <w:rsid w:val="0085609F"/>
    <w:rsid w:val="008560B3"/>
    <w:rsid w:val="0085623F"/>
    <w:rsid w:val="00856268"/>
    <w:rsid w:val="00856440"/>
    <w:rsid w:val="00856496"/>
    <w:rsid w:val="0085657B"/>
    <w:rsid w:val="008566A6"/>
    <w:rsid w:val="008567F3"/>
    <w:rsid w:val="00856894"/>
    <w:rsid w:val="008569E3"/>
    <w:rsid w:val="00856AA5"/>
    <w:rsid w:val="00856B35"/>
    <w:rsid w:val="00856B4B"/>
    <w:rsid w:val="00856B6B"/>
    <w:rsid w:val="00856BC1"/>
    <w:rsid w:val="00856D8A"/>
    <w:rsid w:val="00856EDF"/>
    <w:rsid w:val="00856EEC"/>
    <w:rsid w:val="00856EFF"/>
    <w:rsid w:val="00856F35"/>
    <w:rsid w:val="00856F63"/>
    <w:rsid w:val="00857449"/>
    <w:rsid w:val="00857549"/>
    <w:rsid w:val="00857606"/>
    <w:rsid w:val="0085763B"/>
    <w:rsid w:val="00857848"/>
    <w:rsid w:val="008578B5"/>
    <w:rsid w:val="008578DF"/>
    <w:rsid w:val="008578E3"/>
    <w:rsid w:val="0085791E"/>
    <w:rsid w:val="00857941"/>
    <w:rsid w:val="00857A43"/>
    <w:rsid w:val="00857A56"/>
    <w:rsid w:val="00857C4E"/>
    <w:rsid w:val="00857C7D"/>
    <w:rsid w:val="00857CBC"/>
    <w:rsid w:val="00857D28"/>
    <w:rsid w:val="00857EA4"/>
    <w:rsid w:val="00857EB2"/>
    <w:rsid w:val="00857F2A"/>
    <w:rsid w:val="008601C1"/>
    <w:rsid w:val="00860226"/>
    <w:rsid w:val="00860254"/>
    <w:rsid w:val="00860297"/>
    <w:rsid w:val="008602BE"/>
    <w:rsid w:val="008603A6"/>
    <w:rsid w:val="008603E9"/>
    <w:rsid w:val="00860406"/>
    <w:rsid w:val="00860478"/>
    <w:rsid w:val="008604A9"/>
    <w:rsid w:val="008606B7"/>
    <w:rsid w:val="008608B0"/>
    <w:rsid w:val="00860980"/>
    <w:rsid w:val="00860A3F"/>
    <w:rsid w:val="00860A4B"/>
    <w:rsid w:val="00860A7C"/>
    <w:rsid w:val="00860AEE"/>
    <w:rsid w:val="00860B1F"/>
    <w:rsid w:val="00860C91"/>
    <w:rsid w:val="00860CEA"/>
    <w:rsid w:val="00860DC5"/>
    <w:rsid w:val="00860F91"/>
    <w:rsid w:val="00860FC7"/>
    <w:rsid w:val="00860FDA"/>
    <w:rsid w:val="0086102D"/>
    <w:rsid w:val="00861033"/>
    <w:rsid w:val="008610E1"/>
    <w:rsid w:val="00861137"/>
    <w:rsid w:val="008611B4"/>
    <w:rsid w:val="008611DA"/>
    <w:rsid w:val="0086122D"/>
    <w:rsid w:val="00861231"/>
    <w:rsid w:val="008612F6"/>
    <w:rsid w:val="00861307"/>
    <w:rsid w:val="00861324"/>
    <w:rsid w:val="008613C4"/>
    <w:rsid w:val="0086149C"/>
    <w:rsid w:val="008614A0"/>
    <w:rsid w:val="008616FB"/>
    <w:rsid w:val="00861723"/>
    <w:rsid w:val="008617F9"/>
    <w:rsid w:val="00861931"/>
    <w:rsid w:val="00861AC1"/>
    <w:rsid w:val="00861AF8"/>
    <w:rsid w:val="00861B73"/>
    <w:rsid w:val="00861BCE"/>
    <w:rsid w:val="00861D0E"/>
    <w:rsid w:val="00861D45"/>
    <w:rsid w:val="00861D85"/>
    <w:rsid w:val="00861E67"/>
    <w:rsid w:val="00861FBA"/>
    <w:rsid w:val="00862036"/>
    <w:rsid w:val="0086203F"/>
    <w:rsid w:val="00862047"/>
    <w:rsid w:val="0086206C"/>
    <w:rsid w:val="008620DB"/>
    <w:rsid w:val="00862158"/>
    <w:rsid w:val="00862373"/>
    <w:rsid w:val="008623FF"/>
    <w:rsid w:val="00862451"/>
    <w:rsid w:val="0086247E"/>
    <w:rsid w:val="0086254A"/>
    <w:rsid w:val="0086256F"/>
    <w:rsid w:val="0086266B"/>
    <w:rsid w:val="008626CD"/>
    <w:rsid w:val="008626D1"/>
    <w:rsid w:val="008626F4"/>
    <w:rsid w:val="00862707"/>
    <w:rsid w:val="008627B1"/>
    <w:rsid w:val="00862855"/>
    <w:rsid w:val="0086285B"/>
    <w:rsid w:val="0086286F"/>
    <w:rsid w:val="008628AF"/>
    <w:rsid w:val="00862AC7"/>
    <w:rsid w:val="00862B06"/>
    <w:rsid w:val="00862C1B"/>
    <w:rsid w:val="00862C95"/>
    <w:rsid w:val="00862E77"/>
    <w:rsid w:val="00862EA3"/>
    <w:rsid w:val="00862EB7"/>
    <w:rsid w:val="00862ED1"/>
    <w:rsid w:val="00862F26"/>
    <w:rsid w:val="00862FB2"/>
    <w:rsid w:val="00862FBF"/>
    <w:rsid w:val="00863013"/>
    <w:rsid w:val="0086311A"/>
    <w:rsid w:val="008631AC"/>
    <w:rsid w:val="008631DA"/>
    <w:rsid w:val="00863212"/>
    <w:rsid w:val="008633BE"/>
    <w:rsid w:val="008633D1"/>
    <w:rsid w:val="00863421"/>
    <w:rsid w:val="00863432"/>
    <w:rsid w:val="008634C5"/>
    <w:rsid w:val="00863550"/>
    <w:rsid w:val="008635BD"/>
    <w:rsid w:val="0086363E"/>
    <w:rsid w:val="00863675"/>
    <w:rsid w:val="0086367B"/>
    <w:rsid w:val="008636E6"/>
    <w:rsid w:val="008637F6"/>
    <w:rsid w:val="00863882"/>
    <w:rsid w:val="008639C4"/>
    <w:rsid w:val="00863A17"/>
    <w:rsid w:val="00863A39"/>
    <w:rsid w:val="00863C2D"/>
    <w:rsid w:val="00863D43"/>
    <w:rsid w:val="00863E3B"/>
    <w:rsid w:val="00863E5B"/>
    <w:rsid w:val="00863EF8"/>
    <w:rsid w:val="00863F90"/>
    <w:rsid w:val="00863FD9"/>
    <w:rsid w:val="008640E7"/>
    <w:rsid w:val="008641D8"/>
    <w:rsid w:val="008641EB"/>
    <w:rsid w:val="0086421F"/>
    <w:rsid w:val="0086422C"/>
    <w:rsid w:val="008642E3"/>
    <w:rsid w:val="008642FD"/>
    <w:rsid w:val="00864397"/>
    <w:rsid w:val="00864432"/>
    <w:rsid w:val="0086445F"/>
    <w:rsid w:val="00864468"/>
    <w:rsid w:val="0086447C"/>
    <w:rsid w:val="0086451A"/>
    <w:rsid w:val="008645DF"/>
    <w:rsid w:val="008645F5"/>
    <w:rsid w:val="008646AE"/>
    <w:rsid w:val="00864783"/>
    <w:rsid w:val="00864841"/>
    <w:rsid w:val="00864884"/>
    <w:rsid w:val="008648A6"/>
    <w:rsid w:val="00864951"/>
    <w:rsid w:val="008649AF"/>
    <w:rsid w:val="008649E6"/>
    <w:rsid w:val="00864A2A"/>
    <w:rsid w:val="00864A6D"/>
    <w:rsid w:val="00864A74"/>
    <w:rsid w:val="00864AC0"/>
    <w:rsid w:val="00864AC3"/>
    <w:rsid w:val="00864AD7"/>
    <w:rsid w:val="00864B26"/>
    <w:rsid w:val="00864B31"/>
    <w:rsid w:val="00864B4B"/>
    <w:rsid w:val="00864B5B"/>
    <w:rsid w:val="00864C64"/>
    <w:rsid w:val="00864CB5"/>
    <w:rsid w:val="00864D47"/>
    <w:rsid w:val="00864E3B"/>
    <w:rsid w:val="00864F3A"/>
    <w:rsid w:val="00864FB5"/>
    <w:rsid w:val="00864FC3"/>
    <w:rsid w:val="00865039"/>
    <w:rsid w:val="008650A2"/>
    <w:rsid w:val="00865196"/>
    <w:rsid w:val="00865198"/>
    <w:rsid w:val="00865222"/>
    <w:rsid w:val="008652CD"/>
    <w:rsid w:val="00865308"/>
    <w:rsid w:val="00865338"/>
    <w:rsid w:val="008654DC"/>
    <w:rsid w:val="008654FF"/>
    <w:rsid w:val="008655C5"/>
    <w:rsid w:val="008656A2"/>
    <w:rsid w:val="008656A8"/>
    <w:rsid w:val="008656E5"/>
    <w:rsid w:val="008656F0"/>
    <w:rsid w:val="00865722"/>
    <w:rsid w:val="00865784"/>
    <w:rsid w:val="0086580E"/>
    <w:rsid w:val="00865848"/>
    <w:rsid w:val="008658A5"/>
    <w:rsid w:val="00865965"/>
    <w:rsid w:val="008659E9"/>
    <w:rsid w:val="00865A50"/>
    <w:rsid w:val="00865A6C"/>
    <w:rsid w:val="00865A9A"/>
    <w:rsid w:val="00865AC5"/>
    <w:rsid w:val="00865CD0"/>
    <w:rsid w:val="00865D3E"/>
    <w:rsid w:val="00865D6A"/>
    <w:rsid w:val="00865E7D"/>
    <w:rsid w:val="00865F36"/>
    <w:rsid w:val="0086619B"/>
    <w:rsid w:val="008661EB"/>
    <w:rsid w:val="00866244"/>
    <w:rsid w:val="0086625A"/>
    <w:rsid w:val="008662D8"/>
    <w:rsid w:val="0086632E"/>
    <w:rsid w:val="00866351"/>
    <w:rsid w:val="0086638C"/>
    <w:rsid w:val="00866437"/>
    <w:rsid w:val="008664B5"/>
    <w:rsid w:val="00866593"/>
    <w:rsid w:val="00866732"/>
    <w:rsid w:val="0086675D"/>
    <w:rsid w:val="00866801"/>
    <w:rsid w:val="008669D9"/>
    <w:rsid w:val="00866A28"/>
    <w:rsid w:val="00866B12"/>
    <w:rsid w:val="00866CE6"/>
    <w:rsid w:val="00866D79"/>
    <w:rsid w:val="00866F86"/>
    <w:rsid w:val="00867035"/>
    <w:rsid w:val="008670A5"/>
    <w:rsid w:val="00867103"/>
    <w:rsid w:val="00867171"/>
    <w:rsid w:val="00867285"/>
    <w:rsid w:val="008673C0"/>
    <w:rsid w:val="008673DF"/>
    <w:rsid w:val="0086743D"/>
    <w:rsid w:val="008674E3"/>
    <w:rsid w:val="008675AB"/>
    <w:rsid w:val="008676E4"/>
    <w:rsid w:val="00867805"/>
    <w:rsid w:val="008678D2"/>
    <w:rsid w:val="008678F4"/>
    <w:rsid w:val="00867A0C"/>
    <w:rsid w:val="00867A6D"/>
    <w:rsid w:val="00867B34"/>
    <w:rsid w:val="00867B73"/>
    <w:rsid w:val="00867B9D"/>
    <w:rsid w:val="00867BA2"/>
    <w:rsid w:val="00867C16"/>
    <w:rsid w:val="00867C30"/>
    <w:rsid w:val="00867CBC"/>
    <w:rsid w:val="00867D9C"/>
    <w:rsid w:val="00867ED3"/>
    <w:rsid w:val="00867ED9"/>
    <w:rsid w:val="00867EE6"/>
    <w:rsid w:val="00867F43"/>
    <w:rsid w:val="00867F54"/>
    <w:rsid w:val="00870048"/>
    <w:rsid w:val="00870092"/>
    <w:rsid w:val="008700D2"/>
    <w:rsid w:val="008700F2"/>
    <w:rsid w:val="00870147"/>
    <w:rsid w:val="00870197"/>
    <w:rsid w:val="008701E6"/>
    <w:rsid w:val="00870313"/>
    <w:rsid w:val="00870434"/>
    <w:rsid w:val="00870547"/>
    <w:rsid w:val="00870588"/>
    <w:rsid w:val="008705A7"/>
    <w:rsid w:val="008706AB"/>
    <w:rsid w:val="008706DB"/>
    <w:rsid w:val="008706FD"/>
    <w:rsid w:val="00870746"/>
    <w:rsid w:val="0087094D"/>
    <w:rsid w:val="008709F1"/>
    <w:rsid w:val="00870A10"/>
    <w:rsid w:val="00870A16"/>
    <w:rsid w:val="00870A78"/>
    <w:rsid w:val="00870AA3"/>
    <w:rsid w:val="00870D2D"/>
    <w:rsid w:val="00870E61"/>
    <w:rsid w:val="00870F79"/>
    <w:rsid w:val="00870FF0"/>
    <w:rsid w:val="008710FD"/>
    <w:rsid w:val="0087111F"/>
    <w:rsid w:val="00871319"/>
    <w:rsid w:val="00871430"/>
    <w:rsid w:val="008716C1"/>
    <w:rsid w:val="0087173D"/>
    <w:rsid w:val="0087192C"/>
    <w:rsid w:val="0087195D"/>
    <w:rsid w:val="00871981"/>
    <w:rsid w:val="00871A4C"/>
    <w:rsid w:val="00871C7A"/>
    <w:rsid w:val="00871D40"/>
    <w:rsid w:val="00871D76"/>
    <w:rsid w:val="00871DFB"/>
    <w:rsid w:val="00871E91"/>
    <w:rsid w:val="00871EEE"/>
    <w:rsid w:val="00871F91"/>
    <w:rsid w:val="0087212E"/>
    <w:rsid w:val="00872188"/>
    <w:rsid w:val="0087219F"/>
    <w:rsid w:val="008721FC"/>
    <w:rsid w:val="00872246"/>
    <w:rsid w:val="008722AF"/>
    <w:rsid w:val="00872394"/>
    <w:rsid w:val="008723EB"/>
    <w:rsid w:val="008723F3"/>
    <w:rsid w:val="00872418"/>
    <w:rsid w:val="008724B3"/>
    <w:rsid w:val="008724E0"/>
    <w:rsid w:val="0087260E"/>
    <w:rsid w:val="00872759"/>
    <w:rsid w:val="00872815"/>
    <w:rsid w:val="00872865"/>
    <w:rsid w:val="008728A2"/>
    <w:rsid w:val="00872C4B"/>
    <w:rsid w:val="00872DA1"/>
    <w:rsid w:val="00872DFC"/>
    <w:rsid w:val="00872E49"/>
    <w:rsid w:val="00872EC1"/>
    <w:rsid w:val="00872F54"/>
    <w:rsid w:val="00872FD1"/>
    <w:rsid w:val="008731FA"/>
    <w:rsid w:val="0087325E"/>
    <w:rsid w:val="008732D2"/>
    <w:rsid w:val="00873398"/>
    <w:rsid w:val="008735BE"/>
    <w:rsid w:val="008735FA"/>
    <w:rsid w:val="00873634"/>
    <w:rsid w:val="0087364E"/>
    <w:rsid w:val="00873688"/>
    <w:rsid w:val="008736AF"/>
    <w:rsid w:val="0087388E"/>
    <w:rsid w:val="008738CF"/>
    <w:rsid w:val="008738F1"/>
    <w:rsid w:val="00873908"/>
    <w:rsid w:val="0087392B"/>
    <w:rsid w:val="008739AD"/>
    <w:rsid w:val="008739F5"/>
    <w:rsid w:val="00873B70"/>
    <w:rsid w:val="00873CE0"/>
    <w:rsid w:val="00873D00"/>
    <w:rsid w:val="00873D26"/>
    <w:rsid w:val="00873E43"/>
    <w:rsid w:val="00873E52"/>
    <w:rsid w:val="00873EEE"/>
    <w:rsid w:val="00873F38"/>
    <w:rsid w:val="0087408F"/>
    <w:rsid w:val="0087416A"/>
    <w:rsid w:val="0087417F"/>
    <w:rsid w:val="00874209"/>
    <w:rsid w:val="00874260"/>
    <w:rsid w:val="008742C3"/>
    <w:rsid w:val="00874346"/>
    <w:rsid w:val="00874510"/>
    <w:rsid w:val="00874559"/>
    <w:rsid w:val="008745BE"/>
    <w:rsid w:val="00874759"/>
    <w:rsid w:val="00874780"/>
    <w:rsid w:val="0087481C"/>
    <w:rsid w:val="008748BF"/>
    <w:rsid w:val="00874908"/>
    <w:rsid w:val="00874913"/>
    <w:rsid w:val="00874A7F"/>
    <w:rsid w:val="00874C02"/>
    <w:rsid w:val="00874C45"/>
    <w:rsid w:val="00874D3C"/>
    <w:rsid w:val="00874D72"/>
    <w:rsid w:val="00874EDF"/>
    <w:rsid w:val="00874F53"/>
    <w:rsid w:val="00874F64"/>
    <w:rsid w:val="00874F73"/>
    <w:rsid w:val="00875008"/>
    <w:rsid w:val="00875108"/>
    <w:rsid w:val="0087513F"/>
    <w:rsid w:val="008752F4"/>
    <w:rsid w:val="0087536C"/>
    <w:rsid w:val="008753C3"/>
    <w:rsid w:val="008755AD"/>
    <w:rsid w:val="00875648"/>
    <w:rsid w:val="0087567B"/>
    <w:rsid w:val="0087572E"/>
    <w:rsid w:val="008757A5"/>
    <w:rsid w:val="008757E2"/>
    <w:rsid w:val="00875813"/>
    <w:rsid w:val="0087597D"/>
    <w:rsid w:val="00875BC6"/>
    <w:rsid w:val="00875BDD"/>
    <w:rsid w:val="00875BEB"/>
    <w:rsid w:val="00875BEE"/>
    <w:rsid w:val="00875C20"/>
    <w:rsid w:val="00875CAB"/>
    <w:rsid w:val="00875D92"/>
    <w:rsid w:val="00875DEF"/>
    <w:rsid w:val="00875DF6"/>
    <w:rsid w:val="00875E3F"/>
    <w:rsid w:val="00875F47"/>
    <w:rsid w:val="00875F8A"/>
    <w:rsid w:val="00875FB8"/>
    <w:rsid w:val="00876048"/>
    <w:rsid w:val="0087605E"/>
    <w:rsid w:val="008760DE"/>
    <w:rsid w:val="00876172"/>
    <w:rsid w:val="008761B1"/>
    <w:rsid w:val="008761E5"/>
    <w:rsid w:val="008761EE"/>
    <w:rsid w:val="00876280"/>
    <w:rsid w:val="008766A7"/>
    <w:rsid w:val="008767EB"/>
    <w:rsid w:val="00876916"/>
    <w:rsid w:val="00876969"/>
    <w:rsid w:val="0087697D"/>
    <w:rsid w:val="00876A69"/>
    <w:rsid w:val="00876B69"/>
    <w:rsid w:val="00876B7B"/>
    <w:rsid w:val="00876C42"/>
    <w:rsid w:val="00876C6C"/>
    <w:rsid w:val="00876E3C"/>
    <w:rsid w:val="00876F2F"/>
    <w:rsid w:val="00876F36"/>
    <w:rsid w:val="00876F98"/>
    <w:rsid w:val="00876FB5"/>
    <w:rsid w:val="00877086"/>
    <w:rsid w:val="008770B9"/>
    <w:rsid w:val="008771B0"/>
    <w:rsid w:val="008771D0"/>
    <w:rsid w:val="008771F9"/>
    <w:rsid w:val="00877295"/>
    <w:rsid w:val="0087744D"/>
    <w:rsid w:val="008774B0"/>
    <w:rsid w:val="008774FB"/>
    <w:rsid w:val="0087765C"/>
    <w:rsid w:val="00877687"/>
    <w:rsid w:val="0087769D"/>
    <w:rsid w:val="008776CD"/>
    <w:rsid w:val="00877859"/>
    <w:rsid w:val="008778B3"/>
    <w:rsid w:val="008778F1"/>
    <w:rsid w:val="0087793C"/>
    <w:rsid w:val="00877A07"/>
    <w:rsid w:val="00877A98"/>
    <w:rsid w:val="00877AA7"/>
    <w:rsid w:val="00877AAC"/>
    <w:rsid w:val="00877AE8"/>
    <w:rsid w:val="00877BAE"/>
    <w:rsid w:val="00877C49"/>
    <w:rsid w:val="00877C60"/>
    <w:rsid w:val="00877CCA"/>
    <w:rsid w:val="00877CD4"/>
    <w:rsid w:val="00877CF2"/>
    <w:rsid w:val="00877CFF"/>
    <w:rsid w:val="00877DEE"/>
    <w:rsid w:val="00877E39"/>
    <w:rsid w:val="00877E64"/>
    <w:rsid w:val="00880018"/>
    <w:rsid w:val="008800BC"/>
    <w:rsid w:val="0088015D"/>
    <w:rsid w:val="0088021E"/>
    <w:rsid w:val="00880286"/>
    <w:rsid w:val="00880492"/>
    <w:rsid w:val="008805BF"/>
    <w:rsid w:val="0088069D"/>
    <w:rsid w:val="00880728"/>
    <w:rsid w:val="00880928"/>
    <w:rsid w:val="008809A8"/>
    <w:rsid w:val="00880A24"/>
    <w:rsid w:val="00880A9A"/>
    <w:rsid w:val="00880AD4"/>
    <w:rsid w:val="00880B9E"/>
    <w:rsid w:val="00880C5D"/>
    <w:rsid w:val="00880CC0"/>
    <w:rsid w:val="00880D12"/>
    <w:rsid w:val="00880D7D"/>
    <w:rsid w:val="00880D9A"/>
    <w:rsid w:val="00880DD2"/>
    <w:rsid w:val="00880E26"/>
    <w:rsid w:val="00880EF6"/>
    <w:rsid w:val="00880F1F"/>
    <w:rsid w:val="00880F6D"/>
    <w:rsid w:val="00880FDB"/>
    <w:rsid w:val="00881091"/>
    <w:rsid w:val="00881266"/>
    <w:rsid w:val="008812E6"/>
    <w:rsid w:val="00881394"/>
    <w:rsid w:val="008813C4"/>
    <w:rsid w:val="0088143A"/>
    <w:rsid w:val="008814EE"/>
    <w:rsid w:val="00881690"/>
    <w:rsid w:val="0088177E"/>
    <w:rsid w:val="008817F8"/>
    <w:rsid w:val="008818D7"/>
    <w:rsid w:val="00881948"/>
    <w:rsid w:val="008819AD"/>
    <w:rsid w:val="008819B7"/>
    <w:rsid w:val="00881ABC"/>
    <w:rsid w:val="00881BCD"/>
    <w:rsid w:val="00881BEE"/>
    <w:rsid w:val="00881C32"/>
    <w:rsid w:val="00881C3E"/>
    <w:rsid w:val="00881C76"/>
    <w:rsid w:val="00881D2D"/>
    <w:rsid w:val="00881DA3"/>
    <w:rsid w:val="00881E94"/>
    <w:rsid w:val="00881EA0"/>
    <w:rsid w:val="00881F79"/>
    <w:rsid w:val="00882138"/>
    <w:rsid w:val="008821D1"/>
    <w:rsid w:val="0088236E"/>
    <w:rsid w:val="00882471"/>
    <w:rsid w:val="00882568"/>
    <w:rsid w:val="00882662"/>
    <w:rsid w:val="00882664"/>
    <w:rsid w:val="008826A2"/>
    <w:rsid w:val="008826D6"/>
    <w:rsid w:val="008827FF"/>
    <w:rsid w:val="0088294C"/>
    <w:rsid w:val="008829AD"/>
    <w:rsid w:val="00882A5A"/>
    <w:rsid w:val="00882CDC"/>
    <w:rsid w:val="00882D25"/>
    <w:rsid w:val="00882D50"/>
    <w:rsid w:val="00882D88"/>
    <w:rsid w:val="00882E9D"/>
    <w:rsid w:val="00882EC1"/>
    <w:rsid w:val="00882FC9"/>
    <w:rsid w:val="008830D0"/>
    <w:rsid w:val="00883168"/>
    <w:rsid w:val="0088316C"/>
    <w:rsid w:val="0088319E"/>
    <w:rsid w:val="00883222"/>
    <w:rsid w:val="00883255"/>
    <w:rsid w:val="008832EF"/>
    <w:rsid w:val="00883366"/>
    <w:rsid w:val="00883382"/>
    <w:rsid w:val="008833AF"/>
    <w:rsid w:val="008834B4"/>
    <w:rsid w:val="008834F4"/>
    <w:rsid w:val="00883518"/>
    <w:rsid w:val="008835EC"/>
    <w:rsid w:val="00883627"/>
    <w:rsid w:val="00883668"/>
    <w:rsid w:val="008836CD"/>
    <w:rsid w:val="008836FF"/>
    <w:rsid w:val="00883762"/>
    <w:rsid w:val="008837D4"/>
    <w:rsid w:val="0088384D"/>
    <w:rsid w:val="008839EE"/>
    <w:rsid w:val="00883A03"/>
    <w:rsid w:val="00883AA2"/>
    <w:rsid w:val="00883AD9"/>
    <w:rsid w:val="00883ADD"/>
    <w:rsid w:val="00883BA2"/>
    <w:rsid w:val="00883BE0"/>
    <w:rsid w:val="00883D0E"/>
    <w:rsid w:val="00883D66"/>
    <w:rsid w:val="00883E2B"/>
    <w:rsid w:val="00883F22"/>
    <w:rsid w:val="0088400A"/>
    <w:rsid w:val="0088415C"/>
    <w:rsid w:val="008841B4"/>
    <w:rsid w:val="00884233"/>
    <w:rsid w:val="008842C2"/>
    <w:rsid w:val="00884305"/>
    <w:rsid w:val="00884306"/>
    <w:rsid w:val="0088437E"/>
    <w:rsid w:val="008843E4"/>
    <w:rsid w:val="008843EA"/>
    <w:rsid w:val="008843EF"/>
    <w:rsid w:val="008844BE"/>
    <w:rsid w:val="008847EC"/>
    <w:rsid w:val="00884AAC"/>
    <w:rsid w:val="00884AE7"/>
    <w:rsid w:val="00884BB4"/>
    <w:rsid w:val="00884BC3"/>
    <w:rsid w:val="00884C58"/>
    <w:rsid w:val="00884C66"/>
    <w:rsid w:val="00884D64"/>
    <w:rsid w:val="00884F79"/>
    <w:rsid w:val="0088509D"/>
    <w:rsid w:val="008850ED"/>
    <w:rsid w:val="008851F2"/>
    <w:rsid w:val="00885238"/>
    <w:rsid w:val="0088531F"/>
    <w:rsid w:val="0088534F"/>
    <w:rsid w:val="008854CC"/>
    <w:rsid w:val="008854D9"/>
    <w:rsid w:val="008855EB"/>
    <w:rsid w:val="00885679"/>
    <w:rsid w:val="00885724"/>
    <w:rsid w:val="00885806"/>
    <w:rsid w:val="0088584B"/>
    <w:rsid w:val="0088585B"/>
    <w:rsid w:val="008858C1"/>
    <w:rsid w:val="00885C0E"/>
    <w:rsid w:val="00885CA4"/>
    <w:rsid w:val="00885D3B"/>
    <w:rsid w:val="00886121"/>
    <w:rsid w:val="008861A7"/>
    <w:rsid w:val="00886204"/>
    <w:rsid w:val="008862BA"/>
    <w:rsid w:val="00886345"/>
    <w:rsid w:val="00886386"/>
    <w:rsid w:val="00886405"/>
    <w:rsid w:val="0088640A"/>
    <w:rsid w:val="0088651D"/>
    <w:rsid w:val="008865F9"/>
    <w:rsid w:val="0088666D"/>
    <w:rsid w:val="0088667E"/>
    <w:rsid w:val="00886688"/>
    <w:rsid w:val="00886761"/>
    <w:rsid w:val="0088678A"/>
    <w:rsid w:val="008867C7"/>
    <w:rsid w:val="0088699F"/>
    <w:rsid w:val="00886AC8"/>
    <w:rsid w:val="00886B91"/>
    <w:rsid w:val="00886C78"/>
    <w:rsid w:val="00886C99"/>
    <w:rsid w:val="00886CE3"/>
    <w:rsid w:val="00886D18"/>
    <w:rsid w:val="00886D1E"/>
    <w:rsid w:val="00886D5E"/>
    <w:rsid w:val="00886E9C"/>
    <w:rsid w:val="00886F2B"/>
    <w:rsid w:val="0088703C"/>
    <w:rsid w:val="0088717E"/>
    <w:rsid w:val="008871B7"/>
    <w:rsid w:val="008871BF"/>
    <w:rsid w:val="008871D4"/>
    <w:rsid w:val="00887280"/>
    <w:rsid w:val="008873A6"/>
    <w:rsid w:val="008873AD"/>
    <w:rsid w:val="0088752A"/>
    <w:rsid w:val="008877B0"/>
    <w:rsid w:val="0088782A"/>
    <w:rsid w:val="00887969"/>
    <w:rsid w:val="00887A42"/>
    <w:rsid w:val="00887B6B"/>
    <w:rsid w:val="00887C04"/>
    <w:rsid w:val="00887C22"/>
    <w:rsid w:val="00887C34"/>
    <w:rsid w:val="00887D50"/>
    <w:rsid w:val="00887D89"/>
    <w:rsid w:val="00887E81"/>
    <w:rsid w:val="008900C3"/>
    <w:rsid w:val="008900CE"/>
    <w:rsid w:val="008901E2"/>
    <w:rsid w:val="00890203"/>
    <w:rsid w:val="008902E1"/>
    <w:rsid w:val="00890367"/>
    <w:rsid w:val="00890475"/>
    <w:rsid w:val="0089047E"/>
    <w:rsid w:val="00890549"/>
    <w:rsid w:val="0089058C"/>
    <w:rsid w:val="008905C3"/>
    <w:rsid w:val="008906B0"/>
    <w:rsid w:val="0089073B"/>
    <w:rsid w:val="008907DF"/>
    <w:rsid w:val="008907EA"/>
    <w:rsid w:val="008908D6"/>
    <w:rsid w:val="008908F0"/>
    <w:rsid w:val="00890940"/>
    <w:rsid w:val="008909F3"/>
    <w:rsid w:val="00890A36"/>
    <w:rsid w:val="00890A72"/>
    <w:rsid w:val="00890AAB"/>
    <w:rsid w:val="00890AC7"/>
    <w:rsid w:val="00890B0D"/>
    <w:rsid w:val="00890BF2"/>
    <w:rsid w:val="00890D7E"/>
    <w:rsid w:val="00890D87"/>
    <w:rsid w:val="00890D8F"/>
    <w:rsid w:val="00890ED5"/>
    <w:rsid w:val="00890EF8"/>
    <w:rsid w:val="00890FAD"/>
    <w:rsid w:val="00891001"/>
    <w:rsid w:val="00891028"/>
    <w:rsid w:val="00891074"/>
    <w:rsid w:val="008910A2"/>
    <w:rsid w:val="00891245"/>
    <w:rsid w:val="008912D1"/>
    <w:rsid w:val="00891440"/>
    <w:rsid w:val="00891446"/>
    <w:rsid w:val="008914DB"/>
    <w:rsid w:val="00891500"/>
    <w:rsid w:val="008915CC"/>
    <w:rsid w:val="008915D4"/>
    <w:rsid w:val="008916C3"/>
    <w:rsid w:val="00891751"/>
    <w:rsid w:val="00891872"/>
    <w:rsid w:val="00891891"/>
    <w:rsid w:val="00891966"/>
    <w:rsid w:val="008919A5"/>
    <w:rsid w:val="008919FC"/>
    <w:rsid w:val="00891A16"/>
    <w:rsid w:val="00891A4F"/>
    <w:rsid w:val="00891B30"/>
    <w:rsid w:val="00891BAD"/>
    <w:rsid w:val="00891D33"/>
    <w:rsid w:val="00891D76"/>
    <w:rsid w:val="00891E0F"/>
    <w:rsid w:val="00891EF3"/>
    <w:rsid w:val="00891F1B"/>
    <w:rsid w:val="00891F5F"/>
    <w:rsid w:val="00891FD6"/>
    <w:rsid w:val="0089216F"/>
    <w:rsid w:val="008921F1"/>
    <w:rsid w:val="008921F4"/>
    <w:rsid w:val="0089222A"/>
    <w:rsid w:val="0089236D"/>
    <w:rsid w:val="0089241A"/>
    <w:rsid w:val="00892432"/>
    <w:rsid w:val="008924A1"/>
    <w:rsid w:val="008924B9"/>
    <w:rsid w:val="008924FC"/>
    <w:rsid w:val="00892530"/>
    <w:rsid w:val="00892552"/>
    <w:rsid w:val="0089266B"/>
    <w:rsid w:val="00892741"/>
    <w:rsid w:val="0089292A"/>
    <w:rsid w:val="00892941"/>
    <w:rsid w:val="00892C73"/>
    <w:rsid w:val="00892CA2"/>
    <w:rsid w:val="00892E18"/>
    <w:rsid w:val="00892E6F"/>
    <w:rsid w:val="00892F56"/>
    <w:rsid w:val="00892F86"/>
    <w:rsid w:val="00892FD5"/>
    <w:rsid w:val="00893016"/>
    <w:rsid w:val="0089308F"/>
    <w:rsid w:val="0089309B"/>
    <w:rsid w:val="008930DA"/>
    <w:rsid w:val="008930DC"/>
    <w:rsid w:val="008932AC"/>
    <w:rsid w:val="008932DB"/>
    <w:rsid w:val="0089344B"/>
    <w:rsid w:val="00893451"/>
    <w:rsid w:val="00893562"/>
    <w:rsid w:val="0089356B"/>
    <w:rsid w:val="008936D4"/>
    <w:rsid w:val="00893746"/>
    <w:rsid w:val="008937C5"/>
    <w:rsid w:val="008937C9"/>
    <w:rsid w:val="008937DF"/>
    <w:rsid w:val="008937FE"/>
    <w:rsid w:val="008939AB"/>
    <w:rsid w:val="00893B2F"/>
    <w:rsid w:val="00893B39"/>
    <w:rsid w:val="00893CD0"/>
    <w:rsid w:val="00893D47"/>
    <w:rsid w:val="00893E2B"/>
    <w:rsid w:val="00893EBC"/>
    <w:rsid w:val="00893F05"/>
    <w:rsid w:val="00893FEC"/>
    <w:rsid w:val="0089430F"/>
    <w:rsid w:val="0089434C"/>
    <w:rsid w:val="00894359"/>
    <w:rsid w:val="0089451D"/>
    <w:rsid w:val="0089455E"/>
    <w:rsid w:val="008945CA"/>
    <w:rsid w:val="0089481C"/>
    <w:rsid w:val="0089488A"/>
    <w:rsid w:val="008948B2"/>
    <w:rsid w:val="008948D7"/>
    <w:rsid w:val="008948F4"/>
    <w:rsid w:val="00894961"/>
    <w:rsid w:val="008949FA"/>
    <w:rsid w:val="00894AC7"/>
    <w:rsid w:val="00894B61"/>
    <w:rsid w:val="00894B62"/>
    <w:rsid w:val="00894BE3"/>
    <w:rsid w:val="00894C48"/>
    <w:rsid w:val="00894C56"/>
    <w:rsid w:val="00894CFC"/>
    <w:rsid w:val="00894DE0"/>
    <w:rsid w:val="00894DF1"/>
    <w:rsid w:val="00894EB1"/>
    <w:rsid w:val="00894EC6"/>
    <w:rsid w:val="00894EF3"/>
    <w:rsid w:val="00894F82"/>
    <w:rsid w:val="00894FD5"/>
    <w:rsid w:val="0089500F"/>
    <w:rsid w:val="00895038"/>
    <w:rsid w:val="00895174"/>
    <w:rsid w:val="0089518B"/>
    <w:rsid w:val="008951AD"/>
    <w:rsid w:val="00895363"/>
    <w:rsid w:val="00895464"/>
    <w:rsid w:val="008954C1"/>
    <w:rsid w:val="00895515"/>
    <w:rsid w:val="0089555A"/>
    <w:rsid w:val="008955BE"/>
    <w:rsid w:val="0089566D"/>
    <w:rsid w:val="00895702"/>
    <w:rsid w:val="0089585C"/>
    <w:rsid w:val="0089592F"/>
    <w:rsid w:val="00895A22"/>
    <w:rsid w:val="00895AC9"/>
    <w:rsid w:val="00895AD0"/>
    <w:rsid w:val="00895B4C"/>
    <w:rsid w:val="00895BA6"/>
    <w:rsid w:val="00895C9F"/>
    <w:rsid w:val="00895DE0"/>
    <w:rsid w:val="00895E1B"/>
    <w:rsid w:val="00895E80"/>
    <w:rsid w:val="00895FFE"/>
    <w:rsid w:val="008960B0"/>
    <w:rsid w:val="00896148"/>
    <w:rsid w:val="00896185"/>
    <w:rsid w:val="008961C3"/>
    <w:rsid w:val="0089631E"/>
    <w:rsid w:val="0089633C"/>
    <w:rsid w:val="0089646D"/>
    <w:rsid w:val="008966F4"/>
    <w:rsid w:val="00896730"/>
    <w:rsid w:val="00896A47"/>
    <w:rsid w:val="00896B26"/>
    <w:rsid w:val="00896B9B"/>
    <w:rsid w:val="00896C41"/>
    <w:rsid w:val="00896C8D"/>
    <w:rsid w:val="00896D34"/>
    <w:rsid w:val="00896D55"/>
    <w:rsid w:val="00896DCD"/>
    <w:rsid w:val="00896DDF"/>
    <w:rsid w:val="00896EE6"/>
    <w:rsid w:val="00896F85"/>
    <w:rsid w:val="0089706F"/>
    <w:rsid w:val="008971EF"/>
    <w:rsid w:val="0089722B"/>
    <w:rsid w:val="00897274"/>
    <w:rsid w:val="00897312"/>
    <w:rsid w:val="0089749F"/>
    <w:rsid w:val="008974D5"/>
    <w:rsid w:val="00897503"/>
    <w:rsid w:val="00897601"/>
    <w:rsid w:val="00897621"/>
    <w:rsid w:val="00897634"/>
    <w:rsid w:val="0089766B"/>
    <w:rsid w:val="008976B2"/>
    <w:rsid w:val="0089784C"/>
    <w:rsid w:val="0089790F"/>
    <w:rsid w:val="00897A5B"/>
    <w:rsid w:val="00897A98"/>
    <w:rsid w:val="00897AC2"/>
    <w:rsid w:val="00897AD1"/>
    <w:rsid w:val="00897B37"/>
    <w:rsid w:val="00897BB1"/>
    <w:rsid w:val="00897BE3"/>
    <w:rsid w:val="00897C05"/>
    <w:rsid w:val="00897C1A"/>
    <w:rsid w:val="00897CCA"/>
    <w:rsid w:val="00897CF3"/>
    <w:rsid w:val="00897D24"/>
    <w:rsid w:val="00897DAC"/>
    <w:rsid w:val="00897DD3"/>
    <w:rsid w:val="00897E75"/>
    <w:rsid w:val="00897EEA"/>
    <w:rsid w:val="00897F54"/>
    <w:rsid w:val="00897F57"/>
    <w:rsid w:val="00897F8F"/>
    <w:rsid w:val="00897FDE"/>
    <w:rsid w:val="008A013E"/>
    <w:rsid w:val="008A01DC"/>
    <w:rsid w:val="008A01F6"/>
    <w:rsid w:val="008A0228"/>
    <w:rsid w:val="008A035F"/>
    <w:rsid w:val="008A0390"/>
    <w:rsid w:val="008A0402"/>
    <w:rsid w:val="008A0465"/>
    <w:rsid w:val="008A0481"/>
    <w:rsid w:val="008A0498"/>
    <w:rsid w:val="008A060D"/>
    <w:rsid w:val="008A066C"/>
    <w:rsid w:val="008A0797"/>
    <w:rsid w:val="008A0891"/>
    <w:rsid w:val="008A0B04"/>
    <w:rsid w:val="008A0BAB"/>
    <w:rsid w:val="008A0C22"/>
    <w:rsid w:val="008A0C45"/>
    <w:rsid w:val="008A0C6B"/>
    <w:rsid w:val="008A0CB7"/>
    <w:rsid w:val="008A0F41"/>
    <w:rsid w:val="008A0FF5"/>
    <w:rsid w:val="008A1032"/>
    <w:rsid w:val="008A11BF"/>
    <w:rsid w:val="008A1219"/>
    <w:rsid w:val="008A12CB"/>
    <w:rsid w:val="008A13B1"/>
    <w:rsid w:val="008A13F3"/>
    <w:rsid w:val="008A1415"/>
    <w:rsid w:val="008A144A"/>
    <w:rsid w:val="008A1476"/>
    <w:rsid w:val="008A1509"/>
    <w:rsid w:val="008A151B"/>
    <w:rsid w:val="008A1544"/>
    <w:rsid w:val="008A1635"/>
    <w:rsid w:val="008A1657"/>
    <w:rsid w:val="008A1730"/>
    <w:rsid w:val="008A177C"/>
    <w:rsid w:val="008A1885"/>
    <w:rsid w:val="008A19DB"/>
    <w:rsid w:val="008A19DE"/>
    <w:rsid w:val="008A1C12"/>
    <w:rsid w:val="008A1C39"/>
    <w:rsid w:val="008A1CA2"/>
    <w:rsid w:val="008A1CFF"/>
    <w:rsid w:val="008A1D27"/>
    <w:rsid w:val="008A1DC6"/>
    <w:rsid w:val="008A1DFD"/>
    <w:rsid w:val="008A1ED9"/>
    <w:rsid w:val="008A1F1C"/>
    <w:rsid w:val="008A1F1E"/>
    <w:rsid w:val="008A1F31"/>
    <w:rsid w:val="008A1F67"/>
    <w:rsid w:val="008A2070"/>
    <w:rsid w:val="008A20CA"/>
    <w:rsid w:val="008A20E4"/>
    <w:rsid w:val="008A2199"/>
    <w:rsid w:val="008A2239"/>
    <w:rsid w:val="008A2294"/>
    <w:rsid w:val="008A22A9"/>
    <w:rsid w:val="008A230F"/>
    <w:rsid w:val="008A2330"/>
    <w:rsid w:val="008A2354"/>
    <w:rsid w:val="008A2377"/>
    <w:rsid w:val="008A23C3"/>
    <w:rsid w:val="008A23E1"/>
    <w:rsid w:val="008A2427"/>
    <w:rsid w:val="008A249E"/>
    <w:rsid w:val="008A250C"/>
    <w:rsid w:val="008A2555"/>
    <w:rsid w:val="008A255F"/>
    <w:rsid w:val="008A270D"/>
    <w:rsid w:val="008A2727"/>
    <w:rsid w:val="008A273E"/>
    <w:rsid w:val="008A2813"/>
    <w:rsid w:val="008A2997"/>
    <w:rsid w:val="008A29B5"/>
    <w:rsid w:val="008A2A28"/>
    <w:rsid w:val="008A2A39"/>
    <w:rsid w:val="008A2AFC"/>
    <w:rsid w:val="008A2B25"/>
    <w:rsid w:val="008A2BEE"/>
    <w:rsid w:val="008A2D34"/>
    <w:rsid w:val="008A2D45"/>
    <w:rsid w:val="008A2E22"/>
    <w:rsid w:val="008A2E57"/>
    <w:rsid w:val="008A3010"/>
    <w:rsid w:val="008A316B"/>
    <w:rsid w:val="008A31B0"/>
    <w:rsid w:val="008A31E7"/>
    <w:rsid w:val="008A3293"/>
    <w:rsid w:val="008A3316"/>
    <w:rsid w:val="008A3405"/>
    <w:rsid w:val="008A345F"/>
    <w:rsid w:val="008A3494"/>
    <w:rsid w:val="008A34E8"/>
    <w:rsid w:val="008A3550"/>
    <w:rsid w:val="008A3569"/>
    <w:rsid w:val="008A35B7"/>
    <w:rsid w:val="008A36AE"/>
    <w:rsid w:val="008A36E3"/>
    <w:rsid w:val="008A3780"/>
    <w:rsid w:val="008A380C"/>
    <w:rsid w:val="008A38BD"/>
    <w:rsid w:val="008A3A87"/>
    <w:rsid w:val="008A3BFA"/>
    <w:rsid w:val="008A3C20"/>
    <w:rsid w:val="008A3C75"/>
    <w:rsid w:val="008A3CE7"/>
    <w:rsid w:val="008A3EFA"/>
    <w:rsid w:val="008A3F17"/>
    <w:rsid w:val="008A3F29"/>
    <w:rsid w:val="008A3F63"/>
    <w:rsid w:val="008A3F7E"/>
    <w:rsid w:val="008A410D"/>
    <w:rsid w:val="008A4256"/>
    <w:rsid w:val="008A42CF"/>
    <w:rsid w:val="008A42FD"/>
    <w:rsid w:val="008A4533"/>
    <w:rsid w:val="008A4632"/>
    <w:rsid w:val="008A466C"/>
    <w:rsid w:val="008A4765"/>
    <w:rsid w:val="008A4828"/>
    <w:rsid w:val="008A486C"/>
    <w:rsid w:val="008A4958"/>
    <w:rsid w:val="008A4989"/>
    <w:rsid w:val="008A49D5"/>
    <w:rsid w:val="008A49D7"/>
    <w:rsid w:val="008A4B18"/>
    <w:rsid w:val="008A4B1A"/>
    <w:rsid w:val="008A4B56"/>
    <w:rsid w:val="008A4B6B"/>
    <w:rsid w:val="008A4BB2"/>
    <w:rsid w:val="008A4C45"/>
    <w:rsid w:val="008A4C83"/>
    <w:rsid w:val="008A4DCC"/>
    <w:rsid w:val="008A4F4A"/>
    <w:rsid w:val="008A4F71"/>
    <w:rsid w:val="008A50DD"/>
    <w:rsid w:val="008A5157"/>
    <w:rsid w:val="008A51C9"/>
    <w:rsid w:val="008A52CC"/>
    <w:rsid w:val="008A5319"/>
    <w:rsid w:val="008A5449"/>
    <w:rsid w:val="008A5472"/>
    <w:rsid w:val="008A5612"/>
    <w:rsid w:val="008A586C"/>
    <w:rsid w:val="008A58D6"/>
    <w:rsid w:val="008A5906"/>
    <w:rsid w:val="008A5929"/>
    <w:rsid w:val="008A593F"/>
    <w:rsid w:val="008A5AB2"/>
    <w:rsid w:val="008A5ADF"/>
    <w:rsid w:val="008A5B54"/>
    <w:rsid w:val="008A5C75"/>
    <w:rsid w:val="008A5CD4"/>
    <w:rsid w:val="008A5D11"/>
    <w:rsid w:val="008A5ED4"/>
    <w:rsid w:val="008A5FD8"/>
    <w:rsid w:val="008A6075"/>
    <w:rsid w:val="008A609F"/>
    <w:rsid w:val="008A63FE"/>
    <w:rsid w:val="008A64A0"/>
    <w:rsid w:val="008A64D4"/>
    <w:rsid w:val="008A64E3"/>
    <w:rsid w:val="008A65E4"/>
    <w:rsid w:val="008A660D"/>
    <w:rsid w:val="008A663B"/>
    <w:rsid w:val="008A667B"/>
    <w:rsid w:val="008A66EF"/>
    <w:rsid w:val="008A6771"/>
    <w:rsid w:val="008A677E"/>
    <w:rsid w:val="008A67C3"/>
    <w:rsid w:val="008A69A7"/>
    <w:rsid w:val="008A69E0"/>
    <w:rsid w:val="008A69EC"/>
    <w:rsid w:val="008A6AF2"/>
    <w:rsid w:val="008A6B54"/>
    <w:rsid w:val="008A6C09"/>
    <w:rsid w:val="008A6D4E"/>
    <w:rsid w:val="008A6DA7"/>
    <w:rsid w:val="008A6E9D"/>
    <w:rsid w:val="008A6F48"/>
    <w:rsid w:val="008A6FAF"/>
    <w:rsid w:val="008A708B"/>
    <w:rsid w:val="008A70DC"/>
    <w:rsid w:val="008A712B"/>
    <w:rsid w:val="008A7159"/>
    <w:rsid w:val="008A71BD"/>
    <w:rsid w:val="008A7315"/>
    <w:rsid w:val="008A7334"/>
    <w:rsid w:val="008A7345"/>
    <w:rsid w:val="008A738A"/>
    <w:rsid w:val="008A73EB"/>
    <w:rsid w:val="008A74EC"/>
    <w:rsid w:val="008A7652"/>
    <w:rsid w:val="008A767A"/>
    <w:rsid w:val="008A768D"/>
    <w:rsid w:val="008A779D"/>
    <w:rsid w:val="008A78A9"/>
    <w:rsid w:val="008A78B6"/>
    <w:rsid w:val="008A7922"/>
    <w:rsid w:val="008A79CD"/>
    <w:rsid w:val="008A7A27"/>
    <w:rsid w:val="008A7AF8"/>
    <w:rsid w:val="008A7B43"/>
    <w:rsid w:val="008A7BC7"/>
    <w:rsid w:val="008A7C96"/>
    <w:rsid w:val="008A7D48"/>
    <w:rsid w:val="008A7D95"/>
    <w:rsid w:val="008A7E16"/>
    <w:rsid w:val="008A7E83"/>
    <w:rsid w:val="008B0104"/>
    <w:rsid w:val="008B02EB"/>
    <w:rsid w:val="008B04A3"/>
    <w:rsid w:val="008B04BC"/>
    <w:rsid w:val="008B04FA"/>
    <w:rsid w:val="008B050D"/>
    <w:rsid w:val="008B0534"/>
    <w:rsid w:val="008B066F"/>
    <w:rsid w:val="008B06A3"/>
    <w:rsid w:val="008B06F2"/>
    <w:rsid w:val="008B0738"/>
    <w:rsid w:val="008B0925"/>
    <w:rsid w:val="008B0B45"/>
    <w:rsid w:val="008B0BE1"/>
    <w:rsid w:val="008B0BF7"/>
    <w:rsid w:val="008B0C5E"/>
    <w:rsid w:val="008B0D07"/>
    <w:rsid w:val="008B0D95"/>
    <w:rsid w:val="008B0F22"/>
    <w:rsid w:val="008B0F36"/>
    <w:rsid w:val="008B0F96"/>
    <w:rsid w:val="008B10AB"/>
    <w:rsid w:val="008B10AC"/>
    <w:rsid w:val="008B10B1"/>
    <w:rsid w:val="008B1108"/>
    <w:rsid w:val="008B1160"/>
    <w:rsid w:val="008B1324"/>
    <w:rsid w:val="008B13BE"/>
    <w:rsid w:val="008B14F8"/>
    <w:rsid w:val="008B162F"/>
    <w:rsid w:val="008B1651"/>
    <w:rsid w:val="008B169C"/>
    <w:rsid w:val="008B16EE"/>
    <w:rsid w:val="008B182D"/>
    <w:rsid w:val="008B18BE"/>
    <w:rsid w:val="008B1915"/>
    <w:rsid w:val="008B19D6"/>
    <w:rsid w:val="008B1A26"/>
    <w:rsid w:val="008B1A44"/>
    <w:rsid w:val="008B1B99"/>
    <w:rsid w:val="008B1C2E"/>
    <w:rsid w:val="008B1C4B"/>
    <w:rsid w:val="008B1C9B"/>
    <w:rsid w:val="008B1DC7"/>
    <w:rsid w:val="008B1DFB"/>
    <w:rsid w:val="008B1E19"/>
    <w:rsid w:val="008B1E69"/>
    <w:rsid w:val="008B1E95"/>
    <w:rsid w:val="008B1FB9"/>
    <w:rsid w:val="008B1FEF"/>
    <w:rsid w:val="008B20BF"/>
    <w:rsid w:val="008B2126"/>
    <w:rsid w:val="008B2149"/>
    <w:rsid w:val="008B21AE"/>
    <w:rsid w:val="008B2201"/>
    <w:rsid w:val="008B225B"/>
    <w:rsid w:val="008B22BD"/>
    <w:rsid w:val="008B22C0"/>
    <w:rsid w:val="008B23B2"/>
    <w:rsid w:val="008B23B4"/>
    <w:rsid w:val="008B23C4"/>
    <w:rsid w:val="008B2495"/>
    <w:rsid w:val="008B249C"/>
    <w:rsid w:val="008B26B6"/>
    <w:rsid w:val="008B2751"/>
    <w:rsid w:val="008B2763"/>
    <w:rsid w:val="008B2779"/>
    <w:rsid w:val="008B27C3"/>
    <w:rsid w:val="008B296B"/>
    <w:rsid w:val="008B2979"/>
    <w:rsid w:val="008B2B96"/>
    <w:rsid w:val="008B2BBF"/>
    <w:rsid w:val="008B2C15"/>
    <w:rsid w:val="008B2CC1"/>
    <w:rsid w:val="008B2E1B"/>
    <w:rsid w:val="008B2F76"/>
    <w:rsid w:val="008B310A"/>
    <w:rsid w:val="008B3112"/>
    <w:rsid w:val="008B3180"/>
    <w:rsid w:val="008B3285"/>
    <w:rsid w:val="008B332C"/>
    <w:rsid w:val="008B3497"/>
    <w:rsid w:val="008B3510"/>
    <w:rsid w:val="008B3576"/>
    <w:rsid w:val="008B359E"/>
    <w:rsid w:val="008B3691"/>
    <w:rsid w:val="008B36DD"/>
    <w:rsid w:val="008B371B"/>
    <w:rsid w:val="008B3736"/>
    <w:rsid w:val="008B3757"/>
    <w:rsid w:val="008B378D"/>
    <w:rsid w:val="008B3830"/>
    <w:rsid w:val="008B3891"/>
    <w:rsid w:val="008B3942"/>
    <w:rsid w:val="008B39D3"/>
    <w:rsid w:val="008B3A50"/>
    <w:rsid w:val="008B3ADA"/>
    <w:rsid w:val="008B3AFD"/>
    <w:rsid w:val="008B3B1E"/>
    <w:rsid w:val="008B3CA1"/>
    <w:rsid w:val="008B3DCA"/>
    <w:rsid w:val="008B3DF1"/>
    <w:rsid w:val="008B3E1F"/>
    <w:rsid w:val="008B3E5B"/>
    <w:rsid w:val="008B3ECB"/>
    <w:rsid w:val="008B3FD0"/>
    <w:rsid w:val="008B3FD2"/>
    <w:rsid w:val="008B4022"/>
    <w:rsid w:val="008B41C9"/>
    <w:rsid w:val="008B4256"/>
    <w:rsid w:val="008B4328"/>
    <w:rsid w:val="008B436D"/>
    <w:rsid w:val="008B438A"/>
    <w:rsid w:val="008B45B3"/>
    <w:rsid w:val="008B464D"/>
    <w:rsid w:val="008B46C7"/>
    <w:rsid w:val="008B498B"/>
    <w:rsid w:val="008B4AAA"/>
    <w:rsid w:val="008B4AC0"/>
    <w:rsid w:val="008B4AC6"/>
    <w:rsid w:val="008B4ACB"/>
    <w:rsid w:val="008B4AF1"/>
    <w:rsid w:val="008B4B44"/>
    <w:rsid w:val="008B4BC8"/>
    <w:rsid w:val="008B4C66"/>
    <w:rsid w:val="008B4CAF"/>
    <w:rsid w:val="008B4CCC"/>
    <w:rsid w:val="008B4DC5"/>
    <w:rsid w:val="008B4E75"/>
    <w:rsid w:val="008B4E86"/>
    <w:rsid w:val="008B4FE6"/>
    <w:rsid w:val="008B503F"/>
    <w:rsid w:val="008B50CE"/>
    <w:rsid w:val="008B5154"/>
    <w:rsid w:val="008B5170"/>
    <w:rsid w:val="008B524A"/>
    <w:rsid w:val="008B5259"/>
    <w:rsid w:val="008B52A4"/>
    <w:rsid w:val="008B52A8"/>
    <w:rsid w:val="008B52E2"/>
    <w:rsid w:val="008B52F0"/>
    <w:rsid w:val="008B53BC"/>
    <w:rsid w:val="008B543B"/>
    <w:rsid w:val="008B54B4"/>
    <w:rsid w:val="008B550C"/>
    <w:rsid w:val="008B55C4"/>
    <w:rsid w:val="008B567C"/>
    <w:rsid w:val="008B574C"/>
    <w:rsid w:val="008B57E6"/>
    <w:rsid w:val="008B5805"/>
    <w:rsid w:val="008B581D"/>
    <w:rsid w:val="008B5877"/>
    <w:rsid w:val="008B5893"/>
    <w:rsid w:val="008B58E3"/>
    <w:rsid w:val="008B599D"/>
    <w:rsid w:val="008B5ACB"/>
    <w:rsid w:val="008B5B2B"/>
    <w:rsid w:val="008B5BD1"/>
    <w:rsid w:val="008B5C08"/>
    <w:rsid w:val="008B5C3C"/>
    <w:rsid w:val="008B5C4E"/>
    <w:rsid w:val="008B5CAA"/>
    <w:rsid w:val="008B5D15"/>
    <w:rsid w:val="008B5DC4"/>
    <w:rsid w:val="008B5DC6"/>
    <w:rsid w:val="008B5E86"/>
    <w:rsid w:val="008B5EEB"/>
    <w:rsid w:val="008B5F47"/>
    <w:rsid w:val="008B5F4B"/>
    <w:rsid w:val="008B5F73"/>
    <w:rsid w:val="008B607B"/>
    <w:rsid w:val="008B6435"/>
    <w:rsid w:val="008B64C6"/>
    <w:rsid w:val="008B654D"/>
    <w:rsid w:val="008B656F"/>
    <w:rsid w:val="008B65E4"/>
    <w:rsid w:val="008B66D0"/>
    <w:rsid w:val="008B66EB"/>
    <w:rsid w:val="008B6769"/>
    <w:rsid w:val="008B68A9"/>
    <w:rsid w:val="008B68CE"/>
    <w:rsid w:val="008B690A"/>
    <w:rsid w:val="008B69DD"/>
    <w:rsid w:val="008B6AED"/>
    <w:rsid w:val="008B6B5E"/>
    <w:rsid w:val="008B6BA0"/>
    <w:rsid w:val="008B6BEC"/>
    <w:rsid w:val="008B6C06"/>
    <w:rsid w:val="008B6C9F"/>
    <w:rsid w:val="008B6D3C"/>
    <w:rsid w:val="008B6D97"/>
    <w:rsid w:val="008B6DFD"/>
    <w:rsid w:val="008B6EE2"/>
    <w:rsid w:val="008B6FC3"/>
    <w:rsid w:val="008B6FDB"/>
    <w:rsid w:val="008B7011"/>
    <w:rsid w:val="008B717C"/>
    <w:rsid w:val="008B71AE"/>
    <w:rsid w:val="008B723B"/>
    <w:rsid w:val="008B73C1"/>
    <w:rsid w:val="008B73CF"/>
    <w:rsid w:val="008B73D8"/>
    <w:rsid w:val="008B75C9"/>
    <w:rsid w:val="008B7611"/>
    <w:rsid w:val="008B7617"/>
    <w:rsid w:val="008B76B6"/>
    <w:rsid w:val="008B7771"/>
    <w:rsid w:val="008B77DB"/>
    <w:rsid w:val="008B7874"/>
    <w:rsid w:val="008B7879"/>
    <w:rsid w:val="008B78F7"/>
    <w:rsid w:val="008B7932"/>
    <w:rsid w:val="008B79CE"/>
    <w:rsid w:val="008B7A31"/>
    <w:rsid w:val="008B7ADE"/>
    <w:rsid w:val="008B7AFF"/>
    <w:rsid w:val="008B7C8C"/>
    <w:rsid w:val="008B7D76"/>
    <w:rsid w:val="008B7F54"/>
    <w:rsid w:val="008B7F55"/>
    <w:rsid w:val="008B7FF3"/>
    <w:rsid w:val="008BDDDB"/>
    <w:rsid w:val="008C0107"/>
    <w:rsid w:val="008C0247"/>
    <w:rsid w:val="008C0289"/>
    <w:rsid w:val="008C02BC"/>
    <w:rsid w:val="008C0337"/>
    <w:rsid w:val="008C04CA"/>
    <w:rsid w:val="008C04E6"/>
    <w:rsid w:val="008C0839"/>
    <w:rsid w:val="008C0894"/>
    <w:rsid w:val="008C09D7"/>
    <w:rsid w:val="008C09E8"/>
    <w:rsid w:val="008C0A49"/>
    <w:rsid w:val="008C0A8C"/>
    <w:rsid w:val="008C0AD2"/>
    <w:rsid w:val="008C0B71"/>
    <w:rsid w:val="008C0CE5"/>
    <w:rsid w:val="008C0D0E"/>
    <w:rsid w:val="008C0DE4"/>
    <w:rsid w:val="008C0E74"/>
    <w:rsid w:val="008C0F5C"/>
    <w:rsid w:val="008C10B2"/>
    <w:rsid w:val="008C11F6"/>
    <w:rsid w:val="008C1303"/>
    <w:rsid w:val="008C1376"/>
    <w:rsid w:val="008C1432"/>
    <w:rsid w:val="008C1474"/>
    <w:rsid w:val="008C1583"/>
    <w:rsid w:val="008C1893"/>
    <w:rsid w:val="008C18B7"/>
    <w:rsid w:val="008C18FB"/>
    <w:rsid w:val="008C1967"/>
    <w:rsid w:val="008C1969"/>
    <w:rsid w:val="008C198D"/>
    <w:rsid w:val="008C199C"/>
    <w:rsid w:val="008C1A06"/>
    <w:rsid w:val="008C1A70"/>
    <w:rsid w:val="008C1BEB"/>
    <w:rsid w:val="008C1C4C"/>
    <w:rsid w:val="008C1C98"/>
    <w:rsid w:val="008C1C9B"/>
    <w:rsid w:val="008C1CBD"/>
    <w:rsid w:val="008C1CD7"/>
    <w:rsid w:val="008C1D14"/>
    <w:rsid w:val="008C1D34"/>
    <w:rsid w:val="008C1D41"/>
    <w:rsid w:val="008C1DE4"/>
    <w:rsid w:val="008C1F53"/>
    <w:rsid w:val="008C2071"/>
    <w:rsid w:val="008C2147"/>
    <w:rsid w:val="008C23D9"/>
    <w:rsid w:val="008C24F0"/>
    <w:rsid w:val="008C254A"/>
    <w:rsid w:val="008C25B0"/>
    <w:rsid w:val="008C2696"/>
    <w:rsid w:val="008C2709"/>
    <w:rsid w:val="008C275D"/>
    <w:rsid w:val="008C278E"/>
    <w:rsid w:val="008C27C6"/>
    <w:rsid w:val="008C2935"/>
    <w:rsid w:val="008C295F"/>
    <w:rsid w:val="008C29CF"/>
    <w:rsid w:val="008C2A6C"/>
    <w:rsid w:val="008C2AA5"/>
    <w:rsid w:val="008C2B54"/>
    <w:rsid w:val="008C2B7F"/>
    <w:rsid w:val="008C2BB7"/>
    <w:rsid w:val="008C2C83"/>
    <w:rsid w:val="008C2CFA"/>
    <w:rsid w:val="008C2D8F"/>
    <w:rsid w:val="008C2DEB"/>
    <w:rsid w:val="008C2E18"/>
    <w:rsid w:val="008C2EF2"/>
    <w:rsid w:val="008C312E"/>
    <w:rsid w:val="008C31E8"/>
    <w:rsid w:val="008C321E"/>
    <w:rsid w:val="008C3235"/>
    <w:rsid w:val="008C3327"/>
    <w:rsid w:val="008C3339"/>
    <w:rsid w:val="008C33E0"/>
    <w:rsid w:val="008C3475"/>
    <w:rsid w:val="008C3490"/>
    <w:rsid w:val="008C3616"/>
    <w:rsid w:val="008C3628"/>
    <w:rsid w:val="008C3682"/>
    <w:rsid w:val="008C368A"/>
    <w:rsid w:val="008C36B9"/>
    <w:rsid w:val="008C36E6"/>
    <w:rsid w:val="008C3794"/>
    <w:rsid w:val="008C3801"/>
    <w:rsid w:val="008C3807"/>
    <w:rsid w:val="008C3871"/>
    <w:rsid w:val="008C38C6"/>
    <w:rsid w:val="008C38E5"/>
    <w:rsid w:val="008C3AAF"/>
    <w:rsid w:val="008C3AC2"/>
    <w:rsid w:val="008C3BA9"/>
    <w:rsid w:val="008C3BC1"/>
    <w:rsid w:val="008C3CB1"/>
    <w:rsid w:val="008C3D1A"/>
    <w:rsid w:val="008C3E31"/>
    <w:rsid w:val="008C3F14"/>
    <w:rsid w:val="008C3F9D"/>
    <w:rsid w:val="008C40F3"/>
    <w:rsid w:val="008C41F8"/>
    <w:rsid w:val="008C44E8"/>
    <w:rsid w:val="008C455F"/>
    <w:rsid w:val="008C457A"/>
    <w:rsid w:val="008C4590"/>
    <w:rsid w:val="008C459D"/>
    <w:rsid w:val="008C45BD"/>
    <w:rsid w:val="008C45C3"/>
    <w:rsid w:val="008C4670"/>
    <w:rsid w:val="008C4790"/>
    <w:rsid w:val="008C4792"/>
    <w:rsid w:val="008C47BD"/>
    <w:rsid w:val="008C485E"/>
    <w:rsid w:val="008C486B"/>
    <w:rsid w:val="008C49C6"/>
    <w:rsid w:val="008C4A69"/>
    <w:rsid w:val="008C4A87"/>
    <w:rsid w:val="008C4B67"/>
    <w:rsid w:val="008C4BBE"/>
    <w:rsid w:val="008C4C00"/>
    <w:rsid w:val="008C4C3F"/>
    <w:rsid w:val="008C4CE3"/>
    <w:rsid w:val="008C4EAC"/>
    <w:rsid w:val="008C4FAD"/>
    <w:rsid w:val="008C5090"/>
    <w:rsid w:val="008C521B"/>
    <w:rsid w:val="008C5248"/>
    <w:rsid w:val="008C5276"/>
    <w:rsid w:val="008C539B"/>
    <w:rsid w:val="008C53B5"/>
    <w:rsid w:val="008C53DB"/>
    <w:rsid w:val="008C53F8"/>
    <w:rsid w:val="008C53FC"/>
    <w:rsid w:val="008C546F"/>
    <w:rsid w:val="008C554A"/>
    <w:rsid w:val="008C55E4"/>
    <w:rsid w:val="008C5654"/>
    <w:rsid w:val="008C56BD"/>
    <w:rsid w:val="008C5707"/>
    <w:rsid w:val="008C573A"/>
    <w:rsid w:val="008C5745"/>
    <w:rsid w:val="008C57AA"/>
    <w:rsid w:val="008C586D"/>
    <w:rsid w:val="008C591B"/>
    <w:rsid w:val="008C59B0"/>
    <w:rsid w:val="008C5A34"/>
    <w:rsid w:val="008C5C72"/>
    <w:rsid w:val="008C5CAE"/>
    <w:rsid w:val="008C5DDC"/>
    <w:rsid w:val="008C5E46"/>
    <w:rsid w:val="008C5E66"/>
    <w:rsid w:val="008C5F51"/>
    <w:rsid w:val="008C5FC5"/>
    <w:rsid w:val="008C602E"/>
    <w:rsid w:val="008C603E"/>
    <w:rsid w:val="008C60AB"/>
    <w:rsid w:val="008C60FE"/>
    <w:rsid w:val="008C6109"/>
    <w:rsid w:val="008C61E6"/>
    <w:rsid w:val="008C622A"/>
    <w:rsid w:val="008C6370"/>
    <w:rsid w:val="008C6373"/>
    <w:rsid w:val="008C65AD"/>
    <w:rsid w:val="008C65D0"/>
    <w:rsid w:val="008C6729"/>
    <w:rsid w:val="008C674F"/>
    <w:rsid w:val="008C67B7"/>
    <w:rsid w:val="008C67D0"/>
    <w:rsid w:val="008C67F8"/>
    <w:rsid w:val="008C69FE"/>
    <w:rsid w:val="008C6A38"/>
    <w:rsid w:val="008C6C08"/>
    <w:rsid w:val="008C6CA7"/>
    <w:rsid w:val="008C6D12"/>
    <w:rsid w:val="008C6D6F"/>
    <w:rsid w:val="008C6E21"/>
    <w:rsid w:val="008C6E51"/>
    <w:rsid w:val="008C6EF3"/>
    <w:rsid w:val="008C6FB6"/>
    <w:rsid w:val="008C7051"/>
    <w:rsid w:val="008C706A"/>
    <w:rsid w:val="008C70DD"/>
    <w:rsid w:val="008C7101"/>
    <w:rsid w:val="008C710A"/>
    <w:rsid w:val="008C71A9"/>
    <w:rsid w:val="008C71EE"/>
    <w:rsid w:val="008C730C"/>
    <w:rsid w:val="008C7314"/>
    <w:rsid w:val="008C7346"/>
    <w:rsid w:val="008C744B"/>
    <w:rsid w:val="008C7467"/>
    <w:rsid w:val="008C7563"/>
    <w:rsid w:val="008C75D5"/>
    <w:rsid w:val="008C7625"/>
    <w:rsid w:val="008C76F4"/>
    <w:rsid w:val="008C773B"/>
    <w:rsid w:val="008C7757"/>
    <w:rsid w:val="008C77D7"/>
    <w:rsid w:val="008C7847"/>
    <w:rsid w:val="008C7892"/>
    <w:rsid w:val="008C7AF6"/>
    <w:rsid w:val="008C7C7C"/>
    <w:rsid w:val="008C7C84"/>
    <w:rsid w:val="008C7C8D"/>
    <w:rsid w:val="008C7D0A"/>
    <w:rsid w:val="008C7DDD"/>
    <w:rsid w:val="008C7E2D"/>
    <w:rsid w:val="008C7E5B"/>
    <w:rsid w:val="008C7FD0"/>
    <w:rsid w:val="008C7FFA"/>
    <w:rsid w:val="008D0050"/>
    <w:rsid w:val="008D005C"/>
    <w:rsid w:val="008D00AD"/>
    <w:rsid w:val="008D0114"/>
    <w:rsid w:val="008D01FD"/>
    <w:rsid w:val="008D032C"/>
    <w:rsid w:val="008D0371"/>
    <w:rsid w:val="008D0392"/>
    <w:rsid w:val="008D03FB"/>
    <w:rsid w:val="008D0415"/>
    <w:rsid w:val="008D044C"/>
    <w:rsid w:val="008D04C4"/>
    <w:rsid w:val="008D05AC"/>
    <w:rsid w:val="008D0609"/>
    <w:rsid w:val="008D0624"/>
    <w:rsid w:val="008D0642"/>
    <w:rsid w:val="008D0656"/>
    <w:rsid w:val="008D0729"/>
    <w:rsid w:val="008D0744"/>
    <w:rsid w:val="008D084E"/>
    <w:rsid w:val="008D086A"/>
    <w:rsid w:val="008D09EE"/>
    <w:rsid w:val="008D0B24"/>
    <w:rsid w:val="008D0BE8"/>
    <w:rsid w:val="008D0C1C"/>
    <w:rsid w:val="008D0C38"/>
    <w:rsid w:val="008D0CC7"/>
    <w:rsid w:val="008D0D4A"/>
    <w:rsid w:val="008D0DA5"/>
    <w:rsid w:val="008D0DCC"/>
    <w:rsid w:val="008D0E25"/>
    <w:rsid w:val="008D0F5A"/>
    <w:rsid w:val="008D0FF3"/>
    <w:rsid w:val="008D0FF9"/>
    <w:rsid w:val="008D1092"/>
    <w:rsid w:val="008D10C8"/>
    <w:rsid w:val="008D1230"/>
    <w:rsid w:val="008D1234"/>
    <w:rsid w:val="008D1245"/>
    <w:rsid w:val="008D136C"/>
    <w:rsid w:val="008D136F"/>
    <w:rsid w:val="008D1377"/>
    <w:rsid w:val="008D138E"/>
    <w:rsid w:val="008D146A"/>
    <w:rsid w:val="008D14DE"/>
    <w:rsid w:val="008D15ED"/>
    <w:rsid w:val="008D160C"/>
    <w:rsid w:val="008D1628"/>
    <w:rsid w:val="008D17AA"/>
    <w:rsid w:val="008D17B8"/>
    <w:rsid w:val="008D18D9"/>
    <w:rsid w:val="008D18F2"/>
    <w:rsid w:val="008D1938"/>
    <w:rsid w:val="008D19EF"/>
    <w:rsid w:val="008D1A0B"/>
    <w:rsid w:val="008D1A6E"/>
    <w:rsid w:val="008D1A81"/>
    <w:rsid w:val="008D1B17"/>
    <w:rsid w:val="008D1B38"/>
    <w:rsid w:val="008D1CE5"/>
    <w:rsid w:val="008D1D04"/>
    <w:rsid w:val="008D1D92"/>
    <w:rsid w:val="008D1DAC"/>
    <w:rsid w:val="008D1E5B"/>
    <w:rsid w:val="008D1EC5"/>
    <w:rsid w:val="008D1EDF"/>
    <w:rsid w:val="008D1F99"/>
    <w:rsid w:val="008D2008"/>
    <w:rsid w:val="008D204A"/>
    <w:rsid w:val="008D2198"/>
    <w:rsid w:val="008D223C"/>
    <w:rsid w:val="008D22CD"/>
    <w:rsid w:val="008D22DE"/>
    <w:rsid w:val="008D22F2"/>
    <w:rsid w:val="008D2401"/>
    <w:rsid w:val="008D2442"/>
    <w:rsid w:val="008D24A7"/>
    <w:rsid w:val="008D24CD"/>
    <w:rsid w:val="008D2614"/>
    <w:rsid w:val="008D268F"/>
    <w:rsid w:val="008D27E3"/>
    <w:rsid w:val="008D2821"/>
    <w:rsid w:val="008D292E"/>
    <w:rsid w:val="008D29C4"/>
    <w:rsid w:val="008D2B19"/>
    <w:rsid w:val="008D2C32"/>
    <w:rsid w:val="008D2C88"/>
    <w:rsid w:val="008D2EE3"/>
    <w:rsid w:val="008D2F36"/>
    <w:rsid w:val="008D2F42"/>
    <w:rsid w:val="008D2F65"/>
    <w:rsid w:val="008D2F87"/>
    <w:rsid w:val="008D3054"/>
    <w:rsid w:val="008D3069"/>
    <w:rsid w:val="008D326A"/>
    <w:rsid w:val="008D32E6"/>
    <w:rsid w:val="008D330D"/>
    <w:rsid w:val="008D33B8"/>
    <w:rsid w:val="008D33E1"/>
    <w:rsid w:val="008D341A"/>
    <w:rsid w:val="008D35F8"/>
    <w:rsid w:val="008D3615"/>
    <w:rsid w:val="008D3730"/>
    <w:rsid w:val="008D37AF"/>
    <w:rsid w:val="008D38D0"/>
    <w:rsid w:val="008D3962"/>
    <w:rsid w:val="008D39A2"/>
    <w:rsid w:val="008D3A7E"/>
    <w:rsid w:val="008D3AEE"/>
    <w:rsid w:val="008D3B45"/>
    <w:rsid w:val="008D3BFD"/>
    <w:rsid w:val="008D3CDC"/>
    <w:rsid w:val="008D3DB2"/>
    <w:rsid w:val="008D3E39"/>
    <w:rsid w:val="008D3E66"/>
    <w:rsid w:val="008D3FB0"/>
    <w:rsid w:val="008D3FF6"/>
    <w:rsid w:val="008D40B9"/>
    <w:rsid w:val="008D423F"/>
    <w:rsid w:val="008D4296"/>
    <w:rsid w:val="008D43A4"/>
    <w:rsid w:val="008D467C"/>
    <w:rsid w:val="008D46D8"/>
    <w:rsid w:val="008D4815"/>
    <w:rsid w:val="008D485F"/>
    <w:rsid w:val="008D48FE"/>
    <w:rsid w:val="008D499C"/>
    <w:rsid w:val="008D49BE"/>
    <w:rsid w:val="008D4A59"/>
    <w:rsid w:val="008D4BC2"/>
    <w:rsid w:val="008D4BCD"/>
    <w:rsid w:val="008D4CED"/>
    <w:rsid w:val="008D4D12"/>
    <w:rsid w:val="008D4DE7"/>
    <w:rsid w:val="008D4E31"/>
    <w:rsid w:val="008D4E44"/>
    <w:rsid w:val="008D529A"/>
    <w:rsid w:val="008D5411"/>
    <w:rsid w:val="008D549A"/>
    <w:rsid w:val="008D54E8"/>
    <w:rsid w:val="008D54F7"/>
    <w:rsid w:val="008D55A1"/>
    <w:rsid w:val="008D55D8"/>
    <w:rsid w:val="008D55F0"/>
    <w:rsid w:val="008D568F"/>
    <w:rsid w:val="008D5707"/>
    <w:rsid w:val="008D5790"/>
    <w:rsid w:val="008D59A0"/>
    <w:rsid w:val="008D59CC"/>
    <w:rsid w:val="008D5AC9"/>
    <w:rsid w:val="008D5C5B"/>
    <w:rsid w:val="008D5C7E"/>
    <w:rsid w:val="008D5CD9"/>
    <w:rsid w:val="008D5CE3"/>
    <w:rsid w:val="008D5D17"/>
    <w:rsid w:val="008D5DD0"/>
    <w:rsid w:val="008D5E06"/>
    <w:rsid w:val="008D5EF4"/>
    <w:rsid w:val="008D60AD"/>
    <w:rsid w:val="008D6130"/>
    <w:rsid w:val="008D619A"/>
    <w:rsid w:val="008D62E6"/>
    <w:rsid w:val="008D62FF"/>
    <w:rsid w:val="008D6468"/>
    <w:rsid w:val="008D649E"/>
    <w:rsid w:val="008D6515"/>
    <w:rsid w:val="008D653A"/>
    <w:rsid w:val="008D6545"/>
    <w:rsid w:val="008D6547"/>
    <w:rsid w:val="008D6595"/>
    <w:rsid w:val="008D6631"/>
    <w:rsid w:val="008D667E"/>
    <w:rsid w:val="008D668F"/>
    <w:rsid w:val="008D66CE"/>
    <w:rsid w:val="008D68BB"/>
    <w:rsid w:val="008D6A42"/>
    <w:rsid w:val="008D6BCB"/>
    <w:rsid w:val="008D6C4D"/>
    <w:rsid w:val="008D6C7C"/>
    <w:rsid w:val="008D6C93"/>
    <w:rsid w:val="008D6CED"/>
    <w:rsid w:val="008D6D26"/>
    <w:rsid w:val="008D6D48"/>
    <w:rsid w:val="008D6D64"/>
    <w:rsid w:val="008D6DA2"/>
    <w:rsid w:val="008D6DD3"/>
    <w:rsid w:val="008D6DF5"/>
    <w:rsid w:val="008D6ED8"/>
    <w:rsid w:val="008D6EDE"/>
    <w:rsid w:val="008D6EF2"/>
    <w:rsid w:val="008D6F5C"/>
    <w:rsid w:val="008D6F70"/>
    <w:rsid w:val="008D6FA3"/>
    <w:rsid w:val="008D6FE1"/>
    <w:rsid w:val="008D6FFA"/>
    <w:rsid w:val="008D7020"/>
    <w:rsid w:val="008D7098"/>
    <w:rsid w:val="008D70CA"/>
    <w:rsid w:val="008D70D7"/>
    <w:rsid w:val="008D71B9"/>
    <w:rsid w:val="008D753B"/>
    <w:rsid w:val="008D7584"/>
    <w:rsid w:val="008D75EC"/>
    <w:rsid w:val="008D765D"/>
    <w:rsid w:val="008D7674"/>
    <w:rsid w:val="008D768B"/>
    <w:rsid w:val="008D77B3"/>
    <w:rsid w:val="008D77E2"/>
    <w:rsid w:val="008D7844"/>
    <w:rsid w:val="008D784C"/>
    <w:rsid w:val="008D78B8"/>
    <w:rsid w:val="008D7B1A"/>
    <w:rsid w:val="008E00D3"/>
    <w:rsid w:val="008E00E7"/>
    <w:rsid w:val="008E037B"/>
    <w:rsid w:val="008E041A"/>
    <w:rsid w:val="008E041D"/>
    <w:rsid w:val="008E0421"/>
    <w:rsid w:val="008E0457"/>
    <w:rsid w:val="008E0462"/>
    <w:rsid w:val="008E0519"/>
    <w:rsid w:val="008E0828"/>
    <w:rsid w:val="008E0883"/>
    <w:rsid w:val="008E092D"/>
    <w:rsid w:val="008E0A13"/>
    <w:rsid w:val="008E0A60"/>
    <w:rsid w:val="008E0A9D"/>
    <w:rsid w:val="008E0AE3"/>
    <w:rsid w:val="008E0B24"/>
    <w:rsid w:val="008E0BD7"/>
    <w:rsid w:val="008E0C94"/>
    <w:rsid w:val="008E0D0B"/>
    <w:rsid w:val="008E0E1D"/>
    <w:rsid w:val="008E0F01"/>
    <w:rsid w:val="008E0F37"/>
    <w:rsid w:val="008E0FE2"/>
    <w:rsid w:val="008E101D"/>
    <w:rsid w:val="008E1102"/>
    <w:rsid w:val="008E127C"/>
    <w:rsid w:val="008E12E3"/>
    <w:rsid w:val="008E133A"/>
    <w:rsid w:val="008E1360"/>
    <w:rsid w:val="008E1537"/>
    <w:rsid w:val="008E162D"/>
    <w:rsid w:val="008E166C"/>
    <w:rsid w:val="008E1692"/>
    <w:rsid w:val="008E16EE"/>
    <w:rsid w:val="008E17C1"/>
    <w:rsid w:val="008E1864"/>
    <w:rsid w:val="008E18B5"/>
    <w:rsid w:val="008E1943"/>
    <w:rsid w:val="008E195F"/>
    <w:rsid w:val="008E1995"/>
    <w:rsid w:val="008E1A39"/>
    <w:rsid w:val="008E1BA4"/>
    <w:rsid w:val="008E1C04"/>
    <w:rsid w:val="008E1C69"/>
    <w:rsid w:val="008E1EBB"/>
    <w:rsid w:val="008E200E"/>
    <w:rsid w:val="008E201F"/>
    <w:rsid w:val="008E2077"/>
    <w:rsid w:val="008E20B8"/>
    <w:rsid w:val="008E2119"/>
    <w:rsid w:val="008E2170"/>
    <w:rsid w:val="008E2192"/>
    <w:rsid w:val="008E2211"/>
    <w:rsid w:val="008E230B"/>
    <w:rsid w:val="008E23C9"/>
    <w:rsid w:val="008E2458"/>
    <w:rsid w:val="008E246B"/>
    <w:rsid w:val="008E24C1"/>
    <w:rsid w:val="008E25B8"/>
    <w:rsid w:val="008E2602"/>
    <w:rsid w:val="008E26A9"/>
    <w:rsid w:val="008E26E3"/>
    <w:rsid w:val="008E26FA"/>
    <w:rsid w:val="008E27B3"/>
    <w:rsid w:val="008E27BD"/>
    <w:rsid w:val="008E27DE"/>
    <w:rsid w:val="008E2888"/>
    <w:rsid w:val="008E2AC5"/>
    <w:rsid w:val="008E2B24"/>
    <w:rsid w:val="008E2C24"/>
    <w:rsid w:val="008E2C6C"/>
    <w:rsid w:val="008E2C97"/>
    <w:rsid w:val="008E2C9E"/>
    <w:rsid w:val="008E2CEE"/>
    <w:rsid w:val="008E2D13"/>
    <w:rsid w:val="008E2D7D"/>
    <w:rsid w:val="008E2D8C"/>
    <w:rsid w:val="008E2E7F"/>
    <w:rsid w:val="008E302D"/>
    <w:rsid w:val="008E3085"/>
    <w:rsid w:val="008E3087"/>
    <w:rsid w:val="008E30C3"/>
    <w:rsid w:val="008E332A"/>
    <w:rsid w:val="008E3361"/>
    <w:rsid w:val="008E3413"/>
    <w:rsid w:val="008E354D"/>
    <w:rsid w:val="008E367A"/>
    <w:rsid w:val="008E378E"/>
    <w:rsid w:val="008E3792"/>
    <w:rsid w:val="008E37A0"/>
    <w:rsid w:val="008E37F1"/>
    <w:rsid w:val="008E38A3"/>
    <w:rsid w:val="008E38C2"/>
    <w:rsid w:val="008E38D1"/>
    <w:rsid w:val="008E390A"/>
    <w:rsid w:val="008E3926"/>
    <w:rsid w:val="008E392A"/>
    <w:rsid w:val="008E3BEF"/>
    <w:rsid w:val="008E3C24"/>
    <w:rsid w:val="008E3E67"/>
    <w:rsid w:val="008E3EB3"/>
    <w:rsid w:val="008E3F79"/>
    <w:rsid w:val="008E40D2"/>
    <w:rsid w:val="008E418D"/>
    <w:rsid w:val="008E4195"/>
    <w:rsid w:val="008E420F"/>
    <w:rsid w:val="008E4264"/>
    <w:rsid w:val="008E427D"/>
    <w:rsid w:val="008E4348"/>
    <w:rsid w:val="008E4392"/>
    <w:rsid w:val="008E445E"/>
    <w:rsid w:val="008E45A0"/>
    <w:rsid w:val="008E4673"/>
    <w:rsid w:val="008E46A7"/>
    <w:rsid w:val="008E4712"/>
    <w:rsid w:val="008E4796"/>
    <w:rsid w:val="008E481D"/>
    <w:rsid w:val="008E4898"/>
    <w:rsid w:val="008E48C0"/>
    <w:rsid w:val="008E4959"/>
    <w:rsid w:val="008E49DF"/>
    <w:rsid w:val="008E4AE7"/>
    <w:rsid w:val="008E4AF2"/>
    <w:rsid w:val="008E4B42"/>
    <w:rsid w:val="008E4B83"/>
    <w:rsid w:val="008E4BCA"/>
    <w:rsid w:val="008E4C28"/>
    <w:rsid w:val="008E4D90"/>
    <w:rsid w:val="008E4DB1"/>
    <w:rsid w:val="008E4DD5"/>
    <w:rsid w:val="008E4E71"/>
    <w:rsid w:val="008E4F19"/>
    <w:rsid w:val="008E4F61"/>
    <w:rsid w:val="008E501B"/>
    <w:rsid w:val="008E50C0"/>
    <w:rsid w:val="008E50C9"/>
    <w:rsid w:val="008E50FA"/>
    <w:rsid w:val="008E5158"/>
    <w:rsid w:val="008E5258"/>
    <w:rsid w:val="008E52FD"/>
    <w:rsid w:val="008E5375"/>
    <w:rsid w:val="008E53C3"/>
    <w:rsid w:val="008E53CA"/>
    <w:rsid w:val="008E53EC"/>
    <w:rsid w:val="008E54BD"/>
    <w:rsid w:val="008E5535"/>
    <w:rsid w:val="008E55A6"/>
    <w:rsid w:val="008E55C5"/>
    <w:rsid w:val="008E5729"/>
    <w:rsid w:val="008E583C"/>
    <w:rsid w:val="008E58CF"/>
    <w:rsid w:val="008E59F6"/>
    <w:rsid w:val="008E5A37"/>
    <w:rsid w:val="008E5B69"/>
    <w:rsid w:val="008E5D0F"/>
    <w:rsid w:val="008E5D28"/>
    <w:rsid w:val="008E5D60"/>
    <w:rsid w:val="008E5DA7"/>
    <w:rsid w:val="008E5E7D"/>
    <w:rsid w:val="008E5F19"/>
    <w:rsid w:val="008E5F94"/>
    <w:rsid w:val="008E60A7"/>
    <w:rsid w:val="008E61AF"/>
    <w:rsid w:val="008E6278"/>
    <w:rsid w:val="008E638A"/>
    <w:rsid w:val="008E6397"/>
    <w:rsid w:val="008E643F"/>
    <w:rsid w:val="008E64A4"/>
    <w:rsid w:val="008E64BE"/>
    <w:rsid w:val="008E64DF"/>
    <w:rsid w:val="008E656A"/>
    <w:rsid w:val="008E658A"/>
    <w:rsid w:val="008E658B"/>
    <w:rsid w:val="008E6610"/>
    <w:rsid w:val="008E66A4"/>
    <w:rsid w:val="008E670D"/>
    <w:rsid w:val="008E6724"/>
    <w:rsid w:val="008E6815"/>
    <w:rsid w:val="008E6A4A"/>
    <w:rsid w:val="008E6AC7"/>
    <w:rsid w:val="008E6B5E"/>
    <w:rsid w:val="008E6B7F"/>
    <w:rsid w:val="008E6BC1"/>
    <w:rsid w:val="008E6C49"/>
    <w:rsid w:val="008E6D8A"/>
    <w:rsid w:val="008E6EE7"/>
    <w:rsid w:val="008E6FB5"/>
    <w:rsid w:val="008E7196"/>
    <w:rsid w:val="008E71E7"/>
    <w:rsid w:val="008E720E"/>
    <w:rsid w:val="008E7259"/>
    <w:rsid w:val="008E738A"/>
    <w:rsid w:val="008E741D"/>
    <w:rsid w:val="008E743C"/>
    <w:rsid w:val="008E747B"/>
    <w:rsid w:val="008E748F"/>
    <w:rsid w:val="008E74D2"/>
    <w:rsid w:val="008E7508"/>
    <w:rsid w:val="008E76D0"/>
    <w:rsid w:val="008E7740"/>
    <w:rsid w:val="008E77AD"/>
    <w:rsid w:val="008E77C9"/>
    <w:rsid w:val="008E7891"/>
    <w:rsid w:val="008E78CE"/>
    <w:rsid w:val="008E78F9"/>
    <w:rsid w:val="008E791E"/>
    <w:rsid w:val="008E7BF2"/>
    <w:rsid w:val="008E7C00"/>
    <w:rsid w:val="008E7C99"/>
    <w:rsid w:val="008E7D18"/>
    <w:rsid w:val="008E7DCF"/>
    <w:rsid w:val="008E7DF1"/>
    <w:rsid w:val="008E7EDD"/>
    <w:rsid w:val="008E7F45"/>
    <w:rsid w:val="008E7FE0"/>
    <w:rsid w:val="008F0052"/>
    <w:rsid w:val="008F012D"/>
    <w:rsid w:val="008F0156"/>
    <w:rsid w:val="008F01DD"/>
    <w:rsid w:val="008F023B"/>
    <w:rsid w:val="008F0373"/>
    <w:rsid w:val="008F0432"/>
    <w:rsid w:val="008F0463"/>
    <w:rsid w:val="008F05F8"/>
    <w:rsid w:val="008F065F"/>
    <w:rsid w:val="008F06A1"/>
    <w:rsid w:val="008F075D"/>
    <w:rsid w:val="008F08E5"/>
    <w:rsid w:val="008F090E"/>
    <w:rsid w:val="008F0977"/>
    <w:rsid w:val="008F0983"/>
    <w:rsid w:val="008F09A9"/>
    <w:rsid w:val="008F0A3F"/>
    <w:rsid w:val="008F0B54"/>
    <w:rsid w:val="008F0BF0"/>
    <w:rsid w:val="008F0C19"/>
    <w:rsid w:val="008F0CCC"/>
    <w:rsid w:val="008F0CDE"/>
    <w:rsid w:val="008F0E57"/>
    <w:rsid w:val="008F0FD0"/>
    <w:rsid w:val="008F102D"/>
    <w:rsid w:val="008F106E"/>
    <w:rsid w:val="008F107D"/>
    <w:rsid w:val="008F117C"/>
    <w:rsid w:val="008F1227"/>
    <w:rsid w:val="008F1280"/>
    <w:rsid w:val="008F12F6"/>
    <w:rsid w:val="008F1301"/>
    <w:rsid w:val="008F1416"/>
    <w:rsid w:val="008F143C"/>
    <w:rsid w:val="008F143D"/>
    <w:rsid w:val="008F1444"/>
    <w:rsid w:val="008F1495"/>
    <w:rsid w:val="008F1584"/>
    <w:rsid w:val="008F16A0"/>
    <w:rsid w:val="008F17D4"/>
    <w:rsid w:val="008F17F4"/>
    <w:rsid w:val="008F1800"/>
    <w:rsid w:val="008F1A37"/>
    <w:rsid w:val="008F1BEE"/>
    <w:rsid w:val="008F1C1C"/>
    <w:rsid w:val="008F1C46"/>
    <w:rsid w:val="008F1C54"/>
    <w:rsid w:val="008F1D4D"/>
    <w:rsid w:val="008F1E69"/>
    <w:rsid w:val="008F1F34"/>
    <w:rsid w:val="008F2004"/>
    <w:rsid w:val="008F2028"/>
    <w:rsid w:val="008F203F"/>
    <w:rsid w:val="008F20CA"/>
    <w:rsid w:val="008F20F5"/>
    <w:rsid w:val="008F2116"/>
    <w:rsid w:val="008F220F"/>
    <w:rsid w:val="008F22AB"/>
    <w:rsid w:val="008F231F"/>
    <w:rsid w:val="008F238F"/>
    <w:rsid w:val="008F23A1"/>
    <w:rsid w:val="008F2419"/>
    <w:rsid w:val="008F24A1"/>
    <w:rsid w:val="008F25E7"/>
    <w:rsid w:val="008F26C8"/>
    <w:rsid w:val="008F26D8"/>
    <w:rsid w:val="008F28A3"/>
    <w:rsid w:val="008F2952"/>
    <w:rsid w:val="008F2959"/>
    <w:rsid w:val="008F29C1"/>
    <w:rsid w:val="008F29F5"/>
    <w:rsid w:val="008F2A15"/>
    <w:rsid w:val="008F2A91"/>
    <w:rsid w:val="008F2B63"/>
    <w:rsid w:val="008F2BDD"/>
    <w:rsid w:val="008F2C49"/>
    <w:rsid w:val="008F2C64"/>
    <w:rsid w:val="008F2C89"/>
    <w:rsid w:val="008F2D1B"/>
    <w:rsid w:val="008F2D39"/>
    <w:rsid w:val="008F2F4F"/>
    <w:rsid w:val="008F2F5B"/>
    <w:rsid w:val="008F2F70"/>
    <w:rsid w:val="008F2FE2"/>
    <w:rsid w:val="008F30F5"/>
    <w:rsid w:val="008F3128"/>
    <w:rsid w:val="008F328B"/>
    <w:rsid w:val="008F33A3"/>
    <w:rsid w:val="008F3524"/>
    <w:rsid w:val="008F35AA"/>
    <w:rsid w:val="008F378A"/>
    <w:rsid w:val="008F37ED"/>
    <w:rsid w:val="008F38F3"/>
    <w:rsid w:val="008F3937"/>
    <w:rsid w:val="008F396C"/>
    <w:rsid w:val="008F3A29"/>
    <w:rsid w:val="008F3BCC"/>
    <w:rsid w:val="008F3C4C"/>
    <w:rsid w:val="008F3C76"/>
    <w:rsid w:val="008F3D64"/>
    <w:rsid w:val="008F3D7D"/>
    <w:rsid w:val="008F3DE4"/>
    <w:rsid w:val="008F3EF9"/>
    <w:rsid w:val="008F3F89"/>
    <w:rsid w:val="008F3FDB"/>
    <w:rsid w:val="008F40A1"/>
    <w:rsid w:val="008F40D2"/>
    <w:rsid w:val="008F412B"/>
    <w:rsid w:val="008F4195"/>
    <w:rsid w:val="008F427B"/>
    <w:rsid w:val="008F4346"/>
    <w:rsid w:val="008F4398"/>
    <w:rsid w:val="008F45C6"/>
    <w:rsid w:val="008F4626"/>
    <w:rsid w:val="008F4741"/>
    <w:rsid w:val="008F493D"/>
    <w:rsid w:val="008F4A18"/>
    <w:rsid w:val="008F4A85"/>
    <w:rsid w:val="008F4B14"/>
    <w:rsid w:val="008F4B9D"/>
    <w:rsid w:val="008F4C02"/>
    <w:rsid w:val="008F4C20"/>
    <w:rsid w:val="008F4C51"/>
    <w:rsid w:val="008F4E03"/>
    <w:rsid w:val="008F4E58"/>
    <w:rsid w:val="008F4ED8"/>
    <w:rsid w:val="008F4F6F"/>
    <w:rsid w:val="008F4FDE"/>
    <w:rsid w:val="008F4FE6"/>
    <w:rsid w:val="008F5004"/>
    <w:rsid w:val="008F500F"/>
    <w:rsid w:val="008F5052"/>
    <w:rsid w:val="008F505D"/>
    <w:rsid w:val="008F50A9"/>
    <w:rsid w:val="008F5125"/>
    <w:rsid w:val="008F51B4"/>
    <w:rsid w:val="008F51C3"/>
    <w:rsid w:val="008F54CC"/>
    <w:rsid w:val="008F54D6"/>
    <w:rsid w:val="008F551F"/>
    <w:rsid w:val="008F570E"/>
    <w:rsid w:val="008F59EA"/>
    <w:rsid w:val="008F5AAE"/>
    <w:rsid w:val="008F5BE5"/>
    <w:rsid w:val="008F5CEA"/>
    <w:rsid w:val="008F5D0C"/>
    <w:rsid w:val="008F5E33"/>
    <w:rsid w:val="008F5E55"/>
    <w:rsid w:val="008F5E7E"/>
    <w:rsid w:val="008F5FB2"/>
    <w:rsid w:val="008F611D"/>
    <w:rsid w:val="008F6392"/>
    <w:rsid w:val="008F648D"/>
    <w:rsid w:val="008F64C6"/>
    <w:rsid w:val="008F64EF"/>
    <w:rsid w:val="008F652A"/>
    <w:rsid w:val="008F6675"/>
    <w:rsid w:val="008F6692"/>
    <w:rsid w:val="008F68CB"/>
    <w:rsid w:val="008F6AD9"/>
    <w:rsid w:val="008F6B09"/>
    <w:rsid w:val="008F6B2E"/>
    <w:rsid w:val="008F6DCF"/>
    <w:rsid w:val="008F6E04"/>
    <w:rsid w:val="008F6E06"/>
    <w:rsid w:val="008F6F63"/>
    <w:rsid w:val="008F6FE1"/>
    <w:rsid w:val="008F700E"/>
    <w:rsid w:val="008F7127"/>
    <w:rsid w:val="008F713B"/>
    <w:rsid w:val="008F7306"/>
    <w:rsid w:val="008F733C"/>
    <w:rsid w:val="008F754B"/>
    <w:rsid w:val="008F756E"/>
    <w:rsid w:val="008F7603"/>
    <w:rsid w:val="008F7728"/>
    <w:rsid w:val="008F7796"/>
    <w:rsid w:val="008F7835"/>
    <w:rsid w:val="008F787C"/>
    <w:rsid w:val="008F78E7"/>
    <w:rsid w:val="008F7989"/>
    <w:rsid w:val="008F79B1"/>
    <w:rsid w:val="008F7ABD"/>
    <w:rsid w:val="008F7C15"/>
    <w:rsid w:val="008F7CA1"/>
    <w:rsid w:val="008F7E3A"/>
    <w:rsid w:val="008F7F13"/>
    <w:rsid w:val="008F7F37"/>
    <w:rsid w:val="008F7FF4"/>
    <w:rsid w:val="009000BD"/>
    <w:rsid w:val="009000BF"/>
    <w:rsid w:val="009001AA"/>
    <w:rsid w:val="0090024F"/>
    <w:rsid w:val="00900349"/>
    <w:rsid w:val="0090037D"/>
    <w:rsid w:val="009003CD"/>
    <w:rsid w:val="009003D0"/>
    <w:rsid w:val="009003F0"/>
    <w:rsid w:val="00900429"/>
    <w:rsid w:val="0090042F"/>
    <w:rsid w:val="00900455"/>
    <w:rsid w:val="009004DA"/>
    <w:rsid w:val="009006A7"/>
    <w:rsid w:val="00900730"/>
    <w:rsid w:val="0090073A"/>
    <w:rsid w:val="0090077D"/>
    <w:rsid w:val="00900822"/>
    <w:rsid w:val="00900892"/>
    <w:rsid w:val="00900974"/>
    <w:rsid w:val="00900985"/>
    <w:rsid w:val="009009DF"/>
    <w:rsid w:val="009009E5"/>
    <w:rsid w:val="00900B87"/>
    <w:rsid w:val="00900B98"/>
    <w:rsid w:val="00900BCF"/>
    <w:rsid w:val="00900C17"/>
    <w:rsid w:val="00900CD2"/>
    <w:rsid w:val="00900D14"/>
    <w:rsid w:val="00900D93"/>
    <w:rsid w:val="00900E27"/>
    <w:rsid w:val="00900E9F"/>
    <w:rsid w:val="00900ED9"/>
    <w:rsid w:val="00900F15"/>
    <w:rsid w:val="00900F61"/>
    <w:rsid w:val="00900F64"/>
    <w:rsid w:val="00900FDE"/>
    <w:rsid w:val="0090107A"/>
    <w:rsid w:val="00901111"/>
    <w:rsid w:val="00901118"/>
    <w:rsid w:val="00901175"/>
    <w:rsid w:val="00901196"/>
    <w:rsid w:val="009011E1"/>
    <w:rsid w:val="00901355"/>
    <w:rsid w:val="0090143F"/>
    <w:rsid w:val="009014AC"/>
    <w:rsid w:val="009016C0"/>
    <w:rsid w:val="009016FD"/>
    <w:rsid w:val="009018ED"/>
    <w:rsid w:val="00901A68"/>
    <w:rsid w:val="00901AF0"/>
    <w:rsid w:val="00901AF1"/>
    <w:rsid w:val="00901C14"/>
    <w:rsid w:val="00901CC3"/>
    <w:rsid w:val="00901CD9"/>
    <w:rsid w:val="00901E2B"/>
    <w:rsid w:val="00901EA5"/>
    <w:rsid w:val="00902106"/>
    <w:rsid w:val="00902274"/>
    <w:rsid w:val="00902371"/>
    <w:rsid w:val="009023AC"/>
    <w:rsid w:val="009023E4"/>
    <w:rsid w:val="0090240C"/>
    <w:rsid w:val="00902467"/>
    <w:rsid w:val="009024E5"/>
    <w:rsid w:val="0090250B"/>
    <w:rsid w:val="00902578"/>
    <w:rsid w:val="009025EB"/>
    <w:rsid w:val="00902653"/>
    <w:rsid w:val="009026E9"/>
    <w:rsid w:val="00902743"/>
    <w:rsid w:val="009027BB"/>
    <w:rsid w:val="00902919"/>
    <w:rsid w:val="009029EA"/>
    <w:rsid w:val="00902BB7"/>
    <w:rsid w:val="00902D47"/>
    <w:rsid w:val="00902D70"/>
    <w:rsid w:val="00902D75"/>
    <w:rsid w:val="00902EC2"/>
    <w:rsid w:val="00902F6D"/>
    <w:rsid w:val="00902FE8"/>
    <w:rsid w:val="00903010"/>
    <w:rsid w:val="009030D9"/>
    <w:rsid w:val="00903141"/>
    <w:rsid w:val="0090323F"/>
    <w:rsid w:val="00903329"/>
    <w:rsid w:val="00903369"/>
    <w:rsid w:val="009033E6"/>
    <w:rsid w:val="00903414"/>
    <w:rsid w:val="0090350C"/>
    <w:rsid w:val="0090351B"/>
    <w:rsid w:val="009036EE"/>
    <w:rsid w:val="00903765"/>
    <w:rsid w:val="00903841"/>
    <w:rsid w:val="009038FE"/>
    <w:rsid w:val="0090395B"/>
    <w:rsid w:val="0090397F"/>
    <w:rsid w:val="009039D7"/>
    <w:rsid w:val="00903A6F"/>
    <w:rsid w:val="00903B5B"/>
    <w:rsid w:val="00903C37"/>
    <w:rsid w:val="00903C82"/>
    <w:rsid w:val="00903CE7"/>
    <w:rsid w:val="00903D31"/>
    <w:rsid w:val="00903EBE"/>
    <w:rsid w:val="00903F26"/>
    <w:rsid w:val="00903FD6"/>
    <w:rsid w:val="00903FED"/>
    <w:rsid w:val="00903FF2"/>
    <w:rsid w:val="00904042"/>
    <w:rsid w:val="00904145"/>
    <w:rsid w:val="00904196"/>
    <w:rsid w:val="00904236"/>
    <w:rsid w:val="00904262"/>
    <w:rsid w:val="009042F5"/>
    <w:rsid w:val="00904360"/>
    <w:rsid w:val="009043EE"/>
    <w:rsid w:val="009044E2"/>
    <w:rsid w:val="009044E7"/>
    <w:rsid w:val="0090497D"/>
    <w:rsid w:val="0090498F"/>
    <w:rsid w:val="009049A6"/>
    <w:rsid w:val="00904A19"/>
    <w:rsid w:val="00904AEA"/>
    <w:rsid w:val="00904CAD"/>
    <w:rsid w:val="00904D06"/>
    <w:rsid w:val="00904D26"/>
    <w:rsid w:val="00904D45"/>
    <w:rsid w:val="00904DC8"/>
    <w:rsid w:val="00904DDE"/>
    <w:rsid w:val="00904E02"/>
    <w:rsid w:val="00904F90"/>
    <w:rsid w:val="00905116"/>
    <w:rsid w:val="0090520B"/>
    <w:rsid w:val="0090527D"/>
    <w:rsid w:val="009052E9"/>
    <w:rsid w:val="00905337"/>
    <w:rsid w:val="009053CF"/>
    <w:rsid w:val="00905572"/>
    <w:rsid w:val="009055C1"/>
    <w:rsid w:val="009055E7"/>
    <w:rsid w:val="009057E5"/>
    <w:rsid w:val="009057F4"/>
    <w:rsid w:val="00905816"/>
    <w:rsid w:val="00905897"/>
    <w:rsid w:val="00905902"/>
    <w:rsid w:val="00905A11"/>
    <w:rsid w:val="00905AEE"/>
    <w:rsid w:val="00905C06"/>
    <w:rsid w:val="00905CD2"/>
    <w:rsid w:val="00905D4E"/>
    <w:rsid w:val="00905EDF"/>
    <w:rsid w:val="00905EF3"/>
    <w:rsid w:val="00905F0E"/>
    <w:rsid w:val="00905FEC"/>
    <w:rsid w:val="009060B1"/>
    <w:rsid w:val="0090612A"/>
    <w:rsid w:val="00906145"/>
    <w:rsid w:val="009061F3"/>
    <w:rsid w:val="00906246"/>
    <w:rsid w:val="00906255"/>
    <w:rsid w:val="00906296"/>
    <w:rsid w:val="0090629E"/>
    <w:rsid w:val="0090638E"/>
    <w:rsid w:val="009063F4"/>
    <w:rsid w:val="009063FD"/>
    <w:rsid w:val="00906412"/>
    <w:rsid w:val="00906491"/>
    <w:rsid w:val="0090656C"/>
    <w:rsid w:val="009065A7"/>
    <w:rsid w:val="009065FC"/>
    <w:rsid w:val="0090660C"/>
    <w:rsid w:val="00906686"/>
    <w:rsid w:val="009066FC"/>
    <w:rsid w:val="0090681F"/>
    <w:rsid w:val="0090688A"/>
    <w:rsid w:val="00906971"/>
    <w:rsid w:val="009069FB"/>
    <w:rsid w:val="00906AA2"/>
    <w:rsid w:val="00906B36"/>
    <w:rsid w:val="00906BE4"/>
    <w:rsid w:val="00906C99"/>
    <w:rsid w:val="00906CDD"/>
    <w:rsid w:val="00906D6B"/>
    <w:rsid w:val="00906D77"/>
    <w:rsid w:val="00906EB4"/>
    <w:rsid w:val="00907053"/>
    <w:rsid w:val="009071E2"/>
    <w:rsid w:val="0090720B"/>
    <w:rsid w:val="009072A3"/>
    <w:rsid w:val="00907440"/>
    <w:rsid w:val="0090748D"/>
    <w:rsid w:val="009075A5"/>
    <w:rsid w:val="009075D4"/>
    <w:rsid w:val="00907674"/>
    <w:rsid w:val="009076D7"/>
    <w:rsid w:val="0090775D"/>
    <w:rsid w:val="009077A6"/>
    <w:rsid w:val="00907850"/>
    <w:rsid w:val="009079DA"/>
    <w:rsid w:val="00907AD0"/>
    <w:rsid w:val="00907AFE"/>
    <w:rsid w:val="00907B2E"/>
    <w:rsid w:val="00907BC0"/>
    <w:rsid w:val="00907BC9"/>
    <w:rsid w:val="00907C0C"/>
    <w:rsid w:val="00907C0F"/>
    <w:rsid w:val="00907CBD"/>
    <w:rsid w:val="00907D6A"/>
    <w:rsid w:val="00907E08"/>
    <w:rsid w:val="00907E0F"/>
    <w:rsid w:val="00907E23"/>
    <w:rsid w:val="00907EFB"/>
    <w:rsid w:val="00910043"/>
    <w:rsid w:val="00910196"/>
    <w:rsid w:val="009102C9"/>
    <w:rsid w:val="00910330"/>
    <w:rsid w:val="009103B8"/>
    <w:rsid w:val="0091041A"/>
    <w:rsid w:val="00910482"/>
    <w:rsid w:val="0091054B"/>
    <w:rsid w:val="00910599"/>
    <w:rsid w:val="00910616"/>
    <w:rsid w:val="0091061A"/>
    <w:rsid w:val="0091063F"/>
    <w:rsid w:val="00910761"/>
    <w:rsid w:val="00910915"/>
    <w:rsid w:val="00910949"/>
    <w:rsid w:val="00910A53"/>
    <w:rsid w:val="00910ACA"/>
    <w:rsid w:val="00910BC7"/>
    <w:rsid w:val="00910BCE"/>
    <w:rsid w:val="00910C73"/>
    <w:rsid w:val="00910C94"/>
    <w:rsid w:val="00910C9F"/>
    <w:rsid w:val="00910D58"/>
    <w:rsid w:val="00910F00"/>
    <w:rsid w:val="00910FF6"/>
    <w:rsid w:val="009110B4"/>
    <w:rsid w:val="009110D3"/>
    <w:rsid w:val="00911192"/>
    <w:rsid w:val="00911268"/>
    <w:rsid w:val="009113B7"/>
    <w:rsid w:val="0091141C"/>
    <w:rsid w:val="00911446"/>
    <w:rsid w:val="0091154A"/>
    <w:rsid w:val="00911591"/>
    <w:rsid w:val="009116B8"/>
    <w:rsid w:val="00911739"/>
    <w:rsid w:val="00911794"/>
    <w:rsid w:val="00911814"/>
    <w:rsid w:val="00911834"/>
    <w:rsid w:val="0091198B"/>
    <w:rsid w:val="009119AB"/>
    <w:rsid w:val="009119C3"/>
    <w:rsid w:val="009119F3"/>
    <w:rsid w:val="00911A48"/>
    <w:rsid w:val="00911A54"/>
    <w:rsid w:val="00911BAC"/>
    <w:rsid w:val="00911C64"/>
    <w:rsid w:val="00911C7F"/>
    <w:rsid w:val="00911CAE"/>
    <w:rsid w:val="00911DD4"/>
    <w:rsid w:val="00911E5E"/>
    <w:rsid w:val="00911EC4"/>
    <w:rsid w:val="00912011"/>
    <w:rsid w:val="0091204E"/>
    <w:rsid w:val="0091205E"/>
    <w:rsid w:val="00912285"/>
    <w:rsid w:val="00912599"/>
    <w:rsid w:val="009125B2"/>
    <w:rsid w:val="009126DF"/>
    <w:rsid w:val="00912737"/>
    <w:rsid w:val="00912792"/>
    <w:rsid w:val="009127D1"/>
    <w:rsid w:val="00912807"/>
    <w:rsid w:val="00912829"/>
    <w:rsid w:val="00912852"/>
    <w:rsid w:val="00912870"/>
    <w:rsid w:val="00912892"/>
    <w:rsid w:val="009128BF"/>
    <w:rsid w:val="00912A3B"/>
    <w:rsid w:val="00912AC9"/>
    <w:rsid w:val="00912BFC"/>
    <w:rsid w:val="00912C71"/>
    <w:rsid w:val="00912CB9"/>
    <w:rsid w:val="00912DF9"/>
    <w:rsid w:val="00912DFF"/>
    <w:rsid w:val="00912F22"/>
    <w:rsid w:val="009130BF"/>
    <w:rsid w:val="0091316A"/>
    <w:rsid w:val="009132F9"/>
    <w:rsid w:val="00913397"/>
    <w:rsid w:val="00913492"/>
    <w:rsid w:val="0091359E"/>
    <w:rsid w:val="00913657"/>
    <w:rsid w:val="0091372F"/>
    <w:rsid w:val="0091373C"/>
    <w:rsid w:val="0091376E"/>
    <w:rsid w:val="009137F5"/>
    <w:rsid w:val="00913849"/>
    <w:rsid w:val="009138E5"/>
    <w:rsid w:val="0091391F"/>
    <w:rsid w:val="009139E0"/>
    <w:rsid w:val="009139F2"/>
    <w:rsid w:val="00913A22"/>
    <w:rsid w:val="00913AC7"/>
    <w:rsid w:val="00913BE0"/>
    <w:rsid w:val="00913CB9"/>
    <w:rsid w:val="00913D4D"/>
    <w:rsid w:val="00913DA7"/>
    <w:rsid w:val="00913DBE"/>
    <w:rsid w:val="00913DE4"/>
    <w:rsid w:val="00913EC2"/>
    <w:rsid w:val="00914088"/>
    <w:rsid w:val="0091410E"/>
    <w:rsid w:val="00914148"/>
    <w:rsid w:val="00914187"/>
    <w:rsid w:val="009142B5"/>
    <w:rsid w:val="009142EB"/>
    <w:rsid w:val="00914324"/>
    <w:rsid w:val="009143C6"/>
    <w:rsid w:val="009143CB"/>
    <w:rsid w:val="00914414"/>
    <w:rsid w:val="009144D3"/>
    <w:rsid w:val="00914509"/>
    <w:rsid w:val="00914626"/>
    <w:rsid w:val="009146E2"/>
    <w:rsid w:val="00914705"/>
    <w:rsid w:val="00914715"/>
    <w:rsid w:val="009148C2"/>
    <w:rsid w:val="009149C2"/>
    <w:rsid w:val="009149FF"/>
    <w:rsid w:val="00914A16"/>
    <w:rsid w:val="00914B0C"/>
    <w:rsid w:val="00914B37"/>
    <w:rsid w:val="00914B4A"/>
    <w:rsid w:val="00914BD5"/>
    <w:rsid w:val="00914BD8"/>
    <w:rsid w:val="00914BF0"/>
    <w:rsid w:val="00914CFF"/>
    <w:rsid w:val="00914DA1"/>
    <w:rsid w:val="0091507B"/>
    <w:rsid w:val="009150A0"/>
    <w:rsid w:val="0091513B"/>
    <w:rsid w:val="00915286"/>
    <w:rsid w:val="0091536E"/>
    <w:rsid w:val="00915439"/>
    <w:rsid w:val="009155B2"/>
    <w:rsid w:val="009155FC"/>
    <w:rsid w:val="0091561D"/>
    <w:rsid w:val="00915693"/>
    <w:rsid w:val="00915726"/>
    <w:rsid w:val="00915747"/>
    <w:rsid w:val="00915752"/>
    <w:rsid w:val="0091583E"/>
    <w:rsid w:val="0091589C"/>
    <w:rsid w:val="0091593E"/>
    <w:rsid w:val="0091597F"/>
    <w:rsid w:val="00915AEC"/>
    <w:rsid w:val="00915B80"/>
    <w:rsid w:val="00915BBA"/>
    <w:rsid w:val="00915C41"/>
    <w:rsid w:val="00915C75"/>
    <w:rsid w:val="00915CAF"/>
    <w:rsid w:val="00915D2D"/>
    <w:rsid w:val="00915D3A"/>
    <w:rsid w:val="00915D49"/>
    <w:rsid w:val="00915D51"/>
    <w:rsid w:val="00915DE5"/>
    <w:rsid w:val="00915E0F"/>
    <w:rsid w:val="00915ED8"/>
    <w:rsid w:val="00915FA5"/>
    <w:rsid w:val="009160CF"/>
    <w:rsid w:val="00916157"/>
    <w:rsid w:val="009161DB"/>
    <w:rsid w:val="00916240"/>
    <w:rsid w:val="009162E3"/>
    <w:rsid w:val="00916391"/>
    <w:rsid w:val="00916454"/>
    <w:rsid w:val="009164C9"/>
    <w:rsid w:val="00916564"/>
    <w:rsid w:val="00916596"/>
    <w:rsid w:val="00916698"/>
    <w:rsid w:val="0091682D"/>
    <w:rsid w:val="0091686C"/>
    <w:rsid w:val="009169F6"/>
    <w:rsid w:val="009169FA"/>
    <w:rsid w:val="00916B58"/>
    <w:rsid w:val="00916BDA"/>
    <w:rsid w:val="00916C59"/>
    <w:rsid w:val="00916CE3"/>
    <w:rsid w:val="00916D15"/>
    <w:rsid w:val="00916D1D"/>
    <w:rsid w:val="00916DF8"/>
    <w:rsid w:val="00916E8E"/>
    <w:rsid w:val="00916F04"/>
    <w:rsid w:val="00917160"/>
    <w:rsid w:val="00917289"/>
    <w:rsid w:val="0091730C"/>
    <w:rsid w:val="00917320"/>
    <w:rsid w:val="00917345"/>
    <w:rsid w:val="00917453"/>
    <w:rsid w:val="0091752F"/>
    <w:rsid w:val="009176F2"/>
    <w:rsid w:val="00917A32"/>
    <w:rsid w:val="00917A9A"/>
    <w:rsid w:val="00917AB3"/>
    <w:rsid w:val="00917C51"/>
    <w:rsid w:val="00917C6A"/>
    <w:rsid w:val="00917D13"/>
    <w:rsid w:val="00917DC0"/>
    <w:rsid w:val="00917EE3"/>
    <w:rsid w:val="00917F1C"/>
    <w:rsid w:val="00917FF3"/>
    <w:rsid w:val="009201A1"/>
    <w:rsid w:val="009201EA"/>
    <w:rsid w:val="00920217"/>
    <w:rsid w:val="00920290"/>
    <w:rsid w:val="009202A0"/>
    <w:rsid w:val="009202ED"/>
    <w:rsid w:val="00920417"/>
    <w:rsid w:val="00920497"/>
    <w:rsid w:val="009205D5"/>
    <w:rsid w:val="009205FA"/>
    <w:rsid w:val="00920610"/>
    <w:rsid w:val="009206F6"/>
    <w:rsid w:val="009207B4"/>
    <w:rsid w:val="009208C2"/>
    <w:rsid w:val="009208D3"/>
    <w:rsid w:val="00920AAF"/>
    <w:rsid w:val="00920AF4"/>
    <w:rsid w:val="00920B0F"/>
    <w:rsid w:val="00920BF0"/>
    <w:rsid w:val="00920C0C"/>
    <w:rsid w:val="00920C75"/>
    <w:rsid w:val="00920DDF"/>
    <w:rsid w:val="00920DE0"/>
    <w:rsid w:val="00920F5B"/>
    <w:rsid w:val="00920FBA"/>
    <w:rsid w:val="009211DB"/>
    <w:rsid w:val="009212F1"/>
    <w:rsid w:val="0092134B"/>
    <w:rsid w:val="00921471"/>
    <w:rsid w:val="009214A2"/>
    <w:rsid w:val="009214AA"/>
    <w:rsid w:val="009214E3"/>
    <w:rsid w:val="00921527"/>
    <w:rsid w:val="0092158B"/>
    <w:rsid w:val="0092174A"/>
    <w:rsid w:val="009217A1"/>
    <w:rsid w:val="009217C6"/>
    <w:rsid w:val="009217CF"/>
    <w:rsid w:val="009217EB"/>
    <w:rsid w:val="009219BC"/>
    <w:rsid w:val="009219BD"/>
    <w:rsid w:val="00921B68"/>
    <w:rsid w:val="00921BCD"/>
    <w:rsid w:val="00921BE3"/>
    <w:rsid w:val="00921C08"/>
    <w:rsid w:val="00921C1B"/>
    <w:rsid w:val="00921CC2"/>
    <w:rsid w:val="00921D29"/>
    <w:rsid w:val="00921F9B"/>
    <w:rsid w:val="00921FA3"/>
    <w:rsid w:val="00922122"/>
    <w:rsid w:val="0092212C"/>
    <w:rsid w:val="009221AB"/>
    <w:rsid w:val="009221C3"/>
    <w:rsid w:val="009221F3"/>
    <w:rsid w:val="00922208"/>
    <w:rsid w:val="00922238"/>
    <w:rsid w:val="00922323"/>
    <w:rsid w:val="009224C5"/>
    <w:rsid w:val="009224C8"/>
    <w:rsid w:val="0092255A"/>
    <w:rsid w:val="00922587"/>
    <w:rsid w:val="00922608"/>
    <w:rsid w:val="009228B6"/>
    <w:rsid w:val="009228BA"/>
    <w:rsid w:val="00922909"/>
    <w:rsid w:val="00922928"/>
    <w:rsid w:val="00922A9A"/>
    <w:rsid w:val="00922AB1"/>
    <w:rsid w:val="00922AF0"/>
    <w:rsid w:val="00922B3E"/>
    <w:rsid w:val="00922B77"/>
    <w:rsid w:val="00922B98"/>
    <w:rsid w:val="00922C7D"/>
    <w:rsid w:val="00922E82"/>
    <w:rsid w:val="00922EE7"/>
    <w:rsid w:val="00922F14"/>
    <w:rsid w:val="00922F57"/>
    <w:rsid w:val="00922FD6"/>
    <w:rsid w:val="009230A2"/>
    <w:rsid w:val="0092328E"/>
    <w:rsid w:val="00923350"/>
    <w:rsid w:val="009234FE"/>
    <w:rsid w:val="0092355C"/>
    <w:rsid w:val="00923657"/>
    <w:rsid w:val="00923666"/>
    <w:rsid w:val="009236AF"/>
    <w:rsid w:val="0092376A"/>
    <w:rsid w:val="00923827"/>
    <w:rsid w:val="00923856"/>
    <w:rsid w:val="009238DB"/>
    <w:rsid w:val="00923A9F"/>
    <w:rsid w:val="00923AF5"/>
    <w:rsid w:val="00923B06"/>
    <w:rsid w:val="00923B0C"/>
    <w:rsid w:val="00923B3B"/>
    <w:rsid w:val="00923C5D"/>
    <w:rsid w:val="00923C99"/>
    <w:rsid w:val="00923D0D"/>
    <w:rsid w:val="00923D11"/>
    <w:rsid w:val="00923EB3"/>
    <w:rsid w:val="00923EEF"/>
    <w:rsid w:val="00923FD3"/>
    <w:rsid w:val="00924077"/>
    <w:rsid w:val="00924184"/>
    <w:rsid w:val="009241E1"/>
    <w:rsid w:val="0092420A"/>
    <w:rsid w:val="00924323"/>
    <w:rsid w:val="0092436F"/>
    <w:rsid w:val="00924665"/>
    <w:rsid w:val="009246DF"/>
    <w:rsid w:val="00924723"/>
    <w:rsid w:val="009247A8"/>
    <w:rsid w:val="009247D2"/>
    <w:rsid w:val="009247E2"/>
    <w:rsid w:val="0092482F"/>
    <w:rsid w:val="00924893"/>
    <w:rsid w:val="00924948"/>
    <w:rsid w:val="009249F3"/>
    <w:rsid w:val="00924A2F"/>
    <w:rsid w:val="00924AE6"/>
    <w:rsid w:val="00924B55"/>
    <w:rsid w:val="00924B96"/>
    <w:rsid w:val="00924BBD"/>
    <w:rsid w:val="00924C5D"/>
    <w:rsid w:val="00924D69"/>
    <w:rsid w:val="00924DCB"/>
    <w:rsid w:val="00924E26"/>
    <w:rsid w:val="00924F47"/>
    <w:rsid w:val="00925066"/>
    <w:rsid w:val="0092518A"/>
    <w:rsid w:val="00925199"/>
    <w:rsid w:val="00925288"/>
    <w:rsid w:val="009254BA"/>
    <w:rsid w:val="009254E8"/>
    <w:rsid w:val="00925648"/>
    <w:rsid w:val="00925656"/>
    <w:rsid w:val="00925696"/>
    <w:rsid w:val="00925720"/>
    <w:rsid w:val="009257F7"/>
    <w:rsid w:val="0092581B"/>
    <w:rsid w:val="00925907"/>
    <w:rsid w:val="00925D23"/>
    <w:rsid w:val="00925D88"/>
    <w:rsid w:val="00925EDF"/>
    <w:rsid w:val="00926103"/>
    <w:rsid w:val="009261D5"/>
    <w:rsid w:val="009261E9"/>
    <w:rsid w:val="009261FA"/>
    <w:rsid w:val="009264DB"/>
    <w:rsid w:val="0092682C"/>
    <w:rsid w:val="0092692B"/>
    <w:rsid w:val="00926972"/>
    <w:rsid w:val="00926A5E"/>
    <w:rsid w:val="00926B63"/>
    <w:rsid w:val="00926C75"/>
    <w:rsid w:val="00926CB0"/>
    <w:rsid w:val="00926D36"/>
    <w:rsid w:val="00926EE0"/>
    <w:rsid w:val="00926FA2"/>
    <w:rsid w:val="00927118"/>
    <w:rsid w:val="00927153"/>
    <w:rsid w:val="009271C0"/>
    <w:rsid w:val="0092723D"/>
    <w:rsid w:val="00927323"/>
    <w:rsid w:val="0092732C"/>
    <w:rsid w:val="009273B9"/>
    <w:rsid w:val="009273C2"/>
    <w:rsid w:val="00927405"/>
    <w:rsid w:val="0092745C"/>
    <w:rsid w:val="009274D8"/>
    <w:rsid w:val="009274E0"/>
    <w:rsid w:val="0092750E"/>
    <w:rsid w:val="0092753E"/>
    <w:rsid w:val="0092754E"/>
    <w:rsid w:val="0092761C"/>
    <w:rsid w:val="00927623"/>
    <w:rsid w:val="0092768B"/>
    <w:rsid w:val="009276BB"/>
    <w:rsid w:val="009278DE"/>
    <w:rsid w:val="009279D0"/>
    <w:rsid w:val="009279E4"/>
    <w:rsid w:val="00927A9F"/>
    <w:rsid w:val="00927BD8"/>
    <w:rsid w:val="00927C38"/>
    <w:rsid w:val="00927C74"/>
    <w:rsid w:val="00927CDA"/>
    <w:rsid w:val="00927D13"/>
    <w:rsid w:val="00927F70"/>
    <w:rsid w:val="009300DE"/>
    <w:rsid w:val="009300DF"/>
    <w:rsid w:val="00930252"/>
    <w:rsid w:val="00930288"/>
    <w:rsid w:val="009302A6"/>
    <w:rsid w:val="00930351"/>
    <w:rsid w:val="009303B2"/>
    <w:rsid w:val="00930482"/>
    <w:rsid w:val="009304E2"/>
    <w:rsid w:val="00930563"/>
    <w:rsid w:val="0093056A"/>
    <w:rsid w:val="009305CB"/>
    <w:rsid w:val="009305FB"/>
    <w:rsid w:val="0093066F"/>
    <w:rsid w:val="009306C1"/>
    <w:rsid w:val="009306C9"/>
    <w:rsid w:val="009306E9"/>
    <w:rsid w:val="009307CE"/>
    <w:rsid w:val="009307DA"/>
    <w:rsid w:val="00930849"/>
    <w:rsid w:val="009308AC"/>
    <w:rsid w:val="009308BD"/>
    <w:rsid w:val="009308FB"/>
    <w:rsid w:val="00930CA0"/>
    <w:rsid w:val="00930D0B"/>
    <w:rsid w:val="00930EDA"/>
    <w:rsid w:val="00930F00"/>
    <w:rsid w:val="00930FDF"/>
    <w:rsid w:val="009310B6"/>
    <w:rsid w:val="00931228"/>
    <w:rsid w:val="009312F8"/>
    <w:rsid w:val="009312FF"/>
    <w:rsid w:val="0093134C"/>
    <w:rsid w:val="0093136E"/>
    <w:rsid w:val="0093153B"/>
    <w:rsid w:val="009315AD"/>
    <w:rsid w:val="0093167C"/>
    <w:rsid w:val="00931694"/>
    <w:rsid w:val="009317AE"/>
    <w:rsid w:val="009317B7"/>
    <w:rsid w:val="009318D9"/>
    <w:rsid w:val="009318ED"/>
    <w:rsid w:val="00931920"/>
    <w:rsid w:val="00931935"/>
    <w:rsid w:val="00931A12"/>
    <w:rsid w:val="00931A93"/>
    <w:rsid w:val="00931BE0"/>
    <w:rsid w:val="00931DA5"/>
    <w:rsid w:val="00931DD4"/>
    <w:rsid w:val="00931DD6"/>
    <w:rsid w:val="00931DF6"/>
    <w:rsid w:val="00931DFA"/>
    <w:rsid w:val="00931ED7"/>
    <w:rsid w:val="0093215F"/>
    <w:rsid w:val="00932191"/>
    <w:rsid w:val="00932221"/>
    <w:rsid w:val="00932377"/>
    <w:rsid w:val="0093247B"/>
    <w:rsid w:val="0093263B"/>
    <w:rsid w:val="009326D7"/>
    <w:rsid w:val="009327D0"/>
    <w:rsid w:val="0093285C"/>
    <w:rsid w:val="0093287D"/>
    <w:rsid w:val="0093299B"/>
    <w:rsid w:val="00932A37"/>
    <w:rsid w:val="00932B0A"/>
    <w:rsid w:val="00932B53"/>
    <w:rsid w:val="00932B86"/>
    <w:rsid w:val="00932C29"/>
    <w:rsid w:val="00932D47"/>
    <w:rsid w:val="00932EA3"/>
    <w:rsid w:val="00932ED0"/>
    <w:rsid w:val="00932FA6"/>
    <w:rsid w:val="00933083"/>
    <w:rsid w:val="009330FE"/>
    <w:rsid w:val="0093311E"/>
    <w:rsid w:val="00933138"/>
    <w:rsid w:val="009332C5"/>
    <w:rsid w:val="009332CA"/>
    <w:rsid w:val="009334A1"/>
    <w:rsid w:val="0093351B"/>
    <w:rsid w:val="0093381E"/>
    <w:rsid w:val="009338BE"/>
    <w:rsid w:val="009338CC"/>
    <w:rsid w:val="009338DA"/>
    <w:rsid w:val="00933903"/>
    <w:rsid w:val="0093390C"/>
    <w:rsid w:val="0093393B"/>
    <w:rsid w:val="009339C0"/>
    <w:rsid w:val="009339E0"/>
    <w:rsid w:val="00933A81"/>
    <w:rsid w:val="00933B5D"/>
    <w:rsid w:val="00933BA4"/>
    <w:rsid w:val="00933D1F"/>
    <w:rsid w:val="00933E24"/>
    <w:rsid w:val="00933E71"/>
    <w:rsid w:val="00933EED"/>
    <w:rsid w:val="00933F1E"/>
    <w:rsid w:val="00933F65"/>
    <w:rsid w:val="009342EE"/>
    <w:rsid w:val="009343E7"/>
    <w:rsid w:val="00934424"/>
    <w:rsid w:val="0093443C"/>
    <w:rsid w:val="0093447C"/>
    <w:rsid w:val="009344C9"/>
    <w:rsid w:val="00934519"/>
    <w:rsid w:val="0093456A"/>
    <w:rsid w:val="00934604"/>
    <w:rsid w:val="00934637"/>
    <w:rsid w:val="00934762"/>
    <w:rsid w:val="00934826"/>
    <w:rsid w:val="0093489E"/>
    <w:rsid w:val="009348A4"/>
    <w:rsid w:val="009348B9"/>
    <w:rsid w:val="00934978"/>
    <w:rsid w:val="00934A78"/>
    <w:rsid w:val="00934CF8"/>
    <w:rsid w:val="00934D91"/>
    <w:rsid w:val="00934DA7"/>
    <w:rsid w:val="00934DA9"/>
    <w:rsid w:val="00934DC0"/>
    <w:rsid w:val="00934DF8"/>
    <w:rsid w:val="00934EF1"/>
    <w:rsid w:val="00934F17"/>
    <w:rsid w:val="00934F71"/>
    <w:rsid w:val="00934FA0"/>
    <w:rsid w:val="0093502F"/>
    <w:rsid w:val="00935036"/>
    <w:rsid w:val="00935340"/>
    <w:rsid w:val="00935388"/>
    <w:rsid w:val="009354D7"/>
    <w:rsid w:val="0093551E"/>
    <w:rsid w:val="00935651"/>
    <w:rsid w:val="009357AD"/>
    <w:rsid w:val="0093593C"/>
    <w:rsid w:val="00935A74"/>
    <w:rsid w:val="00935AD7"/>
    <w:rsid w:val="00935BBC"/>
    <w:rsid w:val="00935C4B"/>
    <w:rsid w:val="00935F22"/>
    <w:rsid w:val="0093602C"/>
    <w:rsid w:val="00936053"/>
    <w:rsid w:val="0093605A"/>
    <w:rsid w:val="0093605D"/>
    <w:rsid w:val="009361AE"/>
    <w:rsid w:val="009361E7"/>
    <w:rsid w:val="0093629B"/>
    <w:rsid w:val="0093644C"/>
    <w:rsid w:val="00936451"/>
    <w:rsid w:val="0093646E"/>
    <w:rsid w:val="009364AC"/>
    <w:rsid w:val="009364C2"/>
    <w:rsid w:val="009364C4"/>
    <w:rsid w:val="009364F9"/>
    <w:rsid w:val="00936569"/>
    <w:rsid w:val="009365A5"/>
    <w:rsid w:val="009365AD"/>
    <w:rsid w:val="009366A5"/>
    <w:rsid w:val="0093686C"/>
    <w:rsid w:val="00936962"/>
    <w:rsid w:val="009370D1"/>
    <w:rsid w:val="009371BC"/>
    <w:rsid w:val="00937245"/>
    <w:rsid w:val="00937281"/>
    <w:rsid w:val="0093729D"/>
    <w:rsid w:val="009372B3"/>
    <w:rsid w:val="009372DE"/>
    <w:rsid w:val="009372EE"/>
    <w:rsid w:val="0093735C"/>
    <w:rsid w:val="009373EB"/>
    <w:rsid w:val="0093752F"/>
    <w:rsid w:val="0093754D"/>
    <w:rsid w:val="009375F1"/>
    <w:rsid w:val="009376DA"/>
    <w:rsid w:val="009376F5"/>
    <w:rsid w:val="00937779"/>
    <w:rsid w:val="009377EB"/>
    <w:rsid w:val="009377FC"/>
    <w:rsid w:val="0093783E"/>
    <w:rsid w:val="00937848"/>
    <w:rsid w:val="0093786B"/>
    <w:rsid w:val="00937978"/>
    <w:rsid w:val="009379C7"/>
    <w:rsid w:val="009379E2"/>
    <w:rsid w:val="009379EE"/>
    <w:rsid w:val="00937C37"/>
    <w:rsid w:val="00937C8B"/>
    <w:rsid w:val="00937CB9"/>
    <w:rsid w:val="00937DD3"/>
    <w:rsid w:val="00937E14"/>
    <w:rsid w:val="00937E96"/>
    <w:rsid w:val="00937FC6"/>
    <w:rsid w:val="00940102"/>
    <w:rsid w:val="009401A2"/>
    <w:rsid w:val="00940251"/>
    <w:rsid w:val="00940321"/>
    <w:rsid w:val="009403AF"/>
    <w:rsid w:val="009403B8"/>
    <w:rsid w:val="00940436"/>
    <w:rsid w:val="0094046A"/>
    <w:rsid w:val="00940535"/>
    <w:rsid w:val="009405A6"/>
    <w:rsid w:val="009405F5"/>
    <w:rsid w:val="00940627"/>
    <w:rsid w:val="0094064C"/>
    <w:rsid w:val="00940654"/>
    <w:rsid w:val="009407D2"/>
    <w:rsid w:val="00940842"/>
    <w:rsid w:val="0094092D"/>
    <w:rsid w:val="00940966"/>
    <w:rsid w:val="009409B9"/>
    <w:rsid w:val="00940A4C"/>
    <w:rsid w:val="00940B2F"/>
    <w:rsid w:val="00940BCF"/>
    <w:rsid w:val="00940C38"/>
    <w:rsid w:val="00940DA3"/>
    <w:rsid w:val="00940DA4"/>
    <w:rsid w:val="00941199"/>
    <w:rsid w:val="00941245"/>
    <w:rsid w:val="00941247"/>
    <w:rsid w:val="009412ED"/>
    <w:rsid w:val="009413BF"/>
    <w:rsid w:val="009413F7"/>
    <w:rsid w:val="00941470"/>
    <w:rsid w:val="009414DC"/>
    <w:rsid w:val="00941667"/>
    <w:rsid w:val="0094178C"/>
    <w:rsid w:val="009417DD"/>
    <w:rsid w:val="009418A3"/>
    <w:rsid w:val="00941968"/>
    <w:rsid w:val="0094197C"/>
    <w:rsid w:val="00941A2A"/>
    <w:rsid w:val="00941AF0"/>
    <w:rsid w:val="00941B66"/>
    <w:rsid w:val="00941B79"/>
    <w:rsid w:val="00941C29"/>
    <w:rsid w:val="00941CCB"/>
    <w:rsid w:val="00941EF3"/>
    <w:rsid w:val="00941F2A"/>
    <w:rsid w:val="00942014"/>
    <w:rsid w:val="009420F2"/>
    <w:rsid w:val="00942213"/>
    <w:rsid w:val="00942344"/>
    <w:rsid w:val="0094237C"/>
    <w:rsid w:val="00942444"/>
    <w:rsid w:val="0094259B"/>
    <w:rsid w:val="009426B8"/>
    <w:rsid w:val="009426D6"/>
    <w:rsid w:val="0094282C"/>
    <w:rsid w:val="009428FB"/>
    <w:rsid w:val="0094295C"/>
    <w:rsid w:val="00942983"/>
    <w:rsid w:val="009429FD"/>
    <w:rsid w:val="00942A68"/>
    <w:rsid w:val="00942AFB"/>
    <w:rsid w:val="00942B53"/>
    <w:rsid w:val="00942BAD"/>
    <w:rsid w:val="00942BB8"/>
    <w:rsid w:val="00942BC0"/>
    <w:rsid w:val="00942D79"/>
    <w:rsid w:val="00942DAB"/>
    <w:rsid w:val="00942DDA"/>
    <w:rsid w:val="00942E70"/>
    <w:rsid w:val="00942E8E"/>
    <w:rsid w:val="00942EFB"/>
    <w:rsid w:val="00942FA5"/>
    <w:rsid w:val="00942FF2"/>
    <w:rsid w:val="009430CF"/>
    <w:rsid w:val="00943221"/>
    <w:rsid w:val="00943291"/>
    <w:rsid w:val="009432F5"/>
    <w:rsid w:val="00943304"/>
    <w:rsid w:val="00943447"/>
    <w:rsid w:val="00943504"/>
    <w:rsid w:val="00943507"/>
    <w:rsid w:val="0094358E"/>
    <w:rsid w:val="00943592"/>
    <w:rsid w:val="0094369B"/>
    <w:rsid w:val="0094381E"/>
    <w:rsid w:val="00943861"/>
    <w:rsid w:val="009438BA"/>
    <w:rsid w:val="00943982"/>
    <w:rsid w:val="009439A9"/>
    <w:rsid w:val="00943AB9"/>
    <w:rsid w:val="00943CF1"/>
    <w:rsid w:val="00943E43"/>
    <w:rsid w:val="00943F2E"/>
    <w:rsid w:val="0094405C"/>
    <w:rsid w:val="009440A9"/>
    <w:rsid w:val="009440D7"/>
    <w:rsid w:val="009440F4"/>
    <w:rsid w:val="009441FD"/>
    <w:rsid w:val="009443FF"/>
    <w:rsid w:val="00944417"/>
    <w:rsid w:val="009445BF"/>
    <w:rsid w:val="0094462A"/>
    <w:rsid w:val="0094471F"/>
    <w:rsid w:val="0094476E"/>
    <w:rsid w:val="009447E3"/>
    <w:rsid w:val="0094491E"/>
    <w:rsid w:val="00944956"/>
    <w:rsid w:val="00944964"/>
    <w:rsid w:val="009449B9"/>
    <w:rsid w:val="00944A7F"/>
    <w:rsid w:val="00944BC5"/>
    <w:rsid w:val="00944BE4"/>
    <w:rsid w:val="00944C0B"/>
    <w:rsid w:val="00944C85"/>
    <w:rsid w:val="00944CF6"/>
    <w:rsid w:val="00944DC2"/>
    <w:rsid w:val="00944DD2"/>
    <w:rsid w:val="00944DDA"/>
    <w:rsid w:val="00944E1B"/>
    <w:rsid w:val="00944E56"/>
    <w:rsid w:val="00944EA0"/>
    <w:rsid w:val="00944EEF"/>
    <w:rsid w:val="00944EFC"/>
    <w:rsid w:val="00944F47"/>
    <w:rsid w:val="00944F7D"/>
    <w:rsid w:val="00944FDC"/>
    <w:rsid w:val="009450C5"/>
    <w:rsid w:val="0094512F"/>
    <w:rsid w:val="009451F2"/>
    <w:rsid w:val="0094523F"/>
    <w:rsid w:val="009452CB"/>
    <w:rsid w:val="00945425"/>
    <w:rsid w:val="00945488"/>
    <w:rsid w:val="009454E9"/>
    <w:rsid w:val="009454EE"/>
    <w:rsid w:val="0094554B"/>
    <w:rsid w:val="009458B3"/>
    <w:rsid w:val="009459DB"/>
    <w:rsid w:val="009459F5"/>
    <w:rsid w:val="00945A47"/>
    <w:rsid w:val="00945D17"/>
    <w:rsid w:val="00945E19"/>
    <w:rsid w:val="00945FF2"/>
    <w:rsid w:val="00946041"/>
    <w:rsid w:val="0094609C"/>
    <w:rsid w:val="009461C0"/>
    <w:rsid w:val="0094626E"/>
    <w:rsid w:val="009462CB"/>
    <w:rsid w:val="00946351"/>
    <w:rsid w:val="00946378"/>
    <w:rsid w:val="00946385"/>
    <w:rsid w:val="009463A9"/>
    <w:rsid w:val="00946500"/>
    <w:rsid w:val="00946506"/>
    <w:rsid w:val="0094654F"/>
    <w:rsid w:val="00946570"/>
    <w:rsid w:val="009465C2"/>
    <w:rsid w:val="009465E4"/>
    <w:rsid w:val="0094669E"/>
    <w:rsid w:val="009466ED"/>
    <w:rsid w:val="009467CF"/>
    <w:rsid w:val="009467E8"/>
    <w:rsid w:val="009469EC"/>
    <w:rsid w:val="00946A9C"/>
    <w:rsid w:val="00946ACF"/>
    <w:rsid w:val="00946B6B"/>
    <w:rsid w:val="00946BA4"/>
    <w:rsid w:val="00946BD5"/>
    <w:rsid w:val="00946D29"/>
    <w:rsid w:val="00946DCA"/>
    <w:rsid w:val="00946E25"/>
    <w:rsid w:val="00946E2F"/>
    <w:rsid w:val="00946E5B"/>
    <w:rsid w:val="00946ECB"/>
    <w:rsid w:val="00946F15"/>
    <w:rsid w:val="00947058"/>
    <w:rsid w:val="009470D1"/>
    <w:rsid w:val="00947112"/>
    <w:rsid w:val="00947230"/>
    <w:rsid w:val="00947285"/>
    <w:rsid w:val="0094730C"/>
    <w:rsid w:val="00947329"/>
    <w:rsid w:val="0094732C"/>
    <w:rsid w:val="00947367"/>
    <w:rsid w:val="009474E9"/>
    <w:rsid w:val="009475E7"/>
    <w:rsid w:val="009476AE"/>
    <w:rsid w:val="00947737"/>
    <w:rsid w:val="00947972"/>
    <w:rsid w:val="009479EA"/>
    <w:rsid w:val="00947A47"/>
    <w:rsid w:val="00947AAE"/>
    <w:rsid w:val="00947AEA"/>
    <w:rsid w:val="00947B36"/>
    <w:rsid w:val="00947BD3"/>
    <w:rsid w:val="00947C10"/>
    <w:rsid w:val="00947E22"/>
    <w:rsid w:val="00947E3B"/>
    <w:rsid w:val="00947EEC"/>
    <w:rsid w:val="00947FBC"/>
    <w:rsid w:val="009500B1"/>
    <w:rsid w:val="009500EC"/>
    <w:rsid w:val="00950138"/>
    <w:rsid w:val="00950189"/>
    <w:rsid w:val="009501A3"/>
    <w:rsid w:val="009501C3"/>
    <w:rsid w:val="009501E0"/>
    <w:rsid w:val="00950261"/>
    <w:rsid w:val="009502D8"/>
    <w:rsid w:val="0095034E"/>
    <w:rsid w:val="009503CE"/>
    <w:rsid w:val="009504D2"/>
    <w:rsid w:val="009505C9"/>
    <w:rsid w:val="009507C8"/>
    <w:rsid w:val="009507CB"/>
    <w:rsid w:val="009507F9"/>
    <w:rsid w:val="009508F6"/>
    <w:rsid w:val="00950978"/>
    <w:rsid w:val="009509ED"/>
    <w:rsid w:val="00950AE6"/>
    <w:rsid w:val="00950B4E"/>
    <w:rsid w:val="00950C81"/>
    <w:rsid w:val="00950D5B"/>
    <w:rsid w:val="00950EBD"/>
    <w:rsid w:val="00950FC0"/>
    <w:rsid w:val="00951015"/>
    <w:rsid w:val="00951079"/>
    <w:rsid w:val="009510A2"/>
    <w:rsid w:val="009510DD"/>
    <w:rsid w:val="0095114B"/>
    <w:rsid w:val="009511A0"/>
    <w:rsid w:val="00951226"/>
    <w:rsid w:val="00951247"/>
    <w:rsid w:val="0095125D"/>
    <w:rsid w:val="009512C3"/>
    <w:rsid w:val="0095136B"/>
    <w:rsid w:val="009513A5"/>
    <w:rsid w:val="009513AB"/>
    <w:rsid w:val="009513D5"/>
    <w:rsid w:val="00951464"/>
    <w:rsid w:val="009514DF"/>
    <w:rsid w:val="00951532"/>
    <w:rsid w:val="009516B1"/>
    <w:rsid w:val="009518A2"/>
    <w:rsid w:val="00951905"/>
    <w:rsid w:val="0095191E"/>
    <w:rsid w:val="009519CE"/>
    <w:rsid w:val="009519DF"/>
    <w:rsid w:val="00951A2A"/>
    <w:rsid w:val="00951ABB"/>
    <w:rsid w:val="00951AEC"/>
    <w:rsid w:val="00951BD6"/>
    <w:rsid w:val="00951DAB"/>
    <w:rsid w:val="00951E67"/>
    <w:rsid w:val="00951EDD"/>
    <w:rsid w:val="00951F77"/>
    <w:rsid w:val="00952013"/>
    <w:rsid w:val="0095203E"/>
    <w:rsid w:val="009520E1"/>
    <w:rsid w:val="00952126"/>
    <w:rsid w:val="009521FA"/>
    <w:rsid w:val="009522CF"/>
    <w:rsid w:val="009522EA"/>
    <w:rsid w:val="009522FD"/>
    <w:rsid w:val="00952391"/>
    <w:rsid w:val="009523A3"/>
    <w:rsid w:val="009524C4"/>
    <w:rsid w:val="00952514"/>
    <w:rsid w:val="00952619"/>
    <w:rsid w:val="00952644"/>
    <w:rsid w:val="0095278D"/>
    <w:rsid w:val="00952A06"/>
    <w:rsid w:val="00952A81"/>
    <w:rsid w:val="00952A9D"/>
    <w:rsid w:val="00952B0E"/>
    <w:rsid w:val="00952BA9"/>
    <w:rsid w:val="00952BDD"/>
    <w:rsid w:val="00952C12"/>
    <w:rsid w:val="00952C3B"/>
    <w:rsid w:val="00952CD7"/>
    <w:rsid w:val="00952CFC"/>
    <w:rsid w:val="00952F56"/>
    <w:rsid w:val="00952FF5"/>
    <w:rsid w:val="00953020"/>
    <w:rsid w:val="0095307B"/>
    <w:rsid w:val="0095312E"/>
    <w:rsid w:val="00953250"/>
    <w:rsid w:val="0095332E"/>
    <w:rsid w:val="0095342F"/>
    <w:rsid w:val="0095346D"/>
    <w:rsid w:val="009534B1"/>
    <w:rsid w:val="0095350E"/>
    <w:rsid w:val="0095369A"/>
    <w:rsid w:val="009536F8"/>
    <w:rsid w:val="00953747"/>
    <w:rsid w:val="0095377E"/>
    <w:rsid w:val="00953794"/>
    <w:rsid w:val="00953A5C"/>
    <w:rsid w:val="00953A8A"/>
    <w:rsid w:val="00953D93"/>
    <w:rsid w:val="00953DCB"/>
    <w:rsid w:val="00953E05"/>
    <w:rsid w:val="00953E67"/>
    <w:rsid w:val="00953F06"/>
    <w:rsid w:val="00953F6A"/>
    <w:rsid w:val="00953FF3"/>
    <w:rsid w:val="00954009"/>
    <w:rsid w:val="0095422B"/>
    <w:rsid w:val="00954253"/>
    <w:rsid w:val="00954379"/>
    <w:rsid w:val="00954955"/>
    <w:rsid w:val="00954A1F"/>
    <w:rsid w:val="00954AEA"/>
    <w:rsid w:val="00954B63"/>
    <w:rsid w:val="00954BB1"/>
    <w:rsid w:val="00954D2D"/>
    <w:rsid w:val="00954D95"/>
    <w:rsid w:val="00954E9E"/>
    <w:rsid w:val="00954EBC"/>
    <w:rsid w:val="00954EBD"/>
    <w:rsid w:val="00954EF6"/>
    <w:rsid w:val="009552C6"/>
    <w:rsid w:val="009554E9"/>
    <w:rsid w:val="00955567"/>
    <w:rsid w:val="0095556B"/>
    <w:rsid w:val="0095556E"/>
    <w:rsid w:val="009555F0"/>
    <w:rsid w:val="00955734"/>
    <w:rsid w:val="0095573F"/>
    <w:rsid w:val="00955861"/>
    <w:rsid w:val="00955895"/>
    <w:rsid w:val="009559CD"/>
    <w:rsid w:val="00955CE6"/>
    <w:rsid w:val="00955D62"/>
    <w:rsid w:val="00955D63"/>
    <w:rsid w:val="00955E07"/>
    <w:rsid w:val="00955E14"/>
    <w:rsid w:val="00955E45"/>
    <w:rsid w:val="00955E67"/>
    <w:rsid w:val="00955F2B"/>
    <w:rsid w:val="00955FC7"/>
    <w:rsid w:val="00956053"/>
    <w:rsid w:val="00956133"/>
    <w:rsid w:val="009561B4"/>
    <w:rsid w:val="009561D3"/>
    <w:rsid w:val="00956317"/>
    <w:rsid w:val="00956383"/>
    <w:rsid w:val="0095641A"/>
    <w:rsid w:val="00956545"/>
    <w:rsid w:val="00956549"/>
    <w:rsid w:val="009566A6"/>
    <w:rsid w:val="009566DA"/>
    <w:rsid w:val="009567C2"/>
    <w:rsid w:val="00956909"/>
    <w:rsid w:val="0095699D"/>
    <w:rsid w:val="00956A5E"/>
    <w:rsid w:val="00956AB9"/>
    <w:rsid w:val="00956C52"/>
    <w:rsid w:val="00956D21"/>
    <w:rsid w:val="00956D42"/>
    <w:rsid w:val="00956F0C"/>
    <w:rsid w:val="00956F43"/>
    <w:rsid w:val="00956FA7"/>
    <w:rsid w:val="00956FD1"/>
    <w:rsid w:val="00957061"/>
    <w:rsid w:val="00957066"/>
    <w:rsid w:val="00957160"/>
    <w:rsid w:val="009571F5"/>
    <w:rsid w:val="009572B2"/>
    <w:rsid w:val="0095748D"/>
    <w:rsid w:val="00957518"/>
    <w:rsid w:val="0095755F"/>
    <w:rsid w:val="009575DF"/>
    <w:rsid w:val="009575E5"/>
    <w:rsid w:val="009576FF"/>
    <w:rsid w:val="00957707"/>
    <w:rsid w:val="00957745"/>
    <w:rsid w:val="009578E0"/>
    <w:rsid w:val="009579BA"/>
    <w:rsid w:val="00957A3D"/>
    <w:rsid w:val="00957A52"/>
    <w:rsid w:val="00957BE8"/>
    <w:rsid w:val="00957BE9"/>
    <w:rsid w:val="00957C38"/>
    <w:rsid w:val="00957F81"/>
    <w:rsid w:val="00957FFA"/>
    <w:rsid w:val="0096001D"/>
    <w:rsid w:val="0096007B"/>
    <w:rsid w:val="009600C9"/>
    <w:rsid w:val="00960115"/>
    <w:rsid w:val="0096025B"/>
    <w:rsid w:val="0096029B"/>
    <w:rsid w:val="0096032A"/>
    <w:rsid w:val="009603EB"/>
    <w:rsid w:val="00960404"/>
    <w:rsid w:val="0096043B"/>
    <w:rsid w:val="009604DF"/>
    <w:rsid w:val="009605EC"/>
    <w:rsid w:val="00960601"/>
    <w:rsid w:val="00960680"/>
    <w:rsid w:val="0096079E"/>
    <w:rsid w:val="009607A3"/>
    <w:rsid w:val="009607F8"/>
    <w:rsid w:val="00960818"/>
    <w:rsid w:val="009608B0"/>
    <w:rsid w:val="009609CE"/>
    <w:rsid w:val="009609E5"/>
    <w:rsid w:val="00960CA1"/>
    <w:rsid w:val="00960CB9"/>
    <w:rsid w:val="00960CDA"/>
    <w:rsid w:val="00960D96"/>
    <w:rsid w:val="00960DA6"/>
    <w:rsid w:val="00960E46"/>
    <w:rsid w:val="00960ED2"/>
    <w:rsid w:val="00960F7D"/>
    <w:rsid w:val="00960FEF"/>
    <w:rsid w:val="0096107C"/>
    <w:rsid w:val="00961132"/>
    <w:rsid w:val="00961140"/>
    <w:rsid w:val="009611B1"/>
    <w:rsid w:val="0096123A"/>
    <w:rsid w:val="0096137D"/>
    <w:rsid w:val="009613A3"/>
    <w:rsid w:val="00961405"/>
    <w:rsid w:val="009614CD"/>
    <w:rsid w:val="0096152A"/>
    <w:rsid w:val="00961545"/>
    <w:rsid w:val="00961611"/>
    <w:rsid w:val="009616C0"/>
    <w:rsid w:val="009616D0"/>
    <w:rsid w:val="009616FA"/>
    <w:rsid w:val="00961745"/>
    <w:rsid w:val="0096175F"/>
    <w:rsid w:val="00961769"/>
    <w:rsid w:val="009617DD"/>
    <w:rsid w:val="00961834"/>
    <w:rsid w:val="009618EC"/>
    <w:rsid w:val="009618ED"/>
    <w:rsid w:val="00961939"/>
    <w:rsid w:val="009619EA"/>
    <w:rsid w:val="00961AA0"/>
    <w:rsid w:val="00961B96"/>
    <w:rsid w:val="00961CB4"/>
    <w:rsid w:val="00961DA4"/>
    <w:rsid w:val="00961E31"/>
    <w:rsid w:val="00961EEF"/>
    <w:rsid w:val="00961F84"/>
    <w:rsid w:val="009620BB"/>
    <w:rsid w:val="00962103"/>
    <w:rsid w:val="0096215E"/>
    <w:rsid w:val="0096216E"/>
    <w:rsid w:val="009622E7"/>
    <w:rsid w:val="009622F5"/>
    <w:rsid w:val="009623E1"/>
    <w:rsid w:val="00962460"/>
    <w:rsid w:val="009624A5"/>
    <w:rsid w:val="00962521"/>
    <w:rsid w:val="00962528"/>
    <w:rsid w:val="009625A6"/>
    <w:rsid w:val="009626C9"/>
    <w:rsid w:val="00962805"/>
    <w:rsid w:val="0096284E"/>
    <w:rsid w:val="009628E0"/>
    <w:rsid w:val="009628F6"/>
    <w:rsid w:val="00962919"/>
    <w:rsid w:val="0096291B"/>
    <w:rsid w:val="009629B9"/>
    <w:rsid w:val="00962A46"/>
    <w:rsid w:val="00962B36"/>
    <w:rsid w:val="00962BB8"/>
    <w:rsid w:val="00962C40"/>
    <w:rsid w:val="00962C61"/>
    <w:rsid w:val="00962CE8"/>
    <w:rsid w:val="00962CEE"/>
    <w:rsid w:val="00962D1A"/>
    <w:rsid w:val="00962D30"/>
    <w:rsid w:val="00962E53"/>
    <w:rsid w:val="00962F90"/>
    <w:rsid w:val="00962FED"/>
    <w:rsid w:val="00962FF7"/>
    <w:rsid w:val="00963014"/>
    <w:rsid w:val="00963082"/>
    <w:rsid w:val="009630DB"/>
    <w:rsid w:val="00963174"/>
    <w:rsid w:val="009631CB"/>
    <w:rsid w:val="0096323E"/>
    <w:rsid w:val="009632B1"/>
    <w:rsid w:val="00963305"/>
    <w:rsid w:val="0096338F"/>
    <w:rsid w:val="0096340D"/>
    <w:rsid w:val="009634C2"/>
    <w:rsid w:val="00963637"/>
    <w:rsid w:val="009638B6"/>
    <w:rsid w:val="009638C4"/>
    <w:rsid w:val="009638F2"/>
    <w:rsid w:val="00963936"/>
    <w:rsid w:val="00963944"/>
    <w:rsid w:val="0096394C"/>
    <w:rsid w:val="00963979"/>
    <w:rsid w:val="0096398B"/>
    <w:rsid w:val="009639F1"/>
    <w:rsid w:val="00963A25"/>
    <w:rsid w:val="00963B7B"/>
    <w:rsid w:val="00963B8A"/>
    <w:rsid w:val="00963BC2"/>
    <w:rsid w:val="00963CD1"/>
    <w:rsid w:val="00963CDD"/>
    <w:rsid w:val="00963D3B"/>
    <w:rsid w:val="00963DEC"/>
    <w:rsid w:val="0096409B"/>
    <w:rsid w:val="009642FC"/>
    <w:rsid w:val="00964353"/>
    <w:rsid w:val="0096437B"/>
    <w:rsid w:val="009643E4"/>
    <w:rsid w:val="00964480"/>
    <w:rsid w:val="00964516"/>
    <w:rsid w:val="00964555"/>
    <w:rsid w:val="00964590"/>
    <w:rsid w:val="0096462F"/>
    <w:rsid w:val="0096463B"/>
    <w:rsid w:val="009646D5"/>
    <w:rsid w:val="00964760"/>
    <w:rsid w:val="0096478F"/>
    <w:rsid w:val="009647CA"/>
    <w:rsid w:val="0096491C"/>
    <w:rsid w:val="0096496E"/>
    <w:rsid w:val="00964B31"/>
    <w:rsid w:val="00964B52"/>
    <w:rsid w:val="00964BCC"/>
    <w:rsid w:val="00964C06"/>
    <w:rsid w:val="00964CAE"/>
    <w:rsid w:val="00964D40"/>
    <w:rsid w:val="00964DC0"/>
    <w:rsid w:val="00964E21"/>
    <w:rsid w:val="00965013"/>
    <w:rsid w:val="0096503C"/>
    <w:rsid w:val="00965091"/>
    <w:rsid w:val="009651B5"/>
    <w:rsid w:val="009651E9"/>
    <w:rsid w:val="009652D0"/>
    <w:rsid w:val="009654B6"/>
    <w:rsid w:val="0096551B"/>
    <w:rsid w:val="009655A5"/>
    <w:rsid w:val="0096560A"/>
    <w:rsid w:val="00965755"/>
    <w:rsid w:val="009657F0"/>
    <w:rsid w:val="0096580A"/>
    <w:rsid w:val="00965813"/>
    <w:rsid w:val="00965847"/>
    <w:rsid w:val="00965864"/>
    <w:rsid w:val="0096598C"/>
    <w:rsid w:val="00965992"/>
    <w:rsid w:val="00965B21"/>
    <w:rsid w:val="00965C7D"/>
    <w:rsid w:val="00965D49"/>
    <w:rsid w:val="00965DFD"/>
    <w:rsid w:val="00965EDA"/>
    <w:rsid w:val="00965F15"/>
    <w:rsid w:val="00965F72"/>
    <w:rsid w:val="00966013"/>
    <w:rsid w:val="009660C1"/>
    <w:rsid w:val="009660FB"/>
    <w:rsid w:val="0096619F"/>
    <w:rsid w:val="00966220"/>
    <w:rsid w:val="0096626E"/>
    <w:rsid w:val="00966290"/>
    <w:rsid w:val="009662A7"/>
    <w:rsid w:val="009662BB"/>
    <w:rsid w:val="00966362"/>
    <w:rsid w:val="009663EE"/>
    <w:rsid w:val="009664F0"/>
    <w:rsid w:val="009666B0"/>
    <w:rsid w:val="00966838"/>
    <w:rsid w:val="00966A7C"/>
    <w:rsid w:val="00966C3C"/>
    <w:rsid w:val="00966CFF"/>
    <w:rsid w:val="00966DA4"/>
    <w:rsid w:val="00966E18"/>
    <w:rsid w:val="00966E49"/>
    <w:rsid w:val="00966E52"/>
    <w:rsid w:val="00966E62"/>
    <w:rsid w:val="00966F23"/>
    <w:rsid w:val="00966F94"/>
    <w:rsid w:val="00966FF1"/>
    <w:rsid w:val="009671E8"/>
    <w:rsid w:val="00967218"/>
    <w:rsid w:val="00967294"/>
    <w:rsid w:val="009672F2"/>
    <w:rsid w:val="00967307"/>
    <w:rsid w:val="00967316"/>
    <w:rsid w:val="00967355"/>
    <w:rsid w:val="0096746F"/>
    <w:rsid w:val="009674D1"/>
    <w:rsid w:val="009675E7"/>
    <w:rsid w:val="00967689"/>
    <w:rsid w:val="0096786C"/>
    <w:rsid w:val="00967873"/>
    <w:rsid w:val="0096796C"/>
    <w:rsid w:val="0096799D"/>
    <w:rsid w:val="00967A30"/>
    <w:rsid w:val="00967A5B"/>
    <w:rsid w:val="00967A71"/>
    <w:rsid w:val="00967A81"/>
    <w:rsid w:val="00967B6E"/>
    <w:rsid w:val="00967B91"/>
    <w:rsid w:val="00967C90"/>
    <w:rsid w:val="00967C94"/>
    <w:rsid w:val="00967E23"/>
    <w:rsid w:val="00970138"/>
    <w:rsid w:val="00970289"/>
    <w:rsid w:val="0097033D"/>
    <w:rsid w:val="009703D5"/>
    <w:rsid w:val="009703EC"/>
    <w:rsid w:val="00970411"/>
    <w:rsid w:val="0097043F"/>
    <w:rsid w:val="00970584"/>
    <w:rsid w:val="0097058A"/>
    <w:rsid w:val="00970614"/>
    <w:rsid w:val="00970702"/>
    <w:rsid w:val="009708AA"/>
    <w:rsid w:val="009708BC"/>
    <w:rsid w:val="00970B59"/>
    <w:rsid w:val="00970B98"/>
    <w:rsid w:val="00970BC2"/>
    <w:rsid w:val="00970CF5"/>
    <w:rsid w:val="00970D1F"/>
    <w:rsid w:val="00970E06"/>
    <w:rsid w:val="00970E9C"/>
    <w:rsid w:val="00970FC1"/>
    <w:rsid w:val="009711AA"/>
    <w:rsid w:val="0097133D"/>
    <w:rsid w:val="009713B4"/>
    <w:rsid w:val="009716A2"/>
    <w:rsid w:val="009716D4"/>
    <w:rsid w:val="00971716"/>
    <w:rsid w:val="00971769"/>
    <w:rsid w:val="00971912"/>
    <w:rsid w:val="00971B00"/>
    <w:rsid w:val="00971B54"/>
    <w:rsid w:val="00971BFF"/>
    <w:rsid w:val="00971C92"/>
    <w:rsid w:val="00971CAD"/>
    <w:rsid w:val="00971CE0"/>
    <w:rsid w:val="00971CFA"/>
    <w:rsid w:val="00971ED1"/>
    <w:rsid w:val="00971F41"/>
    <w:rsid w:val="00971FB6"/>
    <w:rsid w:val="00971FC2"/>
    <w:rsid w:val="0097208C"/>
    <w:rsid w:val="0097211F"/>
    <w:rsid w:val="00972197"/>
    <w:rsid w:val="009721BD"/>
    <w:rsid w:val="009721CB"/>
    <w:rsid w:val="009721FA"/>
    <w:rsid w:val="0097222E"/>
    <w:rsid w:val="00972434"/>
    <w:rsid w:val="00972475"/>
    <w:rsid w:val="00972515"/>
    <w:rsid w:val="00972644"/>
    <w:rsid w:val="0097273B"/>
    <w:rsid w:val="0097299A"/>
    <w:rsid w:val="00972A68"/>
    <w:rsid w:val="00972BBD"/>
    <w:rsid w:val="00972BE6"/>
    <w:rsid w:val="00972CA9"/>
    <w:rsid w:val="00972CD8"/>
    <w:rsid w:val="00972CE6"/>
    <w:rsid w:val="00972CE7"/>
    <w:rsid w:val="00972E28"/>
    <w:rsid w:val="00972EE5"/>
    <w:rsid w:val="00972EF3"/>
    <w:rsid w:val="00972F0C"/>
    <w:rsid w:val="00972F17"/>
    <w:rsid w:val="009732A6"/>
    <w:rsid w:val="009732FF"/>
    <w:rsid w:val="009733F1"/>
    <w:rsid w:val="00973407"/>
    <w:rsid w:val="0097345B"/>
    <w:rsid w:val="00973483"/>
    <w:rsid w:val="00973652"/>
    <w:rsid w:val="0097392F"/>
    <w:rsid w:val="0097398F"/>
    <w:rsid w:val="009739ED"/>
    <w:rsid w:val="00973A34"/>
    <w:rsid w:val="00973AFE"/>
    <w:rsid w:val="00973B46"/>
    <w:rsid w:val="00973C8C"/>
    <w:rsid w:val="00973D0A"/>
    <w:rsid w:val="00973D20"/>
    <w:rsid w:val="00973DFB"/>
    <w:rsid w:val="00973E8B"/>
    <w:rsid w:val="00973F2F"/>
    <w:rsid w:val="0097418F"/>
    <w:rsid w:val="0097421F"/>
    <w:rsid w:val="00974227"/>
    <w:rsid w:val="00974296"/>
    <w:rsid w:val="009743D0"/>
    <w:rsid w:val="0097445E"/>
    <w:rsid w:val="00974592"/>
    <w:rsid w:val="009745CC"/>
    <w:rsid w:val="0097467E"/>
    <w:rsid w:val="009746BE"/>
    <w:rsid w:val="00974811"/>
    <w:rsid w:val="009748F8"/>
    <w:rsid w:val="00974B24"/>
    <w:rsid w:val="00974BD3"/>
    <w:rsid w:val="00974C81"/>
    <w:rsid w:val="00974D56"/>
    <w:rsid w:val="00974D79"/>
    <w:rsid w:val="00974DD0"/>
    <w:rsid w:val="00974EF2"/>
    <w:rsid w:val="00974F04"/>
    <w:rsid w:val="00974FB5"/>
    <w:rsid w:val="00974FBA"/>
    <w:rsid w:val="00975040"/>
    <w:rsid w:val="00975071"/>
    <w:rsid w:val="009751F8"/>
    <w:rsid w:val="0097545A"/>
    <w:rsid w:val="0097552C"/>
    <w:rsid w:val="009755DE"/>
    <w:rsid w:val="00975602"/>
    <w:rsid w:val="0097563A"/>
    <w:rsid w:val="00975652"/>
    <w:rsid w:val="0097569A"/>
    <w:rsid w:val="009758DD"/>
    <w:rsid w:val="0097591A"/>
    <w:rsid w:val="00975A2E"/>
    <w:rsid w:val="00975AF1"/>
    <w:rsid w:val="00975B23"/>
    <w:rsid w:val="00975BBD"/>
    <w:rsid w:val="00975BF2"/>
    <w:rsid w:val="00975C02"/>
    <w:rsid w:val="00975CF6"/>
    <w:rsid w:val="00975CFF"/>
    <w:rsid w:val="00975FDE"/>
    <w:rsid w:val="00976006"/>
    <w:rsid w:val="009760A3"/>
    <w:rsid w:val="00976156"/>
    <w:rsid w:val="009761C1"/>
    <w:rsid w:val="0097622D"/>
    <w:rsid w:val="00976258"/>
    <w:rsid w:val="00976262"/>
    <w:rsid w:val="0097627D"/>
    <w:rsid w:val="009762A0"/>
    <w:rsid w:val="009762E8"/>
    <w:rsid w:val="00976389"/>
    <w:rsid w:val="0097640A"/>
    <w:rsid w:val="0097641D"/>
    <w:rsid w:val="009764A9"/>
    <w:rsid w:val="009764AB"/>
    <w:rsid w:val="0097667A"/>
    <w:rsid w:val="009766BD"/>
    <w:rsid w:val="00976A32"/>
    <w:rsid w:val="00976A61"/>
    <w:rsid w:val="00976BEA"/>
    <w:rsid w:val="00976C31"/>
    <w:rsid w:val="00976C9B"/>
    <w:rsid w:val="00976CA8"/>
    <w:rsid w:val="00976D27"/>
    <w:rsid w:val="00976D63"/>
    <w:rsid w:val="00976D8A"/>
    <w:rsid w:val="00976DBF"/>
    <w:rsid w:val="00976DD3"/>
    <w:rsid w:val="00976E01"/>
    <w:rsid w:val="00976EB4"/>
    <w:rsid w:val="00976F44"/>
    <w:rsid w:val="00976F55"/>
    <w:rsid w:val="0097713B"/>
    <w:rsid w:val="009771B9"/>
    <w:rsid w:val="009771D6"/>
    <w:rsid w:val="0097724D"/>
    <w:rsid w:val="00977274"/>
    <w:rsid w:val="00977377"/>
    <w:rsid w:val="009773DC"/>
    <w:rsid w:val="00977494"/>
    <w:rsid w:val="00977522"/>
    <w:rsid w:val="009776B4"/>
    <w:rsid w:val="009776DF"/>
    <w:rsid w:val="00977724"/>
    <w:rsid w:val="009777A6"/>
    <w:rsid w:val="009778CA"/>
    <w:rsid w:val="00977B46"/>
    <w:rsid w:val="00977CBC"/>
    <w:rsid w:val="00977D61"/>
    <w:rsid w:val="00977DF4"/>
    <w:rsid w:val="00977F1B"/>
    <w:rsid w:val="00977FB6"/>
    <w:rsid w:val="009801A7"/>
    <w:rsid w:val="00980492"/>
    <w:rsid w:val="009804D4"/>
    <w:rsid w:val="0098053A"/>
    <w:rsid w:val="00980570"/>
    <w:rsid w:val="009805C5"/>
    <w:rsid w:val="009807D0"/>
    <w:rsid w:val="009807EF"/>
    <w:rsid w:val="00980828"/>
    <w:rsid w:val="00980861"/>
    <w:rsid w:val="00980971"/>
    <w:rsid w:val="009809EB"/>
    <w:rsid w:val="00980BBB"/>
    <w:rsid w:val="00980C06"/>
    <w:rsid w:val="00980C4F"/>
    <w:rsid w:val="00980C84"/>
    <w:rsid w:val="00980CE7"/>
    <w:rsid w:val="00980D65"/>
    <w:rsid w:val="00980F0C"/>
    <w:rsid w:val="00980F16"/>
    <w:rsid w:val="00980FAD"/>
    <w:rsid w:val="009810D3"/>
    <w:rsid w:val="0098113A"/>
    <w:rsid w:val="009812D6"/>
    <w:rsid w:val="00981354"/>
    <w:rsid w:val="009814CC"/>
    <w:rsid w:val="009814D7"/>
    <w:rsid w:val="0098155A"/>
    <w:rsid w:val="009815B0"/>
    <w:rsid w:val="0098165D"/>
    <w:rsid w:val="00981670"/>
    <w:rsid w:val="009816CB"/>
    <w:rsid w:val="0098187F"/>
    <w:rsid w:val="00981949"/>
    <w:rsid w:val="00981AAD"/>
    <w:rsid w:val="00981C0B"/>
    <w:rsid w:val="00981C0D"/>
    <w:rsid w:val="00981C30"/>
    <w:rsid w:val="00981C39"/>
    <w:rsid w:val="00981CC3"/>
    <w:rsid w:val="00981D6F"/>
    <w:rsid w:val="00981EAE"/>
    <w:rsid w:val="00981EBD"/>
    <w:rsid w:val="00981ED9"/>
    <w:rsid w:val="00981FA3"/>
    <w:rsid w:val="00981FA8"/>
    <w:rsid w:val="00981FCD"/>
    <w:rsid w:val="00981FDE"/>
    <w:rsid w:val="00982010"/>
    <w:rsid w:val="00982133"/>
    <w:rsid w:val="0098231A"/>
    <w:rsid w:val="00982359"/>
    <w:rsid w:val="009823DD"/>
    <w:rsid w:val="0098246A"/>
    <w:rsid w:val="00982512"/>
    <w:rsid w:val="0098268D"/>
    <w:rsid w:val="0098276C"/>
    <w:rsid w:val="0098276D"/>
    <w:rsid w:val="00982802"/>
    <w:rsid w:val="00982896"/>
    <w:rsid w:val="00982AAC"/>
    <w:rsid w:val="00982AEC"/>
    <w:rsid w:val="00982B1B"/>
    <w:rsid w:val="00982B5E"/>
    <w:rsid w:val="00982C17"/>
    <w:rsid w:val="00982C1B"/>
    <w:rsid w:val="00982C46"/>
    <w:rsid w:val="00982CC7"/>
    <w:rsid w:val="00982CF0"/>
    <w:rsid w:val="00982D6B"/>
    <w:rsid w:val="00982F63"/>
    <w:rsid w:val="00982FDB"/>
    <w:rsid w:val="0098316D"/>
    <w:rsid w:val="0098334A"/>
    <w:rsid w:val="0098362B"/>
    <w:rsid w:val="009836F6"/>
    <w:rsid w:val="009837A6"/>
    <w:rsid w:val="009838D8"/>
    <w:rsid w:val="0098394D"/>
    <w:rsid w:val="00983A12"/>
    <w:rsid w:val="00983B5D"/>
    <w:rsid w:val="00983BEC"/>
    <w:rsid w:val="00983C35"/>
    <w:rsid w:val="00983DCD"/>
    <w:rsid w:val="00983E09"/>
    <w:rsid w:val="00983EDB"/>
    <w:rsid w:val="00983F69"/>
    <w:rsid w:val="00984035"/>
    <w:rsid w:val="0098407C"/>
    <w:rsid w:val="009841D0"/>
    <w:rsid w:val="009843C0"/>
    <w:rsid w:val="009843EE"/>
    <w:rsid w:val="0098447B"/>
    <w:rsid w:val="009844C1"/>
    <w:rsid w:val="00984532"/>
    <w:rsid w:val="0098454B"/>
    <w:rsid w:val="00984554"/>
    <w:rsid w:val="0098457F"/>
    <w:rsid w:val="0098467B"/>
    <w:rsid w:val="00984706"/>
    <w:rsid w:val="009847C3"/>
    <w:rsid w:val="00984840"/>
    <w:rsid w:val="0098489E"/>
    <w:rsid w:val="0098490D"/>
    <w:rsid w:val="00984985"/>
    <w:rsid w:val="009849E7"/>
    <w:rsid w:val="00984C4E"/>
    <w:rsid w:val="00984E7B"/>
    <w:rsid w:val="00984F88"/>
    <w:rsid w:val="0098516A"/>
    <w:rsid w:val="009851C9"/>
    <w:rsid w:val="00985221"/>
    <w:rsid w:val="00985278"/>
    <w:rsid w:val="00985484"/>
    <w:rsid w:val="00985637"/>
    <w:rsid w:val="0098563A"/>
    <w:rsid w:val="009856FC"/>
    <w:rsid w:val="0098588B"/>
    <w:rsid w:val="00985939"/>
    <w:rsid w:val="00985A60"/>
    <w:rsid w:val="00985C7E"/>
    <w:rsid w:val="00985EAC"/>
    <w:rsid w:val="00986018"/>
    <w:rsid w:val="0098606E"/>
    <w:rsid w:val="0098628E"/>
    <w:rsid w:val="00986310"/>
    <w:rsid w:val="009863EE"/>
    <w:rsid w:val="00986591"/>
    <w:rsid w:val="00986664"/>
    <w:rsid w:val="009866A0"/>
    <w:rsid w:val="00986985"/>
    <w:rsid w:val="00986A31"/>
    <w:rsid w:val="00986B38"/>
    <w:rsid w:val="00986BB1"/>
    <w:rsid w:val="00986BB8"/>
    <w:rsid w:val="00986BC3"/>
    <w:rsid w:val="00986D1B"/>
    <w:rsid w:val="00986DFD"/>
    <w:rsid w:val="00986FEF"/>
    <w:rsid w:val="00986FFC"/>
    <w:rsid w:val="00987047"/>
    <w:rsid w:val="00987077"/>
    <w:rsid w:val="009871A2"/>
    <w:rsid w:val="009871F9"/>
    <w:rsid w:val="00987242"/>
    <w:rsid w:val="00987306"/>
    <w:rsid w:val="0098731E"/>
    <w:rsid w:val="00987616"/>
    <w:rsid w:val="0098764E"/>
    <w:rsid w:val="0098766B"/>
    <w:rsid w:val="009876E0"/>
    <w:rsid w:val="00987834"/>
    <w:rsid w:val="00987883"/>
    <w:rsid w:val="009878AD"/>
    <w:rsid w:val="0098792D"/>
    <w:rsid w:val="009879D8"/>
    <w:rsid w:val="00987BBF"/>
    <w:rsid w:val="00987C89"/>
    <w:rsid w:val="00987CB5"/>
    <w:rsid w:val="00987CFF"/>
    <w:rsid w:val="00987D1B"/>
    <w:rsid w:val="00987EA1"/>
    <w:rsid w:val="00987FB5"/>
    <w:rsid w:val="009900D1"/>
    <w:rsid w:val="00990124"/>
    <w:rsid w:val="00990185"/>
    <w:rsid w:val="0099022F"/>
    <w:rsid w:val="00990241"/>
    <w:rsid w:val="009902C6"/>
    <w:rsid w:val="009902D2"/>
    <w:rsid w:val="009902EF"/>
    <w:rsid w:val="0099030B"/>
    <w:rsid w:val="0099031A"/>
    <w:rsid w:val="0099046E"/>
    <w:rsid w:val="009904AD"/>
    <w:rsid w:val="009904FE"/>
    <w:rsid w:val="00990505"/>
    <w:rsid w:val="0099055E"/>
    <w:rsid w:val="00990563"/>
    <w:rsid w:val="0099070D"/>
    <w:rsid w:val="0099072F"/>
    <w:rsid w:val="009907C1"/>
    <w:rsid w:val="00990809"/>
    <w:rsid w:val="00990997"/>
    <w:rsid w:val="009909B7"/>
    <w:rsid w:val="00990A2F"/>
    <w:rsid w:val="00990AE5"/>
    <w:rsid w:val="00990B30"/>
    <w:rsid w:val="00990B82"/>
    <w:rsid w:val="00990BA3"/>
    <w:rsid w:val="00990E37"/>
    <w:rsid w:val="00990F59"/>
    <w:rsid w:val="00990F60"/>
    <w:rsid w:val="00990FCD"/>
    <w:rsid w:val="0099104B"/>
    <w:rsid w:val="009910F7"/>
    <w:rsid w:val="0099110E"/>
    <w:rsid w:val="0099118C"/>
    <w:rsid w:val="00991215"/>
    <w:rsid w:val="0099121A"/>
    <w:rsid w:val="009913E3"/>
    <w:rsid w:val="00991495"/>
    <w:rsid w:val="009914C4"/>
    <w:rsid w:val="00991668"/>
    <w:rsid w:val="009916C3"/>
    <w:rsid w:val="00991746"/>
    <w:rsid w:val="0099179B"/>
    <w:rsid w:val="009917F8"/>
    <w:rsid w:val="00991838"/>
    <w:rsid w:val="00991936"/>
    <w:rsid w:val="00991A36"/>
    <w:rsid w:val="00991A7B"/>
    <w:rsid w:val="00991B6F"/>
    <w:rsid w:val="00991BF2"/>
    <w:rsid w:val="00991C6F"/>
    <w:rsid w:val="00991C9F"/>
    <w:rsid w:val="00991D1A"/>
    <w:rsid w:val="00991D4A"/>
    <w:rsid w:val="00991D6D"/>
    <w:rsid w:val="00991D8C"/>
    <w:rsid w:val="00991DD5"/>
    <w:rsid w:val="00991E64"/>
    <w:rsid w:val="00991E6D"/>
    <w:rsid w:val="00991EDC"/>
    <w:rsid w:val="00991FB4"/>
    <w:rsid w:val="00992080"/>
    <w:rsid w:val="009920C5"/>
    <w:rsid w:val="00992295"/>
    <w:rsid w:val="00992298"/>
    <w:rsid w:val="00992405"/>
    <w:rsid w:val="009924B9"/>
    <w:rsid w:val="009924E2"/>
    <w:rsid w:val="00992662"/>
    <w:rsid w:val="00992726"/>
    <w:rsid w:val="009927CC"/>
    <w:rsid w:val="009927E9"/>
    <w:rsid w:val="0099285C"/>
    <w:rsid w:val="009928F6"/>
    <w:rsid w:val="00992916"/>
    <w:rsid w:val="00992942"/>
    <w:rsid w:val="00992A5D"/>
    <w:rsid w:val="00992B17"/>
    <w:rsid w:val="00992C48"/>
    <w:rsid w:val="00992CC2"/>
    <w:rsid w:val="00992D7B"/>
    <w:rsid w:val="00992DB9"/>
    <w:rsid w:val="00992F11"/>
    <w:rsid w:val="00993115"/>
    <w:rsid w:val="009931A1"/>
    <w:rsid w:val="009931F1"/>
    <w:rsid w:val="00993479"/>
    <w:rsid w:val="00993484"/>
    <w:rsid w:val="009934B4"/>
    <w:rsid w:val="0099353B"/>
    <w:rsid w:val="009935BC"/>
    <w:rsid w:val="00993609"/>
    <w:rsid w:val="0099374D"/>
    <w:rsid w:val="00993769"/>
    <w:rsid w:val="0099382A"/>
    <w:rsid w:val="00993939"/>
    <w:rsid w:val="00993AC8"/>
    <w:rsid w:val="00993AD3"/>
    <w:rsid w:val="00993B09"/>
    <w:rsid w:val="00993BE3"/>
    <w:rsid w:val="00993CC0"/>
    <w:rsid w:val="00993D4C"/>
    <w:rsid w:val="00993D82"/>
    <w:rsid w:val="00993D90"/>
    <w:rsid w:val="00993DB8"/>
    <w:rsid w:val="00993E3E"/>
    <w:rsid w:val="00994179"/>
    <w:rsid w:val="009942D9"/>
    <w:rsid w:val="0099438B"/>
    <w:rsid w:val="009943AE"/>
    <w:rsid w:val="009943E3"/>
    <w:rsid w:val="009945E1"/>
    <w:rsid w:val="009945E8"/>
    <w:rsid w:val="00994635"/>
    <w:rsid w:val="00994677"/>
    <w:rsid w:val="00994783"/>
    <w:rsid w:val="00994980"/>
    <w:rsid w:val="00994A31"/>
    <w:rsid w:val="00994A6E"/>
    <w:rsid w:val="00994ADF"/>
    <w:rsid w:val="00994AFA"/>
    <w:rsid w:val="00994B1F"/>
    <w:rsid w:val="00994B43"/>
    <w:rsid w:val="00994B52"/>
    <w:rsid w:val="00994BE3"/>
    <w:rsid w:val="00994BF2"/>
    <w:rsid w:val="00994D2B"/>
    <w:rsid w:val="00994D6A"/>
    <w:rsid w:val="00994F10"/>
    <w:rsid w:val="00994F43"/>
    <w:rsid w:val="00994FB4"/>
    <w:rsid w:val="00995004"/>
    <w:rsid w:val="00995008"/>
    <w:rsid w:val="0099515E"/>
    <w:rsid w:val="00995166"/>
    <w:rsid w:val="00995219"/>
    <w:rsid w:val="009952AF"/>
    <w:rsid w:val="009953E8"/>
    <w:rsid w:val="00995474"/>
    <w:rsid w:val="009954A9"/>
    <w:rsid w:val="0099550D"/>
    <w:rsid w:val="00995531"/>
    <w:rsid w:val="0099554D"/>
    <w:rsid w:val="009955BB"/>
    <w:rsid w:val="0099566B"/>
    <w:rsid w:val="0099567C"/>
    <w:rsid w:val="00995734"/>
    <w:rsid w:val="00995842"/>
    <w:rsid w:val="009958E5"/>
    <w:rsid w:val="00995983"/>
    <w:rsid w:val="00995A57"/>
    <w:rsid w:val="00995AE6"/>
    <w:rsid w:val="00995C5D"/>
    <w:rsid w:val="00995CCE"/>
    <w:rsid w:val="00995CE5"/>
    <w:rsid w:val="00995D2E"/>
    <w:rsid w:val="00995D9F"/>
    <w:rsid w:val="00995F91"/>
    <w:rsid w:val="00995F9B"/>
    <w:rsid w:val="00995FCB"/>
    <w:rsid w:val="00996073"/>
    <w:rsid w:val="00996078"/>
    <w:rsid w:val="009961AE"/>
    <w:rsid w:val="009962A5"/>
    <w:rsid w:val="009962E9"/>
    <w:rsid w:val="00996477"/>
    <w:rsid w:val="00996480"/>
    <w:rsid w:val="009964B3"/>
    <w:rsid w:val="00996591"/>
    <w:rsid w:val="009969E0"/>
    <w:rsid w:val="00996AA2"/>
    <w:rsid w:val="00996BAE"/>
    <w:rsid w:val="00996D58"/>
    <w:rsid w:val="00996E14"/>
    <w:rsid w:val="00996E53"/>
    <w:rsid w:val="00996E78"/>
    <w:rsid w:val="00996E9E"/>
    <w:rsid w:val="00996EE4"/>
    <w:rsid w:val="00996FD2"/>
    <w:rsid w:val="00997017"/>
    <w:rsid w:val="0099711A"/>
    <w:rsid w:val="009971A8"/>
    <w:rsid w:val="009971AE"/>
    <w:rsid w:val="009971BA"/>
    <w:rsid w:val="0099720A"/>
    <w:rsid w:val="00997293"/>
    <w:rsid w:val="0099729E"/>
    <w:rsid w:val="009972CE"/>
    <w:rsid w:val="00997356"/>
    <w:rsid w:val="009973A7"/>
    <w:rsid w:val="0099772B"/>
    <w:rsid w:val="0099772D"/>
    <w:rsid w:val="009977F8"/>
    <w:rsid w:val="0099789D"/>
    <w:rsid w:val="009978ED"/>
    <w:rsid w:val="00997907"/>
    <w:rsid w:val="00997AF4"/>
    <w:rsid w:val="00997AFF"/>
    <w:rsid w:val="00997B97"/>
    <w:rsid w:val="00997BB6"/>
    <w:rsid w:val="00997C16"/>
    <w:rsid w:val="00997C62"/>
    <w:rsid w:val="00997C94"/>
    <w:rsid w:val="00997D95"/>
    <w:rsid w:val="00997E05"/>
    <w:rsid w:val="009A00E1"/>
    <w:rsid w:val="009A0276"/>
    <w:rsid w:val="009A02DC"/>
    <w:rsid w:val="009A0326"/>
    <w:rsid w:val="009A0482"/>
    <w:rsid w:val="009A04F8"/>
    <w:rsid w:val="009A050F"/>
    <w:rsid w:val="009A08E6"/>
    <w:rsid w:val="009A096E"/>
    <w:rsid w:val="009A0BC0"/>
    <w:rsid w:val="009A0C75"/>
    <w:rsid w:val="009A0CE2"/>
    <w:rsid w:val="009A0D0A"/>
    <w:rsid w:val="009A0E0B"/>
    <w:rsid w:val="009A0E4D"/>
    <w:rsid w:val="009A0F49"/>
    <w:rsid w:val="009A0FB1"/>
    <w:rsid w:val="009A112B"/>
    <w:rsid w:val="009A11E8"/>
    <w:rsid w:val="009A124E"/>
    <w:rsid w:val="009A12C8"/>
    <w:rsid w:val="009A12E1"/>
    <w:rsid w:val="009A1320"/>
    <w:rsid w:val="009A13E1"/>
    <w:rsid w:val="009A142A"/>
    <w:rsid w:val="009A142B"/>
    <w:rsid w:val="009A155F"/>
    <w:rsid w:val="009A179E"/>
    <w:rsid w:val="009A18A8"/>
    <w:rsid w:val="009A18DA"/>
    <w:rsid w:val="009A1935"/>
    <w:rsid w:val="009A194F"/>
    <w:rsid w:val="009A1A0F"/>
    <w:rsid w:val="009A1A3E"/>
    <w:rsid w:val="009A1B7E"/>
    <w:rsid w:val="009A1B9A"/>
    <w:rsid w:val="009A1BE2"/>
    <w:rsid w:val="009A1CC6"/>
    <w:rsid w:val="009A1D5C"/>
    <w:rsid w:val="009A1D7A"/>
    <w:rsid w:val="009A1F14"/>
    <w:rsid w:val="009A2019"/>
    <w:rsid w:val="009A20EF"/>
    <w:rsid w:val="009A216D"/>
    <w:rsid w:val="009A2292"/>
    <w:rsid w:val="009A22F6"/>
    <w:rsid w:val="009A2384"/>
    <w:rsid w:val="009A23E5"/>
    <w:rsid w:val="009A2433"/>
    <w:rsid w:val="009A24CE"/>
    <w:rsid w:val="009A25C5"/>
    <w:rsid w:val="009A2684"/>
    <w:rsid w:val="009A287A"/>
    <w:rsid w:val="009A2A9F"/>
    <w:rsid w:val="009A2AE8"/>
    <w:rsid w:val="009A2C67"/>
    <w:rsid w:val="009A2D3F"/>
    <w:rsid w:val="009A2DD3"/>
    <w:rsid w:val="009A2E69"/>
    <w:rsid w:val="009A2E90"/>
    <w:rsid w:val="009A2F6B"/>
    <w:rsid w:val="009A312E"/>
    <w:rsid w:val="009A3273"/>
    <w:rsid w:val="009A3425"/>
    <w:rsid w:val="009A34D6"/>
    <w:rsid w:val="009A34E5"/>
    <w:rsid w:val="009A35BA"/>
    <w:rsid w:val="009A35BC"/>
    <w:rsid w:val="009A36E9"/>
    <w:rsid w:val="009A379F"/>
    <w:rsid w:val="009A3893"/>
    <w:rsid w:val="009A3A21"/>
    <w:rsid w:val="009A3A41"/>
    <w:rsid w:val="009A3A5D"/>
    <w:rsid w:val="009A3ABE"/>
    <w:rsid w:val="009A3B23"/>
    <w:rsid w:val="009A3DBD"/>
    <w:rsid w:val="009A3F4D"/>
    <w:rsid w:val="009A3F52"/>
    <w:rsid w:val="009A4036"/>
    <w:rsid w:val="009A419C"/>
    <w:rsid w:val="009A41D8"/>
    <w:rsid w:val="009A4216"/>
    <w:rsid w:val="009A42BE"/>
    <w:rsid w:val="009A434F"/>
    <w:rsid w:val="009A43CF"/>
    <w:rsid w:val="009A43EB"/>
    <w:rsid w:val="009A4411"/>
    <w:rsid w:val="009A4530"/>
    <w:rsid w:val="009A4662"/>
    <w:rsid w:val="009A480E"/>
    <w:rsid w:val="009A48EC"/>
    <w:rsid w:val="009A49B3"/>
    <w:rsid w:val="009A4AEA"/>
    <w:rsid w:val="009A4B2E"/>
    <w:rsid w:val="009A4B3E"/>
    <w:rsid w:val="009A4D83"/>
    <w:rsid w:val="009A4DD4"/>
    <w:rsid w:val="009A4EF8"/>
    <w:rsid w:val="009A4F81"/>
    <w:rsid w:val="009A503C"/>
    <w:rsid w:val="009A50E0"/>
    <w:rsid w:val="009A5240"/>
    <w:rsid w:val="009A52D3"/>
    <w:rsid w:val="009A547F"/>
    <w:rsid w:val="009A5521"/>
    <w:rsid w:val="009A5649"/>
    <w:rsid w:val="009A568C"/>
    <w:rsid w:val="009A5820"/>
    <w:rsid w:val="009A58E3"/>
    <w:rsid w:val="009A58E8"/>
    <w:rsid w:val="009A5969"/>
    <w:rsid w:val="009A5A96"/>
    <w:rsid w:val="009A5ABB"/>
    <w:rsid w:val="009A5B70"/>
    <w:rsid w:val="009A5C04"/>
    <w:rsid w:val="009A5C1E"/>
    <w:rsid w:val="009A5C6E"/>
    <w:rsid w:val="009A5C8A"/>
    <w:rsid w:val="009A5D34"/>
    <w:rsid w:val="009A5D61"/>
    <w:rsid w:val="009A5D7B"/>
    <w:rsid w:val="009A5DF3"/>
    <w:rsid w:val="009A5E13"/>
    <w:rsid w:val="009A6092"/>
    <w:rsid w:val="009A60A5"/>
    <w:rsid w:val="009A61FE"/>
    <w:rsid w:val="009A62C6"/>
    <w:rsid w:val="009A636B"/>
    <w:rsid w:val="009A63E5"/>
    <w:rsid w:val="009A6483"/>
    <w:rsid w:val="009A64F6"/>
    <w:rsid w:val="009A653A"/>
    <w:rsid w:val="009A656B"/>
    <w:rsid w:val="009A66D8"/>
    <w:rsid w:val="009A6876"/>
    <w:rsid w:val="009A68A2"/>
    <w:rsid w:val="009A690A"/>
    <w:rsid w:val="009A6939"/>
    <w:rsid w:val="009A6994"/>
    <w:rsid w:val="009A69AA"/>
    <w:rsid w:val="009A6A13"/>
    <w:rsid w:val="009A6AD6"/>
    <w:rsid w:val="009A6C9F"/>
    <w:rsid w:val="009A6CF4"/>
    <w:rsid w:val="009A6D5C"/>
    <w:rsid w:val="009A6E19"/>
    <w:rsid w:val="009A6F1E"/>
    <w:rsid w:val="009A6F5C"/>
    <w:rsid w:val="009A6FFB"/>
    <w:rsid w:val="009A70A0"/>
    <w:rsid w:val="009A7121"/>
    <w:rsid w:val="009A7255"/>
    <w:rsid w:val="009A7305"/>
    <w:rsid w:val="009A745E"/>
    <w:rsid w:val="009A74F0"/>
    <w:rsid w:val="009A75FB"/>
    <w:rsid w:val="009A7640"/>
    <w:rsid w:val="009A76C7"/>
    <w:rsid w:val="009A7718"/>
    <w:rsid w:val="009A7732"/>
    <w:rsid w:val="009A78E2"/>
    <w:rsid w:val="009A7956"/>
    <w:rsid w:val="009A7A28"/>
    <w:rsid w:val="009A7ADE"/>
    <w:rsid w:val="009A7AEB"/>
    <w:rsid w:val="009A7AF2"/>
    <w:rsid w:val="009A7B51"/>
    <w:rsid w:val="009A7BCC"/>
    <w:rsid w:val="009A7D76"/>
    <w:rsid w:val="009A7DE4"/>
    <w:rsid w:val="009A7E5C"/>
    <w:rsid w:val="009A7E5D"/>
    <w:rsid w:val="009A7F16"/>
    <w:rsid w:val="009A7F3E"/>
    <w:rsid w:val="009A7F5F"/>
    <w:rsid w:val="009B009E"/>
    <w:rsid w:val="009B0124"/>
    <w:rsid w:val="009B0197"/>
    <w:rsid w:val="009B021C"/>
    <w:rsid w:val="009B0392"/>
    <w:rsid w:val="009B0448"/>
    <w:rsid w:val="009B048E"/>
    <w:rsid w:val="009B04AD"/>
    <w:rsid w:val="009B04ED"/>
    <w:rsid w:val="009B060E"/>
    <w:rsid w:val="009B06B4"/>
    <w:rsid w:val="009B07A3"/>
    <w:rsid w:val="009B08DD"/>
    <w:rsid w:val="009B0952"/>
    <w:rsid w:val="009B098B"/>
    <w:rsid w:val="009B0991"/>
    <w:rsid w:val="009B0A77"/>
    <w:rsid w:val="009B0AE4"/>
    <w:rsid w:val="009B0B5F"/>
    <w:rsid w:val="009B0BF9"/>
    <w:rsid w:val="009B0C4F"/>
    <w:rsid w:val="009B0CE3"/>
    <w:rsid w:val="009B0D13"/>
    <w:rsid w:val="009B0D2B"/>
    <w:rsid w:val="009B0DCB"/>
    <w:rsid w:val="009B0DD8"/>
    <w:rsid w:val="009B0DEB"/>
    <w:rsid w:val="009B0E04"/>
    <w:rsid w:val="009B0E0C"/>
    <w:rsid w:val="009B0E41"/>
    <w:rsid w:val="009B0EFD"/>
    <w:rsid w:val="009B1122"/>
    <w:rsid w:val="009B11EF"/>
    <w:rsid w:val="009B1289"/>
    <w:rsid w:val="009B12BB"/>
    <w:rsid w:val="009B13DC"/>
    <w:rsid w:val="009B1444"/>
    <w:rsid w:val="009B14A8"/>
    <w:rsid w:val="009B14DB"/>
    <w:rsid w:val="009B1538"/>
    <w:rsid w:val="009B1588"/>
    <w:rsid w:val="009B1651"/>
    <w:rsid w:val="009B1688"/>
    <w:rsid w:val="009B16B6"/>
    <w:rsid w:val="009B17F5"/>
    <w:rsid w:val="009B1837"/>
    <w:rsid w:val="009B1885"/>
    <w:rsid w:val="009B1925"/>
    <w:rsid w:val="009B194E"/>
    <w:rsid w:val="009B19C1"/>
    <w:rsid w:val="009B1A94"/>
    <w:rsid w:val="009B1B22"/>
    <w:rsid w:val="009B1B31"/>
    <w:rsid w:val="009B1B47"/>
    <w:rsid w:val="009B1C8E"/>
    <w:rsid w:val="009B1C9A"/>
    <w:rsid w:val="009B1CEB"/>
    <w:rsid w:val="009B1ED2"/>
    <w:rsid w:val="009B1ED6"/>
    <w:rsid w:val="009B1F3A"/>
    <w:rsid w:val="009B2065"/>
    <w:rsid w:val="009B2090"/>
    <w:rsid w:val="009B21E2"/>
    <w:rsid w:val="009B2211"/>
    <w:rsid w:val="009B22B6"/>
    <w:rsid w:val="009B2378"/>
    <w:rsid w:val="009B23E5"/>
    <w:rsid w:val="009B2497"/>
    <w:rsid w:val="009B24AF"/>
    <w:rsid w:val="009B24C3"/>
    <w:rsid w:val="009B24D5"/>
    <w:rsid w:val="009B264E"/>
    <w:rsid w:val="009B2733"/>
    <w:rsid w:val="009B284D"/>
    <w:rsid w:val="009B2859"/>
    <w:rsid w:val="009B2B84"/>
    <w:rsid w:val="009B2B86"/>
    <w:rsid w:val="009B2B88"/>
    <w:rsid w:val="009B2B96"/>
    <w:rsid w:val="009B2B9B"/>
    <w:rsid w:val="009B2C36"/>
    <w:rsid w:val="009B2CB4"/>
    <w:rsid w:val="009B2CDF"/>
    <w:rsid w:val="009B2D36"/>
    <w:rsid w:val="009B2DE4"/>
    <w:rsid w:val="009B2FD0"/>
    <w:rsid w:val="009B3276"/>
    <w:rsid w:val="009B3285"/>
    <w:rsid w:val="009B3338"/>
    <w:rsid w:val="009B33EC"/>
    <w:rsid w:val="009B340E"/>
    <w:rsid w:val="009B345F"/>
    <w:rsid w:val="009B3511"/>
    <w:rsid w:val="009B353E"/>
    <w:rsid w:val="009B3958"/>
    <w:rsid w:val="009B3975"/>
    <w:rsid w:val="009B3986"/>
    <w:rsid w:val="009B399B"/>
    <w:rsid w:val="009B39B1"/>
    <w:rsid w:val="009B3AA0"/>
    <w:rsid w:val="009B3ABA"/>
    <w:rsid w:val="009B3B31"/>
    <w:rsid w:val="009B3CD0"/>
    <w:rsid w:val="009B3D23"/>
    <w:rsid w:val="009B3DE1"/>
    <w:rsid w:val="009B3E6B"/>
    <w:rsid w:val="009B3EB4"/>
    <w:rsid w:val="009B3EDE"/>
    <w:rsid w:val="009B3FE9"/>
    <w:rsid w:val="009B3FFE"/>
    <w:rsid w:val="009B402A"/>
    <w:rsid w:val="009B405E"/>
    <w:rsid w:val="009B40DA"/>
    <w:rsid w:val="009B41B1"/>
    <w:rsid w:val="009B41F3"/>
    <w:rsid w:val="009B4215"/>
    <w:rsid w:val="009B434F"/>
    <w:rsid w:val="009B458D"/>
    <w:rsid w:val="009B47CE"/>
    <w:rsid w:val="009B47E3"/>
    <w:rsid w:val="009B47EC"/>
    <w:rsid w:val="009B4B47"/>
    <w:rsid w:val="009B4B5B"/>
    <w:rsid w:val="009B4BA8"/>
    <w:rsid w:val="009B4CB9"/>
    <w:rsid w:val="009B4D2E"/>
    <w:rsid w:val="009B4E6F"/>
    <w:rsid w:val="009B4EBC"/>
    <w:rsid w:val="009B4F04"/>
    <w:rsid w:val="009B4F33"/>
    <w:rsid w:val="009B4F88"/>
    <w:rsid w:val="009B4FAC"/>
    <w:rsid w:val="009B5044"/>
    <w:rsid w:val="009B5049"/>
    <w:rsid w:val="009B50EF"/>
    <w:rsid w:val="009B50F0"/>
    <w:rsid w:val="009B5176"/>
    <w:rsid w:val="009B51D9"/>
    <w:rsid w:val="009B52DC"/>
    <w:rsid w:val="009B52FF"/>
    <w:rsid w:val="009B5327"/>
    <w:rsid w:val="009B5455"/>
    <w:rsid w:val="009B552F"/>
    <w:rsid w:val="009B556C"/>
    <w:rsid w:val="009B56C4"/>
    <w:rsid w:val="009B5778"/>
    <w:rsid w:val="009B598A"/>
    <w:rsid w:val="009B5AFD"/>
    <w:rsid w:val="009B5B1F"/>
    <w:rsid w:val="009B5CBE"/>
    <w:rsid w:val="009B5CC8"/>
    <w:rsid w:val="009B5EBD"/>
    <w:rsid w:val="009B5F13"/>
    <w:rsid w:val="009B5F59"/>
    <w:rsid w:val="009B607A"/>
    <w:rsid w:val="009B612D"/>
    <w:rsid w:val="009B6230"/>
    <w:rsid w:val="009B6235"/>
    <w:rsid w:val="009B6284"/>
    <w:rsid w:val="009B628A"/>
    <w:rsid w:val="009B6368"/>
    <w:rsid w:val="009B63A8"/>
    <w:rsid w:val="009B63EF"/>
    <w:rsid w:val="009B644C"/>
    <w:rsid w:val="009B6489"/>
    <w:rsid w:val="009B652F"/>
    <w:rsid w:val="009B65D7"/>
    <w:rsid w:val="009B6652"/>
    <w:rsid w:val="009B683A"/>
    <w:rsid w:val="009B6944"/>
    <w:rsid w:val="009B6A55"/>
    <w:rsid w:val="009B6AD4"/>
    <w:rsid w:val="009B6B28"/>
    <w:rsid w:val="009B6B43"/>
    <w:rsid w:val="009B6C94"/>
    <w:rsid w:val="009B6DBF"/>
    <w:rsid w:val="009B6F60"/>
    <w:rsid w:val="009B6F6E"/>
    <w:rsid w:val="009B6FB5"/>
    <w:rsid w:val="009B70C3"/>
    <w:rsid w:val="009B70D0"/>
    <w:rsid w:val="009B71E7"/>
    <w:rsid w:val="009B7254"/>
    <w:rsid w:val="009B7300"/>
    <w:rsid w:val="009B74DA"/>
    <w:rsid w:val="009B75B1"/>
    <w:rsid w:val="009B765F"/>
    <w:rsid w:val="009B76CB"/>
    <w:rsid w:val="009B773E"/>
    <w:rsid w:val="009B7758"/>
    <w:rsid w:val="009B792B"/>
    <w:rsid w:val="009B793A"/>
    <w:rsid w:val="009B7A88"/>
    <w:rsid w:val="009B7BBF"/>
    <w:rsid w:val="009B7BD1"/>
    <w:rsid w:val="009B7C17"/>
    <w:rsid w:val="009B7CAF"/>
    <w:rsid w:val="009B7CBB"/>
    <w:rsid w:val="009B7D0E"/>
    <w:rsid w:val="009B7DFE"/>
    <w:rsid w:val="009C02E5"/>
    <w:rsid w:val="009C0339"/>
    <w:rsid w:val="009C0367"/>
    <w:rsid w:val="009C0378"/>
    <w:rsid w:val="009C0489"/>
    <w:rsid w:val="009C04CD"/>
    <w:rsid w:val="009C05A2"/>
    <w:rsid w:val="009C05D4"/>
    <w:rsid w:val="009C0617"/>
    <w:rsid w:val="009C0646"/>
    <w:rsid w:val="009C06EA"/>
    <w:rsid w:val="009C06F8"/>
    <w:rsid w:val="009C0701"/>
    <w:rsid w:val="009C080A"/>
    <w:rsid w:val="009C0907"/>
    <w:rsid w:val="009C092E"/>
    <w:rsid w:val="009C0989"/>
    <w:rsid w:val="009C0A4B"/>
    <w:rsid w:val="009C0A5E"/>
    <w:rsid w:val="009C0AB9"/>
    <w:rsid w:val="009C0B1A"/>
    <w:rsid w:val="009C0B88"/>
    <w:rsid w:val="009C0BA8"/>
    <w:rsid w:val="009C0BAB"/>
    <w:rsid w:val="009C0BEF"/>
    <w:rsid w:val="009C0C88"/>
    <w:rsid w:val="009C0CC2"/>
    <w:rsid w:val="009C0ED0"/>
    <w:rsid w:val="009C10F6"/>
    <w:rsid w:val="009C1181"/>
    <w:rsid w:val="009C1302"/>
    <w:rsid w:val="009C1319"/>
    <w:rsid w:val="009C1349"/>
    <w:rsid w:val="009C1425"/>
    <w:rsid w:val="009C1454"/>
    <w:rsid w:val="009C14C7"/>
    <w:rsid w:val="009C158D"/>
    <w:rsid w:val="009C168F"/>
    <w:rsid w:val="009C1767"/>
    <w:rsid w:val="009C17AE"/>
    <w:rsid w:val="009C17B1"/>
    <w:rsid w:val="009C18E3"/>
    <w:rsid w:val="009C1971"/>
    <w:rsid w:val="009C1A70"/>
    <w:rsid w:val="009C1A8C"/>
    <w:rsid w:val="009C1C65"/>
    <w:rsid w:val="009C1D08"/>
    <w:rsid w:val="009C1D5F"/>
    <w:rsid w:val="009C1DBB"/>
    <w:rsid w:val="009C1EDF"/>
    <w:rsid w:val="009C1FCF"/>
    <w:rsid w:val="009C201F"/>
    <w:rsid w:val="009C209E"/>
    <w:rsid w:val="009C20A9"/>
    <w:rsid w:val="009C21FC"/>
    <w:rsid w:val="009C2359"/>
    <w:rsid w:val="009C249D"/>
    <w:rsid w:val="009C2621"/>
    <w:rsid w:val="009C26DE"/>
    <w:rsid w:val="009C27A2"/>
    <w:rsid w:val="009C285D"/>
    <w:rsid w:val="009C288F"/>
    <w:rsid w:val="009C28D7"/>
    <w:rsid w:val="009C28E6"/>
    <w:rsid w:val="009C2968"/>
    <w:rsid w:val="009C2ACE"/>
    <w:rsid w:val="009C2AE0"/>
    <w:rsid w:val="009C2AF2"/>
    <w:rsid w:val="009C2AF3"/>
    <w:rsid w:val="009C2C87"/>
    <w:rsid w:val="009C2D46"/>
    <w:rsid w:val="009C2DD2"/>
    <w:rsid w:val="009C2E01"/>
    <w:rsid w:val="009C2EE8"/>
    <w:rsid w:val="009C2F88"/>
    <w:rsid w:val="009C3154"/>
    <w:rsid w:val="009C323A"/>
    <w:rsid w:val="009C32DB"/>
    <w:rsid w:val="009C33D6"/>
    <w:rsid w:val="009C33F4"/>
    <w:rsid w:val="009C35AF"/>
    <w:rsid w:val="009C361B"/>
    <w:rsid w:val="009C365B"/>
    <w:rsid w:val="009C3663"/>
    <w:rsid w:val="009C36C0"/>
    <w:rsid w:val="009C36FA"/>
    <w:rsid w:val="009C37F0"/>
    <w:rsid w:val="009C37F4"/>
    <w:rsid w:val="009C3886"/>
    <w:rsid w:val="009C389B"/>
    <w:rsid w:val="009C38C5"/>
    <w:rsid w:val="009C3966"/>
    <w:rsid w:val="009C3A0E"/>
    <w:rsid w:val="009C3AF7"/>
    <w:rsid w:val="009C3CDE"/>
    <w:rsid w:val="009C3D04"/>
    <w:rsid w:val="009C3D05"/>
    <w:rsid w:val="009C3D78"/>
    <w:rsid w:val="009C3D93"/>
    <w:rsid w:val="009C3DB6"/>
    <w:rsid w:val="009C3DD8"/>
    <w:rsid w:val="009C3E14"/>
    <w:rsid w:val="009C3EE3"/>
    <w:rsid w:val="009C3EFD"/>
    <w:rsid w:val="009C409D"/>
    <w:rsid w:val="009C4199"/>
    <w:rsid w:val="009C4218"/>
    <w:rsid w:val="009C4248"/>
    <w:rsid w:val="009C4312"/>
    <w:rsid w:val="009C4465"/>
    <w:rsid w:val="009C4469"/>
    <w:rsid w:val="009C4480"/>
    <w:rsid w:val="009C4511"/>
    <w:rsid w:val="009C4569"/>
    <w:rsid w:val="009C4597"/>
    <w:rsid w:val="009C4666"/>
    <w:rsid w:val="009C4675"/>
    <w:rsid w:val="009C46E2"/>
    <w:rsid w:val="009C47AA"/>
    <w:rsid w:val="009C47BB"/>
    <w:rsid w:val="009C4915"/>
    <w:rsid w:val="009C493F"/>
    <w:rsid w:val="009C498E"/>
    <w:rsid w:val="009C4996"/>
    <w:rsid w:val="009C49E0"/>
    <w:rsid w:val="009C4A72"/>
    <w:rsid w:val="009C4AF3"/>
    <w:rsid w:val="009C4BD1"/>
    <w:rsid w:val="009C4BD2"/>
    <w:rsid w:val="009C4C58"/>
    <w:rsid w:val="009C4D2D"/>
    <w:rsid w:val="009C4D90"/>
    <w:rsid w:val="009C4DBA"/>
    <w:rsid w:val="009C4DF8"/>
    <w:rsid w:val="009C4F15"/>
    <w:rsid w:val="009C4F7B"/>
    <w:rsid w:val="009C4F7F"/>
    <w:rsid w:val="009C5009"/>
    <w:rsid w:val="009C5020"/>
    <w:rsid w:val="009C5100"/>
    <w:rsid w:val="009C517D"/>
    <w:rsid w:val="009C51EB"/>
    <w:rsid w:val="009C522A"/>
    <w:rsid w:val="009C5451"/>
    <w:rsid w:val="009C5455"/>
    <w:rsid w:val="009C57B3"/>
    <w:rsid w:val="009C57EF"/>
    <w:rsid w:val="009C59A1"/>
    <w:rsid w:val="009C5A8F"/>
    <w:rsid w:val="009C5B1A"/>
    <w:rsid w:val="009C5B25"/>
    <w:rsid w:val="009C5BD0"/>
    <w:rsid w:val="009C5C9F"/>
    <w:rsid w:val="009C5CA9"/>
    <w:rsid w:val="009C5F42"/>
    <w:rsid w:val="009C5F91"/>
    <w:rsid w:val="009C60D3"/>
    <w:rsid w:val="009C6125"/>
    <w:rsid w:val="009C6153"/>
    <w:rsid w:val="009C6162"/>
    <w:rsid w:val="009C61DB"/>
    <w:rsid w:val="009C6207"/>
    <w:rsid w:val="009C622B"/>
    <w:rsid w:val="009C62A5"/>
    <w:rsid w:val="009C62D9"/>
    <w:rsid w:val="009C6316"/>
    <w:rsid w:val="009C6349"/>
    <w:rsid w:val="009C63B2"/>
    <w:rsid w:val="009C6431"/>
    <w:rsid w:val="009C6464"/>
    <w:rsid w:val="009C647B"/>
    <w:rsid w:val="009C64BA"/>
    <w:rsid w:val="009C64BB"/>
    <w:rsid w:val="009C656C"/>
    <w:rsid w:val="009C6599"/>
    <w:rsid w:val="009C65B2"/>
    <w:rsid w:val="009C6772"/>
    <w:rsid w:val="009C6798"/>
    <w:rsid w:val="009C679E"/>
    <w:rsid w:val="009C67AD"/>
    <w:rsid w:val="009C67BB"/>
    <w:rsid w:val="009C6803"/>
    <w:rsid w:val="009C687B"/>
    <w:rsid w:val="009C68A0"/>
    <w:rsid w:val="009C6901"/>
    <w:rsid w:val="009C6940"/>
    <w:rsid w:val="009C69FD"/>
    <w:rsid w:val="009C6A8C"/>
    <w:rsid w:val="009C6A9F"/>
    <w:rsid w:val="009C6B9C"/>
    <w:rsid w:val="009C6BF5"/>
    <w:rsid w:val="009C6C8D"/>
    <w:rsid w:val="009C6CBA"/>
    <w:rsid w:val="009C6D32"/>
    <w:rsid w:val="009C6D7D"/>
    <w:rsid w:val="009C6D94"/>
    <w:rsid w:val="009C6E7D"/>
    <w:rsid w:val="009C712F"/>
    <w:rsid w:val="009C716E"/>
    <w:rsid w:val="009C72D6"/>
    <w:rsid w:val="009C735A"/>
    <w:rsid w:val="009C742C"/>
    <w:rsid w:val="009C748E"/>
    <w:rsid w:val="009C75AA"/>
    <w:rsid w:val="009C75CE"/>
    <w:rsid w:val="009C75D9"/>
    <w:rsid w:val="009C7604"/>
    <w:rsid w:val="009C7790"/>
    <w:rsid w:val="009C77BB"/>
    <w:rsid w:val="009C789D"/>
    <w:rsid w:val="009C7942"/>
    <w:rsid w:val="009C7A12"/>
    <w:rsid w:val="009C7B5C"/>
    <w:rsid w:val="009C7C38"/>
    <w:rsid w:val="009C7C88"/>
    <w:rsid w:val="009C7DA3"/>
    <w:rsid w:val="009C7DE1"/>
    <w:rsid w:val="009C7EA0"/>
    <w:rsid w:val="009C7EBF"/>
    <w:rsid w:val="009D0041"/>
    <w:rsid w:val="009D00AF"/>
    <w:rsid w:val="009D00B6"/>
    <w:rsid w:val="009D013A"/>
    <w:rsid w:val="009D01A1"/>
    <w:rsid w:val="009D0277"/>
    <w:rsid w:val="009D029C"/>
    <w:rsid w:val="009D0303"/>
    <w:rsid w:val="009D0421"/>
    <w:rsid w:val="009D055D"/>
    <w:rsid w:val="009D0643"/>
    <w:rsid w:val="009D0689"/>
    <w:rsid w:val="009D06DD"/>
    <w:rsid w:val="009D06F8"/>
    <w:rsid w:val="009D08DA"/>
    <w:rsid w:val="009D08E5"/>
    <w:rsid w:val="009D092E"/>
    <w:rsid w:val="009D0CA9"/>
    <w:rsid w:val="009D0EEB"/>
    <w:rsid w:val="009D107E"/>
    <w:rsid w:val="009D1148"/>
    <w:rsid w:val="009D11CE"/>
    <w:rsid w:val="009D11D8"/>
    <w:rsid w:val="009D123D"/>
    <w:rsid w:val="009D1380"/>
    <w:rsid w:val="009D13F6"/>
    <w:rsid w:val="009D13F8"/>
    <w:rsid w:val="009D15D1"/>
    <w:rsid w:val="009D18EE"/>
    <w:rsid w:val="009D1A77"/>
    <w:rsid w:val="009D1ADD"/>
    <w:rsid w:val="009D1C36"/>
    <w:rsid w:val="009D1F35"/>
    <w:rsid w:val="009D1F89"/>
    <w:rsid w:val="009D2006"/>
    <w:rsid w:val="009D2029"/>
    <w:rsid w:val="009D2085"/>
    <w:rsid w:val="009D20B6"/>
    <w:rsid w:val="009D2274"/>
    <w:rsid w:val="009D22CE"/>
    <w:rsid w:val="009D236A"/>
    <w:rsid w:val="009D2371"/>
    <w:rsid w:val="009D23A4"/>
    <w:rsid w:val="009D24AF"/>
    <w:rsid w:val="009D2641"/>
    <w:rsid w:val="009D26C1"/>
    <w:rsid w:val="009D26CE"/>
    <w:rsid w:val="009D270B"/>
    <w:rsid w:val="009D2713"/>
    <w:rsid w:val="009D2717"/>
    <w:rsid w:val="009D289C"/>
    <w:rsid w:val="009D2936"/>
    <w:rsid w:val="009D2939"/>
    <w:rsid w:val="009D2950"/>
    <w:rsid w:val="009D2990"/>
    <w:rsid w:val="009D29D2"/>
    <w:rsid w:val="009D2BE1"/>
    <w:rsid w:val="009D2BF3"/>
    <w:rsid w:val="009D2DBC"/>
    <w:rsid w:val="009D300B"/>
    <w:rsid w:val="009D304E"/>
    <w:rsid w:val="009D3179"/>
    <w:rsid w:val="009D318F"/>
    <w:rsid w:val="009D319C"/>
    <w:rsid w:val="009D31F4"/>
    <w:rsid w:val="009D3221"/>
    <w:rsid w:val="009D3244"/>
    <w:rsid w:val="009D3483"/>
    <w:rsid w:val="009D35C0"/>
    <w:rsid w:val="009D35F7"/>
    <w:rsid w:val="009D36B2"/>
    <w:rsid w:val="009D377C"/>
    <w:rsid w:val="009D3798"/>
    <w:rsid w:val="009D379B"/>
    <w:rsid w:val="009D3911"/>
    <w:rsid w:val="009D3980"/>
    <w:rsid w:val="009D3A6E"/>
    <w:rsid w:val="009D3BA0"/>
    <w:rsid w:val="009D413C"/>
    <w:rsid w:val="009D41DA"/>
    <w:rsid w:val="009D41ED"/>
    <w:rsid w:val="009D424D"/>
    <w:rsid w:val="009D42CC"/>
    <w:rsid w:val="009D42DA"/>
    <w:rsid w:val="009D42E1"/>
    <w:rsid w:val="009D4433"/>
    <w:rsid w:val="009D4636"/>
    <w:rsid w:val="009D46FE"/>
    <w:rsid w:val="009D4757"/>
    <w:rsid w:val="009D488E"/>
    <w:rsid w:val="009D492A"/>
    <w:rsid w:val="009D492B"/>
    <w:rsid w:val="009D4A83"/>
    <w:rsid w:val="009D4A9A"/>
    <w:rsid w:val="009D4B35"/>
    <w:rsid w:val="009D4B7D"/>
    <w:rsid w:val="009D4B9C"/>
    <w:rsid w:val="009D4C49"/>
    <w:rsid w:val="009D4C6E"/>
    <w:rsid w:val="009D4C78"/>
    <w:rsid w:val="009D4CFC"/>
    <w:rsid w:val="009D4D73"/>
    <w:rsid w:val="009D4E21"/>
    <w:rsid w:val="009D4E5F"/>
    <w:rsid w:val="009D4EF1"/>
    <w:rsid w:val="009D4FE0"/>
    <w:rsid w:val="009D4FE1"/>
    <w:rsid w:val="009D50C0"/>
    <w:rsid w:val="009D51A7"/>
    <w:rsid w:val="009D51DB"/>
    <w:rsid w:val="009D5265"/>
    <w:rsid w:val="009D527C"/>
    <w:rsid w:val="009D52A7"/>
    <w:rsid w:val="009D531E"/>
    <w:rsid w:val="009D53A8"/>
    <w:rsid w:val="009D5414"/>
    <w:rsid w:val="009D54D8"/>
    <w:rsid w:val="009D5509"/>
    <w:rsid w:val="009D554B"/>
    <w:rsid w:val="009D5570"/>
    <w:rsid w:val="009D55AA"/>
    <w:rsid w:val="009D5614"/>
    <w:rsid w:val="009D5659"/>
    <w:rsid w:val="009D56AE"/>
    <w:rsid w:val="009D5708"/>
    <w:rsid w:val="009D5709"/>
    <w:rsid w:val="009D5774"/>
    <w:rsid w:val="009D5793"/>
    <w:rsid w:val="009D57C1"/>
    <w:rsid w:val="009D57DA"/>
    <w:rsid w:val="009D57F5"/>
    <w:rsid w:val="009D5855"/>
    <w:rsid w:val="009D5890"/>
    <w:rsid w:val="009D5902"/>
    <w:rsid w:val="009D5945"/>
    <w:rsid w:val="009D5A5A"/>
    <w:rsid w:val="009D5AF6"/>
    <w:rsid w:val="009D5B8F"/>
    <w:rsid w:val="009D5C28"/>
    <w:rsid w:val="009D5CBB"/>
    <w:rsid w:val="009D5D65"/>
    <w:rsid w:val="009D5D92"/>
    <w:rsid w:val="009D5DED"/>
    <w:rsid w:val="009D5EF2"/>
    <w:rsid w:val="009D6071"/>
    <w:rsid w:val="009D6073"/>
    <w:rsid w:val="009D620A"/>
    <w:rsid w:val="009D64D0"/>
    <w:rsid w:val="009D6557"/>
    <w:rsid w:val="009D65A6"/>
    <w:rsid w:val="009D665C"/>
    <w:rsid w:val="009D666F"/>
    <w:rsid w:val="009D66BB"/>
    <w:rsid w:val="009D67AE"/>
    <w:rsid w:val="009D680B"/>
    <w:rsid w:val="009D68F4"/>
    <w:rsid w:val="009D6989"/>
    <w:rsid w:val="009D6A5E"/>
    <w:rsid w:val="009D6B2B"/>
    <w:rsid w:val="009D6B7F"/>
    <w:rsid w:val="009D6B88"/>
    <w:rsid w:val="009D6B8B"/>
    <w:rsid w:val="009D6BAA"/>
    <w:rsid w:val="009D6BDF"/>
    <w:rsid w:val="009D6BE4"/>
    <w:rsid w:val="009D6C44"/>
    <w:rsid w:val="009D6C81"/>
    <w:rsid w:val="009D6EBE"/>
    <w:rsid w:val="009D6EDE"/>
    <w:rsid w:val="009D705F"/>
    <w:rsid w:val="009D7075"/>
    <w:rsid w:val="009D7108"/>
    <w:rsid w:val="009D71AB"/>
    <w:rsid w:val="009D7235"/>
    <w:rsid w:val="009D72E5"/>
    <w:rsid w:val="009D72EF"/>
    <w:rsid w:val="009D7305"/>
    <w:rsid w:val="009D7325"/>
    <w:rsid w:val="009D733D"/>
    <w:rsid w:val="009D73C0"/>
    <w:rsid w:val="009D73EF"/>
    <w:rsid w:val="009D7449"/>
    <w:rsid w:val="009D74B7"/>
    <w:rsid w:val="009D74D6"/>
    <w:rsid w:val="009D74F5"/>
    <w:rsid w:val="009D74F7"/>
    <w:rsid w:val="009D767A"/>
    <w:rsid w:val="009D76AF"/>
    <w:rsid w:val="009D7706"/>
    <w:rsid w:val="009D794C"/>
    <w:rsid w:val="009D79DB"/>
    <w:rsid w:val="009D7A3D"/>
    <w:rsid w:val="009D7A3E"/>
    <w:rsid w:val="009D7A87"/>
    <w:rsid w:val="009D7AE4"/>
    <w:rsid w:val="009D7C70"/>
    <w:rsid w:val="009D7C9E"/>
    <w:rsid w:val="009D7D04"/>
    <w:rsid w:val="009D7D86"/>
    <w:rsid w:val="009D7D8F"/>
    <w:rsid w:val="009D7DBE"/>
    <w:rsid w:val="009D7DEE"/>
    <w:rsid w:val="009D7E31"/>
    <w:rsid w:val="009D7E6A"/>
    <w:rsid w:val="009D7ED8"/>
    <w:rsid w:val="009D7F81"/>
    <w:rsid w:val="009D7FCC"/>
    <w:rsid w:val="009E000C"/>
    <w:rsid w:val="009E00F5"/>
    <w:rsid w:val="009E0166"/>
    <w:rsid w:val="009E01CA"/>
    <w:rsid w:val="009E0206"/>
    <w:rsid w:val="009E02A5"/>
    <w:rsid w:val="009E02D3"/>
    <w:rsid w:val="009E02D5"/>
    <w:rsid w:val="009E041E"/>
    <w:rsid w:val="009E0425"/>
    <w:rsid w:val="009E0440"/>
    <w:rsid w:val="009E048B"/>
    <w:rsid w:val="009E04DC"/>
    <w:rsid w:val="009E04FF"/>
    <w:rsid w:val="009E0606"/>
    <w:rsid w:val="009E0608"/>
    <w:rsid w:val="009E06D1"/>
    <w:rsid w:val="009E071C"/>
    <w:rsid w:val="009E0783"/>
    <w:rsid w:val="009E07A1"/>
    <w:rsid w:val="009E07D8"/>
    <w:rsid w:val="009E07EC"/>
    <w:rsid w:val="009E0810"/>
    <w:rsid w:val="009E083E"/>
    <w:rsid w:val="009E08A5"/>
    <w:rsid w:val="009E08B4"/>
    <w:rsid w:val="009E08EA"/>
    <w:rsid w:val="009E0902"/>
    <w:rsid w:val="009E09D0"/>
    <w:rsid w:val="009E0A34"/>
    <w:rsid w:val="009E0BA4"/>
    <w:rsid w:val="009E0CF4"/>
    <w:rsid w:val="009E0D63"/>
    <w:rsid w:val="009E0D9B"/>
    <w:rsid w:val="009E0E81"/>
    <w:rsid w:val="009E0EEB"/>
    <w:rsid w:val="009E0F8F"/>
    <w:rsid w:val="009E0FB5"/>
    <w:rsid w:val="009E1144"/>
    <w:rsid w:val="009E11EF"/>
    <w:rsid w:val="009E1280"/>
    <w:rsid w:val="009E12DD"/>
    <w:rsid w:val="009E13C2"/>
    <w:rsid w:val="009E1432"/>
    <w:rsid w:val="009E16B8"/>
    <w:rsid w:val="009E16DB"/>
    <w:rsid w:val="009E1705"/>
    <w:rsid w:val="009E1784"/>
    <w:rsid w:val="009E18BE"/>
    <w:rsid w:val="009E18BF"/>
    <w:rsid w:val="009E195B"/>
    <w:rsid w:val="009E199D"/>
    <w:rsid w:val="009E19E4"/>
    <w:rsid w:val="009E1A5A"/>
    <w:rsid w:val="009E1B23"/>
    <w:rsid w:val="009E1B28"/>
    <w:rsid w:val="009E1B36"/>
    <w:rsid w:val="009E1C0F"/>
    <w:rsid w:val="009E1C67"/>
    <w:rsid w:val="009E1FAF"/>
    <w:rsid w:val="009E2023"/>
    <w:rsid w:val="009E2090"/>
    <w:rsid w:val="009E213E"/>
    <w:rsid w:val="009E2148"/>
    <w:rsid w:val="009E2175"/>
    <w:rsid w:val="009E2195"/>
    <w:rsid w:val="009E21BA"/>
    <w:rsid w:val="009E21EA"/>
    <w:rsid w:val="009E222E"/>
    <w:rsid w:val="009E2432"/>
    <w:rsid w:val="009E254F"/>
    <w:rsid w:val="009E25EF"/>
    <w:rsid w:val="009E2610"/>
    <w:rsid w:val="009E26A7"/>
    <w:rsid w:val="009E26D9"/>
    <w:rsid w:val="009E2808"/>
    <w:rsid w:val="009E288A"/>
    <w:rsid w:val="009E28D6"/>
    <w:rsid w:val="009E2911"/>
    <w:rsid w:val="009E296E"/>
    <w:rsid w:val="009E29C2"/>
    <w:rsid w:val="009E2A96"/>
    <w:rsid w:val="009E2AFC"/>
    <w:rsid w:val="009E2C86"/>
    <w:rsid w:val="009E2D81"/>
    <w:rsid w:val="009E2D8E"/>
    <w:rsid w:val="009E2F23"/>
    <w:rsid w:val="009E2FAD"/>
    <w:rsid w:val="009E30B9"/>
    <w:rsid w:val="009E30F5"/>
    <w:rsid w:val="009E31A3"/>
    <w:rsid w:val="009E3241"/>
    <w:rsid w:val="009E32A1"/>
    <w:rsid w:val="009E32C7"/>
    <w:rsid w:val="009E32F3"/>
    <w:rsid w:val="009E34A0"/>
    <w:rsid w:val="009E3523"/>
    <w:rsid w:val="009E3634"/>
    <w:rsid w:val="009E368A"/>
    <w:rsid w:val="009E36B2"/>
    <w:rsid w:val="009E375B"/>
    <w:rsid w:val="009E3789"/>
    <w:rsid w:val="009E38F7"/>
    <w:rsid w:val="009E3928"/>
    <w:rsid w:val="009E3B24"/>
    <w:rsid w:val="009E3D46"/>
    <w:rsid w:val="009E3DC0"/>
    <w:rsid w:val="009E3E34"/>
    <w:rsid w:val="009E3EA3"/>
    <w:rsid w:val="009E3FE4"/>
    <w:rsid w:val="009E41B2"/>
    <w:rsid w:val="009E4264"/>
    <w:rsid w:val="009E4326"/>
    <w:rsid w:val="009E439B"/>
    <w:rsid w:val="009E43DC"/>
    <w:rsid w:val="009E43E4"/>
    <w:rsid w:val="009E4593"/>
    <w:rsid w:val="009E4664"/>
    <w:rsid w:val="009E4783"/>
    <w:rsid w:val="009E4799"/>
    <w:rsid w:val="009E47B6"/>
    <w:rsid w:val="009E47C3"/>
    <w:rsid w:val="009E4803"/>
    <w:rsid w:val="009E482E"/>
    <w:rsid w:val="009E490F"/>
    <w:rsid w:val="009E4919"/>
    <w:rsid w:val="009E494A"/>
    <w:rsid w:val="009E4980"/>
    <w:rsid w:val="009E4A74"/>
    <w:rsid w:val="009E4BB4"/>
    <w:rsid w:val="009E4D3F"/>
    <w:rsid w:val="009E4D8C"/>
    <w:rsid w:val="009E4F1D"/>
    <w:rsid w:val="009E4F2D"/>
    <w:rsid w:val="009E4FD4"/>
    <w:rsid w:val="009E512E"/>
    <w:rsid w:val="009E5154"/>
    <w:rsid w:val="009E5242"/>
    <w:rsid w:val="009E52A8"/>
    <w:rsid w:val="009E530C"/>
    <w:rsid w:val="009E53AD"/>
    <w:rsid w:val="009E5446"/>
    <w:rsid w:val="009E5458"/>
    <w:rsid w:val="009E54D9"/>
    <w:rsid w:val="009E551A"/>
    <w:rsid w:val="009E558D"/>
    <w:rsid w:val="009E5635"/>
    <w:rsid w:val="009E569C"/>
    <w:rsid w:val="009E56C6"/>
    <w:rsid w:val="009E5701"/>
    <w:rsid w:val="009E57E5"/>
    <w:rsid w:val="009E5834"/>
    <w:rsid w:val="009E5844"/>
    <w:rsid w:val="009E58CC"/>
    <w:rsid w:val="009E58EE"/>
    <w:rsid w:val="009E5A12"/>
    <w:rsid w:val="009E5A47"/>
    <w:rsid w:val="009E5B96"/>
    <w:rsid w:val="009E5BAC"/>
    <w:rsid w:val="009E5CCC"/>
    <w:rsid w:val="009E5D47"/>
    <w:rsid w:val="009E5D8C"/>
    <w:rsid w:val="009E5DB6"/>
    <w:rsid w:val="009E5DEE"/>
    <w:rsid w:val="009E5E41"/>
    <w:rsid w:val="009E5F04"/>
    <w:rsid w:val="009E605E"/>
    <w:rsid w:val="009E608D"/>
    <w:rsid w:val="009E60F7"/>
    <w:rsid w:val="009E60FB"/>
    <w:rsid w:val="009E616B"/>
    <w:rsid w:val="009E624C"/>
    <w:rsid w:val="009E6337"/>
    <w:rsid w:val="009E6607"/>
    <w:rsid w:val="009E667A"/>
    <w:rsid w:val="009E668B"/>
    <w:rsid w:val="009E6697"/>
    <w:rsid w:val="009E68E3"/>
    <w:rsid w:val="009E69BF"/>
    <w:rsid w:val="009E6B68"/>
    <w:rsid w:val="009E6B87"/>
    <w:rsid w:val="009E6B89"/>
    <w:rsid w:val="009E6BB9"/>
    <w:rsid w:val="009E6C50"/>
    <w:rsid w:val="009E6C96"/>
    <w:rsid w:val="009E6CB5"/>
    <w:rsid w:val="009E6DBF"/>
    <w:rsid w:val="009E6DC7"/>
    <w:rsid w:val="009E6E19"/>
    <w:rsid w:val="009E6E43"/>
    <w:rsid w:val="009E6EF8"/>
    <w:rsid w:val="009E6F27"/>
    <w:rsid w:val="009E7009"/>
    <w:rsid w:val="009E70B6"/>
    <w:rsid w:val="009E70DE"/>
    <w:rsid w:val="009E71D9"/>
    <w:rsid w:val="009E72A9"/>
    <w:rsid w:val="009E72BC"/>
    <w:rsid w:val="009E72C6"/>
    <w:rsid w:val="009E7397"/>
    <w:rsid w:val="009E73BC"/>
    <w:rsid w:val="009E742C"/>
    <w:rsid w:val="009E7491"/>
    <w:rsid w:val="009E7516"/>
    <w:rsid w:val="009E757A"/>
    <w:rsid w:val="009E75E7"/>
    <w:rsid w:val="009E761B"/>
    <w:rsid w:val="009E7682"/>
    <w:rsid w:val="009E77F3"/>
    <w:rsid w:val="009E781E"/>
    <w:rsid w:val="009E78A6"/>
    <w:rsid w:val="009E78BE"/>
    <w:rsid w:val="009E78C3"/>
    <w:rsid w:val="009E7938"/>
    <w:rsid w:val="009E7971"/>
    <w:rsid w:val="009E7B56"/>
    <w:rsid w:val="009E7B9F"/>
    <w:rsid w:val="009E7C1F"/>
    <w:rsid w:val="009E7C5C"/>
    <w:rsid w:val="009E7C6A"/>
    <w:rsid w:val="009E7F9C"/>
    <w:rsid w:val="009E7FF4"/>
    <w:rsid w:val="009F01A0"/>
    <w:rsid w:val="009F01B0"/>
    <w:rsid w:val="009F01CD"/>
    <w:rsid w:val="009F028D"/>
    <w:rsid w:val="009F058A"/>
    <w:rsid w:val="009F05D6"/>
    <w:rsid w:val="009F061A"/>
    <w:rsid w:val="009F071A"/>
    <w:rsid w:val="009F08B4"/>
    <w:rsid w:val="009F08C4"/>
    <w:rsid w:val="009F08EC"/>
    <w:rsid w:val="009F0906"/>
    <w:rsid w:val="009F0B7F"/>
    <w:rsid w:val="009F0BB2"/>
    <w:rsid w:val="009F0BDA"/>
    <w:rsid w:val="009F0BE0"/>
    <w:rsid w:val="009F0C02"/>
    <w:rsid w:val="009F0C3F"/>
    <w:rsid w:val="009F0C58"/>
    <w:rsid w:val="009F0C98"/>
    <w:rsid w:val="009F0DEA"/>
    <w:rsid w:val="009F10C5"/>
    <w:rsid w:val="009F113C"/>
    <w:rsid w:val="009F1174"/>
    <w:rsid w:val="009F1186"/>
    <w:rsid w:val="009F11D3"/>
    <w:rsid w:val="009F1322"/>
    <w:rsid w:val="009F1418"/>
    <w:rsid w:val="009F1426"/>
    <w:rsid w:val="009F151D"/>
    <w:rsid w:val="009F15D3"/>
    <w:rsid w:val="009F16F7"/>
    <w:rsid w:val="009F1794"/>
    <w:rsid w:val="009F18BC"/>
    <w:rsid w:val="009F1959"/>
    <w:rsid w:val="009F196C"/>
    <w:rsid w:val="009F1C36"/>
    <w:rsid w:val="009F1C41"/>
    <w:rsid w:val="009F1C80"/>
    <w:rsid w:val="009F1D97"/>
    <w:rsid w:val="009F1DEE"/>
    <w:rsid w:val="009F1E30"/>
    <w:rsid w:val="009F1E77"/>
    <w:rsid w:val="009F1EED"/>
    <w:rsid w:val="009F2086"/>
    <w:rsid w:val="009F2191"/>
    <w:rsid w:val="009F222A"/>
    <w:rsid w:val="009F2236"/>
    <w:rsid w:val="009F2238"/>
    <w:rsid w:val="009F2332"/>
    <w:rsid w:val="009F240C"/>
    <w:rsid w:val="009F2440"/>
    <w:rsid w:val="009F2596"/>
    <w:rsid w:val="009F2639"/>
    <w:rsid w:val="009F266F"/>
    <w:rsid w:val="009F26F0"/>
    <w:rsid w:val="009F2738"/>
    <w:rsid w:val="009F2820"/>
    <w:rsid w:val="009F2981"/>
    <w:rsid w:val="009F2A6C"/>
    <w:rsid w:val="009F2AC4"/>
    <w:rsid w:val="009F2B33"/>
    <w:rsid w:val="009F2B37"/>
    <w:rsid w:val="009F2B4C"/>
    <w:rsid w:val="009F2BB7"/>
    <w:rsid w:val="009F2C22"/>
    <w:rsid w:val="009F2E62"/>
    <w:rsid w:val="009F2E71"/>
    <w:rsid w:val="009F2E96"/>
    <w:rsid w:val="009F2F13"/>
    <w:rsid w:val="009F2F63"/>
    <w:rsid w:val="009F2F98"/>
    <w:rsid w:val="009F2FDA"/>
    <w:rsid w:val="009F3042"/>
    <w:rsid w:val="009F3090"/>
    <w:rsid w:val="009F30B3"/>
    <w:rsid w:val="009F31C3"/>
    <w:rsid w:val="009F31F9"/>
    <w:rsid w:val="009F322B"/>
    <w:rsid w:val="009F32E8"/>
    <w:rsid w:val="009F3359"/>
    <w:rsid w:val="009F33B3"/>
    <w:rsid w:val="009F342B"/>
    <w:rsid w:val="009F346F"/>
    <w:rsid w:val="009F3549"/>
    <w:rsid w:val="009F3673"/>
    <w:rsid w:val="009F3760"/>
    <w:rsid w:val="009F37C7"/>
    <w:rsid w:val="009F381C"/>
    <w:rsid w:val="009F39B8"/>
    <w:rsid w:val="009F3A9F"/>
    <w:rsid w:val="009F3B09"/>
    <w:rsid w:val="009F3C3A"/>
    <w:rsid w:val="009F3C3F"/>
    <w:rsid w:val="009F3CF6"/>
    <w:rsid w:val="009F3D15"/>
    <w:rsid w:val="009F3E1F"/>
    <w:rsid w:val="009F3E8C"/>
    <w:rsid w:val="009F3EDB"/>
    <w:rsid w:val="009F3F95"/>
    <w:rsid w:val="009F3F9B"/>
    <w:rsid w:val="009F3FA1"/>
    <w:rsid w:val="009F3FB1"/>
    <w:rsid w:val="009F3FD2"/>
    <w:rsid w:val="009F3FD4"/>
    <w:rsid w:val="009F41AE"/>
    <w:rsid w:val="009F41BB"/>
    <w:rsid w:val="009F41F7"/>
    <w:rsid w:val="009F4358"/>
    <w:rsid w:val="009F43C8"/>
    <w:rsid w:val="009F44CC"/>
    <w:rsid w:val="009F44E2"/>
    <w:rsid w:val="009F450D"/>
    <w:rsid w:val="009F4525"/>
    <w:rsid w:val="009F4561"/>
    <w:rsid w:val="009F4916"/>
    <w:rsid w:val="009F4936"/>
    <w:rsid w:val="009F4972"/>
    <w:rsid w:val="009F4B65"/>
    <w:rsid w:val="009F4B85"/>
    <w:rsid w:val="009F4BBE"/>
    <w:rsid w:val="009F4CFA"/>
    <w:rsid w:val="009F4D69"/>
    <w:rsid w:val="009F4DFD"/>
    <w:rsid w:val="009F4E01"/>
    <w:rsid w:val="009F4EEF"/>
    <w:rsid w:val="009F4EFC"/>
    <w:rsid w:val="009F5030"/>
    <w:rsid w:val="009F506C"/>
    <w:rsid w:val="009F50A4"/>
    <w:rsid w:val="009F515F"/>
    <w:rsid w:val="009F523E"/>
    <w:rsid w:val="009F5277"/>
    <w:rsid w:val="009F536E"/>
    <w:rsid w:val="009F5462"/>
    <w:rsid w:val="009F5471"/>
    <w:rsid w:val="009F54A0"/>
    <w:rsid w:val="009F554D"/>
    <w:rsid w:val="009F568C"/>
    <w:rsid w:val="009F5721"/>
    <w:rsid w:val="009F573B"/>
    <w:rsid w:val="009F590C"/>
    <w:rsid w:val="009F59AE"/>
    <w:rsid w:val="009F59DE"/>
    <w:rsid w:val="009F5A4A"/>
    <w:rsid w:val="009F5A91"/>
    <w:rsid w:val="009F5B54"/>
    <w:rsid w:val="009F5B59"/>
    <w:rsid w:val="009F5B80"/>
    <w:rsid w:val="009F5C75"/>
    <w:rsid w:val="009F5C83"/>
    <w:rsid w:val="009F5DB7"/>
    <w:rsid w:val="009F5EAB"/>
    <w:rsid w:val="009F5EFB"/>
    <w:rsid w:val="009F5F01"/>
    <w:rsid w:val="009F5FA7"/>
    <w:rsid w:val="009F5FF3"/>
    <w:rsid w:val="009F60A2"/>
    <w:rsid w:val="009F60B3"/>
    <w:rsid w:val="009F60C2"/>
    <w:rsid w:val="009F61A5"/>
    <w:rsid w:val="009F6291"/>
    <w:rsid w:val="009F640E"/>
    <w:rsid w:val="009F6469"/>
    <w:rsid w:val="009F65F2"/>
    <w:rsid w:val="009F6687"/>
    <w:rsid w:val="009F66D9"/>
    <w:rsid w:val="009F671F"/>
    <w:rsid w:val="009F67EA"/>
    <w:rsid w:val="009F6811"/>
    <w:rsid w:val="009F6897"/>
    <w:rsid w:val="009F68AA"/>
    <w:rsid w:val="009F68BF"/>
    <w:rsid w:val="009F68E0"/>
    <w:rsid w:val="009F692F"/>
    <w:rsid w:val="009F6992"/>
    <w:rsid w:val="009F6B5A"/>
    <w:rsid w:val="009F6B6D"/>
    <w:rsid w:val="009F6C04"/>
    <w:rsid w:val="009F6C8F"/>
    <w:rsid w:val="009F6F2C"/>
    <w:rsid w:val="009F6FF8"/>
    <w:rsid w:val="009F70C8"/>
    <w:rsid w:val="009F720C"/>
    <w:rsid w:val="009F7253"/>
    <w:rsid w:val="009F7277"/>
    <w:rsid w:val="009F7297"/>
    <w:rsid w:val="009F72C8"/>
    <w:rsid w:val="009F738B"/>
    <w:rsid w:val="009F7541"/>
    <w:rsid w:val="009F7675"/>
    <w:rsid w:val="009F781B"/>
    <w:rsid w:val="009F782B"/>
    <w:rsid w:val="009F793A"/>
    <w:rsid w:val="009F7BA5"/>
    <w:rsid w:val="009F7C11"/>
    <w:rsid w:val="009F7C20"/>
    <w:rsid w:val="009F7CAA"/>
    <w:rsid w:val="009F7D84"/>
    <w:rsid w:val="009F7DC5"/>
    <w:rsid w:val="009F7E84"/>
    <w:rsid w:val="009F7FA4"/>
    <w:rsid w:val="00A000BE"/>
    <w:rsid w:val="00A0015A"/>
    <w:rsid w:val="00A001CE"/>
    <w:rsid w:val="00A001DB"/>
    <w:rsid w:val="00A004A3"/>
    <w:rsid w:val="00A00604"/>
    <w:rsid w:val="00A0062E"/>
    <w:rsid w:val="00A00647"/>
    <w:rsid w:val="00A00688"/>
    <w:rsid w:val="00A00A14"/>
    <w:rsid w:val="00A00C82"/>
    <w:rsid w:val="00A00CD1"/>
    <w:rsid w:val="00A00CDF"/>
    <w:rsid w:val="00A00CEA"/>
    <w:rsid w:val="00A00D48"/>
    <w:rsid w:val="00A00E07"/>
    <w:rsid w:val="00A00E26"/>
    <w:rsid w:val="00A00E6E"/>
    <w:rsid w:val="00A00E8D"/>
    <w:rsid w:val="00A00EFE"/>
    <w:rsid w:val="00A00F18"/>
    <w:rsid w:val="00A00F34"/>
    <w:rsid w:val="00A0100C"/>
    <w:rsid w:val="00A01059"/>
    <w:rsid w:val="00A01155"/>
    <w:rsid w:val="00A011DA"/>
    <w:rsid w:val="00A011F9"/>
    <w:rsid w:val="00A01235"/>
    <w:rsid w:val="00A012D3"/>
    <w:rsid w:val="00A012F5"/>
    <w:rsid w:val="00A013CE"/>
    <w:rsid w:val="00A01427"/>
    <w:rsid w:val="00A0147B"/>
    <w:rsid w:val="00A014A3"/>
    <w:rsid w:val="00A01555"/>
    <w:rsid w:val="00A01586"/>
    <w:rsid w:val="00A016AA"/>
    <w:rsid w:val="00A016BE"/>
    <w:rsid w:val="00A0175C"/>
    <w:rsid w:val="00A01848"/>
    <w:rsid w:val="00A018F4"/>
    <w:rsid w:val="00A019AC"/>
    <w:rsid w:val="00A019CD"/>
    <w:rsid w:val="00A01A1E"/>
    <w:rsid w:val="00A01B4D"/>
    <w:rsid w:val="00A01B67"/>
    <w:rsid w:val="00A01C8F"/>
    <w:rsid w:val="00A01CA5"/>
    <w:rsid w:val="00A01D2A"/>
    <w:rsid w:val="00A01D8E"/>
    <w:rsid w:val="00A02109"/>
    <w:rsid w:val="00A02139"/>
    <w:rsid w:val="00A021E1"/>
    <w:rsid w:val="00A0230A"/>
    <w:rsid w:val="00A02409"/>
    <w:rsid w:val="00A02482"/>
    <w:rsid w:val="00A024CE"/>
    <w:rsid w:val="00A0259A"/>
    <w:rsid w:val="00A026D7"/>
    <w:rsid w:val="00A0278D"/>
    <w:rsid w:val="00A02943"/>
    <w:rsid w:val="00A02972"/>
    <w:rsid w:val="00A029AF"/>
    <w:rsid w:val="00A029DE"/>
    <w:rsid w:val="00A02A4B"/>
    <w:rsid w:val="00A02B7C"/>
    <w:rsid w:val="00A02BFF"/>
    <w:rsid w:val="00A02C15"/>
    <w:rsid w:val="00A02DA5"/>
    <w:rsid w:val="00A02E12"/>
    <w:rsid w:val="00A02E2F"/>
    <w:rsid w:val="00A02EA0"/>
    <w:rsid w:val="00A02EAA"/>
    <w:rsid w:val="00A0316A"/>
    <w:rsid w:val="00A03180"/>
    <w:rsid w:val="00A031BB"/>
    <w:rsid w:val="00A03216"/>
    <w:rsid w:val="00A0329E"/>
    <w:rsid w:val="00A032BA"/>
    <w:rsid w:val="00A033AF"/>
    <w:rsid w:val="00A0345B"/>
    <w:rsid w:val="00A0351E"/>
    <w:rsid w:val="00A03552"/>
    <w:rsid w:val="00A035A3"/>
    <w:rsid w:val="00A035AF"/>
    <w:rsid w:val="00A036DC"/>
    <w:rsid w:val="00A036FD"/>
    <w:rsid w:val="00A0384B"/>
    <w:rsid w:val="00A0389F"/>
    <w:rsid w:val="00A038E5"/>
    <w:rsid w:val="00A03933"/>
    <w:rsid w:val="00A03968"/>
    <w:rsid w:val="00A0396A"/>
    <w:rsid w:val="00A039A8"/>
    <w:rsid w:val="00A039BD"/>
    <w:rsid w:val="00A03A7C"/>
    <w:rsid w:val="00A03AFD"/>
    <w:rsid w:val="00A03BDD"/>
    <w:rsid w:val="00A03C10"/>
    <w:rsid w:val="00A03C70"/>
    <w:rsid w:val="00A03CEB"/>
    <w:rsid w:val="00A03D42"/>
    <w:rsid w:val="00A03DBE"/>
    <w:rsid w:val="00A03EEB"/>
    <w:rsid w:val="00A0428D"/>
    <w:rsid w:val="00A043A0"/>
    <w:rsid w:val="00A0446B"/>
    <w:rsid w:val="00A04484"/>
    <w:rsid w:val="00A04653"/>
    <w:rsid w:val="00A04669"/>
    <w:rsid w:val="00A04764"/>
    <w:rsid w:val="00A047A8"/>
    <w:rsid w:val="00A047EF"/>
    <w:rsid w:val="00A0492D"/>
    <w:rsid w:val="00A049AB"/>
    <w:rsid w:val="00A04C1D"/>
    <w:rsid w:val="00A04CAC"/>
    <w:rsid w:val="00A04DAD"/>
    <w:rsid w:val="00A04DB5"/>
    <w:rsid w:val="00A04DCD"/>
    <w:rsid w:val="00A04E00"/>
    <w:rsid w:val="00A04E1C"/>
    <w:rsid w:val="00A04ED1"/>
    <w:rsid w:val="00A04EEF"/>
    <w:rsid w:val="00A04FBB"/>
    <w:rsid w:val="00A04FD1"/>
    <w:rsid w:val="00A05178"/>
    <w:rsid w:val="00A0520F"/>
    <w:rsid w:val="00A052C0"/>
    <w:rsid w:val="00A0530E"/>
    <w:rsid w:val="00A05433"/>
    <w:rsid w:val="00A0553E"/>
    <w:rsid w:val="00A0567E"/>
    <w:rsid w:val="00A05777"/>
    <w:rsid w:val="00A057FD"/>
    <w:rsid w:val="00A05828"/>
    <w:rsid w:val="00A058EF"/>
    <w:rsid w:val="00A05960"/>
    <w:rsid w:val="00A05C7B"/>
    <w:rsid w:val="00A05CC0"/>
    <w:rsid w:val="00A05D3A"/>
    <w:rsid w:val="00A05E05"/>
    <w:rsid w:val="00A05E27"/>
    <w:rsid w:val="00A05EFE"/>
    <w:rsid w:val="00A05F2B"/>
    <w:rsid w:val="00A060B5"/>
    <w:rsid w:val="00A061B2"/>
    <w:rsid w:val="00A0622D"/>
    <w:rsid w:val="00A06285"/>
    <w:rsid w:val="00A062B5"/>
    <w:rsid w:val="00A06356"/>
    <w:rsid w:val="00A0637D"/>
    <w:rsid w:val="00A0663D"/>
    <w:rsid w:val="00A06682"/>
    <w:rsid w:val="00A0679D"/>
    <w:rsid w:val="00A067DF"/>
    <w:rsid w:val="00A06851"/>
    <w:rsid w:val="00A0688D"/>
    <w:rsid w:val="00A068F7"/>
    <w:rsid w:val="00A06987"/>
    <w:rsid w:val="00A069E9"/>
    <w:rsid w:val="00A069FD"/>
    <w:rsid w:val="00A06A38"/>
    <w:rsid w:val="00A06A4F"/>
    <w:rsid w:val="00A06AED"/>
    <w:rsid w:val="00A06BF8"/>
    <w:rsid w:val="00A06C9F"/>
    <w:rsid w:val="00A06D45"/>
    <w:rsid w:val="00A06DED"/>
    <w:rsid w:val="00A06F3D"/>
    <w:rsid w:val="00A06F5F"/>
    <w:rsid w:val="00A06FD7"/>
    <w:rsid w:val="00A07028"/>
    <w:rsid w:val="00A0716D"/>
    <w:rsid w:val="00A071EB"/>
    <w:rsid w:val="00A071F2"/>
    <w:rsid w:val="00A07300"/>
    <w:rsid w:val="00A07301"/>
    <w:rsid w:val="00A07302"/>
    <w:rsid w:val="00A07378"/>
    <w:rsid w:val="00A073CE"/>
    <w:rsid w:val="00A073DD"/>
    <w:rsid w:val="00A07469"/>
    <w:rsid w:val="00A07477"/>
    <w:rsid w:val="00A0750D"/>
    <w:rsid w:val="00A07560"/>
    <w:rsid w:val="00A075E8"/>
    <w:rsid w:val="00A07707"/>
    <w:rsid w:val="00A0771B"/>
    <w:rsid w:val="00A07753"/>
    <w:rsid w:val="00A077CD"/>
    <w:rsid w:val="00A0798A"/>
    <w:rsid w:val="00A07A7E"/>
    <w:rsid w:val="00A07AA9"/>
    <w:rsid w:val="00A07AFE"/>
    <w:rsid w:val="00A07B01"/>
    <w:rsid w:val="00A07BE5"/>
    <w:rsid w:val="00A07C5A"/>
    <w:rsid w:val="00A07CF6"/>
    <w:rsid w:val="00A07DF7"/>
    <w:rsid w:val="00A07E3A"/>
    <w:rsid w:val="00A07EDE"/>
    <w:rsid w:val="00A07F10"/>
    <w:rsid w:val="00A10170"/>
    <w:rsid w:val="00A1029A"/>
    <w:rsid w:val="00A102B2"/>
    <w:rsid w:val="00A10381"/>
    <w:rsid w:val="00A1045C"/>
    <w:rsid w:val="00A10460"/>
    <w:rsid w:val="00A10490"/>
    <w:rsid w:val="00A1051D"/>
    <w:rsid w:val="00A106B1"/>
    <w:rsid w:val="00A1087F"/>
    <w:rsid w:val="00A10899"/>
    <w:rsid w:val="00A10A58"/>
    <w:rsid w:val="00A10A86"/>
    <w:rsid w:val="00A10AC8"/>
    <w:rsid w:val="00A10CDE"/>
    <w:rsid w:val="00A10D16"/>
    <w:rsid w:val="00A10E52"/>
    <w:rsid w:val="00A11000"/>
    <w:rsid w:val="00A1107B"/>
    <w:rsid w:val="00A11138"/>
    <w:rsid w:val="00A1114F"/>
    <w:rsid w:val="00A11267"/>
    <w:rsid w:val="00A1130A"/>
    <w:rsid w:val="00A1132D"/>
    <w:rsid w:val="00A1135A"/>
    <w:rsid w:val="00A1139E"/>
    <w:rsid w:val="00A113AB"/>
    <w:rsid w:val="00A113F6"/>
    <w:rsid w:val="00A114F9"/>
    <w:rsid w:val="00A115DE"/>
    <w:rsid w:val="00A11618"/>
    <w:rsid w:val="00A1172B"/>
    <w:rsid w:val="00A11990"/>
    <w:rsid w:val="00A119BD"/>
    <w:rsid w:val="00A11A15"/>
    <w:rsid w:val="00A11B5C"/>
    <w:rsid w:val="00A11BC5"/>
    <w:rsid w:val="00A11BFB"/>
    <w:rsid w:val="00A11CF1"/>
    <w:rsid w:val="00A11DF9"/>
    <w:rsid w:val="00A11E42"/>
    <w:rsid w:val="00A11EB3"/>
    <w:rsid w:val="00A1207B"/>
    <w:rsid w:val="00A121CC"/>
    <w:rsid w:val="00A1225B"/>
    <w:rsid w:val="00A12300"/>
    <w:rsid w:val="00A123C2"/>
    <w:rsid w:val="00A124BE"/>
    <w:rsid w:val="00A124E1"/>
    <w:rsid w:val="00A12653"/>
    <w:rsid w:val="00A1272B"/>
    <w:rsid w:val="00A1273D"/>
    <w:rsid w:val="00A12819"/>
    <w:rsid w:val="00A12831"/>
    <w:rsid w:val="00A12897"/>
    <w:rsid w:val="00A128A9"/>
    <w:rsid w:val="00A128E6"/>
    <w:rsid w:val="00A12A1F"/>
    <w:rsid w:val="00A12A3B"/>
    <w:rsid w:val="00A12A8C"/>
    <w:rsid w:val="00A12B74"/>
    <w:rsid w:val="00A12BF1"/>
    <w:rsid w:val="00A12C93"/>
    <w:rsid w:val="00A12C95"/>
    <w:rsid w:val="00A12D09"/>
    <w:rsid w:val="00A12D70"/>
    <w:rsid w:val="00A12DAE"/>
    <w:rsid w:val="00A12DF3"/>
    <w:rsid w:val="00A12E94"/>
    <w:rsid w:val="00A12EBB"/>
    <w:rsid w:val="00A13018"/>
    <w:rsid w:val="00A1302D"/>
    <w:rsid w:val="00A13157"/>
    <w:rsid w:val="00A132A7"/>
    <w:rsid w:val="00A1337A"/>
    <w:rsid w:val="00A133A5"/>
    <w:rsid w:val="00A133B9"/>
    <w:rsid w:val="00A13426"/>
    <w:rsid w:val="00A13470"/>
    <w:rsid w:val="00A134FF"/>
    <w:rsid w:val="00A13525"/>
    <w:rsid w:val="00A13637"/>
    <w:rsid w:val="00A13643"/>
    <w:rsid w:val="00A136C2"/>
    <w:rsid w:val="00A136F9"/>
    <w:rsid w:val="00A137CB"/>
    <w:rsid w:val="00A137ED"/>
    <w:rsid w:val="00A13A9C"/>
    <w:rsid w:val="00A13AF1"/>
    <w:rsid w:val="00A13B1E"/>
    <w:rsid w:val="00A13B29"/>
    <w:rsid w:val="00A13B4E"/>
    <w:rsid w:val="00A13C00"/>
    <w:rsid w:val="00A13CA0"/>
    <w:rsid w:val="00A13CEC"/>
    <w:rsid w:val="00A13EC8"/>
    <w:rsid w:val="00A13F27"/>
    <w:rsid w:val="00A13F68"/>
    <w:rsid w:val="00A13F8C"/>
    <w:rsid w:val="00A14019"/>
    <w:rsid w:val="00A14023"/>
    <w:rsid w:val="00A14088"/>
    <w:rsid w:val="00A140B7"/>
    <w:rsid w:val="00A141B3"/>
    <w:rsid w:val="00A141EA"/>
    <w:rsid w:val="00A143B9"/>
    <w:rsid w:val="00A143E9"/>
    <w:rsid w:val="00A1448D"/>
    <w:rsid w:val="00A1455E"/>
    <w:rsid w:val="00A1460D"/>
    <w:rsid w:val="00A14618"/>
    <w:rsid w:val="00A1478F"/>
    <w:rsid w:val="00A14805"/>
    <w:rsid w:val="00A14877"/>
    <w:rsid w:val="00A149F3"/>
    <w:rsid w:val="00A14A05"/>
    <w:rsid w:val="00A14AA6"/>
    <w:rsid w:val="00A14B41"/>
    <w:rsid w:val="00A14B4F"/>
    <w:rsid w:val="00A14BD4"/>
    <w:rsid w:val="00A14C1A"/>
    <w:rsid w:val="00A14CDE"/>
    <w:rsid w:val="00A14CEF"/>
    <w:rsid w:val="00A14D3A"/>
    <w:rsid w:val="00A14FFC"/>
    <w:rsid w:val="00A150EF"/>
    <w:rsid w:val="00A1513D"/>
    <w:rsid w:val="00A152BA"/>
    <w:rsid w:val="00A15331"/>
    <w:rsid w:val="00A15356"/>
    <w:rsid w:val="00A153FF"/>
    <w:rsid w:val="00A1546E"/>
    <w:rsid w:val="00A15565"/>
    <w:rsid w:val="00A1558A"/>
    <w:rsid w:val="00A155F7"/>
    <w:rsid w:val="00A1570C"/>
    <w:rsid w:val="00A15728"/>
    <w:rsid w:val="00A15789"/>
    <w:rsid w:val="00A1583C"/>
    <w:rsid w:val="00A15A0D"/>
    <w:rsid w:val="00A15A2F"/>
    <w:rsid w:val="00A15A7D"/>
    <w:rsid w:val="00A15B07"/>
    <w:rsid w:val="00A15B34"/>
    <w:rsid w:val="00A15B8B"/>
    <w:rsid w:val="00A15BAB"/>
    <w:rsid w:val="00A15CB2"/>
    <w:rsid w:val="00A15DB1"/>
    <w:rsid w:val="00A15E94"/>
    <w:rsid w:val="00A15F57"/>
    <w:rsid w:val="00A160A1"/>
    <w:rsid w:val="00A160A7"/>
    <w:rsid w:val="00A160AC"/>
    <w:rsid w:val="00A16165"/>
    <w:rsid w:val="00A162C0"/>
    <w:rsid w:val="00A162F7"/>
    <w:rsid w:val="00A16482"/>
    <w:rsid w:val="00A16506"/>
    <w:rsid w:val="00A1656B"/>
    <w:rsid w:val="00A165E7"/>
    <w:rsid w:val="00A16622"/>
    <w:rsid w:val="00A1671A"/>
    <w:rsid w:val="00A1678D"/>
    <w:rsid w:val="00A16980"/>
    <w:rsid w:val="00A16A33"/>
    <w:rsid w:val="00A16A9D"/>
    <w:rsid w:val="00A16AAB"/>
    <w:rsid w:val="00A16B05"/>
    <w:rsid w:val="00A16B5D"/>
    <w:rsid w:val="00A16C58"/>
    <w:rsid w:val="00A16C65"/>
    <w:rsid w:val="00A17125"/>
    <w:rsid w:val="00A1713D"/>
    <w:rsid w:val="00A1714C"/>
    <w:rsid w:val="00A17172"/>
    <w:rsid w:val="00A171A9"/>
    <w:rsid w:val="00A1721D"/>
    <w:rsid w:val="00A172D3"/>
    <w:rsid w:val="00A1735D"/>
    <w:rsid w:val="00A173DB"/>
    <w:rsid w:val="00A1756B"/>
    <w:rsid w:val="00A1756D"/>
    <w:rsid w:val="00A17686"/>
    <w:rsid w:val="00A17775"/>
    <w:rsid w:val="00A177A8"/>
    <w:rsid w:val="00A177CA"/>
    <w:rsid w:val="00A178C0"/>
    <w:rsid w:val="00A178C8"/>
    <w:rsid w:val="00A17988"/>
    <w:rsid w:val="00A17A02"/>
    <w:rsid w:val="00A17A6D"/>
    <w:rsid w:val="00A17B97"/>
    <w:rsid w:val="00A17C49"/>
    <w:rsid w:val="00A17D2F"/>
    <w:rsid w:val="00A17EB4"/>
    <w:rsid w:val="00A17F06"/>
    <w:rsid w:val="00A17F0C"/>
    <w:rsid w:val="00A20031"/>
    <w:rsid w:val="00A2006E"/>
    <w:rsid w:val="00A2007A"/>
    <w:rsid w:val="00A201B7"/>
    <w:rsid w:val="00A201F7"/>
    <w:rsid w:val="00A20218"/>
    <w:rsid w:val="00A2028A"/>
    <w:rsid w:val="00A2037C"/>
    <w:rsid w:val="00A203C9"/>
    <w:rsid w:val="00A203CD"/>
    <w:rsid w:val="00A203D8"/>
    <w:rsid w:val="00A20517"/>
    <w:rsid w:val="00A2058D"/>
    <w:rsid w:val="00A2061E"/>
    <w:rsid w:val="00A20667"/>
    <w:rsid w:val="00A206C3"/>
    <w:rsid w:val="00A207A2"/>
    <w:rsid w:val="00A2084A"/>
    <w:rsid w:val="00A2085B"/>
    <w:rsid w:val="00A20861"/>
    <w:rsid w:val="00A208AC"/>
    <w:rsid w:val="00A2095C"/>
    <w:rsid w:val="00A209B0"/>
    <w:rsid w:val="00A20D2D"/>
    <w:rsid w:val="00A20D53"/>
    <w:rsid w:val="00A20E6E"/>
    <w:rsid w:val="00A20EA2"/>
    <w:rsid w:val="00A20F06"/>
    <w:rsid w:val="00A20F1C"/>
    <w:rsid w:val="00A20F88"/>
    <w:rsid w:val="00A20FD8"/>
    <w:rsid w:val="00A21026"/>
    <w:rsid w:val="00A2104F"/>
    <w:rsid w:val="00A212C0"/>
    <w:rsid w:val="00A212CD"/>
    <w:rsid w:val="00A212F1"/>
    <w:rsid w:val="00A21362"/>
    <w:rsid w:val="00A21448"/>
    <w:rsid w:val="00A2160A"/>
    <w:rsid w:val="00A216AD"/>
    <w:rsid w:val="00A2170A"/>
    <w:rsid w:val="00A21835"/>
    <w:rsid w:val="00A2190E"/>
    <w:rsid w:val="00A21A9D"/>
    <w:rsid w:val="00A21BD2"/>
    <w:rsid w:val="00A21E00"/>
    <w:rsid w:val="00A21E86"/>
    <w:rsid w:val="00A21EAC"/>
    <w:rsid w:val="00A21EEF"/>
    <w:rsid w:val="00A21FCE"/>
    <w:rsid w:val="00A2201E"/>
    <w:rsid w:val="00A2205C"/>
    <w:rsid w:val="00A22070"/>
    <w:rsid w:val="00A22144"/>
    <w:rsid w:val="00A22185"/>
    <w:rsid w:val="00A221A4"/>
    <w:rsid w:val="00A22293"/>
    <w:rsid w:val="00A22298"/>
    <w:rsid w:val="00A2232E"/>
    <w:rsid w:val="00A22500"/>
    <w:rsid w:val="00A22541"/>
    <w:rsid w:val="00A22555"/>
    <w:rsid w:val="00A2274E"/>
    <w:rsid w:val="00A22823"/>
    <w:rsid w:val="00A2287E"/>
    <w:rsid w:val="00A228EC"/>
    <w:rsid w:val="00A22904"/>
    <w:rsid w:val="00A22946"/>
    <w:rsid w:val="00A22B92"/>
    <w:rsid w:val="00A22E3E"/>
    <w:rsid w:val="00A22E4E"/>
    <w:rsid w:val="00A22E99"/>
    <w:rsid w:val="00A22F80"/>
    <w:rsid w:val="00A22F95"/>
    <w:rsid w:val="00A22FAD"/>
    <w:rsid w:val="00A2301F"/>
    <w:rsid w:val="00A23102"/>
    <w:rsid w:val="00A23135"/>
    <w:rsid w:val="00A23139"/>
    <w:rsid w:val="00A2317D"/>
    <w:rsid w:val="00A231DC"/>
    <w:rsid w:val="00A231E3"/>
    <w:rsid w:val="00A231FA"/>
    <w:rsid w:val="00A233F2"/>
    <w:rsid w:val="00A2344E"/>
    <w:rsid w:val="00A2348C"/>
    <w:rsid w:val="00A234E2"/>
    <w:rsid w:val="00A23635"/>
    <w:rsid w:val="00A2373F"/>
    <w:rsid w:val="00A23781"/>
    <w:rsid w:val="00A237D8"/>
    <w:rsid w:val="00A23891"/>
    <w:rsid w:val="00A23939"/>
    <w:rsid w:val="00A239E0"/>
    <w:rsid w:val="00A23A30"/>
    <w:rsid w:val="00A23AC5"/>
    <w:rsid w:val="00A23B08"/>
    <w:rsid w:val="00A23D3C"/>
    <w:rsid w:val="00A23F60"/>
    <w:rsid w:val="00A23F65"/>
    <w:rsid w:val="00A23F6A"/>
    <w:rsid w:val="00A23F85"/>
    <w:rsid w:val="00A242B1"/>
    <w:rsid w:val="00A24372"/>
    <w:rsid w:val="00A2442D"/>
    <w:rsid w:val="00A244D3"/>
    <w:rsid w:val="00A245D2"/>
    <w:rsid w:val="00A24601"/>
    <w:rsid w:val="00A246A4"/>
    <w:rsid w:val="00A246BE"/>
    <w:rsid w:val="00A246ED"/>
    <w:rsid w:val="00A246F2"/>
    <w:rsid w:val="00A24785"/>
    <w:rsid w:val="00A24795"/>
    <w:rsid w:val="00A2488D"/>
    <w:rsid w:val="00A2495F"/>
    <w:rsid w:val="00A249A7"/>
    <w:rsid w:val="00A24B46"/>
    <w:rsid w:val="00A24B50"/>
    <w:rsid w:val="00A24B9C"/>
    <w:rsid w:val="00A24BA3"/>
    <w:rsid w:val="00A24D0A"/>
    <w:rsid w:val="00A24DB0"/>
    <w:rsid w:val="00A24DDF"/>
    <w:rsid w:val="00A24DFA"/>
    <w:rsid w:val="00A24E0B"/>
    <w:rsid w:val="00A24E17"/>
    <w:rsid w:val="00A24E54"/>
    <w:rsid w:val="00A24FB4"/>
    <w:rsid w:val="00A24FE0"/>
    <w:rsid w:val="00A25060"/>
    <w:rsid w:val="00A251BC"/>
    <w:rsid w:val="00A25377"/>
    <w:rsid w:val="00A25384"/>
    <w:rsid w:val="00A2540F"/>
    <w:rsid w:val="00A2547C"/>
    <w:rsid w:val="00A256CF"/>
    <w:rsid w:val="00A256FF"/>
    <w:rsid w:val="00A2574F"/>
    <w:rsid w:val="00A2579B"/>
    <w:rsid w:val="00A258D0"/>
    <w:rsid w:val="00A25966"/>
    <w:rsid w:val="00A259E7"/>
    <w:rsid w:val="00A25B6A"/>
    <w:rsid w:val="00A25BD3"/>
    <w:rsid w:val="00A25C96"/>
    <w:rsid w:val="00A25D5B"/>
    <w:rsid w:val="00A25E12"/>
    <w:rsid w:val="00A25EC8"/>
    <w:rsid w:val="00A25F55"/>
    <w:rsid w:val="00A26115"/>
    <w:rsid w:val="00A2619E"/>
    <w:rsid w:val="00A261D4"/>
    <w:rsid w:val="00A26274"/>
    <w:rsid w:val="00A2629F"/>
    <w:rsid w:val="00A263CC"/>
    <w:rsid w:val="00A26456"/>
    <w:rsid w:val="00A26563"/>
    <w:rsid w:val="00A265C0"/>
    <w:rsid w:val="00A265C7"/>
    <w:rsid w:val="00A26630"/>
    <w:rsid w:val="00A266FA"/>
    <w:rsid w:val="00A26724"/>
    <w:rsid w:val="00A267F2"/>
    <w:rsid w:val="00A26A82"/>
    <w:rsid w:val="00A26B32"/>
    <w:rsid w:val="00A26C2F"/>
    <w:rsid w:val="00A26DA4"/>
    <w:rsid w:val="00A26E94"/>
    <w:rsid w:val="00A27044"/>
    <w:rsid w:val="00A2707F"/>
    <w:rsid w:val="00A270C9"/>
    <w:rsid w:val="00A27131"/>
    <w:rsid w:val="00A2721B"/>
    <w:rsid w:val="00A272ED"/>
    <w:rsid w:val="00A2739D"/>
    <w:rsid w:val="00A274E7"/>
    <w:rsid w:val="00A27752"/>
    <w:rsid w:val="00A27779"/>
    <w:rsid w:val="00A27884"/>
    <w:rsid w:val="00A279EB"/>
    <w:rsid w:val="00A27AA1"/>
    <w:rsid w:val="00A27AD8"/>
    <w:rsid w:val="00A27BBA"/>
    <w:rsid w:val="00A27BD6"/>
    <w:rsid w:val="00A27C7B"/>
    <w:rsid w:val="00A27D40"/>
    <w:rsid w:val="00A27D65"/>
    <w:rsid w:val="00A27D7A"/>
    <w:rsid w:val="00A27D7F"/>
    <w:rsid w:val="00A27DD3"/>
    <w:rsid w:val="00A27E00"/>
    <w:rsid w:val="00A27F41"/>
    <w:rsid w:val="00A27F66"/>
    <w:rsid w:val="00A27FA3"/>
    <w:rsid w:val="00A27FA9"/>
    <w:rsid w:val="00A27FC3"/>
    <w:rsid w:val="00A27FEC"/>
    <w:rsid w:val="00A27FF5"/>
    <w:rsid w:val="00A301B0"/>
    <w:rsid w:val="00A301E2"/>
    <w:rsid w:val="00A3031A"/>
    <w:rsid w:val="00A30624"/>
    <w:rsid w:val="00A3064F"/>
    <w:rsid w:val="00A30666"/>
    <w:rsid w:val="00A30667"/>
    <w:rsid w:val="00A30689"/>
    <w:rsid w:val="00A30741"/>
    <w:rsid w:val="00A30787"/>
    <w:rsid w:val="00A30790"/>
    <w:rsid w:val="00A30854"/>
    <w:rsid w:val="00A308E4"/>
    <w:rsid w:val="00A30A9A"/>
    <w:rsid w:val="00A30AA3"/>
    <w:rsid w:val="00A30AAE"/>
    <w:rsid w:val="00A30B2C"/>
    <w:rsid w:val="00A30BCF"/>
    <w:rsid w:val="00A30D41"/>
    <w:rsid w:val="00A30DFA"/>
    <w:rsid w:val="00A30E2D"/>
    <w:rsid w:val="00A30E68"/>
    <w:rsid w:val="00A30F72"/>
    <w:rsid w:val="00A3117F"/>
    <w:rsid w:val="00A311CF"/>
    <w:rsid w:val="00A31254"/>
    <w:rsid w:val="00A31264"/>
    <w:rsid w:val="00A31500"/>
    <w:rsid w:val="00A31510"/>
    <w:rsid w:val="00A3156D"/>
    <w:rsid w:val="00A315A4"/>
    <w:rsid w:val="00A31992"/>
    <w:rsid w:val="00A31A4B"/>
    <w:rsid w:val="00A31B48"/>
    <w:rsid w:val="00A31BD0"/>
    <w:rsid w:val="00A31C62"/>
    <w:rsid w:val="00A31DA3"/>
    <w:rsid w:val="00A31EA1"/>
    <w:rsid w:val="00A31EEB"/>
    <w:rsid w:val="00A31FAF"/>
    <w:rsid w:val="00A31FC6"/>
    <w:rsid w:val="00A32083"/>
    <w:rsid w:val="00A320D5"/>
    <w:rsid w:val="00A321D1"/>
    <w:rsid w:val="00A3226C"/>
    <w:rsid w:val="00A323EF"/>
    <w:rsid w:val="00A324CF"/>
    <w:rsid w:val="00A324D7"/>
    <w:rsid w:val="00A327E2"/>
    <w:rsid w:val="00A32852"/>
    <w:rsid w:val="00A3285D"/>
    <w:rsid w:val="00A32879"/>
    <w:rsid w:val="00A3287E"/>
    <w:rsid w:val="00A32906"/>
    <w:rsid w:val="00A3296B"/>
    <w:rsid w:val="00A32A49"/>
    <w:rsid w:val="00A32A6D"/>
    <w:rsid w:val="00A32A92"/>
    <w:rsid w:val="00A32AC0"/>
    <w:rsid w:val="00A32C26"/>
    <w:rsid w:val="00A32C5C"/>
    <w:rsid w:val="00A32CC4"/>
    <w:rsid w:val="00A32D39"/>
    <w:rsid w:val="00A32E42"/>
    <w:rsid w:val="00A32F71"/>
    <w:rsid w:val="00A32F77"/>
    <w:rsid w:val="00A32FAF"/>
    <w:rsid w:val="00A330B3"/>
    <w:rsid w:val="00A330F8"/>
    <w:rsid w:val="00A33151"/>
    <w:rsid w:val="00A3317A"/>
    <w:rsid w:val="00A3355D"/>
    <w:rsid w:val="00A33613"/>
    <w:rsid w:val="00A33652"/>
    <w:rsid w:val="00A3375B"/>
    <w:rsid w:val="00A3384F"/>
    <w:rsid w:val="00A338CE"/>
    <w:rsid w:val="00A33A77"/>
    <w:rsid w:val="00A33B81"/>
    <w:rsid w:val="00A33C24"/>
    <w:rsid w:val="00A33C36"/>
    <w:rsid w:val="00A33C51"/>
    <w:rsid w:val="00A33C55"/>
    <w:rsid w:val="00A33F3A"/>
    <w:rsid w:val="00A33FB6"/>
    <w:rsid w:val="00A340DC"/>
    <w:rsid w:val="00A34101"/>
    <w:rsid w:val="00A34143"/>
    <w:rsid w:val="00A34308"/>
    <w:rsid w:val="00A34395"/>
    <w:rsid w:val="00A343E4"/>
    <w:rsid w:val="00A34424"/>
    <w:rsid w:val="00A34445"/>
    <w:rsid w:val="00A344A9"/>
    <w:rsid w:val="00A344E7"/>
    <w:rsid w:val="00A344F2"/>
    <w:rsid w:val="00A34577"/>
    <w:rsid w:val="00A345B9"/>
    <w:rsid w:val="00A34619"/>
    <w:rsid w:val="00A346C0"/>
    <w:rsid w:val="00A346FF"/>
    <w:rsid w:val="00A3471A"/>
    <w:rsid w:val="00A347EB"/>
    <w:rsid w:val="00A3493B"/>
    <w:rsid w:val="00A34AFD"/>
    <w:rsid w:val="00A34BC0"/>
    <w:rsid w:val="00A34CAF"/>
    <w:rsid w:val="00A34E5C"/>
    <w:rsid w:val="00A34F0B"/>
    <w:rsid w:val="00A34F85"/>
    <w:rsid w:val="00A34F8D"/>
    <w:rsid w:val="00A34FBB"/>
    <w:rsid w:val="00A35002"/>
    <w:rsid w:val="00A350C7"/>
    <w:rsid w:val="00A350D5"/>
    <w:rsid w:val="00A350F9"/>
    <w:rsid w:val="00A35144"/>
    <w:rsid w:val="00A352D1"/>
    <w:rsid w:val="00A35318"/>
    <w:rsid w:val="00A353A4"/>
    <w:rsid w:val="00A3540E"/>
    <w:rsid w:val="00A35466"/>
    <w:rsid w:val="00A3556C"/>
    <w:rsid w:val="00A35604"/>
    <w:rsid w:val="00A3570D"/>
    <w:rsid w:val="00A35738"/>
    <w:rsid w:val="00A358FA"/>
    <w:rsid w:val="00A3591C"/>
    <w:rsid w:val="00A359F4"/>
    <w:rsid w:val="00A35AFB"/>
    <w:rsid w:val="00A35B1E"/>
    <w:rsid w:val="00A35BF4"/>
    <w:rsid w:val="00A35C28"/>
    <w:rsid w:val="00A35CA9"/>
    <w:rsid w:val="00A35D07"/>
    <w:rsid w:val="00A35D1F"/>
    <w:rsid w:val="00A35D31"/>
    <w:rsid w:val="00A35F93"/>
    <w:rsid w:val="00A3608D"/>
    <w:rsid w:val="00A36126"/>
    <w:rsid w:val="00A3615C"/>
    <w:rsid w:val="00A362E1"/>
    <w:rsid w:val="00A364D8"/>
    <w:rsid w:val="00A36546"/>
    <w:rsid w:val="00A3654F"/>
    <w:rsid w:val="00A3660A"/>
    <w:rsid w:val="00A36641"/>
    <w:rsid w:val="00A36701"/>
    <w:rsid w:val="00A36762"/>
    <w:rsid w:val="00A36875"/>
    <w:rsid w:val="00A36A0E"/>
    <w:rsid w:val="00A36BA9"/>
    <w:rsid w:val="00A36C5D"/>
    <w:rsid w:val="00A36C7F"/>
    <w:rsid w:val="00A36D3E"/>
    <w:rsid w:val="00A36E65"/>
    <w:rsid w:val="00A36EC1"/>
    <w:rsid w:val="00A36FCA"/>
    <w:rsid w:val="00A37093"/>
    <w:rsid w:val="00A37102"/>
    <w:rsid w:val="00A37173"/>
    <w:rsid w:val="00A371DF"/>
    <w:rsid w:val="00A3729E"/>
    <w:rsid w:val="00A37318"/>
    <w:rsid w:val="00A373E4"/>
    <w:rsid w:val="00A3741B"/>
    <w:rsid w:val="00A3748D"/>
    <w:rsid w:val="00A3754B"/>
    <w:rsid w:val="00A3754C"/>
    <w:rsid w:val="00A37679"/>
    <w:rsid w:val="00A37732"/>
    <w:rsid w:val="00A3778F"/>
    <w:rsid w:val="00A377AA"/>
    <w:rsid w:val="00A3781C"/>
    <w:rsid w:val="00A378A1"/>
    <w:rsid w:val="00A378AD"/>
    <w:rsid w:val="00A37A40"/>
    <w:rsid w:val="00A37C30"/>
    <w:rsid w:val="00A37C94"/>
    <w:rsid w:val="00A37C9B"/>
    <w:rsid w:val="00A37D17"/>
    <w:rsid w:val="00A37D61"/>
    <w:rsid w:val="00A37D8A"/>
    <w:rsid w:val="00A37EEC"/>
    <w:rsid w:val="00A37FA1"/>
    <w:rsid w:val="00A400B8"/>
    <w:rsid w:val="00A400BB"/>
    <w:rsid w:val="00A400EC"/>
    <w:rsid w:val="00A4013E"/>
    <w:rsid w:val="00A401B1"/>
    <w:rsid w:val="00A401E5"/>
    <w:rsid w:val="00A40290"/>
    <w:rsid w:val="00A402B5"/>
    <w:rsid w:val="00A4032C"/>
    <w:rsid w:val="00A403A8"/>
    <w:rsid w:val="00A403F4"/>
    <w:rsid w:val="00A405D3"/>
    <w:rsid w:val="00A40603"/>
    <w:rsid w:val="00A40643"/>
    <w:rsid w:val="00A4067E"/>
    <w:rsid w:val="00A406AC"/>
    <w:rsid w:val="00A407F0"/>
    <w:rsid w:val="00A40823"/>
    <w:rsid w:val="00A40827"/>
    <w:rsid w:val="00A4092E"/>
    <w:rsid w:val="00A40C15"/>
    <w:rsid w:val="00A40C5D"/>
    <w:rsid w:val="00A40DF6"/>
    <w:rsid w:val="00A40E63"/>
    <w:rsid w:val="00A40EEC"/>
    <w:rsid w:val="00A40FA9"/>
    <w:rsid w:val="00A41007"/>
    <w:rsid w:val="00A41030"/>
    <w:rsid w:val="00A4110A"/>
    <w:rsid w:val="00A411CA"/>
    <w:rsid w:val="00A412D2"/>
    <w:rsid w:val="00A4131F"/>
    <w:rsid w:val="00A41398"/>
    <w:rsid w:val="00A41561"/>
    <w:rsid w:val="00A41683"/>
    <w:rsid w:val="00A416D1"/>
    <w:rsid w:val="00A41727"/>
    <w:rsid w:val="00A41740"/>
    <w:rsid w:val="00A41797"/>
    <w:rsid w:val="00A418CF"/>
    <w:rsid w:val="00A418E1"/>
    <w:rsid w:val="00A41941"/>
    <w:rsid w:val="00A419D8"/>
    <w:rsid w:val="00A41AE3"/>
    <w:rsid w:val="00A41B3F"/>
    <w:rsid w:val="00A41B45"/>
    <w:rsid w:val="00A41BFC"/>
    <w:rsid w:val="00A41CBA"/>
    <w:rsid w:val="00A41DC7"/>
    <w:rsid w:val="00A41DF9"/>
    <w:rsid w:val="00A41E77"/>
    <w:rsid w:val="00A41F3F"/>
    <w:rsid w:val="00A41F57"/>
    <w:rsid w:val="00A42002"/>
    <w:rsid w:val="00A42004"/>
    <w:rsid w:val="00A4204C"/>
    <w:rsid w:val="00A4207F"/>
    <w:rsid w:val="00A42094"/>
    <w:rsid w:val="00A42129"/>
    <w:rsid w:val="00A4219C"/>
    <w:rsid w:val="00A421BC"/>
    <w:rsid w:val="00A421FA"/>
    <w:rsid w:val="00A42240"/>
    <w:rsid w:val="00A4233C"/>
    <w:rsid w:val="00A423DB"/>
    <w:rsid w:val="00A4250B"/>
    <w:rsid w:val="00A42587"/>
    <w:rsid w:val="00A425A5"/>
    <w:rsid w:val="00A42713"/>
    <w:rsid w:val="00A42714"/>
    <w:rsid w:val="00A42896"/>
    <w:rsid w:val="00A42AB4"/>
    <w:rsid w:val="00A42B7F"/>
    <w:rsid w:val="00A42BD5"/>
    <w:rsid w:val="00A42C08"/>
    <w:rsid w:val="00A42C14"/>
    <w:rsid w:val="00A42D1A"/>
    <w:rsid w:val="00A42D80"/>
    <w:rsid w:val="00A42DAE"/>
    <w:rsid w:val="00A42E11"/>
    <w:rsid w:val="00A42F34"/>
    <w:rsid w:val="00A42FC5"/>
    <w:rsid w:val="00A43010"/>
    <w:rsid w:val="00A4304E"/>
    <w:rsid w:val="00A43062"/>
    <w:rsid w:val="00A4312D"/>
    <w:rsid w:val="00A4323F"/>
    <w:rsid w:val="00A43313"/>
    <w:rsid w:val="00A433E1"/>
    <w:rsid w:val="00A43422"/>
    <w:rsid w:val="00A434DB"/>
    <w:rsid w:val="00A435A9"/>
    <w:rsid w:val="00A43605"/>
    <w:rsid w:val="00A43653"/>
    <w:rsid w:val="00A436B9"/>
    <w:rsid w:val="00A43766"/>
    <w:rsid w:val="00A4379A"/>
    <w:rsid w:val="00A437AD"/>
    <w:rsid w:val="00A43907"/>
    <w:rsid w:val="00A4390A"/>
    <w:rsid w:val="00A43A18"/>
    <w:rsid w:val="00A43ADC"/>
    <w:rsid w:val="00A43AE9"/>
    <w:rsid w:val="00A43AEB"/>
    <w:rsid w:val="00A43B0B"/>
    <w:rsid w:val="00A43B39"/>
    <w:rsid w:val="00A43B54"/>
    <w:rsid w:val="00A43B9A"/>
    <w:rsid w:val="00A43BD9"/>
    <w:rsid w:val="00A43CF7"/>
    <w:rsid w:val="00A43E87"/>
    <w:rsid w:val="00A43EB9"/>
    <w:rsid w:val="00A43F42"/>
    <w:rsid w:val="00A44293"/>
    <w:rsid w:val="00A442EF"/>
    <w:rsid w:val="00A4437C"/>
    <w:rsid w:val="00A443B7"/>
    <w:rsid w:val="00A4445E"/>
    <w:rsid w:val="00A44466"/>
    <w:rsid w:val="00A445C9"/>
    <w:rsid w:val="00A4465C"/>
    <w:rsid w:val="00A4480A"/>
    <w:rsid w:val="00A44820"/>
    <w:rsid w:val="00A448B2"/>
    <w:rsid w:val="00A448D4"/>
    <w:rsid w:val="00A448E0"/>
    <w:rsid w:val="00A44912"/>
    <w:rsid w:val="00A449DD"/>
    <w:rsid w:val="00A44ABD"/>
    <w:rsid w:val="00A44AD4"/>
    <w:rsid w:val="00A44C5C"/>
    <w:rsid w:val="00A44D99"/>
    <w:rsid w:val="00A44E17"/>
    <w:rsid w:val="00A44E48"/>
    <w:rsid w:val="00A44EB0"/>
    <w:rsid w:val="00A44F05"/>
    <w:rsid w:val="00A45087"/>
    <w:rsid w:val="00A4526A"/>
    <w:rsid w:val="00A452F4"/>
    <w:rsid w:val="00A454B8"/>
    <w:rsid w:val="00A4551A"/>
    <w:rsid w:val="00A455EC"/>
    <w:rsid w:val="00A455F7"/>
    <w:rsid w:val="00A45678"/>
    <w:rsid w:val="00A456C8"/>
    <w:rsid w:val="00A456E7"/>
    <w:rsid w:val="00A458A8"/>
    <w:rsid w:val="00A4598E"/>
    <w:rsid w:val="00A45B57"/>
    <w:rsid w:val="00A45BC2"/>
    <w:rsid w:val="00A45BC9"/>
    <w:rsid w:val="00A45BE5"/>
    <w:rsid w:val="00A45C55"/>
    <w:rsid w:val="00A45D21"/>
    <w:rsid w:val="00A45D8B"/>
    <w:rsid w:val="00A45E87"/>
    <w:rsid w:val="00A45EB6"/>
    <w:rsid w:val="00A45F3C"/>
    <w:rsid w:val="00A45FE1"/>
    <w:rsid w:val="00A46084"/>
    <w:rsid w:val="00A46088"/>
    <w:rsid w:val="00A460F9"/>
    <w:rsid w:val="00A46166"/>
    <w:rsid w:val="00A461B8"/>
    <w:rsid w:val="00A461F0"/>
    <w:rsid w:val="00A46208"/>
    <w:rsid w:val="00A462C6"/>
    <w:rsid w:val="00A4638D"/>
    <w:rsid w:val="00A463EB"/>
    <w:rsid w:val="00A4646B"/>
    <w:rsid w:val="00A4648A"/>
    <w:rsid w:val="00A46561"/>
    <w:rsid w:val="00A465EE"/>
    <w:rsid w:val="00A465FC"/>
    <w:rsid w:val="00A46608"/>
    <w:rsid w:val="00A4669E"/>
    <w:rsid w:val="00A46889"/>
    <w:rsid w:val="00A468AB"/>
    <w:rsid w:val="00A468AF"/>
    <w:rsid w:val="00A46A0E"/>
    <w:rsid w:val="00A46A61"/>
    <w:rsid w:val="00A46B67"/>
    <w:rsid w:val="00A46BED"/>
    <w:rsid w:val="00A46DDE"/>
    <w:rsid w:val="00A46DF4"/>
    <w:rsid w:val="00A46E3A"/>
    <w:rsid w:val="00A46E6B"/>
    <w:rsid w:val="00A46F83"/>
    <w:rsid w:val="00A47002"/>
    <w:rsid w:val="00A47053"/>
    <w:rsid w:val="00A4705B"/>
    <w:rsid w:val="00A47095"/>
    <w:rsid w:val="00A47133"/>
    <w:rsid w:val="00A47230"/>
    <w:rsid w:val="00A47248"/>
    <w:rsid w:val="00A47330"/>
    <w:rsid w:val="00A47374"/>
    <w:rsid w:val="00A47429"/>
    <w:rsid w:val="00A4745E"/>
    <w:rsid w:val="00A47480"/>
    <w:rsid w:val="00A4759A"/>
    <w:rsid w:val="00A47622"/>
    <w:rsid w:val="00A476C9"/>
    <w:rsid w:val="00A477A4"/>
    <w:rsid w:val="00A47811"/>
    <w:rsid w:val="00A47894"/>
    <w:rsid w:val="00A4789D"/>
    <w:rsid w:val="00A478DB"/>
    <w:rsid w:val="00A47981"/>
    <w:rsid w:val="00A47A34"/>
    <w:rsid w:val="00A47A69"/>
    <w:rsid w:val="00A47B2B"/>
    <w:rsid w:val="00A47B55"/>
    <w:rsid w:val="00A47E96"/>
    <w:rsid w:val="00A47EE3"/>
    <w:rsid w:val="00A47F09"/>
    <w:rsid w:val="00A50061"/>
    <w:rsid w:val="00A50390"/>
    <w:rsid w:val="00A503C0"/>
    <w:rsid w:val="00A50421"/>
    <w:rsid w:val="00A50508"/>
    <w:rsid w:val="00A5056B"/>
    <w:rsid w:val="00A50611"/>
    <w:rsid w:val="00A50623"/>
    <w:rsid w:val="00A50703"/>
    <w:rsid w:val="00A5071E"/>
    <w:rsid w:val="00A50812"/>
    <w:rsid w:val="00A50813"/>
    <w:rsid w:val="00A508A7"/>
    <w:rsid w:val="00A508B2"/>
    <w:rsid w:val="00A508DD"/>
    <w:rsid w:val="00A50A10"/>
    <w:rsid w:val="00A50A6A"/>
    <w:rsid w:val="00A50BDA"/>
    <w:rsid w:val="00A50C49"/>
    <w:rsid w:val="00A50C8F"/>
    <w:rsid w:val="00A50CE1"/>
    <w:rsid w:val="00A50D60"/>
    <w:rsid w:val="00A50D9D"/>
    <w:rsid w:val="00A50DC0"/>
    <w:rsid w:val="00A50DD0"/>
    <w:rsid w:val="00A50F6C"/>
    <w:rsid w:val="00A50F9C"/>
    <w:rsid w:val="00A5114B"/>
    <w:rsid w:val="00A511D1"/>
    <w:rsid w:val="00A51201"/>
    <w:rsid w:val="00A51284"/>
    <w:rsid w:val="00A512D1"/>
    <w:rsid w:val="00A51323"/>
    <w:rsid w:val="00A5137C"/>
    <w:rsid w:val="00A51386"/>
    <w:rsid w:val="00A514DA"/>
    <w:rsid w:val="00A514EB"/>
    <w:rsid w:val="00A51597"/>
    <w:rsid w:val="00A515EE"/>
    <w:rsid w:val="00A5163C"/>
    <w:rsid w:val="00A5173A"/>
    <w:rsid w:val="00A51833"/>
    <w:rsid w:val="00A5184A"/>
    <w:rsid w:val="00A51850"/>
    <w:rsid w:val="00A518B5"/>
    <w:rsid w:val="00A518F8"/>
    <w:rsid w:val="00A51986"/>
    <w:rsid w:val="00A519C5"/>
    <w:rsid w:val="00A519E9"/>
    <w:rsid w:val="00A51A0B"/>
    <w:rsid w:val="00A51C45"/>
    <w:rsid w:val="00A51DB5"/>
    <w:rsid w:val="00A51FB9"/>
    <w:rsid w:val="00A52061"/>
    <w:rsid w:val="00A521E9"/>
    <w:rsid w:val="00A521EA"/>
    <w:rsid w:val="00A521ED"/>
    <w:rsid w:val="00A522F0"/>
    <w:rsid w:val="00A522F6"/>
    <w:rsid w:val="00A52399"/>
    <w:rsid w:val="00A52446"/>
    <w:rsid w:val="00A52478"/>
    <w:rsid w:val="00A52484"/>
    <w:rsid w:val="00A525BA"/>
    <w:rsid w:val="00A52629"/>
    <w:rsid w:val="00A527C0"/>
    <w:rsid w:val="00A527C8"/>
    <w:rsid w:val="00A528A3"/>
    <w:rsid w:val="00A528E4"/>
    <w:rsid w:val="00A52905"/>
    <w:rsid w:val="00A52929"/>
    <w:rsid w:val="00A529CA"/>
    <w:rsid w:val="00A52A21"/>
    <w:rsid w:val="00A52A70"/>
    <w:rsid w:val="00A52B85"/>
    <w:rsid w:val="00A52BBB"/>
    <w:rsid w:val="00A52C6F"/>
    <w:rsid w:val="00A52D45"/>
    <w:rsid w:val="00A52DE5"/>
    <w:rsid w:val="00A52DFA"/>
    <w:rsid w:val="00A52FCE"/>
    <w:rsid w:val="00A53026"/>
    <w:rsid w:val="00A53066"/>
    <w:rsid w:val="00A530A0"/>
    <w:rsid w:val="00A53162"/>
    <w:rsid w:val="00A531C4"/>
    <w:rsid w:val="00A5320E"/>
    <w:rsid w:val="00A5329E"/>
    <w:rsid w:val="00A53318"/>
    <w:rsid w:val="00A5339E"/>
    <w:rsid w:val="00A533C5"/>
    <w:rsid w:val="00A536D0"/>
    <w:rsid w:val="00A53753"/>
    <w:rsid w:val="00A53759"/>
    <w:rsid w:val="00A53804"/>
    <w:rsid w:val="00A53874"/>
    <w:rsid w:val="00A538B4"/>
    <w:rsid w:val="00A539F9"/>
    <w:rsid w:val="00A539FD"/>
    <w:rsid w:val="00A53A31"/>
    <w:rsid w:val="00A53A55"/>
    <w:rsid w:val="00A53ABB"/>
    <w:rsid w:val="00A53AE0"/>
    <w:rsid w:val="00A53C3B"/>
    <w:rsid w:val="00A53C47"/>
    <w:rsid w:val="00A53CB0"/>
    <w:rsid w:val="00A53DA0"/>
    <w:rsid w:val="00A53F78"/>
    <w:rsid w:val="00A53FA5"/>
    <w:rsid w:val="00A540EE"/>
    <w:rsid w:val="00A541BD"/>
    <w:rsid w:val="00A542C3"/>
    <w:rsid w:val="00A542C6"/>
    <w:rsid w:val="00A543F4"/>
    <w:rsid w:val="00A54415"/>
    <w:rsid w:val="00A54430"/>
    <w:rsid w:val="00A54519"/>
    <w:rsid w:val="00A5452A"/>
    <w:rsid w:val="00A54541"/>
    <w:rsid w:val="00A545EB"/>
    <w:rsid w:val="00A54699"/>
    <w:rsid w:val="00A5475F"/>
    <w:rsid w:val="00A54864"/>
    <w:rsid w:val="00A54884"/>
    <w:rsid w:val="00A548CD"/>
    <w:rsid w:val="00A548FC"/>
    <w:rsid w:val="00A54921"/>
    <w:rsid w:val="00A54922"/>
    <w:rsid w:val="00A549A6"/>
    <w:rsid w:val="00A54AAD"/>
    <w:rsid w:val="00A54C18"/>
    <w:rsid w:val="00A54F2A"/>
    <w:rsid w:val="00A54F33"/>
    <w:rsid w:val="00A54FF6"/>
    <w:rsid w:val="00A5504E"/>
    <w:rsid w:val="00A551FD"/>
    <w:rsid w:val="00A55262"/>
    <w:rsid w:val="00A552F5"/>
    <w:rsid w:val="00A55343"/>
    <w:rsid w:val="00A55350"/>
    <w:rsid w:val="00A5540F"/>
    <w:rsid w:val="00A55563"/>
    <w:rsid w:val="00A55578"/>
    <w:rsid w:val="00A555A9"/>
    <w:rsid w:val="00A555EF"/>
    <w:rsid w:val="00A55713"/>
    <w:rsid w:val="00A5572D"/>
    <w:rsid w:val="00A5583D"/>
    <w:rsid w:val="00A5588A"/>
    <w:rsid w:val="00A55A05"/>
    <w:rsid w:val="00A55B01"/>
    <w:rsid w:val="00A55BAC"/>
    <w:rsid w:val="00A55BAE"/>
    <w:rsid w:val="00A55BED"/>
    <w:rsid w:val="00A55C93"/>
    <w:rsid w:val="00A55D80"/>
    <w:rsid w:val="00A55DEE"/>
    <w:rsid w:val="00A55F94"/>
    <w:rsid w:val="00A56082"/>
    <w:rsid w:val="00A56125"/>
    <w:rsid w:val="00A5618D"/>
    <w:rsid w:val="00A56210"/>
    <w:rsid w:val="00A563E9"/>
    <w:rsid w:val="00A5643A"/>
    <w:rsid w:val="00A56500"/>
    <w:rsid w:val="00A56551"/>
    <w:rsid w:val="00A56605"/>
    <w:rsid w:val="00A56607"/>
    <w:rsid w:val="00A56679"/>
    <w:rsid w:val="00A566AB"/>
    <w:rsid w:val="00A56769"/>
    <w:rsid w:val="00A56964"/>
    <w:rsid w:val="00A5697B"/>
    <w:rsid w:val="00A56B40"/>
    <w:rsid w:val="00A56B63"/>
    <w:rsid w:val="00A56C4D"/>
    <w:rsid w:val="00A56C65"/>
    <w:rsid w:val="00A56C6E"/>
    <w:rsid w:val="00A56E1F"/>
    <w:rsid w:val="00A56E6C"/>
    <w:rsid w:val="00A56ED7"/>
    <w:rsid w:val="00A56ED8"/>
    <w:rsid w:val="00A56F69"/>
    <w:rsid w:val="00A57037"/>
    <w:rsid w:val="00A57116"/>
    <w:rsid w:val="00A5711D"/>
    <w:rsid w:val="00A57156"/>
    <w:rsid w:val="00A5722D"/>
    <w:rsid w:val="00A572ED"/>
    <w:rsid w:val="00A57374"/>
    <w:rsid w:val="00A57382"/>
    <w:rsid w:val="00A57455"/>
    <w:rsid w:val="00A5750F"/>
    <w:rsid w:val="00A5761C"/>
    <w:rsid w:val="00A5762A"/>
    <w:rsid w:val="00A5765E"/>
    <w:rsid w:val="00A576C3"/>
    <w:rsid w:val="00A57909"/>
    <w:rsid w:val="00A5797D"/>
    <w:rsid w:val="00A579B5"/>
    <w:rsid w:val="00A579F5"/>
    <w:rsid w:val="00A57A11"/>
    <w:rsid w:val="00A57A8C"/>
    <w:rsid w:val="00A57AED"/>
    <w:rsid w:val="00A57B85"/>
    <w:rsid w:val="00A57BA6"/>
    <w:rsid w:val="00A57BD0"/>
    <w:rsid w:val="00A57C5B"/>
    <w:rsid w:val="00A57C67"/>
    <w:rsid w:val="00A57C6F"/>
    <w:rsid w:val="00A57CD5"/>
    <w:rsid w:val="00A57ECA"/>
    <w:rsid w:val="00A60065"/>
    <w:rsid w:val="00A60271"/>
    <w:rsid w:val="00A6036F"/>
    <w:rsid w:val="00A603E3"/>
    <w:rsid w:val="00A60406"/>
    <w:rsid w:val="00A605B9"/>
    <w:rsid w:val="00A606A4"/>
    <w:rsid w:val="00A60846"/>
    <w:rsid w:val="00A608FF"/>
    <w:rsid w:val="00A6094A"/>
    <w:rsid w:val="00A60A5B"/>
    <w:rsid w:val="00A60A69"/>
    <w:rsid w:val="00A60AE5"/>
    <w:rsid w:val="00A60B7B"/>
    <w:rsid w:val="00A60B8E"/>
    <w:rsid w:val="00A60BFF"/>
    <w:rsid w:val="00A60D2D"/>
    <w:rsid w:val="00A60DCD"/>
    <w:rsid w:val="00A60E70"/>
    <w:rsid w:val="00A60E90"/>
    <w:rsid w:val="00A6102F"/>
    <w:rsid w:val="00A610A6"/>
    <w:rsid w:val="00A610F4"/>
    <w:rsid w:val="00A6115A"/>
    <w:rsid w:val="00A6118E"/>
    <w:rsid w:val="00A6132D"/>
    <w:rsid w:val="00A613A5"/>
    <w:rsid w:val="00A613BF"/>
    <w:rsid w:val="00A61430"/>
    <w:rsid w:val="00A6144D"/>
    <w:rsid w:val="00A614CA"/>
    <w:rsid w:val="00A615D4"/>
    <w:rsid w:val="00A61675"/>
    <w:rsid w:val="00A617C8"/>
    <w:rsid w:val="00A61859"/>
    <w:rsid w:val="00A61870"/>
    <w:rsid w:val="00A61903"/>
    <w:rsid w:val="00A61940"/>
    <w:rsid w:val="00A6199C"/>
    <w:rsid w:val="00A619AB"/>
    <w:rsid w:val="00A61A01"/>
    <w:rsid w:val="00A61A0E"/>
    <w:rsid w:val="00A61A86"/>
    <w:rsid w:val="00A61B03"/>
    <w:rsid w:val="00A61B17"/>
    <w:rsid w:val="00A61B49"/>
    <w:rsid w:val="00A61B4A"/>
    <w:rsid w:val="00A61C44"/>
    <w:rsid w:val="00A61CCD"/>
    <w:rsid w:val="00A61D06"/>
    <w:rsid w:val="00A61D6A"/>
    <w:rsid w:val="00A61DCA"/>
    <w:rsid w:val="00A61DE5"/>
    <w:rsid w:val="00A62136"/>
    <w:rsid w:val="00A6221E"/>
    <w:rsid w:val="00A62292"/>
    <w:rsid w:val="00A6233A"/>
    <w:rsid w:val="00A6236E"/>
    <w:rsid w:val="00A623BB"/>
    <w:rsid w:val="00A62622"/>
    <w:rsid w:val="00A6268E"/>
    <w:rsid w:val="00A6277A"/>
    <w:rsid w:val="00A62802"/>
    <w:rsid w:val="00A6292D"/>
    <w:rsid w:val="00A6295C"/>
    <w:rsid w:val="00A62B34"/>
    <w:rsid w:val="00A62CAE"/>
    <w:rsid w:val="00A62D8C"/>
    <w:rsid w:val="00A62DBD"/>
    <w:rsid w:val="00A62E29"/>
    <w:rsid w:val="00A62E72"/>
    <w:rsid w:val="00A62F50"/>
    <w:rsid w:val="00A63121"/>
    <w:rsid w:val="00A63198"/>
    <w:rsid w:val="00A6325A"/>
    <w:rsid w:val="00A63273"/>
    <w:rsid w:val="00A63381"/>
    <w:rsid w:val="00A63534"/>
    <w:rsid w:val="00A6376A"/>
    <w:rsid w:val="00A6379B"/>
    <w:rsid w:val="00A63859"/>
    <w:rsid w:val="00A63871"/>
    <w:rsid w:val="00A6388B"/>
    <w:rsid w:val="00A6394B"/>
    <w:rsid w:val="00A63959"/>
    <w:rsid w:val="00A639F0"/>
    <w:rsid w:val="00A63A66"/>
    <w:rsid w:val="00A63B35"/>
    <w:rsid w:val="00A63D50"/>
    <w:rsid w:val="00A63D77"/>
    <w:rsid w:val="00A63D82"/>
    <w:rsid w:val="00A63E07"/>
    <w:rsid w:val="00A63E38"/>
    <w:rsid w:val="00A63E46"/>
    <w:rsid w:val="00A63EC7"/>
    <w:rsid w:val="00A63F2A"/>
    <w:rsid w:val="00A63FA3"/>
    <w:rsid w:val="00A63FC8"/>
    <w:rsid w:val="00A6403B"/>
    <w:rsid w:val="00A64130"/>
    <w:rsid w:val="00A6415E"/>
    <w:rsid w:val="00A6429E"/>
    <w:rsid w:val="00A642F4"/>
    <w:rsid w:val="00A6448D"/>
    <w:rsid w:val="00A644C9"/>
    <w:rsid w:val="00A64599"/>
    <w:rsid w:val="00A646E7"/>
    <w:rsid w:val="00A64770"/>
    <w:rsid w:val="00A64989"/>
    <w:rsid w:val="00A649B3"/>
    <w:rsid w:val="00A64A82"/>
    <w:rsid w:val="00A64AE2"/>
    <w:rsid w:val="00A64B07"/>
    <w:rsid w:val="00A64B6C"/>
    <w:rsid w:val="00A64C65"/>
    <w:rsid w:val="00A64D4D"/>
    <w:rsid w:val="00A64DFD"/>
    <w:rsid w:val="00A64E2B"/>
    <w:rsid w:val="00A64E3E"/>
    <w:rsid w:val="00A64F34"/>
    <w:rsid w:val="00A64F9F"/>
    <w:rsid w:val="00A64FE9"/>
    <w:rsid w:val="00A65029"/>
    <w:rsid w:val="00A65070"/>
    <w:rsid w:val="00A65084"/>
    <w:rsid w:val="00A6514B"/>
    <w:rsid w:val="00A65179"/>
    <w:rsid w:val="00A651F3"/>
    <w:rsid w:val="00A65265"/>
    <w:rsid w:val="00A65464"/>
    <w:rsid w:val="00A654A9"/>
    <w:rsid w:val="00A655EC"/>
    <w:rsid w:val="00A6560C"/>
    <w:rsid w:val="00A6560F"/>
    <w:rsid w:val="00A6565E"/>
    <w:rsid w:val="00A656FC"/>
    <w:rsid w:val="00A65759"/>
    <w:rsid w:val="00A65765"/>
    <w:rsid w:val="00A659A8"/>
    <w:rsid w:val="00A65AB9"/>
    <w:rsid w:val="00A65AD2"/>
    <w:rsid w:val="00A65B0E"/>
    <w:rsid w:val="00A65BFD"/>
    <w:rsid w:val="00A65D2B"/>
    <w:rsid w:val="00A65DFD"/>
    <w:rsid w:val="00A65EEF"/>
    <w:rsid w:val="00A65FC0"/>
    <w:rsid w:val="00A65FC5"/>
    <w:rsid w:val="00A6601E"/>
    <w:rsid w:val="00A6615E"/>
    <w:rsid w:val="00A663C7"/>
    <w:rsid w:val="00A66460"/>
    <w:rsid w:val="00A6648D"/>
    <w:rsid w:val="00A664FC"/>
    <w:rsid w:val="00A6650B"/>
    <w:rsid w:val="00A66552"/>
    <w:rsid w:val="00A66585"/>
    <w:rsid w:val="00A66640"/>
    <w:rsid w:val="00A66699"/>
    <w:rsid w:val="00A66744"/>
    <w:rsid w:val="00A667EF"/>
    <w:rsid w:val="00A667F1"/>
    <w:rsid w:val="00A66877"/>
    <w:rsid w:val="00A66BDC"/>
    <w:rsid w:val="00A66CF6"/>
    <w:rsid w:val="00A66D3C"/>
    <w:rsid w:val="00A66E85"/>
    <w:rsid w:val="00A66EB7"/>
    <w:rsid w:val="00A66F12"/>
    <w:rsid w:val="00A66F68"/>
    <w:rsid w:val="00A66F72"/>
    <w:rsid w:val="00A66FC4"/>
    <w:rsid w:val="00A670B1"/>
    <w:rsid w:val="00A670BA"/>
    <w:rsid w:val="00A6720F"/>
    <w:rsid w:val="00A6721E"/>
    <w:rsid w:val="00A67220"/>
    <w:rsid w:val="00A67344"/>
    <w:rsid w:val="00A674F6"/>
    <w:rsid w:val="00A6756E"/>
    <w:rsid w:val="00A675D1"/>
    <w:rsid w:val="00A67701"/>
    <w:rsid w:val="00A6782B"/>
    <w:rsid w:val="00A67860"/>
    <w:rsid w:val="00A67891"/>
    <w:rsid w:val="00A67AB1"/>
    <w:rsid w:val="00A67B3F"/>
    <w:rsid w:val="00A67B52"/>
    <w:rsid w:val="00A67C28"/>
    <w:rsid w:val="00A67CB5"/>
    <w:rsid w:val="00A67CF8"/>
    <w:rsid w:val="00A67D49"/>
    <w:rsid w:val="00A67D52"/>
    <w:rsid w:val="00A67DD3"/>
    <w:rsid w:val="00A67E8B"/>
    <w:rsid w:val="00A67FFD"/>
    <w:rsid w:val="00A70035"/>
    <w:rsid w:val="00A7011D"/>
    <w:rsid w:val="00A7013A"/>
    <w:rsid w:val="00A70294"/>
    <w:rsid w:val="00A702BD"/>
    <w:rsid w:val="00A7032E"/>
    <w:rsid w:val="00A70358"/>
    <w:rsid w:val="00A703D7"/>
    <w:rsid w:val="00A704E0"/>
    <w:rsid w:val="00A704E7"/>
    <w:rsid w:val="00A704F2"/>
    <w:rsid w:val="00A705E8"/>
    <w:rsid w:val="00A70699"/>
    <w:rsid w:val="00A706B5"/>
    <w:rsid w:val="00A706E3"/>
    <w:rsid w:val="00A7077D"/>
    <w:rsid w:val="00A70852"/>
    <w:rsid w:val="00A70932"/>
    <w:rsid w:val="00A7094F"/>
    <w:rsid w:val="00A70969"/>
    <w:rsid w:val="00A7097C"/>
    <w:rsid w:val="00A70B10"/>
    <w:rsid w:val="00A70B88"/>
    <w:rsid w:val="00A70C01"/>
    <w:rsid w:val="00A70CC1"/>
    <w:rsid w:val="00A70E12"/>
    <w:rsid w:val="00A70E3C"/>
    <w:rsid w:val="00A70EA1"/>
    <w:rsid w:val="00A71153"/>
    <w:rsid w:val="00A7142E"/>
    <w:rsid w:val="00A714E5"/>
    <w:rsid w:val="00A715AA"/>
    <w:rsid w:val="00A71637"/>
    <w:rsid w:val="00A717C7"/>
    <w:rsid w:val="00A7182E"/>
    <w:rsid w:val="00A718FB"/>
    <w:rsid w:val="00A7192C"/>
    <w:rsid w:val="00A7193A"/>
    <w:rsid w:val="00A71A0E"/>
    <w:rsid w:val="00A71A3B"/>
    <w:rsid w:val="00A71AEE"/>
    <w:rsid w:val="00A71B80"/>
    <w:rsid w:val="00A71BC8"/>
    <w:rsid w:val="00A71C53"/>
    <w:rsid w:val="00A71D2C"/>
    <w:rsid w:val="00A71D8D"/>
    <w:rsid w:val="00A71DCD"/>
    <w:rsid w:val="00A71EBB"/>
    <w:rsid w:val="00A71F0D"/>
    <w:rsid w:val="00A71F83"/>
    <w:rsid w:val="00A720B3"/>
    <w:rsid w:val="00A722AE"/>
    <w:rsid w:val="00A722C3"/>
    <w:rsid w:val="00A72310"/>
    <w:rsid w:val="00A723CB"/>
    <w:rsid w:val="00A7241A"/>
    <w:rsid w:val="00A7255C"/>
    <w:rsid w:val="00A726AB"/>
    <w:rsid w:val="00A72726"/>
    <w:rsid w:val="00A72730"/>
    <w:rsid w:val="00A72735"/>
    <w:rsid w:val="00A727C1"/>
    <w:rsid w:val="00A72995"/>
    <w:rsid w:val="00A72A0C"/>
    <w:rsid w:val="00A72A48"/>
    <w:rsid w:val="00A72A4D"/>
    <w:rsid w:val="00A72A5C"/>
    <w:rsid w:val="00A72A75"/>
    <w:rsid w:val="00A72AAD"/>
    <w:rsid w:val="00A72B03"/>
    <w:rsid w:val="00A72B3D"/>
    <w:rsid w:val="00A72C10"/>
    <w:rsid w:val="00A72E3A"/>
    <w:rsid w:val="00A72F28"/>
    <w:rsid w:val="00A72F68"/>
    <w:rsid w:val="00A72F8F"/>
    <w:rsid w:val="00A73228"/>
    <w:rsid w:val="00A732FA"/>
    <w:rsid w:val="00A7353C"/>
    <w:rsid w:val="00A735C9"/>
    <w:rsid w:val="00A73710"/>
    <w:rsid w:val="00A73798"/>
    <w:rsid w:val="00A737AE"/>
    <w:rsid w:val="00A7390A"/>
    <w:rsid w:val="00A73976"/>
    <w:rsid w:val="00A73982"/>
    <w:rsid w:val="00A73ADA"/>
    <w:rsid w:val="00A73DBC"/>
    <w:rsid w:val="00A73E25"/>
    <w:rsid w:val="00A73E30"/>
    <w:rsid w:val="00A73EE4"/>
    <w:rsid w:val="00A73FE8"/>
    <w:rsid w:val="00A74028"/>
    <w:rsid w:val="00A74041"/>
    <w:rsid w:val="00A74043"/>
    <w:rsid w:val="00A74072"/>
    <w:rsid w:val="00A740CD"/>
    <w:rsid w:val="00A7429B"/>
    <w:rsid w:val="00A74359"/>
    <w:rsid w:val="00A745A1"/>
    <w:rsid w:val="00A745FA"/>
    <w:rsid w:val="00A74687"/>
    <w:rsid w:val="00A74703"/>
    <w:rsid w:val="00A7473E"/>
    <w:rsid w:val="00A74760"/>
    <w:rsid w:val="00A74762"/>
    <w:rsid w:val="00A747BA"/>
    <w:rsid w:val="00A748DA"/>
    <w:rsid w:val="00A74ABD"/>
    <w:rsid w:val="00A74C3D"/>
    <w:rsid w:val="00A74CDE"/>
    <w:rsid w:val="00A74E24"/>
    <w:rsid w:val="00A74F7D"/>
    <w:rsid w:val="00A75001"/>
    <w:rsid w:val="00A7506C"/>
    <w:rsid w:val="00A751F9"/>
    <w:rsid w:val="00A75347"/>
    <w:rsid w:val="00A753EF"/>
    <w:rsid w:val="00A75585"/>
    <w:rsid w:val="00A75684"/>
    <w:rsid w:val="00A75796"/>
    <w:rsid w:val="00A75843"/>
    <w:rsid w:val="00A758C7"/>
    <w:rsid w:val="00A758D1"/>
    <w:rsid w:val="00A7596E"/>
    <w:rsid w:val="00A759BB"/>
    <w:rsid w:val="00A75A7A"/>
    <w:rsid w:val="00A75A92"/>
    <w:rsid w:val="00A75B81"/>
    <w:rsid w:val="00A75C3C"/>
    <w:rsid w:val="00A75EC1"/>
    <w:rsid w:val="00A75EEF"/>
    <w:rsid w:val="00A75F21"/>
    <w:rsid w:val="00A75FD0"/>
    <w:rsid w:val="00A7600E"/>
    <w:rsid w:val="00A7606B"/>
    <w:rsid w:val="00A76191"/>
    <w:rsid w:val="00A761DB"/>
    <w:rsid w:val="00A761EE"/>
    <w:rsid w:val="00A763B9"/>
    <w:rsid w:val="00A76560"/>
    <w:rsid w:val="00A7664F"/>
    <w:rsid w:val="00A767C5"/>
    <w:rsid w:val="00A767FB"/>
    <w:rsid w:val="00A767FC"/>
    <w:rsid w:val="00A76882"/>
    <w:rsid w:val="00A768C8"/>
    <w:rsid w:val="00A76980"/>
    <w:rsid w:val="00A76BAE"/>
    <w:rsid w:val="00A76BB6"/>
    <w:rsid w:val="00A76BF6"/>
    <w:rsid w:val="00A76CDC"/>
    <w:rsid w:val="00A76D78"/>
    <w:rsid w:val="00A76DE2"/>
    <w:rsid w:val="00A76E93"/>
    <w:rsid w:val="00A76F6C"/>
    <w:rsid w:val="00A7704E"/>
    <w:rsid w:val="00A7712F"/>
    <w:rsid w:val="00A7772C"/>
    <w:rsid w:val="00A777D4"/>
    <w:rsid w:val="00A777EB"/>
    <w:rsid w:val="00A778F7"/>
    <w:rsid w:val="00A7795F"/>
    <w:rsid w:val="00A77969"/>
    <w:rsid w:val="00A779E6"/>
    <w:rsid w:val="00A77A1C"/>
    <w:rsid w:val="00A77B6C"/>
    <w:rsid w:val="00A77C09"/>
    <w:rsid w:val="00A77C6A"/>
    <w:rsid w:val="00A77C6C"/>
    <w:rsid w:val="00A77CCD"/>
    <w:rsid w:val="00A77CEB"/>
    <w:rsid w:val="00A77D03"/>
    <w:rsid w:val="00A77D18"/>
    <w:rsid w:val="00A77D41"/>
    <w:rsid w:val="00A77DAE"/>
    <w:rsid w:val="00A77DCA"/>
    <w:rsid w:val="00A77E33"/>
    <w:rsid w:val="00A77FE6"/>
    <w:rsid w:val="00A80072"/>
    <w:rsid w:val="00A800BE"/>
    <w:rsid w:val="00A800FC"/>
    <w:rsid w:val="00A80197"/>
    <w:rsid w:val="00A80227"/>
    <w:rsid w:val="00A8025E"/>
    <w:rsid w:val="00A80289"/>
    <w:rsid w:val="00A802FE"/>
    <w:rsid w:val="00A80365"/>
    <w:rsid w:val="00A8040F"/>
    <w:rsid w:val="00A804CE"/>
    <w:rsid w:val="00A804EF"/>
    <w:rsid w:val="00A8074E"/>
    <w:rsid w:val="00A8090E"/>
    <w:rsid w:val="00A80A5A"/>
    <w:rsid w:val="00A80BA8"/>
    <w:rsid w:val="00A80C4C"/>
    <w:rsid w:val="00A80C5E"/>
    <w:rsid w:val="00A80CA6"/>
    <w:rsid w:val="00A80E0A"/>
    <w:rsid w:val="00A81055"/>
    <w:rsid w:val="00A811AD"/>
    <w:rsid w:val="00A811F7"/>
    <w:rsid w:val="00A81366"/>
    <w:rsid w:val="00A814D2"/>
    <w:rsid w:val="00A81544"/>
    <w:rsid w:val="00A81560"/>
    <w:rsid w:val="00A81572"/>
    <w:rsid w:val="00A8162E"/>
    <w:rsid w:val="00A81649"/>
    <w:rsid w:val="00A8177A"/>
    <w:rsid w:val="00A81885"/>
    <w:rsid w:val="00A818EF"/>
    <w:rsid w:val="00A81998"/>
    <w:rsid w:val="00A81A56"/>
    <w:rsid w:val="00A81B32"/>
    <w:rsid w:val="00A81B5D"/>
    <w:rsid w:val="00A81CF7"/>
    <w:rsid w:val="00A81D15"/>
    <w:rsid w:val="00A81F22"/>
    <w:rsid w:val="00A81F31"/>
    <w:rsid w:val="00A81FAE"/>
    <w:rsid w:val="00A8202C"/>
    <w:rsid w:val="00A820ED"/>
    <w:rsid w:val="00A820FE"/>
    <w:rsid w:val="00A82186"/>
    <w:rsid w:val="00A82225"/>
    <w:rsid w:val="00A82301"/>
    <w:rsid w:val="00A82305"/>
    <w:rsid w:val="00A8231C"/>
    <w:rsid w:val="00A82370"/>
    <w:rsid w:val="00A82565"/>
    <w:rsid w:val="00A82660"/>
    <w:rsid w:val="00A82861"/>
    <w:rsid w:val="00A82911"/>
    <w:rsid w:val="00A829BA"/>
    <w:rsid w:val="00A829BF"/>
    <w:rsid w:val="00A829CF"/>
    <w:rsid w:val="00A82AD8"/>
    <w:rsid w:val="00A82B7A"/>
    <w:rsid w:val="00A82BC6"/>
    <w:rsid w:val="00A82CCD"/>
    <w:rsid w:val="00A82EF5"/>
    <w:rsid w:val="00A82F6C"/>
    <w:rsid w:val="00A82F85"/>
    <w:rsid w:val="00A82F8C"/>
    <w:rsid w:val="00A83035"/>
    <w:rsid w:val="00A830F8"/>
    <w:rsid w:val="00A83117"/>
    <w:rsid w:val="00A83128"/>
    <w:rsid w:val="00A83224"/>
    <w:rsid w:val="00A833E0"/>
    <w:rsid w:val="00A8348D"/>
    <w:rsid w:val="00A835C8"/>
    <w:rsid w:val="00A835D5"/>
    <w:rsid w:val="00A835DD"/>
    <w:rsid w:val="00A83627"/>
    <w:rsid w:val="00A83646"/>
    <w:rsid w:val="00A83669"/>
    <w:rsid w:val="00A8373F"/>
    <w:rsid w:val="00A8392C"/>
    <w:rsid w:val="00A83997"/>
    <w:rsid w:val="00A83A65"/>
    <w:rsid w:val="00A83AC6"/>
    <w:rsid w:val="00A83ACE"/>
    <w:rsid w:val="00A83AE1"/>
    <w:rsid w:val="00A83CDE"/>
    <w:rsid w:val="00A83CFA"/>
    <w:rsid w:val="00A83F69"/>
    <w:rsid w:val="00A83F93"/>
    <w:rsid w:val="00A83F9D"/>
    <w:rsid w:val="00A84007"/>
    <w:rsid w:val="00A84130"/>
    <w:rsid w:val="00A84186"/>
    <w:rsid w:val="00A842F0"/>
    <w:rsid w:val="00A84317"/>
    <w:rsid w:val="00A84338"/>
    <w:rsid w:val="00A84367"/>
    <w:rsid w:val="00A844CD"/>
    <w:rsid w:val="00A8450C"/>
    <w:rsid w:val="00A84566"/>
    <w:rsid w:val="00A84615"/>
    <w:rsid w:val="00A84663"/>
    <w:rsid w:val="00A8470C"/>
    <w:rsid w:val="00A84737"/>
    <w:rsid w:val="00A847DE"/>
    <w:rsid w:val="00A847EC"/>
    <w:rsid w:val="00A848AB"/>
    <w:rsid w:val="00A848AF"/>
    <w:rsid w:val="00A848C8"/>
    <w:rsid w:val="00A84920"/>
    <w:rsid w:val="00A84B57"/>
    <w:rsid w:val="00A84B58"/>
    <w:rsid w:val="00A84E57"/>
    <w:rsid w:val="00A84FEA"/>
    <w:rsid w:val="00A8503B"/>
    <w:rsid w:val="00A851CB"/>
    <w:rsid w:val="00A851D7"/>
    <w:rsid w:val="00A851F1"/>
    <w:rsid w:val="00A85306"/>
    <w:rsid w:val="00A85397"/>
    <w:rsid w:val="00A8546A"/>
    <w:rsid w:val="00A85477"/>
    <w:rsid w:val="00A85501"/>
    <w:rsid w:val="00A8561F"/>
    <w:rsid w:val="00A8570B"/>
    <w:rsid w:val="00A8578A"/>
    <w:rsid w:val="00A857A2"/>
    <w:rsid w:val="00A857F4"/>
    <w:rsid w:val="00A858ED"/>
    <w:rsid w:val="00A85987"/>
    <w:rsid w:val="00A859E9"/>
    <w:rsid w:val="00A859EF"/>
    <w:rsid w:val="00A85A91"/>
    <w:rsid w:val="00A85B24"/>
    <w:rsid w:val="00A85BE6"/>
    <w:rsid w:val="00A85D56"/>
    <w:rsid w:val="00A85D86"/>
    <w:rsid w:val="00A85DDC"/>
    <w:rsid w:val="00A85E48"/>
    <w:rsid w:val="00A85EC6"/>
    <w:rsid w:val="00A85FE5"/>
    <w:rsid w:val="00A85FE8"/>
    <w:rsid w:val="00A860C0"/>
    <w:rsid w:val="00A8627C"/>
    <w:rsid w:val="00A862E6"/>
    <w:rsid w:val="00A86333"/>
    <w:rsid w:val="00A86454"/>
    <w:rsid w:val="00A86464"/>
    <w:rsid w:val="00A864E6"/>
    <w:rsid w:val="00A864FF"/>
    <w:rsid w:val="00A8661A"/>
    <w:rsid w:val="00A86839"/>
    <w:rsid w:val="00A8688F"/>
    <w:rsid w:val="00A868C4"/>
    <w:rsid w:val="00A868E9"/>
    <w:rsid w:val="00A8697C"/>
    <w:rsid w:val="00A869E2"/>
    <w:rsid w:val="00A86ACB"/>
    <w:rsid w:val="00A86ADF"/>
    <w:rsid w:val="00A86D0D"/>
    <w:rsid w:val="00A86D8E"/>
    <w:rsid w:val="00A86DB9"/>
    <w:rsid w:val="00A86F12"/>
    <w:rsid w:val="00A86F49"/>
    <w:rsid w:val="00A86FA6"/>
    <w:rsid w:val="00A87170"/>
    <w:rsid w:val="00A872CF"/>
    <w:rsid w:val="00A87326"/>
    <w:rsid w:val="00A87333"/>
    <w:rsid w:val="00A873CF"/>
    <w:rsid w:val="00A873FF"/>
    <w:rsid w:val="00A8744F"/>
    <w:rsid w:val="00A874B5"/>
    <w:rsid w:val="00A87556"/>
    <w:rsid w:val="00A876A2"/>
    <w:rsid w:val="00A876B6"/>
    <w:rsid w:val="00A87754"/>
    <w:rsid w:val="00A8777B"/>
    <w:rsid w:val="00A877EC"/>
    <w:rsid w:val="00A87875"/>
    <w:rsid w:val="00A87939"/>
    <w:rsid w:val="00A87945"/>
    <w:rsid w:val="00A87969"/>
    <w:rsid w:val="00A879A2"/>
    <w:rsid w:val="00A879FF"/>
    <w:rsid w:val="00A87A99"/>
    <w:rsid w:val="00A87B08"/>
    <w:rsid w:val="00A87C0E"/>
    <w:rsid w:val="00A87DF0"/>
    <w:rsid w:val="00A87E95"/>
    <w:rsid w:val="00A87F8F"/>
    <w:rsid w:val="00A90021"/>
    <w:rsid w:val="00A900CD"/>
    <w:rsid w:val="00A901B2"/>
    <w:rsid w:val="00A901C1"/>
    <w:rsid w:val="00A902A3"/>
    <w:rsid w:val="00A902FB"/>
    <w:rsid w:val="00A90344"/>
    <w:rsid w:val="00A903C6"/>
    <w:rsid w:val="00A903E7"/>
    <w:rsid w:val="00A904A4"/>
    <w:rsid w:val="00A90543"/>
    <w:rsid w:val="00A90554"/>
    <w:rsid w:val="00A90592"/>
    <w:rsid w:val="00A90602"/>
    <w:rsid w:val="00A90832"/>
    <w:rsid w:val="00A90885"/>
    <w:rsid w:val="00A908B0"/>
    <w:rsid w:val="00A908CF"/>
    <w:rsid w:val="00A90988"/>
    <w:rsid w:val="00A90A77"/>
    <w:rsid w:val="00A90B8C"/>
    <w:rsid w:val="00A90C33"/>
    <w:rsid w:val="00A90CF7"/>
    <w:rsid w:val="00A90D67"/>
    <w:rsid w:val="00A90DA3"/>
    <w:rsid w:val="00A90DE9"/>
    <w:rsid w:val="00A90EFD"/>
    <w:rsid w:val="00A9108C"/>
    <w:rsid w:val="00A9109E"/>
    <w:rsid w:val="00A911B1"/>
    <w:rsid w:val="00A9128B"/>
    <w:rsid w:val="00A91331"/>
    <w:rsid w:val="00A91430"/>
    <w:rsid w:val="00A9143F"/>
    <w:rsid w:val="00A91443"/>
    <w:rsid w:val="00A91504"/>
    <w:rsid w:val="00A915A7"/>
    <w:rsid w:val="00A915B0"/>
    <w:rsid w:val="00A9170A"/>
    <w:rsid w:val="00A917DF"/>
    <w:rsid w:val="00A9193D"/>
    <w:rsid w:val="00A91941"/>
    <w:rsid w:val="00A91993"/>
    <w:rsid w:val="00A919C4"/>
    <w:rsid w:val="00A919E4"/>
    <w:rsid w:val="00A91A17"/>
    <w:rsid w:val="00A91AC1"/>
    <w:rsid w:val="00A91AFD"/>
    <w:rsid w:val="00A91B3E"/>
    <w:rsid w:val="00A91BB1"/>
    <w:rsid w:val="00A91C01"/>
    <w:rsid w:val="00A91D24"/>
    <w:rsid w:val="00A91DD0"/>
    <w:rsid w:val="00A91E65"/>
    <w:rsid w:val="00A91EB6"/>
    <w:rsid w:val="00A91EFD"/>
    <w:rsid w:val="00A91F04"/>
    <w:rsid w:val="00A91F47"/>
    <w:rsid w:val="00A91FC3"/>
    <w:rsid w:val="00A921EB"/>
    <w:rsid w:val="00A92257"/>
    <w:rsid w:val="00A9246D"/>
    <w:rsid w:val="00A92562"/>
    <w:rsid w:val="00A925A8"/>
    <w:rsid w:val="00A925B2"/>
    <w:rsid w:val="00A925D2"/>
    <w:rsid w:val="00A92696"/>
    <w:rsid w:val="00A927EA"/>
    <w:rsid w:val="00A92830"/>
    <w:rsid w:val="00A9289D"/>
    <w:rsid w:val="00A9292C"/>
    <w:rsid w:val="00A929AD"/>
    <w:rsid w:val="00A92AC7"/>
    <w:rsid w:val="00A92CBD"/>
    <w:rsid w:val="00A92D64"/>
    <w:rsid w:val="00A92D7B"/>
    <w:rsid w:val="00A92E05"/>
    <w:rsid w:val="00A92E25"/>
    <w:rsid w:val="00A92E6B"/>
    <w:rsid w:val="00A92EF1"/>
    <w:rsid w:val="00A92F4E"/>
    <w:rsid w:val="00A92FC2"/>
    <w:rsid w:val="00A9300B"/>
    <w:rsid w:val="00A9304D"/>
    <w:rsid w:val="00A9308F"/>
    <w:rsid w:val="00A930A7"/>
    <w:rsid w:val="00A93129"/>
    <w:rsid w:val="00A931F6"/>
    <w:rsid w:val="00A93212"/>
    <w:rsid w:val="00A9321F"/>
    <w:rsid w:val="00A932C1"/>
    <w:rsid w:val="00A9330D"/>
    <w:rsid w:val="00A9331F"/>
    <w:rsid w:val="00A9335D"/>
    <w:rsid w:val="00A93384"/>
    <w:rsid w:val="00A933A2"/>
    <w:rsid w:val="00A93459"/>
    <w:rsid w:val="00A9348B"/>
    <w:rsid w:val="00A936E5"/>
    <w:rsid w:val="00A937CD"/>
    <w:rsid w:val="00A93801"/>
    <w:rsid w:val="00A9383E"/>
    <w:rsid w:val="00A9392D"/>
    <w:rsid w:val="00A93934"/>
    <w:rsid w:val="00A93B9E"/>
    <w:rsid w:val="00A93BE0"/>
    <w:rsid w:val="00A93D60"/>
    <w:rsid w:val="00A93E09"/>
    <w:rsid w:val="00A93FD3"/>
    <w:rsid w:val="00A94155"/>
    <w:rsid w:val="00A94276"/>
    <w:rsid w:val="00A94382"/>
    <w:rsid w:val="00A943B9"/>
    <w:rsid w:val="00A943D3"/>
    <w:rsid w:val="00A94477"/>
    <w:rsid w:val="00A946DD"/>
    <w:rsid w:val="00A946EE"/>
    <w:rsid w:val="00A94768"/>
    <w:rsid w:val="00A9477E"/>
    <w:rsid w:val="00A947E2"/>
    <w:rsid w:val="00A94863"/>
    <w:rsid w:val="00A948FC"/>
    <w:rsid w:val="00A94910"/>
    <w:rsid w:val="00A94A03"/>
    <w:rsid w:val="00A94AFF"/>
    <w:rsid w:val="00A94BC5"/>
    <w:rsid w:val="00A94CBB"/>
    <w:rsid w:val="00A94D63"/>
    <w:rsid w:val="00A94DD0"/>
    <w:rsid w:val="00A94E0C"/>
    <w:rsid w:val="00A94EDB"/>
    <w:rsid w:val="00A94FC1"/>
    <w:rsid w:val="00A9501D"/>
    <w:rsid w:val="00A95052"/>
    <w:rsid w:val="00A95158"/>
    <w:rsid w:val="00A95179"/>
    <w:rsid w:val="00A951D6"/>
    <w:rsid w:val="00A9520C"/>
    <w:rsid w:val="00A9521C"/>
    <w:rsid w:val="00A9535C"/>
    <w:rsid w:val="00A9535F"/>
    <w:rsid w:val="00A953C7"/>
    <w:rsid w:val="00A9540E"/>
    <w:rsid w:val="00A9547C"/>
    <w:rsid w:val="00A9562D"/>
    <w:rsid w:val="00A956C3"/>
    <w:rsid w:val="00A9582A"/>
    <w:rsid w:val="00A95854"/>
    <w:rsid w:val="00A9593C"/>
    <w:rsid w:val="00A959BF"/>
    <w:rsid w:val="00A959F3"/>
    <w:rsid w:val="00A95B6C"/>
    <w:rsid w:val="00A95B6D"/>
    <w:rsid w:val="00A95BDC"/>
    <w:rsid w:val="00A95C44"/>
    <w:rsid w:val="00A95C53"/>
    <w:rsid w:val="00A95C5E"/>
    <w:rsid w:val="00A95E4C"/>
    <w:rsid w:val="00A95FAA"/>
    <w:rsid w:val="00A95FBF"/>
    <w:rsid w:val="00A95FD2"/>
    <w:rsid w:val="00A960C4"/>
    <w:rsid w:val="00A960E1"/>
    <w:rsid w:val="00A961DB"/>
    <w:rsid w:val="00A961FE"/>
    <w:rsid w:val="00A96287"/>
    <w:rsid w:val="00A96461"/>
    <w:rsid w:val="00A96522"/>
    <w:rsid w:val="00A967BE"/>
    <w:rsid w:val="00A967CC"/>
    <w:rsid w:val="00A968F1"/>
    <w:rsid w:val="00A9696F"/>
    <w:rsid w:val="00A96A56"/>
    <w:rsid w:val="00A96AC7"/>
    <w:rsid w:val="00A96AF3"/>
    <w:rsid w:val="00A96B86"/>
    <w:rsid w:val="00A96BCD"/>
    <w:rsid w:val="00A96CD5"/>
    <w:rsid w:val="00A96DD5"/>
    <w:rsid w:val="00A96DE4"/>
    <w:rsid w:val="00A96DF8"/>
    <w:rsid w:val="00A96E0E"/>
    <w:rsid w:val="00A96E9E"/>
    <w:rsid w:val="00A96EA4"/>
    <w:rsid w:val="00A96F1B"/>
    <w:rsid w:val="00A97000"/>
    <w:rsid w:val="00A97071"/>
    <w:rsid w:val="00A970A8"/>
    <w:rsid w:val="00A971CD"/>
    <w:rsid w:val="00A972AB"/>
    <w:rsid w:val="00A97344"/>
    <w:rsid w:val="00A973E4"/>
    <w:rsid w:val="00A97416"/>
    <w:rsid w:val="00A97426"/>
    <w:rsid w:val="00A974EB"/>
    <w:rsid w:val="00A97561"/>
    <w:rsid w:val="00A97646"/>
    <w:rsid w:val="00A976CF"/>
    <w:rsid w:val="00A97712"/>
    <w:rsid w:val="00A9773E"/>
    <w:rsid w:val="00A9774D"/>
    <w:rsid w:val="00A977CA"/>
    <w:rsid w:val="00A97817"/>
    <w:rsid w:val="00A97890"/>
    <w:rsid w:val="00A978B6"/>
    <w:rsid w:val="00A9799F"/>
    <w:rsid w:val="00A97AB4"/>
    <w:rsid w:val="00A97AC6"/>
    <w:rsid w:val="00A97C29"/>
    <w:rsid w:val="00A97C6C"/>
    <w:rsid w:val="00A97CB2"/>
    <w:rsid w:val="00A97D02"/>
    <w:rsid w:val="00A97D55"/>
    <w:rsid w:val="00A97D5E"/>
    <w:rsid w:val="00A97D7D"/>
    <w:rsid w:val="00A97EBD"/>
    <w:rsid w:val="00A97F51"/>
    <w:rsid w:val="00A97FA5"/>
    <w:rsid w:val="00A97FFC"/>
    <w:rsid w:val="00AA029E"/>
    <w:rsid w:val="00AA02A9"/>
    <w:rsid w:val="00AA02BF"/>
    <w:rsid w:val="00AA02E4"/>
    <w:rsid w:val="00AA02F2"/>
    <w:rsid w:val="00AA0383"/>
    <w:rsid w:val="00AA0489"/>
    <w:rsid w:val="00AA053A"/>
    <w:rsid w:val="00AA07CC"/>
    <w:rsid w:val="00AA094B"/>
    <w:rsid w:val="00AA09BC"/>
    <w:rsid w:val="00AA0C36"/>
    <w:rsid w:val="00AA0D1B"/>
    <w:rsid w:val="00AA0DC3"/>
    <w:rsid w:val="00AA0EF3"/>
    <w:rsid w:val="00AA0F01"/>
    <w:rsid w:val="00AA0FB4"/>
    <w:rsid w:val="00AA107E"/>
    <w:rsid w:val="00AA10FE"/>
    <w:rsid w:val="00AA110B"/>
    <w:rsid w:val="00AA11A9"/>
    <w:rsid w:val="00AA1253"/>
    <w:rsid w:val="00AA1332"/>
    <w:rsid w:val="00AA1354"/>
    <w:rsid w:val="00AA1384"/>
    <w:rsid w:val="00AA14C8"/>
    <w:rsid w:val="00AA1598"/>
    <w:rsid w:val="00AA1659"/>
    <w:rsid w:val="00AA1860"/>
    <w:rsid w:val="00AA18BB"/>
    <w:rsid w:val="00AA18E6"/>
    <w:rsid w:val="00AA18E9"/>
    <w:rsid w:val="00AA18F9"/>
    <w:rsid w:val="00AA19D6"/>
    <w:rsid w:val="00AA1B24"/>
    <w:rsid w:val="00AA1BF1"/>
    <w:rsid w:val="00AA1C77"/>
    <w:rsid w:val="00AA1C8D"/>
    <w:rsid w:val="00AA1CB3"/>
    <w:rsid w:val="00AA1DA8"/>
    <w:rsid w:val="00AA1E4F"/>
    <w:rsid w:val="00AA1E7C"/>
    <w:rsid w:val="00AA1F65"/>
    <w:rsid w:val="00AA20EE"/>
    <w:rsid w:val="00AA2251"/>
    <w:rsid w:val="00AA22EA"/>
    <w:rsid w:val="00AA2391"/>
    <w:rsid w:val="00AA23E7"/>
    <w:rsid w:val="00AA23E9"/>
    <w:rsid w:val="00AA2418"/>
    <w:rsid w:val="00AA24A3"/>
    <w:rsid w:val="00AA252B"/>
    <w:rsid w:val="00AA256B"/>
    <w:rsid w:val="00AA25C8"/>
    <w:rsid w:val="00AA26EC"/>
    <w:rsid w:val="00AA2795"/>
    <w:rsid w:val="00AA2800"/>
    <w:rsid w:val="00AA2963"/>
    <w:rsid w:val="00AA29EC"/>
    <w:rsid w:val="00AA2ACD"/>
    <w:rsid w:val="00AA2C79"/>
    <w:rsid w:val="00AA2D1D"/>
    <w:rsid w:val="00AA2DB8"/>
    <w:rsid w:val="00AA2DEF"/>
    <w:rsid w:val="00AA2F01"/>
    <w:rsid w:val="00AA2FC4"/>
    <w:rsid w:val="00AA2FDF"/>
    <w:rsid w:val="00AA30B5"/>
    <w:rsid w:val="00AA30E1"/>
    <w:rsid w:val="00AA3252"/>
    <w:rsid w:val="00AA32CC"/>
    <w:rsid w:val="00AA32F2"/>
    <w:rsid w:val="00AA3380"/>
    <w:rsid w:val="00AA33C2"/>
    <w:rsid w:val="00AA33C7"/>
    <w:rsid w:val="00AA3415"/>
    <w:rsid w:val="00AA34A2"/>
    <w:rsid w:val="00AA3526"/>
    <w:rsid w:val="00AA3531"/>
    <w:rsid w:val="00AA370C"/>
    <w:rsid w:val="00AA3780"/>
    <w:rsid w:val="00AA3798"/>
    <w:rsid w:val="00AA3886"/>
    <w:rsid w:val="00AA38AA"/>
    <w:rsid w:val="00AA3968"/>
    <w:rsid w:val="00AA39B0"/>
    <w:rsid w:val="00AA3A1B"/>
    <w:rsid w:val="00AA3A8A"/>
    <w:rsid w:val="00AA3A92"/>
    <w:rsid w:val="00AA3AE7"/>
    <w:rsid w:val="00AA3BFE"/>
    <w:rsid w:val="00AA3C36"/>
    <w:rsid w:val="00AA3C81"/>
    <w:rsid w:val="00AA3D0F"/>
    <w:rsid w:val="00AA3D44"/>
    <w:rsid w:val="00AA3E0A"/>
    <w:rsid w:val="00AA3EC9"/>
    <w:rsid w:val="00AA3FA3"/>
    <w:rsid w:val="00AA4009"/>
    <w:rsid w:val="00AA4061"/>
    <w:rsid w:val="00AA4129"/>
    <w:rsid w:val="00AA4417"/>
    <w:rsid w:val="00AA45D1"/>
    <w:rsid w:val="00AA4622"/>
    <w:rsid w:val="00AA4660"/>
    <w:rsid w:val="00AA488A"/>
    <w:rsid w:val="00AA48C1"/>
    <w:rsid w:val="00AA4934"/>
    <w:rsid w:val="00AA4979"/>
    <w:rsid w:val="00AA497B"/>
    <w:rsid w:val="00AA4A63"/>
    <w:rsid w:val="00AA4AB6"/>
    <w:rsid w:val="00AA4ABB"/>
    <w:rsid w:val="00AA4C28"/>
    <w:rsid w:val="00AA4D13"/>
    <w:rsid w:val="00AA4DA0"/>
    <w:rsid w:val="00AA4F06"/>
    <w:rsid w:val="00AA4F9F"/>
    <w:rsid w:val="00AA4FBA"/>
    <w:rsid w:val="00AA5110"/>
    <w:rsid w:val="00AA514D"/>
    <w:rsid w:val="00AA517F"/>
    <w:rsid w:val="00AA54C7"/>
    <w:rsid w:val="00AA54FE"/>
    <w:rsid w:val="00AA554B"/>
    <w:rsid w:val="00AA557A"/>
    <w:rsid w:val="00AA55EA"/>
    <w:rsid w:val="00AA5610"/>
    <w:rsid w:val="00AA5635"/>
    <w:rsid w:val="00AA5662"/>
    <w:rsid w:val="00AA568F"/>
    <w:rsid w:val="00AA5716"/>
    <w:rsid w:val="00AA5727"/>
    <w:rsid w:val="00AA5844"/>
    <w:rsid w:val="00AA586A"/>
    <w:rsid w:val="00AA586B"/>
    <w:rsid w:val="00AA58E5"/>
    <w:rsid w:val="00AA5921"/>
    <w:rsid w:val="00AA5A78"/>
    <w:rsid w:val="00AA5ADA"/>
    <w:rsid w:val="00AA5B51"/>
    <w:rsid w:val="00AA5BC4"/>
    <w:rsid w:val="00AA5BE2"/>
    <w:rsid w:val="00AA5C09"/>
    <w:rsid w:val="00AA5D77"/>
    <w:rsid w:val="00AA5DB9"/>
    <w:rsid w:val="00AA5E01"/>
    <w:rsid w:val="00AA5E1F"/>
    <w:rsid w:val="00AA5ED6"/>
    <w:rsid w:val="00AA5EDC"/>
    <w:rsid w:val="00AA600F"/>
    <w:rsid w:val="00AA6021"/>
    <w:rsid w:val="00AA6104"/>
    <w:rsid w:val="00AA6222"/>
    <w:rsid w:val="00AA6268"/>
    <w:rsid w:val="00AA62FA"/>
    <w:rsid w:val="00AA6369"/>
    <w:rsid w:val="00AA6426"/>
    <w:rsid w:val="00AA64EB"/>
    <w:rsid w:val="00AA651F"/>
    <w:rsid w:val="00AA6520"/>
    <w:rsid w:val="00AA662C"/>
    <w:rsid w:val="00AA67BA"/>
    <w:rsid w:val="00AA6904"/>
    <w:rsid w:val="00AA6A9D"/>
    <w:rsid w:val="00AA6C4F"/>
    <w:rsid w:val="00AA6C60"/>
    <w:rsid w:val="00AA6DE4"/>
    <w:rsid w:val="00AA6E5F"/>
    <w:rsid w:val="00AA6E68"/>
    <w:rsid w:val="00AA6EF7"/>
    <w:rsid w:val="00AA6F75"/>
    <w:rsid w:val="00AA700C"/>
    <w:rsid w:val="00AA7252"/>
    <w:rsid w:val="00AA7258"/>
    <w:rsid w:val="00AA7735"/>
    <w:rsid w:val="00AA7741"/>
    <w:rsid w:val="00AA775E"/>
    <w:rsid w:val="00AA7808"/>
    <w:rsid w:val="00AA782F"/>
    <w:rsid w:val="00AA7988"/>
    <w:rsid w:val="00AA799B"/>
    <w:rsid w:val="00AA7CB4"/>
    <w:rsid w:val="00AA7CCA"/>
    <w:rsid w:val="00AA7DCF"/>
    <w:rsid w:val="00AA7E44"/>
    <w:rsid w:val="00AA7EE9"/>
    <w:rsid w:val="00AA7EEA"/>
    <w:rsid w:val="00AA7FF0"/>
    <w:rsid w:val="00AB00F1"/>
    <w:rsid w:val="00AB0214"/>
    <w:rsid w:val="00AB022E"/>
    <w:rsid w:val="00AB0254"/>
    <w:rsid w:val="00AB02FB"/>
    <w:rsid w:val="00AB030E"/>
    <w:rsid w:val="00AB0377"/>
    <w:rsid w:val="00AB045E"/>
    <w:rsid w:val="00AB0534"/>
    <w:rsid w:val="00AB0575"/>
    <w:rsid w:val="00AB05E5"/>
    <w:rsid w:val="00AB05EB"/>
    <w:rsid w:val="00AB0750"/>
    <w:rsid w:val="00AB0854"/>
    <w:rsid w:val="00AB0917"/>
    <w:rsid w:val="00AB0A22"/>
    <w:rsid w:val="00AB0B72"/>
    <w:rsid w:val="00AB0CF8"/>
    <w:rsid w:val="00AB0D19"/>
    <w:rsid w:val="00AB0D5B"/>
    <w:rsid w:val="00AB0DCB"/>
    <w:rsid w:val="00AB0DCE"/>
    <w:rsid w:val="00AB0EC6"/>
    <w:rsid w:val="00AB0EFE"/>
    <w:rsid w:val="00AB0F3F"/>
    <w:rsid w:val="00AB0F82"/>
    <w:rsid w:val="00AB0F91"/>
    <w:rsid w:val="00AB0FB9"/>
    <w:rsid w:val="00AB1018"/>
    <w:rsid w:val="00AB10E6"/>
    <w:rsid w:val="00AB1184"/>
    <w:rsid w:val="00AB1296"/>
    <w:rsid w:val="00AB1331"/>
    <w:rsid w:val="00AB13CC"/>
    <w:rsid w:val="00AB14C9"/>
    <w:rsid w:val="00AB14D4"/>
    <w:rsid w:val="00AB164D"/>
    <w:rsid w:val="00AB16B7"/>
    <w:rsid w:val="00AB1729"/>
    <w:rsid w:val="00AB17A6"/>
    <w:rsid w:val="00AB17FE"/>
    <w:rsid w:val="00AB18E9"/>
    <w:rsid w:val="00AB1939"/>
    <w:rsid w:val="00AB1B9C"/>
    <w:rsid w:val="00AB1BCD"/>
    <w:rsid w:val="00AB1C8D"/>
    <w:rsid w:val="00AB1C96"/>
    <w:rsid w:val="00AB1CD2"/>
    <w:rsid w:val="00AB1EEC"/>
    <w:rsid w:val="00AB20F6"/>
    <w:rsid w:val="00AB21D4"/>
    <w:rsid w:val="00AB2201"/>
    <w:rsid w:val="00AB2212"/>
    <w:rsid w:val="00AB221C"/>
    <w:rsid w:val="00AB2241"/>
    <w:rsid w:val="00AB2423"/>
    <w:rsid w:val="00AB242C"/>
    <w:rsid w:val="00AB2619"/>
    <w:rsid w:val="00AB2636"/>
    <w:rsid w:val="00AB265D"/>
    <w:rsid w:val="00AB26E8"/>
    <w:rsid w:val="00AB2725"/>
    <w:rsid w:val="00AB275B"/>
    <w:rsid w:val="00AB28EE"/>
    <w:rsid w:val="00AB298F"/>
    <w:rsid w:val="00AB2994"/>
    <w:rsid w:val="00AB299A"/>
    <w:rsid w:val="00AB2A73"/>
    <w:rsid w:val="00AB2B12"/>
    <w:rsid w:val="00AB2BF7"/>
    <w:rsid w:val="00AB2C06"/>
    <w:rsid w:val="00AB2C17"/>
    <w:rsid w:val="00AB2C79"/>
    <w:rsid w:val="00AB2D32"/>
    <w:rsid w:val="00AB2E61"/>
    <w:rsid w:val="00AB2EAC"/>
    <w:rsid w:val="00AB2F1F"/>
    <w:rsid w:val="00AB2F8D"/>
    <w:rsid w:val="00AB2FF2"/>
    <w:rsid w:val="00AB3034"/>
    <w:rsid w:val="00AB30C2"/>
    <w:rsid w:val="00AB30FE"/>
    <w:rsid w:val="00AB3105"/>
    <w:rsid w:val="00AB32B2"/>
    <w:rsid w:val="00AB3359"/>
    <w:rsid w:val="00AB3632"/>
    <w:rsid w:val="00AB369C"/>
    <w:rsid w:val="00AB36B3"/>
    <w:rsid w:val="00AB370C"/>
    <w:rsid w:val="00AB3760"/>
    <w:rsid w:val="00AB37E9"/>
    <w:rsid w:val="00AB390E"/>
    <w:rsid w:val="00AB398B"/>
    <w:rsid w:val="00AB3999"/>
    <w:rsid w:val="00AB39E0"/>
    <w:rsid w:val="00AB3A0A"/>
    <w:rsid w:val="00AB3A9E"/>
    <w:rsid w:val="00AB3AC4"/>
    <w:rsid w:val="00AB3BB5"/>
    <w:rsid w:val="00AB3BED"/>
    <w:rsid w:val="00AB3BF1"/>
    <w:rsid w:val="00AB3C1C"/>
    <w:rsid w:val="00AB3CAE"/>
    <w:rsid w:val="00AB3E90"/>
    <w:rsid w:val="00AB3EA2"/>
    <w:rsid w:val="00AB3FC6"/>
    <w:rsid w:val="00AB406F"/>
    <w:rsid w:val="00AB4071"/>
    <w:rsid w:val="00AB433F"/>
    <w:rsid w:val="00AB4616"/>
    <w:rsid w:val="00AB470F"/>
    <w:rsid w:val="00AB4748"/>
    <w:rsid w:val="00AB4794"/>
    <w:rsid w:val="00AB47AC"/>
    <w:rsid w:val="00AB4844"/>
    <w:rsid w:val="00AB49B6"/>
    <w:rsid w:val="00AB4A61"/>
    <w:rsid w:val="00AB4BA8"/>
    <w:rsid w:val="00AB4C3F"/>
    <w:rsid w:val="00AB4C52"/>
    <w:rsid w:val="00AB4D01"/>
    <w:rsid w:val="00AB4D40"/>
    <w:rsid w:val="00AB4DB3"/>
    <w:rsid w:val="00AB4DED"/>
    <w:rsid w:val="00AB4EE2"/>
    <w:rsid w:val="00AB4F64"/>
    <w:rsid w:val="00AB500A"/>
    <w:rsid w:val="00AB50D2"/>
    <w:rsid w:val="00AB51B0"/>
    <w:rsid w:val="00AB5220"/>
    <w:rsid w:val="00AB52FA"/>
    <w:rsid w:val="00AB531D"/>
    <w:rsid w:val="00AB542A"/>
    <w:rsid w:val="00AB5440"/>
    <w:rsid w:val="00AB5466"/>
    <w:rsid w:val="00AB55F4"/>
    <w:rsid w:val="00AB5656"/>
    <w:rsid w:val="00AB56D1"/>
    <w:rsid w:val="00AB594D"/>
    <w:rsid w:val="00AB5987"/>
    <w:rsid w:val="00AB59DF"/>
    <w:rsid w:val="00AB5A12"/>
    <w:rsid w:val="00AB5A24"/>
    <w:rsid w:val="00AB5A28"/>
    <w:rsid w:val="00AB5A73"/>
    <w:rsid w:val="00AB5A82"/>
    <w:rsid w:val="00AB5B60"/>
    <w:rsid w:val="00AB5CA1"/>
    <w:rsid w:val="00AB5D20"/>
    <w:rsid w:val="00AB5E07"/>
    <w:rsid w:val="00AB5EBB"/>
    <w:rsid w:val="00AB5ECF"/>
    <w:rsid w:val="00AB608D"/>
    <w:rsid w:val="00AB609C"/>
    <w:rsid w:val="00AB60C6"/>
    <w:rsid w:val="00AB6119"/>
    <w:rsid w:val="00AB6127"/>
    <w:rsid w:val="00AB612A"/>
    <w:rsid w:val="00AB61A3"/>
    <w:rsid w:val="00AB61BA"/>
    <w:rsid w:val="00AB61C0"/>
    <w:rsid w:val="00AB61C9"/>
    <w:rsid w:val="00AB626F"/>
    <w:rsid w:val="00AB639D"/>
    <w:rsid w:val="00AB639E"/>
    <w:rsid w:val="00AB6442"/>
    <w:rsid w:val="00AB6467"/>
    <w:rsid w:val="00AB64FB"/>
    <w:rsid w:val="00AB6556"/>
    <w:rsid w:val="00AB66A4"/>
    <w:rsid w:val="00AB6724"/>
    <w:rsid w:val="00AB6768"/>
    <w:rsid w:val="00AB678F"/>
    <w:rsid w:val="00AB67A6"/>
    <w:rsid w:val="00AB67F1"/>
    <w:rsid w:val="00AB67F7"/>
    <w:rsid w:val="00AB682D"/>
    <w:rsid w:val="00AB688A"/>
    <w:rsid w:val="00AB6976"/>
    <w:rsid w:val="00AB6AE3"/>
    <w:rsid w:val="00AB6C51"/>
    <w:rsid w:val="00AB6DC2"/>
    <w:rsid w:val="00AB6DDE"/>
    <w:rsid w:val="00AB6E42"/>
    <w:rsid w:val="00AB6F12"/>
    <w:rsid w:val="00AB6F88"/>
    <w:rsid w:val="00AB700E"/>
    <w:rsid w:val="00AB701D"/>
    <w:rsid w:val="00AB7036"/>
    <w:rsid w:val="00AB70CF"/>
    <w:rsid w:val="00AB71EA"/>
    <w:rsid w:val="00AB71F8"/>
    <w:rsid w:val="00AB732E"/>
    <w:rsid w:val="00AB73B1"/>
    <w:rsid w:val="00AB75D8"/>
    <w:rsid w:val="00AB76E6"/>
    <w:rsid w:val="00AB7723"/>
    <w:rsid w:val="00AB7785"/>
    <w:rsid w:val="00AB7810"/>
    <w:rsid w:val="00AB7988"/>
    <w:rsid w:val="00AB7A81"/>
    <w:rsid w:val="00AB7A82"/>
    <w:rsid w:val="00AB7A93"/>
    <w:rsid w:val="00AB7AC3"/>
    <w:rsid w:val="00AB7B90"/>
    <w:rsid w:val="00AB7C0F"/>
    <w:rsid w:val="00AB7DA4"/>
    <w:rsid w:val="00AB7DC3"/>
    <w:rsid w:val="00AB7E09"/>
    <w:rsid w:val="00AB7E62"/>
    <w:rsid w:val="00AB7E78"/>
    <w:rsid w:val="00AB7E98"/>
    <w:rsid w:val="00AB7F63"/>
    <w:rsid w:val="00AC003E"/>
    <w:rsid w:val="00AC03B3"/>
    <w:rsid w:val="00AC03F9"/>
    <w:rsid w:val="00AC0493"/>
    <w:rsid w:val="00AC04ED"/>
    <w:rsid w:val="00AC05D3"/>
    <w:rsid w:val="00AC05E7"/>
    <w:rsid w:val="00AC062A"/>
    <w:rsid w:val="00AC0632"/>
    <w:rsid w:val="00AC06FF"/>
    <w:rsid w:val="00AC08D2"/>
    <w:rsid w:val="00AC08E4"/>
    <w:rsid w:val="00AC094D"/>
    <w:rsid w:val="00AC0A21"/>
    <w:rsid w:val="00AC0A9F"/>
    <w:rsid w:val="00AC0B03"/>
    <w:rsid w:val="00AC0CA5"/>
    <w:rsid w:val="00AC0CD7"/>
    <w:rsid w:val="00AC0CDF"/>
    <w:rsid w:val="00AC108C"/>
    <w:rsid w:val="00AC1098"/>
    <w:rsid w:val="00AC1270"/>
    <w:rsid w:val="00AC1290"/>
    <w:rsid w:val="00AC12E4"/>
    <w:rsid w:val="00AC12F9"/>
    <w:rsid w:val="00AC1390"/>
    <w:rsid w:val="00AC14C7"/>
    <w:rsid w:val="00AC1503"/>
    <w:rsid w:val="00AC1538"/>
    <w:rsid w:val="00AC1576"/>
    <w:rsid w:val="00AC1710"/>
    <w:rsid w:val="00AC17B8"/>
    <w:rsid w:val="00AC184D"/>
    <w:rsid w:val="00AC19EB"/>
    <w:rsid w:val="00AC1A1C"/>
    <w:rsid w:val="00AC1AD7"/>
    <w:rsid w:val="00AC1B70"/>
    <w:rsid w:val="00AC1C2C"/>
    <w:rsid w:val="00AC1C47"/>
    <w:rsid w:val="00AC1C5F"/>
    <w:rsid w:val="00AC1D06"/>
    <w:rsid w:val="00AC1D3D"/>
    <w:rsid w:val="00AC1EA6"/>
    <w:rsid w:val="00AC1EC5"/>
    <w:rsid w:val="00AC1F38"/>
    <w:rsid w:val="00AC1F48"/>
    <w:rsid w:val="00AC1F67"/>
    <w:rsid w:val="00AC1FB2"/>
    <w:rsid w:val="00AC1FF9"/>
    <w:rsid w:val="00AC2028"/>
    <w:rsid w:val="00AC20CC"/>
    <w:rsid w:val="00AC20F0"/>
    <w:rsid w:val="00AC21EC"/>
    <w:rsid w:val="00AC2281"/>
    <w:rsid w:val="00AC228D"/>
    <w:rsid w:val="00AC22C2"/>
    <w:rsid w:val="00AC2304"/>
    <w:rsid w:val="00AC2341"/>
    <w:rsid w:val="00AC2445"/>
    <w:rsid w:val="00AC244A"/>
    <w:rsid w:val="00AC2450"/>
    <w:rsid w:val="00AC262D"/>
    <w:rsid w:val="00AC2686"/>
    <w:rsid w:val="00AC26E9"/>
    <w:rsid w:val="00AC278C"/>
    <w:rsid w:val="00AC27CC"/>
    <w:rsid w:val="00AC2833"/>
    <w:rsid w:val="00AC287A"/>
    <w:rsid w:val="00AC2886"/>
    <w:rsid w:val="00AC288E"/>
    <w:rsid w:val="00AC28AC"/>
    <w:rsid w:val="00AC28B3"/>
    <w:rsid w:val="00AC29C3"/>
    <w:rsid w:val="00AC2A73"/>
    <w:rsid w:val="00AC2B94"/>
    <w:rsid w:val="00AC2C1D"/>
    <w:rsid w:val="00AC2CB8"/>
    <w:rsid w:val="00AC2D38"/>
    <w:rsid w:val="00AC2DA8"/>
    <w:rsid w:val="00AC2E70"/>
    <w:rsid w:val="00AC306C"/>
    <w:rsid w:val="00AC30CA"/>
    <w:rsid w:val="00AC318E"/>
    <w:rsid w:val="00AC31F6"/>
    <w:rsid w:val="00AC324E"/>
    <w:rsid w:val="00AC3284"/>
    <w:rsid w:val="00AC329D"/>
    <w:rsid w:val="00AC32EA"/>
    <w:rsid w:val="00AC33A1"/>
    <w:rsid w:val="00AC3402"/>
    <w:rsid w:val="00AC341C"/>
    <w:rsid w:val="00AC3519"/>
    <w:rsid w:val="00AC361D"/>
    <w:rsid w:val="00AC37AB"/>
    <w:rsid w:val="00AC37C0"/>
    <w:rsid w:val="00AC3831"/>
    <w:rsid w:val="00AC396A"/>
    <w:rsid w:val="00AC3B04"/>
    <w:rsid w:val="00AC3B0C"/>
    <w:rsid w:val="00AC3B4C"/>
    <w:rsid w:val="00AC3BC6"/>
    <w:rsid w:val="00AC3BE7"/>
    <w:rsid w:val="00AC3C2B"/>
    <w:rsid w:val="00AC3C45"/>
    <w:rsid w:val="00AC3C87"/>
    <w:rsid w:val="00AC3CD3"/>
    <w:rsid w:val="00AC3D0F"/>
    <w:rsid w:val="00AC3D87"/>
    <w:rsid w:val="00AC3DC7"/>
    <w:rsid w:val="00AC3E2E"/>
    <w:rsid w:val="00AC3E8A"/>
    <w:rsid w:val="00AC3F1A"/>
    <w:rsid w:val="00AC3F73"/>
    <w:rsid w:val="00AC4033"/>
    <w:rsid w:val="00AC40BE"/>
    <w:rsid w:val="00AC40C5"/>
    <w:rsid w:val="00AC4220"/>
    <w:rsid w:val="00AC4298"/>
    <w:rsid w:val="00AC42E3"/>
    <w:rsid w:val="00AC4422"/>
    <w:rsid w:val="00AC450A"/>
    <w:rsid w:val="00AC45A9"/>
    <w:rsid w:val="00AC461A"/>
    <w:rsid w:val="00AC488B"/>
    <w:rsid w:val="00AC48A1"/>
    <w:rsid w:val="00AC4931"/>
    <w:rsid w:val="00AC4A51"/>
    <w:rsid w:val="00AC4AED"/>
    <w:rsid w:val="00AC4B13"/>
    <w:rsid w:val="00AC4D3F"/>
    <w:rsid w:val="00AC4D8B"/>
    <w:rsid w:val="00AC5084"/>
    <w:rsid w:val="00AC50FE"/>
    <w:rsid w:val="00AC5165"/>
    <w:rsid w:val="00AC5180"/>
    <w:rsid w:val="00AC51A6"/>
    <w:rsid w:val="00AC51CC"/>
    <w:rsid w:val="00AC5290"/>
    <w:rsid w:val="00AC539B"/>
    <w:rsid w:val="00AC541B"/>
    <w:rsid w:val="00AC54E7"/>
    <w:rsid w:val="00AC571A"/>
    <w:rsid w:val="00AC58A4"/>
    <w:rsid w:val="00AC58E4"/>
    <w:rsid w:val="00AC595E"/>
    <w:rsid w:val="00AC59DD"/>
    <w:rsid w:val="00AC5AA5"/>
    <w:rsid w:val="00AC5AFD"/>
    <w:rsid w:val="00AC5BA4"/>
    <w:rsid w:val="00AC5BF7"/>
    <w:rsid w:val="00AC5CF4"/>
    <w:rsid w:val="00AC5E01"/>
    <w:rsid w:val="00AC5E07"/>
    <w:rsid w:val="00AC5F04"/>
    <w:rsid w:val="00AC5F74"/>
    <w:rsid w:val="00AC5FBC"/>
    <w:rsid w:val="00AC615C"/>
    <w:rsid w:val="00AC6227"/>
    <w:rsid w:val="00AC6250"/>
    <w:rsid w:val="00AC62F2"/>
    <w:rsid w:val="00AC63C7"/>
    <w:rsid w:val="00AC63E5"/>
    <w:rsid w:val="00AC65D2"/>
    <w:rsid w:val="00AC661A"/>
    <w:rsid w:val="00AC66DE"/>
    <w:rsid w:val="00AC673F"/>
    <w:rsid w:val="00AC67DE"/>
    <w:rsid w:val="00AC6878"/>
    <w:rsid w:val="00AC687C"/>
    <w:rsid w:val="00AC6993"/>
    <w:rsid w:val="00AC69E5"/>
    <w:rsid w:val="00AC6A56"/>
    <w:rsid w:val="00AC6B19"/>
    <w:rsid w:val="00AC6C55"/>
    <w:rsid w:val="00AC6CB7"/>
    <w:rsid w:val="00AC6D90"/>
    <w:rsid w:val="00AC6DD0"/>
    <w:rsid w:val="00AC6F79"/>
    <w:rsid w:val="00AC7060"/>
    <w:rsid w:val="00AC7098"/>
    <w:rsid w:val="00AC70FC"/>
    <w:rsid w:val="00AC7101"/>
    <w:rsid w:val="00AC710A"/>
    <w:rsid w:val="00AC7115"/>
    <w:rsid w:val="00AC711A"/>
    <w:rsid w:val="00AC718A"/>
    <w:rsid w:val="00AC71FC"/>
    <w:rsid w:val="00AC7267"/>
    <w:rsid w:val="00AC72A9"/>
    <w:rsid w:val="00AC7330"/>
    <w:rsid w:val="00AC7452"/>
    <w:rsid w:val="00AC753A"/>
    <w:rsid w:val="00AC758E"/>
    <w:rsid w:val="00AC75E7"/>
    <w:rsid w:val="00AC764D"/>
    <w:rsid w:val="00AC7661"/>
    <w:rsid w:val="00AC769F"/>
    <w:rsid w:val="00AC76A2"/>
    <w:rsid w:val="00AC77B4"/>
    <w:rsid w:val="00AC795E"/>
    <w:rsid w:val="00AC79BF"/>
    <w:rsid w:val="00AC7A6D"/>
    <w:rsid w:val="00AC7A70"/>
    <w:rsid w:val="00AC7BEA"/>
    <w:rsid w:val="00AC7BF3"/>
    <w:rsid w:val="00AC7C55"/>
    <w:rsid w:val="00AC7CBA"/>
    <w:rsid w:val="00AC7F91"/>
    <w:rsid w:val="00AC7FE4"/>
    <w:rsid w:val="00AD0047"/>
    <w:rsid w:val="00AD00B7"/>
    <w:rsid w:val="00AD00D4"/>
    <w:rsid w:val="00AD012B"/>
    <w:rsid w:val="00AD0382"/>
    <w:rsid w:val="00AD0456"/>
    <w:rsid w:val="00AD049E"/>
    <w:rsid w:val="00AD0525"/>
    <w:rsid w:val="00AD055C"/>
    <w:rsid w:val="00AD05E3"/>
    <w:rsid w:val="00AD0749"/>
    <w:rsid w:val="00AD0857"/>
    <w:rsid w:val="00AD0899"/>
    <w:rsid w:val="00AD0982"/>
    <w:rsid w:val="00AD0B5F"/>
    <w:rsid w:val="00AD0BCD"/>
    <w:rsid w:val="00AD0DF5"/>
    <w:rsid w:val="00AD0E92"/>
    <w:rsid w:val="00AD0F13"/>
    <w:rsid w:val="00AD0F96"/>
    <w:rsid w:val="00AD0FE5"/>
    <w:rsid w:val="00AD0FEA"/>
    <w:rsid w:val="00AD12D0"/>
    <w:rsid w:val="00AD12E8"/>
    <w:rsid w:val="00AD12FA"/>
    <w:rsid w:val="00AD134E"/>
    <w:rsid w:val="00AD1387"/>
    <w:rsid w:val="00AD140B"/>
    <w:rsid w:val="00AD142E"/>
    <w:rsid w:val="00AD174D"/>
    <w:rsid w:val="00AD1780"/>
    <w:rsid w:val="00AD18CE"/>
    <w:rsid w:val="00AD18E2"/>
    <w:rsid w:val="00AD18E7"/>
    <w:rsid w:val="00AD192B"/>
    <w:rsid w:val="00AD198B"/>
    <w:rsid w:val="00AD19AA"/>
    <w:rsid w:val="00AD1A74"/>
    <w:rsid w:val="00AD1AC7"/>
    <w:rsid w:val="00AD1AFA"/>
    <w:rsid w:val="00AD1B99"/>
    <w:rsid w:val="00AD1C92"/>
    <w:rsid w:val="00AD1EE6"/>
    <w:rsid w:val="00AD1F63"/>
    <w:rsid w:val="00AD1F8A"/>
    <w:rsid w:val="00AD2134"/>
    <w:rsid w:val="00AD21D3"/>
    <w:rsid w:val="00AD2205"/>
    <w:rsid w:val="00AD2293"/>
    <w:rsid w:val="00AD238A"/>
    <w:rsid w:val="00AD247A"/>
    <w:rsid w:val="00AD24DD"/>
    <w:rsid w:val="00AD2573"/>
    <w:rsid w:val="00AD25EA"/>
    <w:rsid w:val="00AD2632"/>
    <w:rsid w:val="00AD26BC"/>
    <w:rsid w:val="00AD2753"/>
    <w:rsid w:val="00AD27B1"/>
    <w:rsid w:val="00AD2858"/>
    <w:rsid w:val="00AD2981"/>
    <w:rsid w:val="00AD2ADE"/>
    <w:rsid w:val="00AD2BB5"/>
    <w:rsid w:val="00AD2C27"/>
    <w:rsid w:val="00AD2C4F"/>
    <w:rsid w:val="00AD2CC5"/>
    <w:rsid w:val="00AD2CEB"/>
    <w:rsid w:val="00AD2DC7"/>
    <w:rsid w:val="00AD2E92"/>
    <w:rsid w:val="00AD2EF0"/>
    <w:rsid w:val="00AD2F11"/>
    <w:rsid w:val="00AD2F15"/>
    <w:rsid w:val="00AD2F32"/>
    <w:rsid w:val="00AD3045"/>
    <w:rsid w:val="00AD311B"/>
    <w:rsid w:val="00AD31C4"/>
    <w:rsid w:val="00AD32A0"/>
    <w:rsid w:val="00AD33D1"/>
    <w:rsid w:val="00AD33FD"/>
    <w:rsid w:val="00AD342F"/>
    <w:rsid w:val="00AD35A1"/>
    <w:rsid w:val="00AD35D5"/>
    <w:rsid w:val="00AD3646"/>
    <w:rsid w:val="00AD37FF"/>
    <w:rsid w:val="00AD3860"/>
    <w:rsid w:val="00AD389F"/>
    <w:rsid w:val="00AD38B6"/>
    <w:rsid w:val="00AD38E8"/>
    <w:rsid w:val="00AD3A10"/>
    <w:rsid w:val="00AD3A58"/>
    <w:rsid w:val="00AD3A95"/>
    <w:rsid w:val="00AD3AB1"/>
    <w:rsid w:val="00AD3B37"/>
    <w:rsid w:val="00AD3B3E"/>
    <w:rsid w:val="00AD3B7B"/>
    <w:rsid w:val="00AD3B8B"/>
    <w:rsid w:val="00AD3BCF"/>
    <w:rsid w:val="00AD3C08"/>
    <w:rsid w:val="00AD3CE0"/>
    <w:rsid w:val="00AD3E5E"/>
    <w:rsid w:val="00AD3E80"/>
    <w:rsid w:val="00AD3EC0"/>
    <w:rsid w:val="00AD3FA9"/>
    <w:rsid w:val="00AD402D"/>
    <w:rsid w:val="00AD405E"/>
    <w:rsid w:val="00AD40C9"/>
    <w:rsid w:val="00AD413E"/>
    <w:rsid w:val="00AD41F0"/>
    <w:rsid w:val="00AD436F"/>
    <w:rsid w:val="00AD4442"/>
    <w:rsid w:val="00AD46F5"/>
    <w:rsid w:val="00AD4913"/>
    <w:rsid w:val="00AD49A8"/>
    <w:rsid w:val="00AD49CF"/>
    <w:rsid w:val="00AD4AF8"/>
    <w:rsid w:val="00AD4B11"/>
    <w:rsid w:val="00AD4D71"/>
    <w:rsid w:val="00AD4DEA"/>
    <w:rsid w:val="00AD4EFB"/>
    <w:rsid w:val="00AD4FD1"/>
    <w:rsid w:val="00AD502B"/>
    <w:rsid w:val="00AD509F"/>
    <w:rsid w:val="00AD5115"/>
    <w:rsid w:val="00AD51C8"/>
    <w:rsid w:val="00AD51EA"/>
    <w:rsid w:val="00AD5208"/>
    <w:rsid w:val="00AD53D4"/>
    <w:rsid w:val="00AD5434"/>
    <w:rsid w:val="00AD547C"/>
    <w:rsid w:val="00AD5481"/>
    <w:rsid w:val="00AD5521"/>
    <w:rsid w:val="00AD558A"/>
    <w:rsid w:val="00AD5632"/>
    <w:rsid w:val="00AD569B"/>
    <w:rsid w:val="00AD57DB"/>
    <w:rsid w:val="00AD5967"/>
    <w:rsid w:val="00AD59BD"/>
    <w:rsid w:val="00AD5A5E"/>
    <w:rsid w:val="00AD5AAF"/>
    <w:rsid w:val="00AD5B46"/>
    <w:rsid w:val="00AD5C34"/>
    <w:rsid w:val="00AD5C82"/>
    <w:rsid w:val="00AD5D67"/>
    <w:rsid w:val="00AD5ED2"/>
    <w:rsid w:val="00AD61AD"/>
    <w:rsid w:val="00AD628D"/>
    <w:rsid w:val="00AD6327"/>
    <w:rsid w:val="00AD6356"/>
    <w:rsid w:val="00AD654F"/>
    <w:rsid w:val="00AD66A1"/>
    <w:rsid w:val="00AD678C"/>
    <w:rsid w:val="00AD6967"/>
    <w:rsid w:val="00AD6A6A"/>
    <w:rsid w:val="00AD6B51"/>
    <w:rsid w:val="00AD6B9B"/>
    <w:rsid w:val="00AD6C36"/>
    <w:rsid w:val="00AD6CC1"/>
    <w:rsid w:val="00AD6DF7"/>
    <w:rsid w:val="00AD6EBC"/>
    <w:rsid w:val="00AD720C"/>
    <w:rsid w:val="00AD73E8"/>
    <w:rsid w:val="00AD7423"/>
    <w:rsid w:val="00AD7488"/>
    <w:rsid w:val="00AD755E"/>
    <w:rsid w:val="00AD7623"/>
    <w:rsid w:val="00AD7643"/>
    <w:rsid w:val="00AD7832"/>
    <w:rsid w:val="00AD795B"/>
    <w:rsid w:val="00AD7AB2"/>
    <w:rsid w:val="00AD7ADF"/>
    <w:rsid w:val="00AD7B67"/>
    <w:rsid w:val="00AD7CA8"/>
    <w:rsid w:val="00AD7D00"/>
    <w:rsid w:val="00AD7D0C"/>
    <w:rsid w:val="00AD7E6C"/>
    <w:rsid w:val="00AD7F37"/>
    <w:rsid w:val="00AD7FDD"/>
    <w:rsid w:val="00AE0028"/>
    <w:rsid w:val="00AE0047"/>
    <w:rsid w:val="00AE0167"/>
    <w:rsid w:val="00AE01A6"/>
    <w:rsid w:val="00AE01B2"/>
    <w:rsid w:val="00AE0282"/>
    <w:rsid w:val="00AE0313"/>
    <w:rsid w:val="00AE03E9"/>
    <w:rsid w:val="00AE0401"/>
    <w:rsid w:val="00AE0581"/>
    <w:rsid w:val="00AE061C"/>
    <w:rsid w:val="00AE0663"/>
    <w:rsid w:val="00AE0682"/>
    <w:rsid w:val="00AE0781"/>
    <w:rsid w:val="00AE07AF"/>
    <w:rsid w:val="00AE07FF"/>
    <w:rsid w:val="00AE0826"/>
    <w:rsid w:val="00AE08AE"/>
    <w:rsid w:val="00AE09CF"/>
    <w:rsid w:val="00AE0BF8"/>
    <w:rsid w:val="00AE0C0B"/>
    <w:rsid w:val="00AE0D36"/>
    <w:rsid w:val="00AE0D6D"/>
    <w:rsid w:val="00AE0E77"/>
    <w:rsid w:val="00AE0F42"/>
    <w:rsid w:val="00AE0F48"/>
    <w:rsid w:val="00AE1007"/>
    <w:rsid w:val="00AE1099"/>
    <w:rsid w:val="00AE10E2"/>
    <w:rsid w:val="00AE10E9"/>
    <w:rsid w:val="00AE1128"/>
    <w:rsid w:val="00AE1168"/>
    <w:rsid w:val="00AE11A5"/>
    <w:rsid w:val="00AE1280"/>
    <w:rsid w:val="00AE1369"/>
    <w:rsid w:val="00AE13E8"/>
    <w:rsid w:val="00AE14D4"/>
    <w:rsid w:val="00AE14E4"/>
    <w:rsid w:val="00AE1510"/>
    <w:rsid w:val="00AE154F"/>
    <w:rsid w:val="00AE15BB"/>
    <w:rsid w:val="00AE15EA"/>
    <w:rsid w:val="00AE186F"/>
    <w:rsid w:val="00AE1937"/>
    <w:rsid w:val="00AE1942"/>
    <w:rsid w:val="00AE19E5"/>
    <w:rsid w:val="00AE19FA"/>
    <w:rsid w:val="00AE1A10"/>
    <w:rsid w:val="00AE1BD4"/>
    <w:rsid w:val="00AE1CE6"/>
    <w:rsid w:val="00AE1E08"/>
    <w:rsid w:val="00AE1E60"/>
    <w:rsid w:val="00AE1EA5"/>
    <w:rsid w:val="00AE1F3C"/>
    <w:rsid w:val="00AE1F4C"/>
    <w:rsid w:val="00AE1F80"/>
    <w:rsid w:val="00AE1FEF"/>
    <w:rsid w:val="00AE2095"/>
    <w:rsid w:val="00AE20C8"/>
    <w:rsid w:val="00AE20D0"/>
    <w:rsid w:val="00AE212E"/>
    <w:rsid w:val="00AE225E"/>
    <w:rsid w:val="00AE24E1"/>
    <w:rsid w:val="00AE24FD"/>
    <w:rsid w:val="00AE2561"/>
    <w:rsid w:val="00AE2623"/>
    <w:rsid w:val="00AE26E5"/>
    <w:rsid w:val="00AE2731"/>
    <w:rsid w:val="00AE2773"/>
    <w:rsid w:val="00AE27AE"/>
    <w:rsid w:val="00AE27E8"/>
    <w:rsid w:val="00AE2802"/>
    <w:rsid w:val="00AE2843"/>
    <w:rsid w:val="00AE2916"/>
    <w:rsid w:val="00AE2C4C"/>
    <w:rsid w:val="00AE2CF4"/>
    <w:rsid w:val="00AE2D0E"/>
    <w:rsid w:val="00AE2DC7"/>
    <w:rsid w:val="00AE2EFB"/>
    <w:rsid w:val="00AE2F1C"/>
    <w:rsid w:val="00AE2F25"/>
    <w:rsid w:val="00AE2F3E"/>
    <w:rsid w:val="00AE2FDB"/>
    <w:rsid w:val="00AE3101"/>
    <w:rsid w:val="00AE3123"/>
    <w:rsid w:val="00AE322D"/>
    <w:rsid w:val="00AE32B2"/>
    <w:rsid w:val="00AE3318"/>
    <w:rsid w:val="00AE3560"/>
    <w:rsid w:val="00AE364C"/>
    <w:rsid w:val="00AE368F"/>
    <w:rsid w:val="00AE3A54"/>
    <w:rsid w:val="00AE3B2D"/>
    <w:rsid w:val="00AE3BA2"/>
    <w:rsid w:val="00AE3BBF"/>
    <w:rsid w:val="00AE3C03"/>
    <w:rsid w:val="00AE3D0D"/>
    <w:rsid w:val="00AE3D7B"/>
    <w:rsid w:val="00AE3DFB"/>
    <w:rsid w:val="00AE3E50"/>
    <w:rsid w:val="00AE3E96"/>
    <w:rsid w:val="00AE3F0E"/>
    <w:rsid w:val="00AE3FFC"/>
    <w:rsid w:val="00AE4105"/>
    <w:rsid w:val="00AE4227"/>
    <w:rsid w:val="00AE432B"/>
    <w:rsid w:val="00AE43FA"/>
    <w:rsid w:val="00AE441E"/>
    <w:rsid w:val="00AE4511"/>
    <w:rsid w:val="00AE459C"/>
    <w:rsid w:val="00AE464D"/>
    <w:rsid w:val="00AE46F9"/>
    <w:rsid w:val="00AE47E9"/>
    <w:rsid w:val="00AE481B"/>
    <w:rsid w:val="00AE4A9F"/>
    <w:rsid w:val="00AE4BC3"/>
    <w:rsid w:val="00AE4D05"/>
    <w:rsid w:val="00AE4D4F"/>
    <w:rsid w:val="00AE4DAA"/>
    <w:rsid w:val="00AE4E06"/>
    <w:rsid w:val="00AE4ED7"/>
    <w:rsid w:val="00AE4F27"/>
    <w:rsid w:val="00AE4FF2"/>
    <w:rsid w:val="00AE5052"/>
    <w:rsid w:val="00AE50A6"/>
    <w:rsid w:val="00AE50A8"/>
    <w:rsid w:val="00AE515B"/>
    <w:rsid w:val="00AE52D5"/>
    <w:rsid w:val="00AE5384"/>
    <w:rsid w:val="00AE546E"/>
    <w:rsid w:val="00AE548C"/>
    <w:rsid w:val="00AE54CA"/>
    <w:rsid w:val="00AE5628"/>
    <w:rsid w:val="00AE562D"/>
    <w:rsid w:val="00AE566A"/>
    <w:rsid w:val="00AE572B"/>
    <w:rsid w:val="00AE580C"/>
    <w:rsid w:val="00AE583E"/>
    <w:rsid w:val="00AE5840"/>
    <w:rsid w:val="00AE59AC"/>
    <w:rsid w:val="00AE59BE"/>
    <w:rsid w:val="00AE5A0B"/>
    <w:rsid w:val="00AE5BB2"/>
    <w:rsid w:val="00AE5C49"/>
    <w:rsid w:val="00AE5C9B"/>
    <w:rsid w:val="00AE5D03"/>
    <w:rsid w:val="00AE5D17"/>
    <w:rsid w:val="00AE5E26"/>
    <w:rsid w:val="00AE5EE6"/>
    <w:rsid w:val="00AE6052"/>
    <w:rsid w:val="00AE6133"/>
    <w:rsid w:val="00AE6184"/>
    <w:rsid w:val="00AE625A"/>
    <w:rsid w:val="00AE63AD"/>
    <w:rsid w:val="00AE641C"/>
    <w:rsid w:val="00AE6456"/>
    <w:rsid w:val="00AE663B"/>
    <w:rsid w:val="00AE66B1"/>
    <w:rsid w:val="00AE66D5"/>
    <w:rsid w:val="00AE6732"/>
    <w:rsid w:val="00AE6901"/>
    <w:rsid w:val="00AE693A"/>
    <w:rsid w:val="00AE69B2"/>
    <w:rsid w:val="00AE69D1"/>
    <w:rsid w:val="00AE6A96"/>
    <w:rsid w:val="00AE6AAE"/>
    <w:rsid w:val="00AE6B0D"/>
    <w:rsid w:val="00AE6BC3"/>
    <w:rsid w:val="00AE6BC5"/>
    <w:rsid w:val="00AE6C38"/>
    <w:rsid w:val="00AE6D07"/>
    <w:rsid w:val="00AE6D49"/>
    <w:rsid w:val="00AE6DEC"/>
    <w:rsid w:val="00AE6E39"/>
    <w:rsid w:val="00AE6E40"/>
    <w:rsid w:val="00AE710F"/>
    <w:rsid w:val="00AE7113"/>
    <w:rsid w:val="00AE7197"/>
    <w:rsid w:val="00AE719A"/>
    <w:rsid w:val="00AE71AD"/>
    <w:rsid w:val="00AE71AF"/>
    <w:rsid w:val="00AE71BB"/>
    <w:rsid w:val="00AE720E"/>
    <w:rsid w:val="00AE7255"/>
    <w:rsid w:val="00AE72D0"/>
    <w:rsid w:val="00AE7329"/>
    <w:rsid w:val="00AE74F0"/>
    <w:rsid w:val="00AE7540"/>
    <w:rsid w:val="00AE75DC"/>
    <w:rsid w:val="00AE761B"/>
    <w:rsid w:val="00AE7658"/>
    <w:rsid w:val="00AE76C1"/>
    <w:rsid w:val="00AE76EA"/>
    <w:rsid w:val="00AE772A"/>
    <w:rsid w:val="00AE7740"/>
    <w:rsid w:val="00AE77AE"/>
    <w:rsid w:val="00AE77D2"/>
    <w:rsid w:val="00AE77D9"/>
    <w:rsid w:val="00AE7900"/>
    <w:rsid w:val="00AE7940"/>
    <w:rsid w:val="00AE79CA"/>
    <w:rsid w:val="00AE7A53"/>
    <w:rsid w:val="00AE7A81"/>
    <w:rsid w:val="00AE7A95"/>
    <w:rsid w:val="00AE7AC8"/>
    <w:rsid w:val="00AE7B18"/>
    <w:rsid w:val="00AE7B4E"/>
    <w:rsid w:val="00AE7BDA"/>
    <w:rsid w:val="00AE7C3A"/>
    <w:rsid w:val="00AE7C76"/>
    <w:rsid w:val="00AE7D57"/>
    <w:rsid w:val="00AE7D5C"/>
    <w:rsid w:val="00AE7DF0"/>
    <w:rsid w:val="00AE7EE7"/>
    <w:rsid w:val="00AE7F75"/>
    <w:rsid w:val="00AE7FB1"/>
    <w:rsid w:val="00AF00A5"/>
    <w:rsid w:val="00AF0146"/>
    <w:rsid w:val="00AF0195"/>
    <w:rsid w:val="00AF0209"/>
    <w:rsid w:val="00AF0297"/>
    <w:rsid w:val="00AF02C3"/>
    <w:rsid w:val="00AF0371"/>
    <w:rsid w:val="00AF039F"/>
    <w:rsid w:val="00AF0439"/>
    <w:rsid w:val="00AF049E"/>
    <w:rsid w:val="00AF04D3"/>
    <w:rsid w:val="00AF0725"/>
    <w:rsid w:val="00AF09C7"/>
    <w:rsid w:val="00AF0B3D"/>
    <w:rsid w:val="00AF0B5C"/>
    <w:rsid w:val="00AF0BCA"/>
    <w:rsid w:val="00AF0CD6"/>
    <w:rsid w:val="00AF0D0D"/>
    <w:rsid w:val="00AF0D53"/>
    <w:rsid w:val="00AF0D65"/>
    <w:rsid w:val="00AF0E6F"/>
    <w:rsid w:val="00AF0EAA"/>
    <w:rsid w:val="00AF0FCB"/>
    <w:rsid w:val="00AF1014"/>
    <w:rsid w:val="00AF119D"/>
    <w:rsid w:val="00AF11A1"/>
    <w:rsid w:val="00AF11E3"/>
    <w:rsid w:val="00AF132C"/>
    <w:rsid w:val="00AF137B"/>
    <w:rsid w:val="00AF13B0"/>
    <w:rsid w:val="00AF13FD"/>
    <w:rsid w:val="00AF14BD"/>
    <w:rsid w:val="00AF14C8"/>
    <w:rsid w:val="00AF1725"/>
    <w:rsid w:val="00AF1770"/>
    <w:rsid w:val="00AF1874"/>
    <w:rsid w:val="00AF18B3"/>
    <w:rsid w:val="00AF18C7"/>
    <w:rsid w:val="00AF1910"/>
    <w:rsid w:val="00AF1930"/>
    <w:rsid w:val="00AF198D"/>
    <w:rsid w:val="00AF1A47"/>
    <w:rsid w:val="00AF1AB0"/>
    <w:rsid w:val="00AF1B16"/>
    <w:rsid w:val="00AF1BDB"/>
    <w:rsid w:val="00AF1C4F"/>
    <w:rsid w:val="00AF1DFA"/>
    <w:rsid w:val="00AF1E3C"/>
    <w:rsid w:val="00AF1F49"/>
    <w:rsid w:val="00AF2009"/>
    <w:rsid w:val="00AF2065"/>
    <w:rsid w:val="00AF20AA"/>
    <w:rsid w:val="00AF2189"/>
    <w:rsid w:val="00AF2255"/>
    <w:rsid w:val="00AF22F9"/>
    <w:rsid w:val="00AF2406"/>
    <w:rsid w:val="00AF2448"/>
    <w:rsid w:val="00AF2450"/>
    <w:rsid w:val="00AF24DE"/>
    <w:rsid w:val="00AF27EB"/>
    <w:rsid w:val="00AF2820"/>
    <w:rsid w:val="00AF285F"/>
    <w:rsid w:val="00AF28CE"/>
    <w:rsid w:val="00AF2A69"/>
    <w:rsid w:val="00AF2A94"/>
    <w:rsid w:val="00AF2AE3"/>
    <w:rsid w:val="00AF2B01"/>
    <w:rsid w:val="00AF2B0D"/>
    <w:rsid w:val="00AF2B2D"/>
    <w:rsid w:val="00AF2B40"/>
    <w:rsid w:val="00AF2B85"/>
    <w:rsid w:val="00AF2BD4"/>
    <w:rsid w:val="00AF2C56"/>
    <w:rsid w:val="00AF2CF0"/>
    <w:rsid w:val="00AF2D4E"/>
    <w:rsid w:val="00AF2DA9"/>
    <w:rsid w:val="00AF2F28"/>
    <w:rsid w:val="00AF2F61"/>
    <w:rsid w:val="00AF303F"/>
    <w:rsid w:val="00AF3195"/>
    <w:rsid w:val="00AF31A5"/>
    <w:rsid w:val="00AF3252"/>
    <w:rsid w:val="00AF32D5"/>
    <w:rsid w:val="00AF32E5"/>
    <w:rsid w:val="00AF3428"/>
    <w:rsid w:val="00AF357D"/>
    <w:rsid w:val="00AF366C"/>
    <w:rsid w:val="00AF3671"/>
    <w:rsid w:val="00AF36AA"/>
    <w:rsid w:val="00AF3707"/>
    <w:rsid w:val="00AF37B0"/>
    <w:rsid w:val="00AF38D0"/>
    <w:rsid w:val="00AF38FF"/>
    <w:rsid w:val="00AF395A"/>
    <w:rsid w:val="00AF39CC"/>
    <w:rsid w:val="00AF3A9F"/>
    <w:rsid w:val="00AF3AAD"/>
    <w:rsid w:val="00AF3B2D"/>
    <w:rsid w:val="00AF3CA5"/>
    <w:rsid w:val="00AF3CD3"/>
    <w:rsid w:val="00AF3D0E"/>
    <w:rsid w:val="00AF3D32"/>
    <w:rsid w:val="00AF3DB8"/>
    <w:rsid w:val="00AF3E30"/>
    <w:rsid w:val="00AF3EAF"/>
    <w:rsid w:val="00AF3FA3"/>
    <w:rsid w:val="00AF3FCD"/>
    <w:rsid w:val="00AF405D"/>
    <w:rsid w:val="00AF4094"/>
    <w:rsid w:val="00AF4110"/>
    <w:rsid w:val="00AF4138"/>
    <w:rsid w:val="00AF4225"/>
    <w:rsid w:val="00AF4229"/>
    <w:rsid w:val="00AF42AD"/>
    <w:rsid w:val="00AF4569"/>
    <w:rsid w:val="00AF45F3"/>
    <w:rsid w:val="00AF4654"/>
    <w:rsid w:val="00AF4685"/>
    <w:rsid w:val="00AF46FA"/>
    <w:rsid w:val="00AF47C0"/>
    <w:rsid w:val="00AF47D6"/>
    <w:rsid w:val="00AF4871"/>
    <w:rsid w:val="00AF48BB"/>
    <w:rsid w:val="00AF48F6"/>
    <w:rsid w:val="00AF4C2A"/>
    <w:rsid w:val="00AF4FCB"/>
    <w:rsid w:val="00AF4FF8"/>
    <w:rsid w:val="00AF503E"/>
    <w:rsid w:val="00AF5044"/>
    <w:rsid w:val="00AF5074"/>
    <w:rsid w:val="00AF510C"/>
    <w:rsid w:val="00AF5178"/>
    <w:rsid w:val="00AF5214"/>
    <w:rsid w:val="00AF523A"/>
    <w:rsid w:val="00AF5376"/>
    <w:rsid w:val="00AF53A1"/>
    <w:rsid w:val="00AF5568"/>
    <w:rsid w:val="00AF564D"/>
    <w:rsid w:val="00AF56C1"/>
    <w:rsid w:val="00AF579E"/>
    <w:rsid w:val="00AF57F1"/>
    <w:rsid w:val="00AF5B28"/>
    <w:rsid w:val="00AF5C32"/>
    <w:rsid w:val="00AF5CB2"/>
    <w:rsid w:val="00AF5CD2"/>
    <w:rsid w:val="00AF5CD5"/>
    <w:rsid w:val="00AF5D6A"/>
    <w:rsid w:val="00AF600A"/>
    <w:rsid w:val="00AF6093"/>
    <w:rsid w:val="00AF61B6"/>
    <w:rsid w:val="00AF6218"/>
    <w:rsid w:val="00AF6334"/>
    <w:rsid w:val="00AF633E"/>
    <w:rsid w:val="00AF63C4"/>
    <w:rsid w:val="00AF63DF"/>
    <w:rsid w:val="00AF647F"/>
    <w:rsid w:val="00AF6510"/>
    <w:rsid w:val="00AF6573"/>
    <w:rsid w:val="00AF65EB"/>
    <w:rsid w:val="00AF65FD"/>
    <w:rsid w:val="00AF66BC"/>
    <w:rsid w:val="00AF670C"/>
    <w:rsid w:val="00AF67E4"/>
    <w:rsid w:val="00AF6867"/>
    <w:rsid w:val="00AF68F4"/>
    <w:rsid w:val="00AF6901"/>
    <w:rsid w:val="00AF6914"/>
    <w:rsid w:val="00AF6A50"/>
    <w:rsid w:val="00AF6A7B"/>
    <w:rsid w:val="00AF6B01"/>
    <w:rsid w:val="00AF6B24"/>
    <w:rsid w:val="00AF6B9C"/>
    <w:rsid w:val="00AF6E05"/>
    <w:rsid w:val="00AF6EE2"/>
    <w:rsid w:val="00AF6F0C"/>
    <w:rsid w:val="00AF6FC4"/>
    <w:rsid w:val="00AF7037"/>
    <w:rsid w:val="00AF70DD"/>
    <w:rsid w:val="00AF70EF"/>
    <w:rsid w:val="00AF71C4"/>
    <w:rsid w:val="00AF722D"/>
    <w:rsid w:val="00AF72DB"/>
    <w:rsid w:val="00AF7340"/>
    <w:rsid w:val="00AF7410"/>
    <w:rsid w:val="00AF748E"/>
    <w:rsid w:val="00AF766C"/>
    <w:rsid w:val="00AF7745"/>
    <w:rsid w:val="00AF776E"/>
    <w:rsid w:val="00AF7795"/>
    <w:rsid w:val="00AF77B0"/>
    <w:rsid w:val="00AF77D9"/>
    <w:rsid w:val="00AF782A"/>
    <w:rsid w:val="00AF790C"/>
    <w:rsid w:val="00AF7998"/>
    <w:rsid w:val="00AF7A0D"/>
    <w:rsid w:val="00AF7B8B"/>
    <w:rsid w:val="00AF7BA6"/>
    <w:rsid w:val="00AF7C12"/>
    <w:rsid w:val="00AF7C88"/>
    <w:rsid w:val="00AF7C8C"/>
    <w:rsid w:val="00AF7CB9"/>
    <w:rsid w:val="00AF7CDF"/>
    <w:rsid w:val="00AF7D11"/>
    <w:rsid w:val="00AF7D81"/>
    <w:rsid w:val="00AF7EC2"/>
    <w:rsid w:val="00AF7EE2"/>
    <w:rsid w:val="00AF7F21"/>
    <w:rsid w:val="00AF7F41"/>
    <w:rsid w:val="00AF7FC9"/>
    <w:rsid w:val="00B0004C"/>
    <w:rsid w:val="00B0020B"/>
    <w:rsid w:val="00B00347"/>
    <w:rsid w:val="00B003C9"/>
    <w:rsid w:val="00B00470"/>
    <w:rsid w:val="00B005B4"/>
    <w:rsid w:val="00B00651"/>
    <w:rsid w:val="00B007F5"/>
    <w:rsid w:val="00B008C2"/>
    <w:rsid w:val="00B00933"/>
    <w:rsid w:val="00B00975"/>
    <w:rsid w:val="00B0097F"/>
    <w:rsid w:val="00B009A1"/>
    <w:rsid w:val="00B00B6B"/>
    <w:rsid w:val="00B00C78"/>
    <w:rsid w:val="00B00DB2"/>
    <w:rsid w:val="00B00E47"/>
    <w:rsid w:val="00B00E4D"/>
    <w:rsid w:val="00B00EF6"/>
    <w:rsid w:val="00B00F3E"/>
    <w:rsid w:val="00B01021"/>
    <w:rsid w:val="00B01034"/>
    <w:rsid w:val="00B01053"/>
    <w:rsid w:val="00B01065"/>
    <w:rsid w:val="00B01088"/>
    <w:rsid w:val="00B01195"/>
    <w:rsid w:val="00B01196"/>
    <w:rsid w:val="00B01209"/>
    <w:rsid w:val="00B013CD"/>
    <w:rsid w:val="00B015E6"/>
    <w:rsid w:val="00B016AB"/>
    <w:rsid w:val="00B016C7"/>
    <w:rsid w:val="00B016CF"/>
    <w:rsid w:val="00B016F1"/>
    <w:rsid w:val="00B017C3"/>
    <w:rsid w:val="00B0181E"/>
    <w:rsid w:val="00B019B7"/>
    <w:rsid w:val="00B01AF7"/>
    <w:rsid w:val="00B01AFF"/>
    <w:rsid w:val="00B01B1F"/>
    <w:rsid w:val="00B01BA3"/>
    <w:rsid w:val="00B01BD5"/>
    <w:rsid w:val="00B01BDF"/>
    <w:rsid w:val="00B01DB1"/>
    <w:rsid w:val="00B01EA2"/>
    <w:rsid w:val="00B01ECA"/>
    <w:rsid w:val="00B01EEB"/>
    <w:rsid w:val="00B01FB4"/>
    <w:rsid w:val="00B0204A"/>
    <w:rsid w:val="00B02093"/>
    <w:rsid w:val="00B020E5"/>
    <w:rsid w:val="00B0210E"/>
    <w:rsid w:val="00B0268A"/>
    <w:rsid w:val="00B026A4"/>
    <w:rsid w:val="00B026F8"/>
    <w:rsid w:val="00B0275A"/>
    <w:rsid w:val="00B02807"/>
    <w:rsid w:val="00B02861"/>
    <w:rsid w:val="00B02948"/>
    <w:rsid w:val="00B029BB"/>
    <w:rsid w:val="00B029CA"/>
    <w:rsid w:val="00B029E1"/>
    <w:rsid w:val="00B02A6D"/>
    <w:rsid w:val="00B02D30"/>
    <w:rsid w:val="00B02D41"/>
    <w:rsid w:val="00B02D62"/>
    <w:rsid w:val="00B02D63"/>
    <w:rsid w:val="00B02D75"/>
    <w:rsid w:val="00B02E8F"/>
    <w:rsid w:val="00B02F98"/>
    <w:rsid w:val="00B03111"/>
    <w:rsid w:val="00B03184"/>
    <w:rsid w:val="00B0320A"/>
    <w:rsid w:val="00B03226"/>
    <w:rsid w:val="00B0331B"/>
    <w:rsid w:val="00B0333D"/>
    <w:rsid w:val="00B033AC"/>
    <w:rsid w:val="00B033BF"/>
    <w:rsid w:val="00B033FD"/>
    <w:rsid w:val="00B03497"/>
    <w:rsid w:val="00B03767"/>
    <w:rsid w:val="00B0388A"/>
    <w:rsid w:val="00B039B8"/>
    <w:rsid w:val="00B039F1"/>
    <w:rsid w:val="00B03B83"/>
    <w:rsid w:val="00B03E27"/>
    <w:rsid w:val="00B03E5D"/>
    <w:rsid w:val="00B03E69"/>
    <w:rsid w:val="00B03EF3"/>
    <w:rsid w:val="00B04034"/>
    <w:rsid w:val="00B0403C"/>
    <w:rsid w:val="00B04081"/>
    <w:rsid w:val="00B0413C"/>
    <w:rsid w:val="00B0418E"/>
    <w:rsid w:val="00B041D0"/>
    <w:rsid w:val="00B041F2"/>
    <w:rsid w:val="00B04217"/>
    <w:rsid w:val="00B0423A"/>
    <w:rsid w:val="00B042DD"/>
    <w:rsid w:val="00B04355"/>
    <w:rsid w:val="00B0435A"/>
    <w:rsid w:val="00B044A1"/>
    <w:rsid w:val="00B044D4"/>
    <w:rsid w:val="00B04505"/>
    <w:rsid w:val="00B04535"/>
    <w:rsid w:val="00B04570"/>
    <w:rsid w:val="00B045E6"/>
    <w:rsid w:val="00B0467B"/>
    <w:rsid w:val="00B046AD"/>
    <w:rsid w:val="00B0479D"/>
    <w:rsid w:val="00B04804"/>
    <w:rsid w:val="00B04816"/>
    <w:rsid w:val="00B04836"/>
    <w:rsid w:val="00B049B8"/>
    <w:rsid w:val="00B04A16"/>
    <w:rsid w:val="00B04A70"/>
    <w:rsid w:val="00B04A77"/>
    <w:rsid w:val="00B04ADA"/>
    <w:rsid w:val="00B04AE0"/>
    <w:rsid w:val="00B04AF4"/>
    <w:rsid w:val="00B04CD0"/>
    <w:rsid w:val="00B04D88"/>
    <w:rsid w:val="00B04DDB"/>
    <w:rsid w:val="00B04EF3"/>
    <w:rsid w:val="00B04EFF"/>
    <w:rsid w:val="00B0505B"/>
    <w:rsid w:val="00B05073"/>
    <w:rsid w:val="00B050DC"/>
    <w:rsid w:val="00B0510B"/>
    <w:rsid w:val="00B051E8"/>
    <w:rsid w:val="00B0525A"/>
    <w:rsid w:val="00B0536F"/>
    <w:rsid w:val="00B053EB"/>
    <w:rsid w:val="00B054B4"/>
    <w:rsid w:val="00B05593"/>
    <w:rsid w:val="00B055F0"/>
    <w:rsid w:val="00B055F5"/>
    <w:rsid w:val="00B056B7"/>
    <w:rsid w:val="00B056FA"/>
    <w:rsid w:val="00B05724"/>
    <w:rsid w:val="00B05755"/>
    <w:rsid w:val="00B057FD"/>
    <w:rsid w:val="00B0588D"/>
    <w:rsid w:val="00B05990"/>
    <w:rsid w:val="00B059AA"/>
    <w:rsid w:val="00B05A03"/>
    <w:rsid w:val="00B05A77"/>
    <w:rsid w:val="00B05AEE"/>
    <w:rsid w:val="00B05AF8"/>
    <w:rsid w:val="00B05B8B"/>
    <w:rsid w:val="00B05BBC"/>
    <w:rsid w:val="00B05BC3"/>
    <w:rsid w:val="00B05D60"/>
    <w:rsid w:val="00B05DF8"/>
    <w:rsid w:val="00B05EFC"/>
    <w:rsid w:val="00B05F05"/>
    <w:rsid w:val="00B06041"/>
    <w:rsid w:val="00B0604B"/>
    <w:rsid w:val="00B060C7"/>
    <w:rsid w:val="00B06154"/>
    <w:rsid w:val="00B0620F"/>
    <w:rsid w:val="00B06238"/>
    <w:rsid w:val="00B0634D"/>
    <w:rsid w:val="00B0635B"/>
    <w:rsid w:val="00B065B0"/>
    <w:rsid w:val="00B065D7"/>
    <w:rsid w:val="00B0668B"/>
    <w:rsid w:val="00B066CC"/>
    <w:rsid w:val="00B066F7"/>
    <w:rsid w:val="00B068ED"/>
    <w:rsid w:val="00B069CC"/>
    <w:rsid w:val="00B06A2F"/>
    <w:rsid w:val="00B06A41"/>
    <w:rsid w:val="00B06A79"/>
    <w:rsid w:val="00B06C4C"/>
    <w:rsid w:val="00B06C60"/>
    <w:rsid w:val="00B06CAB"/>
    <w:rsid w:val="00B06CC9"/>
    <w:rsid w:val="00B06D60"/>
    <w:rsid w:val="00B06DEB"/>
    <w:rsid w:val="00B06EEE"/>
    <w:rsid w:val="00B0711F"/>
    <w:rsid w:val="00B07231"/>
    <w:rsid w:val="00B07250"/>
    <w:rsid w:val="00B07268"/>
    <w:rsid w:val="00B072B3"/>
    <w:rsid w:val="00B075D2"/>
    <w:rsid w:val="00B075F3"/>
    <w:rsid w:val="00B0766C"/>
    <w:rsid w:val="00B076E5"/>
    <w:rsid w:val="00B07887"/>
    <w:rsid w:val="00B078A9"/>
    <w:rsid w:val="00B07A5D"/>
    <w:rsid w:val="00B07AD4"/>
    <w:rsid w:val="00B07B39"/>
    <w:rsid w:val="00B07CA5"/>
    <w:rsid w:val="00B07DA7"/>
    <w:rsid w:val="00B07DBD"/>
    <w:rsid w:val="00B07EE1"/>
    <w:rsid w:val="00B07EF6"/>
    <w:rsid w:val="00B07F68"/>
    <w:rsid w:val="00B102FB"/>
    <w:rsid w:val="00B1031F"/>
    <w:rsid w:val="00B103ED"/>
    <w:rsid w:val="00B10467"/>
    <w:rsid w:val="00B10600"/>
    <w:rsid w:val="00B1068C"/>
    <w:rsid w:val="00B10764"/>
    <w:rsid w:val="00B10773"/>
    <w:rsid w:val="00B108C4"/>
    <w:rsid w:val="00B1092C"/>
    <w:rsid w:val="00B1097B"/>
    <w:rsid w:val="00B10999"/>
    <w:rsid w:val="00B109C1"/>
    <w:rsid w:val="00B10A0A"/>
    <w:rsid w:val="00B10A60"/>
    <w:rsid w:val="00B10B0F"/>
    <w:rsid w:val="00B10C42"/>
    <w:rsid w:val="00B10C7E"/>
    <w:rsid w:val="00B10D52"/>
    <w:rsid w:val="00B10E07"/>
    <w:rsid w:val="00B10E28"/>
    <w:rsid w:val="00B10EA9"/>
    <w:rsid w:val="00B10F32"/>
    <w:rsid w:val="00B1105E"/>
    <w:rsid w:val="00B11067"/>
    <w:rsid w:val="00B11135"/>
    <w:rsid w:val="00B111D4"/>
    <w:rsid w:val="00B1120A"/>
    <w:rsid w:val="00B11240"/>
    <w:rsid w:val="00B113E7"/>
    <w:rsid w:val="00B11534"/>
    <w:rsid w:val="00B1157A"/>
    <w:rsid w:val="00B115CD"/>
    <w:rsid w:val="00B115F9"/>
    <w:rsid w:val="00B11749"/>
    <w:rsid w:val="00B11930"/>
    <w:rsid w:val="00B119DB"/>
    <w:rsid w:val="00B11AC3"/>
    <w:rsid w:val="00B11AF9"/>
    <w:rsid w:val="00B11C0D"/>
    <w:rsid w:val="00B11DA3"/>
    <w:rsid w:val="00B11E19"/>
    <w:rsid w:val="00B11E45"/>
    <w:rsid w:val="00B11E4B"/>
    <w:rsid w:val="00B11E98"/>
    <w:rsid w:val="00B11EB4"/>
    <w:rsid w:val="00B11F45"/>
    <w:rsid w:val="00B11F55"/>
    <w:rsid w:val="00B11F8F"/>
    <w:rsid w:val="00B120FB"/>
    <w:rsid w:val="00B1212D"/>
    <w:rsid w:val="00B121B4"/>
    <w:rsid w:val="00B122D1"/>
    <w:rsid w:val="00B123A1"/>
    <w:rsid w:val="00B1243D"/>
    <w:rsid w:val="00B12447"/>
    <w:rsid w:val="00B1248B"/>
    <w:rsid w:val="00B1249E"/>
    <w:rsid w:val="00B124BC"/>
    <w:rsid w:val="00B125FF"/>
    <w:rsid w:val="00B12725"/>
    <w:rsid w:val="00B12744"/>
    <w:rsid w:val="00B1278D"/>
    <w:rsid w:val="00B128DF"/>
    <w:rsid w:val="00B129A8"/>
    <w:rsid w:val="00B129F8"/>
    <w:rsid w:val="00B12A59"/>
    <w:rsid w:val="00B12B4F"/>
    <w:rsid w:val="00B12C94"/>
    <w:rsid w:val="00B12CF5"/>
    <w:rsid w:val="00B12D61"/>
    <w:rsid w:val="00B12D70"/>
    <w:rsid w:val="00B12D8D"/>
    <w:rsid w:val="00B12E7E"/>
    <w:rsid w:val="00B12E9C"/>
    <w:rsid w:val="00B12F46"/>
    <w:rsid w:val="00B130AF"/>
    <w:rsid w:val="00B13208"/>
    <w:rsid w:val="00B13273"/>
    <w:rsid w:val="00B1345C"/>
    <w:rsid w:val="00B134B6"/>
    <w:rsid w:val="00B1353A"/>
    <w:rsid w:val="00B1366A"/>
    <w:rsid w:val="00B13794"/>
    <w:rsid w:val="00B137E6"/>
    <w:rsid w:val="00B13827"/>
    <w:rsid w:val="00B13C6C"/>
    <w:rsid w:val="00B13D32"/>
    <w:rsid w:val="00B13D3E"/>
    <w:rsid w:val="00B13DC8"/>
    <w:rsid w:val="00B13DD5"/>
    <w:rsid w:val="00B13E67"/>
    <w:rsid w:val="00B13F0B"/>
    <w:rsid w:val="00B13F19"/>
    <w:rsid w:val="00B13F84"/>
    <w:rsid w:val="00B14015"/>
    <w:rsid w:val="00B14050"/>
    <w:rsid w:val="00B14051"/>
    <w:rsid w:val="00B140CC"/>
    <w:rsid w:val="00B140EF"/>
    <w:rsid w:val="00B14186"/>
    <w:rsid w:val="00B141CD"/>
    <w:rsid w:val="00B141DD"/>
    <w:rsid w:val="00B1426F"/>
    <w:rsid w:val="00B1435C"/>
    <w:rsid w:val="00B143E9"/>
    <w:rsid w:val="00B14431"/>
    <w:rsid w:val="00B1443C"/>
    <w:rsid w:val="00B1443E"/>
    <w:rsid w:val="00B1460B"/>
    <w:rsid w:val="00B14628"/>
    <w:rsid w:val="00B14A07"/>
    <w:rsid w:val="00B14A35"/>
    <w:rsid w:val="00B14A73"/>
    <w:rsid w:val="00B14B3C"/>
    <w:rsid w:val="00B14C9D"/>
    <w:rsid w:val="00B14CB2"/>
    <w:rsid w:val="00B14D10"/>
    <w:rsid w:val="00B14DC8"/>
    <w:rsid w:val="00B1502A"/>
    <w:rsid w:val="00B1532C"/>
    <w:rsid w:val="00B15399"/>
    <w:rsid w:val="00B153E7"/>
    <w:rsid w:val="00B154B1"/>
    <w:rsid w:val="00B15513"/>
    <w:rsid w:val="00B15517"/>
    <w:rsid w:val="00B155C3"/>
    <w:rsid w:val="00B155E2"/>
    <w:rsid w:val="00B156FD"/>
    <w:rsid w:val="00B1574D"/>
    <w:rsid w:val="00B15776"/>
    <w:rsid w:val="00B157AE"/>
    <w:rsid w:val="00B15897"/>
    <w:rsid w:val="00B158E7"/>
    <w:rsid w:val="00B158FE"/>
    <w:rsid w:val="00B15B2A"/>
    <w:rsid w:val="00B15CA1"/>
    <w:rsid w:val="00B15CB1"/>
    <w:rsid w:val="00B15D88"/>
    <w:rsid w:val="00B15E9E"/>
    <w:rsid w:val="00B16051"/>
    <w:rsid w:val="00B1609F"/>
    <w:rsid w:val="00B16142"/>
    <w:rsid w:val="00B1623D"/>
    <w:rsid w:val="00B162AA"/>
    <w:rsid w:val="00B1638F"/>
    <w:rsid w:val="00B16458"/>
    <w:rsid w:val="00B164F7"/>
    <w:rsid w:val="00B165DB"/>
    <w:rsid w:val="00B16680"/>
    <w:rsid w:val="00B1681B"/>
    <w:rsid w:val="00B16838"/>
    <w:rsid w:val="00B16840"/>
    <w:rsid w:val="00B16889"/>
    <w:rsid w:val="00B16940"/>
    <w:rsid w:val="00B169B4"/>
    <w:rsid w:val="00B16A4A"/>
    <w:rsid w:val="00B16B0F"/>
    <w:rsid w:val="00B16CF2"/>
    <w:rsid w:val="00B16D59"/>
    <w:rsid w:val="00B16DB6"/>
    <w:rsid w:val="00B16DC3"/>
    <w:rsid w:val="00B16FB2"/>
    <w:rsid w:val="00B17053"/>
    <w:rsid w:val="00B1707E"/>
    <w:rsid w:val="00B171A9"/>
    <w:rsid w:val="00B172A8"/>
    <w:rsid w:val="00B17448"/>
    <w:rsid w:val="00B17510"/>
    <w:rsid w:val="00B175C4"/>
    <w:rsid w:val="00B175CA"/>
    <w:rsid w:val="00B17606"/>
    <w:rsid w:val="00B1772D"/>
    <w:rsid w:val="00B17807"/>
    <w:rsid w:val="00B17AB6"/>
    <w:rsid w:val="00B17B41"/>
    <w:rsid w:val="00B17B63"/>
    <w:rsid w:val="00B17B7F"/>
    <w:rsid w:val="00B17BAF"/>
    <w:rsid w:val="00B17C33"/>
    <w:rsid w:val="00B17C44"/>
    <w:rsid w:val="00B17C8C"/>
    <w:rsid w:val="00B17C90"/>
    <w:rsid w:val="00B17D4E"/>
    <w:rsid w:val="00B17DB5"/>
    <w:rsid w:val="00B17DE9"/>
    <w:rsid w:val="00B17EC2"/>
    <w:rsid w:val="00B200A1"/>
    <w:rsid w:val="00B20106"/>
    <w:rsid w:val="00B20135"/>
    <w:rsid w:val="00B201B1"/>
    <w:rsid w:val="00B20358"/>
    <w:rsid w:val="00B203FE"/>
    <w:rsid w:val="00B20496"/>
    <w:rsid w:val="00B20627"/>
    <w:rsid w:val="00B206B8"/>
    <w:rsid w:val="00B20740"/>
    <w:rsid w:val="00B207BD"/>
    <w:rsid w:val="00B207CA"/>
    <w:rsid w:val="00B207DB"/>
    <w:rsid w:val="00B207E3"/>
    <w:rsid w:val="00B209BA"/>
    <w:rsid w:val="00B20A33"/>
    <w:rsid w:val="00B20A4C"/>
    <w:rsid w:val="00B20A9D"/>
    <w:rsid w:val="00B20AB8"/>
    <w:rsid w:val="00B20AFD"/>
    <w:rsid w:val="00B20B4F"/>
    <w:rsid w:val="00B20BD5"/>
    <w:rsid w:val="00B20C13"/>
    <w:rsid w:val="00B20CC7"/>
    <w:rsid w:val="00B20ED8"/>
    <w:rsid w:val="00B20F54"/>
    <w:rsid w:val="00B21052"/>
    <w:rsid w:val="00B2108F"/>
    <w:rsid w:val="00B212D8"/>
    <w:rsid w:val="00B214DA"/>
    <w:rsid w:val="00B215B2"/>
    <w:rsid w:val="00B21619"/>
    <w:rsid w:val="00B217FE"/>
    <w:rsid w:val="00B2182F"/>
    <w:rsid w:val="00B21836"/>
    <w:rsid w:val="00B2185B"/>
    <w:rsid w:val="00B218E8"/>
    <w:rsid w:val="00B2194D"/>
    <w:rsid w:val="00B21B28"/>
    <w:rsid w:val="00B21B4A"/>
    <w:rsid w:val="00B21BA3"/>
    <w:rsid w:val="00B21DFC"/>
    <w:rsid w:val="00B22009"/>
    <w:rsid w:val="00B22060"/>
    <w:rsid w:val="00B221A0"/>
    <w:rsid w:val="00B2234F"/>
    <w:rsid w:val="00B223EB"/>
    <w:rsid w:val="00B22421"/>
    <w:rsid w:val="00B22517"/>
    <w:rsid w:val="00B22686"/>
    <w:rsid w:val="00B226B4"/>
    <w:rsid w:val="00B22711"/>
    <w:rsid w:val="00B22737"/>
    <w:rsid w:val="00B2284E"/>
    <w:rsid w:val="00B228DB"/>
    <w:rsid w:val="00B22920"/>
    <w:rsid w:val="00B229EE"/>
    <w:rsid w:val="00B22A24"/>
    <w:rsid w:val="00B22A66"/>
    <w:rsid w:val="00B22AB7"/>
    <w:rsid w:val="00B22BA8"/>
    <w:rsid w:val="00B22BD5"/>
    <w:rsid w:val="00B22C23"/>
    <w:rsid w:val="00B22C98"/>
    <w:rsid w:val="00B22DA4"/>
    <w:rsid w:val="00B22F21"/>
    <w:rsid w:val="00B22F93"/>
    <w:rsid w:val="00B22FAA"/>
    <w:rsid w:val="00B22FCE"/>
    <w:rsid w:val="00B23067"/>
    <w:rsid w:val="00B2306B"/>
    <w:rsid w:val="00B231DC"/>
    <w:rsid w:val="00B23265"/>
    <w:rsid w:val="00B232D2"/>
    <w:rsid w:val="00B232E2"/>
    <w:rsid w:val="00B23409"/>
    <w:rsid w:val="00B2344D"/>
    <w:rsid w:val="00B235DA"/>
    <w:rsid w:val="00B235F5"/>
    <w:rsid w:val="00B2376C"/>
    <w:rsid w:val="00B23953"/>
    <w:rsid w:val="00B239E0"/>
    <w:rsid w:val="00B23A85"/>
    <w:rsid w:val="00B23AB1"/>
    <w:rsid w:val="00B23AEE"/>
    <w:rsid w:val="00B23AFC"/>
    <w:rsid w:val="00B23B46"/>
    <w:rsid w:val="00B23B9A"/>
    <w:rsid w:val="00B23C79"/>
    <w:rsid w:val="00B23E5F"/>
    <w:rsid w:val="00B23EAC"/>
    <w:rsid w:val="00B23EDA"/>
    <w:rsid w:val="00B23F79"/>
    <w:rsid w:val="00B23F7C"/>
    <w:rsid w:val="00B23FAF"/>
    <w:rsid w:val="00B23FF4"/>
    <w:rsid w:val="00B24042"/>
    <w:rsid w:val="00B24050"/>
    <w:rsid w:val="00B24300"/>
    <w:rsid w:val="00B24345"/>
    <w:rsid w:val="00B24360"/>
    <w:rsid w:val="00B24430"/>
    <w:rsid w:val="00B24513"/>
    <w:rsid w:val="00B24543"/>
    <w:rsid w:val="00B24547"/>
    <w:rsid w:val="00B246F7"/>
    <w:rsid w:val="00B247C0"/>
    <w:rsid w:val="00B24825"/>
    <w:rsid w:val="00B248C1"/>
    <w:rsid w:val="00B24924"/>
    <w:rsid w:val="00B249C3"/>
    <w:rsid w:val="00B249E6"/>
    <w:rsid w:val="00B24A1A"/>
    <w:rsid w:val="00B24B6B"/>
    <w:rsid w:val="00B24BDA"/>
    <w:rsid w:val="00B24C2E"/>
    <w:rsid w:val="00B24C3D"/>
    <w:rsid w:val="00B24CC6"/>
    <w:rsid w:val="00B24DF3"/>
    <w:rsid w:val="00B24E3E"/>
    <w:rsid w:val="00B24E73"/>
    <w:rsid w:val="00B24E86"/>
    <w:rsid w:val="00B24F0E"/>
    <w:rsid w:val="00B24F5C"/>
    <w:rsid w:val="00B24F7F"/>
    <w:rsid w:val="00B24F8F"/>
    <w:rsid w:val="00B250B1"/>
    <w:rsid w:val="00B25127"/>
    <w:rsid w:val="00B25210"/>
    <w:rsid w:val="00B25221"/>
    <w:rsid w:val="00B2522C"/>
    <w:rsid w:val="00B2542A"/>
    <w:rsid w:val="00B25435"/>
    <w:rsid w:val="00B254B0"/>
    <w:rsid w:val="00B25537"/>
    <w:rsid w:val="00B2563E"/>
    <w:rsid w:val="00B25713"/>
    <w:rsid w:val="00B257DD"/>
    <w:rsid w:val="00B258A3"/>
    <w:rsid w:val="00B25971"/>
    <w:rsid w:val="00B259EB"/>
    <w:rsid w:val="00B25AE5"/>
    <w:rsid w:val="00B25AEA"/>
    <w:rsid w:val="00B25B31"/>
    <w:rsid w:val="00B25C9B"/>
    <w:rsid w:val="00B25D28"/>
    <w:rsid w:val="00B25D74"/>
    <w:rsid w:val="00B25D8F"/>
    <w:rsid w:val="00B25ED6"/>
    <w:rsid w:val="00B25F89"/>
    <w:rsid w:val="00B25FD5"/>
    <w:rsid w:val="00B261EF"/>
    <w:rsid w:val="00B26351"/>
    <w:rsid w:val="00B263FD"/>
    <w:rsid w:val="00B26566"/>
    <w:rsid w:val="00B26645"/>
    <w:rsid w:val="00B267FF"/>
    <w:rsid w:val="00B26982"/>
    <w:rsid w:val="00B269DE"/>
    <w:rsid w:val="00B269FF"/>
    <w:rsid w:val="00B26B91"/>
    <w:rsid w:val="00B26BBD"/>
    <w:rsid w:val="00B26BEC"/>
    <w:rsid w:val="00B26CD6"/>
    <w:rsid w:val="00B26DE0"/>
    <w:rsid w:val="00B26F0D"/>
    <w:rsid w:val="00B2700B"/>
    <w:rsid w:val="00B2710E"/>
    <w:rsid w:val="00B271E0"/>
    <w:rsid w:val="00B2720E"/>
    <w:rsid w:val="00B272AE"/>
    <w:rsid w:val="00B272D7"/>
    <w:rsid w:val="00B272E3"/>
    <w:rsid w:val="00B27385"/>
    <w:rsid w:val="00B273EE"/>
    <w:rsid w:val="00B274D8"/>
    <w:rsid w:val="00B2750A"/>
    <w:rsid w:val="00B27729"/>
    <w:rsid w:val="00B2789A"/>
    <w:rsid w:val="00B27A82"/>
    <w:rsid w:val="00B27AEF"/>
    <w:rsid w:val="00B27B02"/>
    <w:rsid w:val="00B27B43"/>
    <w:rsid w:val="00B27B6B"/>
    <w:rsid w:val="00B27C05"/>
    <w:rsid w:val="00B27CBE"/>
    <w:rsid w:val="00B27D26"/>
    <w:rsid w:val="00B27D39"/>
    <w:rsid w:val="00B27D79"/>
    <w:rsid w:val="00B27E37"/>
    <w:rsid w:val="00B27E7A"/>
    <w:rsid w:val="00B27F48"/>
    <w:rsid w:val="00B27F4F"/>
    <w:rsid w:val="00B3004E"/>
    <w:rsid w:val="00B3007A"/>
    <w:rsid w:val="00B30117"/>
    <w:rsid w:val="00B30134"/>
    <w:rsid w:val="00B30210"/>
    <w:rsid w:val="00B3031B"/>
    <w:rsid w:val="00B3057D"/>
    <w:rsid w:val="00B30821"/>
    <w:rsid w:val="00B30890"/>
    <w:rsid w:val="00B30A09"/>
    <w:rsid w:val="00B30A2C"/>
    <w:rsid w:val="00B30AE7"/>
    <w:rsid w:val="00B30AE8"/>
    <w:rsid w:val="00B30BE3"/>
    <w:rsid w:val="00B30CBB"/>
    <w:rsid w:val="00B30CFE"/>
    <w:rsid w:val="00B30DF8"/>
    <w:rsid w:val="00B30E03"/>
    <w:rsid w:val="00B30E57"/>
    <w:rsid w:val="00B30F02"/>
    <w:rsid w:val="00B30F4A"/>
    <w:rsid w:val="00B30F91"/>
    <w:rsid w:val="00B31068"/>
    <w:rsid w:val="00B31146"/>
    <w:rsid w:val="00B31171"/>
    <w:rsid w:val="00B31287"/>
    <w:rsid w:val="00B313F0"/>
    <w:rsid w:val="00B313FB"/>
    <w:rsid w:val="00B314D6"/>
    <w:rsid w:val="00B3155D"/>
    <w:rsid w:val="00B31695"/>
    <w:rsid w:val="00B316B7"/>
    <w:rsid w:val="00B3175E"/>
    <w:rsid w:val="00B317AF"/>
    <w:rsid w:val="00B31C6F"/>
    <w:rsid w:val="00B31C9A"/>
    <w:rsid w:val="00B31DA3"/>
    <w:rsid w:val="00B31DA4"/>
    <w:rsid w:val="00B31E69"/>
    <w:rsid w:val="00B31EA5"/>
    <w:rsid w:val="00B31EBC"/>
    <w:rsid w:val="00B31F37"/>
    <w:rsid w:val="00B31F63"/>
    <w:rsid w:val="00B31FC8"/>
    <w:rsid w:val="00B31FDD"/>
    <w:rsid w:val="00B32146"/>
    <w:rsid w:val="00B32178"/>
    <w:rsid w:val="00B32230"/>
    <w:rsid w:val="00B322CA"/>
    <w:rsid w:val="00B32321"/>
    <w:rsid w:val="00B32323"/>
    <w:rsid w:val="00B3236A"/>
    <w:rsid w:val="00B323B7"/>
    <w:rsid w:val="00B3241D"/>
    <w:rsid w:val="00B32467"/>
    <w:rsid w:val="00B324AD"/>
    <w:rsid w:val="00B3265F"/>
    <w:rsid w:val="00B32674"/>
    <w:rsid w:val="00B32860"/>
    <w:rsid w:val="00B328A3"/>
    <w:rsid w:val="00B328BB"/>
    <w:rsid w:val="00B328F6"/>
    <w:rsid w:val="00B3299B"/>
    <w:rsid w:val="00B32A02"/>
    <w:rsid w:val="00B32B0D"/>
    <w:rsid w:val="00B32B94"/>
    <w:rsid w:val="00B32BDA"/>
    <w:rsid w:val="00B32C0D"/>
    <w:rsid w:val="00B32C86"/>
    <w:rsid w:val="00B32D20"/>
    <w:rsid w:val="00B32E2A"/>
    <w:rsid w:val="00B32EB7"/>
    <w:rsid w:val="00B32F5D"/>
    <w:rsid w:val="00B32FC0"/>
    <w:rsid w:val="00B32FC4"/>
    <w:rsid w:val="00B3307F"/>
    <w:rsid w:val="00B330B6"/>
    <w:rsid w:val="00B33214"/>
    <w:rsid w:val="00B33278"/>
    <w:rsid w:val="00B33299"/>
    <w:rsid w:val="00B3348F"/>
    <w:rsid w:val="00B334D6"/>
    <w:rsid w:val="00B334ED"/>
    <w:rsid w:val="00B33521"/>
    <w:rsid w:val="00B33529"/>
    <w:rsid w:val="00B3379F"/>
    <w:rsid w:val="00B3384E"/>
    <w:rsid w:val="00B33869"/>
    <w:rsid w:val="00B338D4"/>
    <w:rsid w:val="00B33A54"/>
    <w:rsid w:val="00B33AF2"/>
    <w:rsid w:val="00B33B16"/>
    <w:rsid w:val="00B33BDB"/>
    <w:rsid w:val="00B33BF0"/>
    <w:rsid w:val="00B33CD7"/>
    <w:rsid w:val="00B33D32"/>
    <w:rsid w:val="00B33DAF"/>
    <w:rsid w:val="00B33E88"/>
    <w:rsid w:val="00B34046"/>
    <w:rsid w:val="00B34227"/>
    <w:rsid w:val="00B342BE"/>
    <w:rsid w:val="00B34353"/>
    <w:rsid w:val="00B3443B"/>
    <w:rsid w:val="00B3449F"/>
    <w:rsid w:val="00B344E6"/>
    <w:rsid w:val="00B34541"/>
    <w:rsid w:val="00B3457A"/>
    <w:rsid w:val="00B345CB"/>
    <w:rsid w:val="00B346AC"/>
    <w:rsid w:val="00B346D8"/>
    <w:rsid w:val="00B346F2"/>
    <w:rsid w:val="00B34731"/>
    <w:rsid w:val="00B34777"/>
    <w:rsid w:val="00B3477D"/>
    <w:rsid w:val="00B34863"/>
    <w:rsid w:val="00B34864"/>
    <w:rsid w:val="00B34886"/>
    <w:rsid w:val="00B34899"/>
    <w:rsid w:val="00B348B8"/>
    <w:rsid w:val="00B34B00"/>
    <w:rsid w:val="00B34B94"/>
    <w:rsid w:val="00B34DC9"/>
    <w:rsid w:val="00B34F32"/>
    <w:rsid w:val="00B35022"/>
    <w:rsid w:val="00B350EB"/>
    <w:rsid w:val="00B35125"/>
    <w:rsid w:val="00B35148"/>
    <w:rsid w:val="00B351D4"/>
    <w:rsid w:val="00B3522F"/>
    <w:rsid w:val="00B35277"/>
    <w:rsid w:val="00B353D1"/>
    <w:rsid w:val="00B35772"/>
    <w:rsid w:val="00B35A20"/>
    <w:rsid w:val="00B35A71"/>
    <w:rsid w:val="00B35CDC"/>
    <w:rsid w:val="00B35CE9"/>
    <w:rsid w:val="00B35DD6"/>
    <w:rsid w:val="00B36017"/>
    <w:rsid w:val="00B3605B"/>
    <w:rsid w:val="00B360CA"/>
    <w:rsid w:val="00B361FB"/>
    <w:rsid w:val="00B365B8"/>
    <w:rsid w:val="00B36617"/>
    <w:rsid w:val="00B36659"/>
    <w:rsid w:val="00B366F2"/>
    <w:rsid w:val="00B36746"/>
    <w:rsid w:val="00B367DC"/>
    <w:rsid w:val="00B367E0"/>
    <w:rsid w:val="00B36932"/>
    <w:rsid w:val="00B36937"/>
    <w:rsid w:val="00B369C0"/>
    <w:rsid w:val="00B36A34"/>
    <w:rsid w:val="00B36AC9"/>
    <w:rsid w:val="00B36ACA"/>
    <w:rsid w:val="00B36B49"/>
    <w:rsid w:val="00B36B80"/>
    <w:rsid w:val="00B36BFE"/>
    <w:rsid w:val="00B36C40"/>
    <w:rsid w:val="00B36D7B"/>
    <w:rsid w:val="00B36DB4"/>
    <w:rsid w:val="00B36E64"/>
    <w:rsid w:val="00B36EA0"/>
    <w:rsid w:val="00B36F87"/>
    <w:rsid w:val="00B36FCE"/>
    <w:rsid w:val="00B3706F"/>
    <w:rsid w:val="00B37102"/>
    <w:rsid w:val="00B37129"/>
    <w:rsid w:val="00B37144"/>
    <w:rsid w:val="00B3717A"/>
    <w:rsid w:val="00B3724C"/>
    <w:rsid w:val="00B37306"/>
    <w:rsid w:val="00B373B6"/>
    <w:rsid w:val="00B373DE"/>
    <w:rsid w:val="00B373E6"/>
    <w:rsid w:val="00B37436"/>
    <w:rsid w:val="00B37650"/>
    <w:rsid w:val="00B376AC"/>
    <w:rsid w:val="00B376D1"/>
    <w:rsid w:val="00B376DE"/>
    <w:rsid w:val="00B3772B"/>
    <w:rsid w:val="00B37741"/>
    <w:rsid w:val="00B3779F"/>
    <w:rsid w:val="00B3782F"/>
    <w:rsid w:val="00B3784C"/>
    <w:rsid w:val="00B3784D"/>
    <w:rsid w:val="00B3787D"/>
    <w:rsid w:val="00B37A68"/>
    <w:rsid w:val="00B37B3B"/>
    <w:rsid w:val="00B37D04"/>
    <w:rsid w:val="00B37D95"/>
    <w:rsid w:val="00B37DBC"/>
    <w:rsid w:val="00B37E51"/>
    <w:rsid w:val="00B37EB2"/>
    <w:rsid w:val="00B37FB3"/>
    <w:rsid w:val="00B40118"/>
    <w:rsid w:val="00B4020A"/>
    <w:rsid w:val="00B40263"/>
    <w:rsid w:val="00B402BE"/>
    <w:rsid w:val="00B40582"/>
    <w:rsid w:val="00B405CE"/>
    <w:rsid w:val="00B405EB"/>
    <w:rsid w:val="00B405EC"/>
    <w:rsid w:val="00B407AD"/>
    <w:rsid w:val="00B4097D"/>
    <w:rsid w:val="00B409B4"/>
    <w:rsid w:val="00B40ABA"/>
    <w:rsid w:val="00B40AFF"/>
    <w:rsid w:val="00B40B34"/>
    <w:rsid w:val="00B40C14"/>
    <w:rsid w:val="00B40CEA"/>
    <w:rsid w:val="00B40D38"/>
    <w:rsid w:val="00B4107C"/>
    <w:rsid w:val="00B41116"/>
    <w:rsid w:val="00B41128"/>
    <w:rsid w:val="00B41171"/>
    <w:rsid w:val="00B41221"/>
    <w:rsid w:val="00B41320"/>
    <w:rsid w:val="00B41617"/>
    <w:rsid w:val="00B417D8"/>
    <w:rsid w:val="00B41921"/>
    <w:rsid w:val="00B41A0E"/>
    <w:rsid w:val="00B41A10"/>
    <w:rsid w:val="00B41B68"/>
    <w:rsid w:val="00B41B6F"/>
    <w:rsid w:val="00B41B78"/>
    <w:rsid w:val="00B41B92"/>
    <w:rsid w:val="00B41DF5"/>
    <w:rsid w:val="00B420ED"/>
    <w:rsid w:val="00B420F4"/>
    <w:rsid w:val="00B4214E"/>
    <w:rsid w:val="00B421BE"/>
    <w:rsid w:val="00B421FB"/>
    <w:rsid w:val="00B4222C"/>
    <w:rsid w:val="00B4226E"/>
    <w:rsid w:val="00B422D7"/>
    <w:rsid w:val="00B42312"/>
    <w:rsid w:val="00B42359"/>
    <w:rsid w:val="00B423D4"/>
    <w:rsid w:val="00B4259A"/>
    <w:rsid w:val="00B426F4"/>
    <w:rsid w:val="00B42786"/>
    <w:rsid w:val="00B42885"/>
    <w:rsid w:val="00B429B0"/>
    <w:rsid w:val="00B429EC"/>
    <w:rsid w:val="00B42B29"/>
    <w:rsid w:val="00B42C04"/>
    <w:rsid w:val="00B42D4D"/>
    <w:rsid w:val="00B42D98"/>
    <w:rsid w:val="00B42D9E"/>
    <w:rsid w:val="00B42DFB"/>
    <w:rsid w:val="00B42E92"/>
    <w:rsid w:val="00B42EFB"/>
    <w:rsid w:val="00B42FB9"/>
    <w:rsid w:val="00B43052"/>
    <w:rsid w:val="00B430D5"/>
    <w:rsid w:val="00B4310F"/>
    <w:rsid w:val="00B4319B"/>
    <w:rsid w:val="00B431D3"/>
    <w:rsid w:val="00B431E4"/>
    <w:rsid w:val="00B43239"/>
    <w:rsid w:val="00B4343C"/>
    <w:rsid w:val="00B434EF"/>
    <w:rsid w:val="00B434F1"/>
    <w:rsid w:val="00B437CB"/>
    <w:rsid w:val="00B437CD"/>
    <w:rsid w:val="00B43822"/>
    <w:rsid w:val="00B43846"/>
    <w:rsid w:val="00B43863"/>
    <w:rsid w:val="00B438A1"/>
    <w:rsid w:val="00B43A36"/>
    <w:rsid w:val="00B43AEC"/>
    <w:rsid w:val="00B43BAB"/>
    <w:rsid w:val="00B43C49"/>
    <w:rsid w:val="00B43C58"/>
    <w:rsid w:val="00B43DD7"/>
    <w:rsid w:val="00B43DDB"/>
    <w:rsid w:val="00B43E7C"/>
    <w:rsid w:val="00B44140"/>
    <w:rsid w:val="00B441F9"/>
    <w:rsid w:val="00B44202"/>
    <w:rsid w:val="00B4429A"/>
    <w:rsid w:val="00B442A9"/>
    <w:rsid w:val="00B4438A"/>
    <w:rsid w:val="00B443DB"/>
    <w:rsid w:val="00B443E9"/>
    <w:rsid w:val="00B44422"/>
    <w:rsid w:val="00B444BF"/>
    <w:rsid w:val="00B44581"/>
    <w:rsid w:val="00B445BB"/>
    <w:rsid w:val="00B44699"/>
    <w:rsid w:val="00B447BD"/>
    <w:rsid w:val="00B44835"/>
    <w:rsid w:val="00B44943"/>
    <w:rsid w:val="00B449C0"/>
    <w:rsid w:val="00B44C36"/>
    <w:rsid w:val="00B44D1A"/>
    <w:rsid w:val="00B44E19"/>
    <w:rsid w:val="00B44E2E"/>
    <w:rsid w:val="00B44E41"/>
    <w:rsid w:val="00B44FAB"/>
    <w:rsid w:val="00B45047"/>
    <w:rsid w:val="00B45185"/>
    <w:rsid w:val="00B451C1"/>
    <w:rsid w:val="00B451F7"/>
    <w:rsid w:val="00B45222"/>
    <w:rsid w:val="00B45312"/>
    <w:rsid w:val="00B453A8"/>
    <w:rsid w:val="00B4549B"/>
    <w:rsid w:val="00B454D7"/>
    <w:rsid w:val="00B454E1"/>
    <w:rsid w:val="00B457A3"/>
    <w:rsid w:val="00B4585A"/>
    <w:rsid w:val="00B45967"/>
    <w:rsid w:val="00B4596C"/>
    <w:rsid w:val="00B45A65"/>
    <w:rsid w:val="00B45C4B"/>
    <w:rsid w:val="00B45CEC"/>
    <w:rsid w:val="00B45D34"/>
    <w:rsid w:val="00B45E15"/>
    <w:rsid w:val="00B45E8F"/>
    <w:rsid w:val="00B45FB4"/>
    <w:rsid w:val="00B46063"/>
    <w:rsid w:val="00B461F3"/>
    <w:rsid w:val="00B4628F"/>
    <w:rsid w:val="00B462F5"/>
    <w:rsid w:val="00B4631C"/>
    <w:rsid w:val="00B46488"/>
    <w:rsid w:val="00B4685F"/>
    <w:rsid w:val="00B468E5"/>
    <w:rsid w:val="00B46973"/>
    <w:rsid w:val="00B469A2"/>
    <w:rsid w:val="00B469F7"/>
    <w:rsid w:val="00B46A58"/>
    <w:rsid w:val="00B46A9F"/>
    <w:rsid w:val="00B46AE1"/>
    <w:rsid w:val="00B46B09"/>
    <w:rsid w:val="00B46B2F"/>
    <w:rsid w:val="00B46BB2"/>
    <w:rsid w:val="00B46BF3"/>
    <w:rsid w:val="00B46CF8"/>
    <w:rsid w:val="00B46F06"/>
    <w:rsid w:val="00B46FE6"/>
    <w:rsid w:val="00B46FE7"/>
    <w:rsid w:val="00B4700F"/>
    <w:rsid w:val="00B47123"/>
    <w:rsid w:val="00B47137"/>
    <w:rsid w:val="00B47259"/>
    <w:rsid w:val="00B47354"/>
    <w:rsid w:val="00B47383"/>
    <w:rsid w:val="00B4739B"/>
    <w:rsid w:val="00B473B7"/>
    <w:rsid w:val="00B47455"/>
    <w:rsid w:val="00B4748C"/>
    <w:rsid w:val="00B47565"/>
    <w:rsid w:val="00B476E0"/>
    <w:rsid w:val="00B47707"/>
    <w:rsid w:val="00B4770C"/>
    <w:rsid w:val="00B47777"/>
    <w:rsid w:val="00B47786"/>
    <w:rsid w:val="00B47811"/>
    <w:rsid w:val="00B479BE"/>
    <w:rsid w:val="00B479F3"/>
    <w:rsid w:val="00B47A31"/>
    <w:rsid w:val="00B47B03"/>
    <w:rsid w:val="00B47BE7"/>
    <w:rsid w:val="00B47C59"/>
    <w:rsid w:val="00B47CB2"/>
    <w:rsid w:val="00B47CB4"/>
    <w:rsid w:val="00B47CF9"/>
    <w:rsid w:val="00B47D00"/>
    <w:rsid w:val="00B47D5A"/>
    <w:rsid w:val="00B47D87"/>
    <w:rsid w:val="00B47EB4"/>
    <w:rsid w:val="00B47FB2"/>
    <w:rsid w:val="00B47FED"/>
    <w:rsid w:val="00B47FFC"/>
    <w:rsid w:val="00B50280"/>
    <w:rsid w:val="00B502CF"/>
    <w:rsid w:val="00B503D2"/>
    <w:rsid w:val="00B50410"/>
    <w:rsid w:val="00B505E4"/>
    <w:rsid w:val="00B505FF"/>
    <w:rsid w:val="00B50704"/>
    <w:rsid w:val="00B507F9"/>
    <w:rsid w:val="00B50993"/>
    <w:rsid w:val="00B50A9A"/>
    <w:rsid w:val="00B50AC6"/>
    <w:rsid w:val="00B50AE4"/>
    <w:rsid w:val="00B50B89"/>
    <w:rsid w:val="00B50BE9"/>
    <w:rsid w:val="00B50C6A"/>
    <w:rsid w:val="00B50CEA"/>
    <w:rsid w:val="00B50F1C"/>
    <w:rsid w:val="00B50F47"/>
    <w:rsid w:val="00B50F76"/>
    <w:rsid w:val="00B51126"/>
    <w:rsid w:val="00B51200"/>
    <w:rsid w:val="00B51336"/>
    <w:rsid w:val="00B513FD"/>
    <w:rsid w:val="00B5145E"/>
    <w:rsid w:val="00B514C0"/>
    <w:rsid w:val="00B514D7"/>
    <w:rsid w:val="00B51588"/>
    <w:rsid w:val="00B51709"/>
    <w:rsid w:val="00B51786"/>
    <w:rsid w:val="00B517E2"/>
    <w:rsid w:val="00B51842"/>
    <w:rsid w:val="00B518DB"/>
    <w:rsid w:val="00B51928"/>
    <w:rsid w:val="00B51A91"/>
    <w:rsid w:val="00B51ACE"/>
    <w:rsid w:val="00B51B32"/>
    <w:rsid w:val="00B51BC1"/>
    <w:rsid w:val="00B51C98"/>
    <w:rsid w:val="00B51CF1"/>
    <w:rsid w:val="00B51D62"/>
    <w:rsid w:val="00B51D8C"/>
    <w:rsid w:val="00B51DE3"/>
    <w:rsid w:val="00B51DE7"/>
    <w:rsid w:val="00B51E68"/>
    <w:rsid w:val="00B52058"/>
    <w:rsid w:val="00B5206B"/>
    <w:rsid w:val="00B521E0"/>
    <w:rsid w:val="00B52282"/>
    <w:rsid w:val="00B5260F"/>
    <w:rsid w:val="00B5261F"/>
    <w:rsid w:val="00B5265D"/>
    <w:rsid w:val="00B526EB"/>
    <w:rsid w:val="00B5270A"/>
    <w:rsid w:val="00B52829"/>
    <w:rsid w:val="00B5285F"/>
    <w:rsid w:val="00B529CD"/>
    <w:rsid w:val="00B529FA"/>
    <w:rsid w:val="00B52A1C"/>
    <w:rsid w:val="00B52BE3"/>
    <w:rsid w:val="00B52CBC"/>
    <w:rsid w:val="00B52E26"/>
    <w:rsid w:val="00B52E8D"/>
    <w:rsid w:val="00B52EC3"/>
    <w:rsid w:val="00B52F9B"/>
    <w:rsid w:val="00B52FAE"/>
    <w:rsid w:val="00B52FD5"/>
    <w:rsid w:val="00B53129"/>
    <w:rsid w:val="00B532F6"/>
    <w:rsid w:val="00B53308"/>
    <w:rsid w:val="00B5341E"/>
    <w:rsid w:val="00B5347E"/>
    <w:rsid w:val="00B5352D"/>
    <w:rsid w:val="00B53641"/>
    <w:rsid w:val="00B5376C"/>
    <w:rsid w:val="00B53854"/>
    <w:rsid w:val="00B538A5"/>
    <w:rsid w:val="00B538F3"/>
    <w:rsid w:val="00B53A47"/>
    <w:rsid w:val="00B53AC8"/>
    <w:rsid w:val="00B53C38"/>
    <w:rsid w:val="00B53D14"/>
    <w:rsid w:val="00B53D4E"/>
    <w:rsid w:val="00B53D74"/>
    <w:rsid w:val="00B53EE4"/>
    <w:rsid w:val="00B53EE6"/>
    <w:rsid w:val="00B53F21"/>
    <w:rsid w:val="00B53F4C"/>
    <w:rsid w:val="00B53F93"/>
    <w:rsid w:val="00B53FA9"/>
    <w:rsid w:val="00B54032"/>
    <w:rsid w:val="00B54127"/>
    <w:rsid w:val="00B54281"/>
    <w:rsid w:val="00B542B8"/>
    <w:rsid w:val="00B542E8"/>
    <w:rsid w:val="00B54329"/>
    <w:rsid w:val="00B543CB"/>
    <w:rsid w:val="00B5456E"/>
    <w:rsid w:val="00B545B3"/>
    <w:rsid w:val="00B5460E"/>
    <w:rsid w:val="00B54614"/>
    <w:rsid w:val="00B54849"/>
    <w:rsid w:val="00B54A6B"/>
    <w:rsid w:val="00B54A7A"/>
    <w:rsid w:val="00B54A90"/>
    <w:rsid w:val="00B54AAE"/>
    <w:rsid w:val="00B54B71"/>
    <w:rsid w:val="00B54BCA"/>
    <w:rsid w:val="00B54C50"/>
    <w:rsid w:val="00B54D12"/>
    <w:rsid w:val="00B54D4A"/>
    <w:rsid w:val="00B54D6A"/>
    <w:rsid w:val="00B54DA9"/>
    <w:rsid w:val="00B54E8A"/>
    <w:rsid w:val="00B54EDA"/>
    <w:rsid w:val="00B54F93"/>
    <w:rsid w:val="00B54FD2"/>
    <w:rsid w:val="00B54FE9"/>
    <w:rsid w:val="00B55150"/>
    <w:rsid w:val="00B552DE"/>
    <w:rsid w:val="00B55300"/>
    <w:rsid w:val="00B5537B"/>
    <w:rsid w:val="00B55443"/>
    <w:rsid w:val="00B5554F"/>
    <w:rsid w:val="00B5573A"/>
    <w:rsid w:val="00B5575C"/>
    <w:rsid w:val="00B5579A"/>
    <w:rsid w:val="00B557B6"/>
    <w:rsid w:val="00B55956"/>
    <w:rsid w:val="00B55AB5"/>
    <w:rsid w:val="00B55AC8"/>
    <w:rsid w:val="00B55AE2"/>
    <w:rsid w:val="00B55B20"/>
    <w:rsid w:val="00B55B82"/>
    <w:rsid w:val="00B55BD7"/>
    <w:rsid w:val="00B55D06"/>
    <w:rsid w:val="00B55D99"/>
    <w:rsid w:val="00B55DD7"/>
    <w:rsid w:val="00B55DE2"/>
    <w:rsid w:val="00B55EF0"/>
    <w:rsid w:val="00B55FE1"/>
    <w:rsid w:val="00B5605F"/>
    <w:rsid w:val="00B5608A"/>
    <w:rsid w:val="00B560E4"/>
    <w:rsid w:val="00B56358"/>
    <w:rsid w:val="00B563A9"/>
    <w:rsid w:val="00B563CF"/>
    <w:rsid w:val="00B564A6"/>
    <w:rsid w:val="00B564D0"/>
    <w:rsid w:val="00B56567"/>
    <w:rsid w:val="00B567EE"/>
    <w:rsid w:val="00B56819"/>
    <w:rsid w:val="00B56869"/>
    <w:rsid w:val="00B569F0"/>
    <w:rsid w:val="00B56A0E"/>
    <w:rsid w:val="00B56AB2"/>
    <w:rsid w:val="00B56B4D"/>
    <w:rsid w:val="00B56C03"/>
    <w:rsid w:val="00B56C16"/>
    <w:rsid w:val="00B56C91"/>
    <w:rsid w:val="00B56CAC"/>
    <w:rsid w:val="00B56CDF"/>
    <w:rsid w:val="00B56EBA"/>
    <w:rsid w:val="00B56F21"/>
    <w:rsid w:val="00B56F38"/>
    <w:rsid w:val="00B56F76"/>
    <w:rsid w:val="00B56FB6"/>
    <w:rsid w:val="00B56FCF"/>
    <w:rsid w:val="00B56FD6"/>
    <w:rsid w:val="00B56FFA"/>
    <w:rsid w:val="00B570BD"/>
    <w:rsid w:val="00B570FA"/>
    <w:rsid w:val="00B57230"/>
    <w:rsid w:val="00B57231"/>
    <w:rsid w:val="00B57245"/>
    <w:rsid w:val="00B572B8"/>
    <w:rsid w:val="00B572EB"/>
    <w:rsid w:val="00B5738C"/>
    <w:rsid w:val="00B57419"/>
    <w:rsid w:val="00B5750A"/>
    <w:rsid w:val="00B57572"/>
    <w:rsid w:val="00B576FE"/>
    <w:rsid w:val="00B57700"/>
    <w:rsid w:val="00B5771C"/>
    <w:rsid w:val="00B57767"/>
    <w:rsid w:val="00B5776A"/>
    <w:rsid w:val="00B57776"/>
    <w:rsid w:val="00B57809"/>
    <w:rsid w:val="00B578D0"/>
    <w:rsid w:val="00B57A3D"/>
    <w:rsid w:val="00B57A73"/>
    <w:rsid w:val="00B57C34"/>
    <w:rsid w:val="00B57CBB"/>
    <w:rsid w:val="00B57CBD"/>
    <w:rsid w:val="00B57E77"/>
    <w:rsid w:val="00B57E9B"/>
    <w:rsid w:val="00B57ECA"/>
    <w:rsid w:val="00B57F69"/>
    <w:rsid w:val="00B60062"/>
    <w:rsid w:val="00B60117"/>
    <w:rsid w:val="00B6031E"/>
    <w:rsid w:val="00B60690"/>
    <w:rsid w:val="00B606DD"/>
    <w:rsid w:val="00B60701"/>
    <w:rsid w:val="00B60724"/>
    <w:rsid w:val="00B6075B"/>
    <w:rsid w:val="00B60796"/>
    <w:rsid w:val="00B607EF"/>
    <w:rsid w:val="00B609BC"/>
    <w:rsid w:val="00B609ED"/>
    <w:rsid w:val="00B60A20"/>
    <w:rsid w:val="00B60A29"/>
    <w:rsid w:val="00B60BBB"/>
    <w:rsid w:val="00B60CBB"/>
    <w:rsid w:val="00B60CC0"/>
    <w:rsid w:val="00B60CE0"/>
    <w:rsid w:val="00B60D8D"/>
    <w:rsid w:val="00B60E4D"/>
    <w:rsid w:val="00B60E96"/>
    <w:rsid w:val="00B60ED0"/>
    <w:rsid w:val="00B60FD4"/>
    <w:rsid w:val="00B6101A"/>
    <w:rsid w:val="00B61068"/>
    <w:rsid w:val="00B61077"/>
    <w:rsid w:val="00B61165"/>
    <w:rsid w:val="00B6116D"/>
    <w:rsid w:val="00B61210"/>
    <w:rsid w:val="00B61277"/>
    <w:rsid w:val="00B61511"/>
    <w:rsid w:val="00B61554"/>
    <w:rsid w:val="00B615AB"/>
    <w:rsid w:val="00B615AF"/>
    <w:rsid w:val="00B615D0"/>
    <w:rsid w:val="00B617D6"/>
    <w:rsid w:val="00B619F4"/>
    <w:rsid w:val="00B61A3D"/>
    <w:rsid w:val="00B61AC2"/>
    <w:rsid w:val="00B61BB7"/>
    <w:rsid w:val="00B61CA5"/>
    <w:rsid w:val="00B61D26"/>
    <w:rsid w:val="00B61DB3"/>
    <w:rsid w:val="00B61E12"/>
    <w:rsid w:val="00B61E13"/>
    <w:rsid w:val="00B61E59"/>
    <w:rsid w:val="00B61EEA"/>
    <w:rsid w:val="00B61F5B"/>
    <w:rsid w:val="00B62010"/>
    <w:rsid w:val="00B620A0"/>
    <w:rsid w:val="00B621AF"/>
    <w:rsid w:val="00B62252"/>
    <w:rsid w:val="00B623A1"/>
    <w:rsid w:val="00B62423"/>
    <w:rsid w:val="00B62553"/>
    <w:rsid w:val="00B6258C"/>
    <w:rsid w:val="00B626D2"/>
    <w:rsid w:val="00B6278A"/>
    <w:rsid w:val="00B628A1"/>
    <w:rsid w:val="00B62A26"/>
    <w:rsid w:val="00B62A3E"/>
    <w:rsid w:val="00B62A67"/>
    <w:rsid w:val="00B62AC7"/>
    <w:rsid w:val="00B62B86"/>
    <w:rsid w:val="00B62BBA"/>
    <w:rsid w:val="00B62C11"/>
    <w:rsid w:val="00B62C2E"/>
    <w:rsid w:val="00B62CF9"/>
    <w:rsid w:val="00B62CFF"/>
    <w:rsid w:val="00B62E3C"/>
    <w:rsid w:val="00B62E47"/>
    <w:rsid w:val="00B62EA1"/>
    <w:rsid w:val="00B62FB8"/>
    <w:rsid w:val="00B630C9"/>
    <w:rsid w:val="00B63219"/>
    <w:rsid w:val="00B63371"/>
    <w:rsid w:val="00B633ED"/>
    <w:rsid w:val="00B63437"/>
    <w:rsid w:val="00B6354E"/>
    <w:rsid w:val="00B635D3"/>
    <w:rsid w:val="00B636C6"/>
    <w:rsid w:val="00B636FB"/>
    <w:rsid w:val="00B6374F"/>
    <w:rsid w:val="00B637CD"/>
    <w:rsid w:val="00B63806"/>
    <w:rsid w:val="00B63837"/>
    <w:rsid w:val="00B63879"/>
    <w:rsid w:val="00B6388F"/>
    <w:rsid w:val="00B6389F"/>
    <w:rsid w:val="00B6393F"/>
    <w:rsid w:val="00B63966"/>
    <w:rsid w:val="00B639D5"/>
    <w:rsid w:val="00B63AD9"/>
    <w:rsid w:val="00B63AE3"/>
    <w:rsid w:val="00B63BFC"/>
    <w:rsid w:val="00B63C2E"/>
    <w:rsid w:val="00B63C3A"/>
    <w:rsid w:val="00B63CC5"/>
    <w:rsid w:val="00B63D2B"/>
    <w:rsid w:val="00B63DD8"/>
    <w:rsid w:val="00B64210"/>
    <w:rsid w:val="00B64358"/>
    <w:rsid w:val="00B64364"/>
    <w:rsid w:val="00B64387"/>
    <w:rsid w:val="00B64468"/>
    <w:rsid w:val="00B64472"/>
    <w:rsid w:val="00B6449A"/>
    <w:rsid w:val="00B644B8"/>
    <w:rsid w:val="00B644CB"/>
    <w:rsid w:val="00B64535"/>
    <w:rsid w:val="00B64704"/>
    <w:rsid w:val="00B64895"/>
    <w:rsid w:val="00B648E6"/>
    <w:rsid w:val="00B648E8"/>
    <w:rsid w:val="00B64AB7"/>
    <w:rsid w:val="00B64B74"/>
    <w:rsid w:val="00B64BBD"/>
    <w:rsid w:val="00B64D15"/>
    <w:rsid w:val="00B64D54"/>
    <w:rsid w:val="00B64DAE"/>
    <w:rsid w:val="00B64E94"/>
    <w:rsid w:val="00B64F3B"/>
    <w:rsid w:val="00B64FF3"/>
    <w:rsid w:val="00B65016"/>
    <w:rsid w:val="00B65020"/>
    <w:rsid w:val="00B65067"/>
    <w:rsid w:val="00B6507B"/>
    <w:rsid w:val="00B65095"/>
    <w:rsid w:val="00B6529A"/>
    <w:rsid w:val="00B654A1"/>
    <w:rsid w:val="00B65502"/>
    <w:rsid w:val="00B65526"/>
    <w:rsid w:val="00B65626"/>
    <w:rsid w:val="00B6570C"/>
    <w:rsid w:val="00B657E7"/>
    <w:rsid w:val="00B6584B"/>
    <w:rsid w:val="00B65891"/>
    <w:rsid w:val="00B658B6"/>
    <w:rsid w:val="00B65935"/>
    <w:rsid w:val="00B6596D"/>
    <w:rsid w:val="00B65A13"/>
    <w:rsid w:val="00B65A7F"/>
    <w:rsid w:val="00B65AE0"/>
    <w:rsid w:val="00B65B75"/>
    <w:rsid w:val="00B65B85"/>
    <w:rsid w:val="00B65B93"/>
    <w:rsid w:val="00B65B99"/>
    <w:rsid w:val="00B65BB9"/>
    <w:rsid w:val="00B65C1C"/>
    <w:rsid w:val="00B65D59"/>
    <w:rsid w:val="00B65D5D"/>
    <w:rsid w:val="00B65E74"/>
    <w:rsid w:val="00B65E8F"/>
    <w:rsid w:val="00B65FAC"/>
    <w:rsid w:val="00B65FD2"/>
    <w:rsid w:val="00B6607F"/>
    <w:rsid w:val="00B660D8"/>
    <w:rsid w:val="00B660E4"/>
    <w:rsid w:val="00B660F4"/>
    <w:rsid w:val="00B66130"/>
    <w:rsid w:val="00B66158"/>
    <w:rsid w:val="00B66220"/>
    <w:rsid w:val="00B66235"/>
    <w:rsid w:val="00B662E9"/>
    <w:rsid w:val="00B66313"/>
    <w:rsid w:val="00B66346"/>
    <w:rsid w:val="00B6642C"/>
    <w:rsid w:val="00B66522"/>
    <w:rsid w:val="00B665C1"/>
    <w:rsid w:val="00B665D4"/>
    <w:rsid w:val="00B6662B"/>
    <w:rsid w:val="00B666D5"/>
    <w:rsid w:val="00B668F7"/>
    <w:rsid w:val="00B66978"/>
    <w:rsid w:val="00B66980"/>
    <w:rsid w:val="00B669B6"/>
    <w:rsid w:val="00B669CD"/>
    <w:rsid w:val="00B66A9E"/>
    <w:rsid w:val="00B66AA3"/>
    <w:rsid w:val="00B66B2E"/>
    <w:rsid w:val="00B66B54"/>
    <w:rsid w:val="00B66B57"/>
    <w:rsid w:val="00B66CA9"/>
    <w:rsid w:val="00B66CED"/>
    <w:rsid w:val="00B66CF1"/>
    <w:rsid w:val="00B66D1E"/>
    <w:rsid w:val="00B66D61"/>
    <w:rsid w:val="00B66D92"/>
    <w:rsid w:val="00B66E58"/>
    <w:rsid w:val="00B66F08"/>
    <w:rsid w:val="00B66F19"/>
    <w:rsid w:val="00B66FC0"/>
    <w:rsid w:val="00B671AA"/>
    <w:rsid w:val="00B67313"/>
    <w:rsid w:val="00B6735D"/>
    <w:rsid w:val="00B674A6"/>
    <w:rsid w:val="00B674D6"/>
    <w:rsid w:val="00B674FA"/>
    <w:rsid w:val="00B67545"/>
    <w:rsid w:val="00B675E7"/>
    <w:rsid w:val="00B675F0"/>
    <w:rsid w:val="00B676DF"/>
    <w:rsid w:val="00B67702"/>
    <w:rsid w:val="00B678B2"/>
    <w:rsid w:val="00B678B6"/>
    <w:rsid w:val="00B678DA"/>
    <w:rsid w:val="00B67BAD"/>
    <w:rsid w:val="00B67BD7"/>
    <w:rsid w:val="00B67BF8"/>
    <w:rsid w:val="00B67CD3"/>
    <w:rsid w:val="00B67D26"/>
    <w:rsid w:val="00B67D7D"/>
    <w:rsid w:val="00B67F17"/>
    <w:rsid w:val="00B67F5B"/>
    <w:rsid w:val="00B70286"/>
    <w:rsid w:val="00B70291"/>
    <w:rsid w:val="00B702E5"/>
    <w:rsid w:val="00B703BD"/>
    <w:rsid w:val="00B7042C"/>
    <w:rsid w:val="00B704DF"/>
    <w:rsid w:val="00B704EA"/>
    <w:rsid w:val="00B7050D"/>
    <w:rsid w:val="00B70519"/>
    <w:rsid w:val="00B70535"/>
    <w:rsid w:val="00B705A0"/>
    <w:rsid w:val="00B705EF"/>
    <w:rsid w:val="00B706E8"/>
    <w:rsid w:val="00B70779"/>
    <w:rsid w:val="00B707B2"/>
    <w:rsid w:val="00B707E8"/>
    <w:rsid w:val="00B707E9"/>
    <w:rsid w:val="00B70801"/>
    <w:rsid w:val="00B70832"/>
    <w:rsid w:val="00B7088C"/>
    <w:rsid w:val="00B70956"/>
    <w:rsid w:val="00B70A7E"/>
    <w:rsid w:val="00B70B76"/>
    <w:rsid w:val="00B70BC4"/>
    <w:rsid w:val="00B70C61"/>
    <w:rsid w:val="00B70C86"/>
    <w:rsid w:val="00B70CCB"/>
    <w:rsid w:val="00B70D98"/>
    <w:rsid w:val="00B70E57"/>
    <w:rsid w:val="00B70F25"/>
    <w:rsid w:val="00B71017"/>
    <w:rsid w:val="00B710B7"/>
    <w:rsid w:val="00B71141"/>
    <w:rsid w:val="00B71182"/>
    <w:rsid w:val="00B71282"/>
    <w:rsid w:val="00B71319"/>
    <w:rsid w:val="00B7131F"/>
    <w:rsid w:val="00B713F8"/>
    <w:rsid w:val="00B71528"/>
    <w:rsid w:val="00B71612"/>
    <w:rsid w:val="00B71696"/>
    <w:rsid w:val="00B7170E"/>
    <w:rsid w:val="00B7171C"/>
    <w:rsid w:val="00B7187C"/>
    <w:rsid w:val="00B71A19"/>
    <w:rsid w:val="00B71B5A"/>
    <w:rsid w:val="00B71CEC"/>
    <w:rsid w:val="00B71D0C"/>
    <w:rsid w:val="00B71D73"/>
    <w:rsid w:val="00B71DBD"/>
    <w:rsid w:val="00B71FB9"/>
    <w:rsid w:val="00B72160"/>
    <w:rsid w:val="00B7218A"/>
    <w:rsid w:val="00B721E0"/>
    <w:rsid w:val="00B72282"/>
    <w:rsid w:val="00B7228B"/>
    <w:rsid w:val="00B72330"/>
    <w:rsid w:val="00B72336"/>
    <w:rsid w:val="00B72379"/>
    <w:rsid w:val="00B72507"/>
    <w:rsid w:val="00B726D4"/>
    <w:rsid w:val="00B727D2"/>
    <w:rsid w:val="00B728D5"/>
    <w:rsid w:val="00B729DA"/>
    <w:rsid w:val="00B72A2D"/>
    <w:rsid w:val="00B72B45"/>
    <w:rsid w:val="00B72BBF"/>
    <w:rsid w:val="00B72C61"/>
    <w:rsid w:val="00B72E9B"/>
    <w:rsid w:val="00B73086"/>
    <w:rsid w:val="00B730A3"/>
    <w:rsid w:val="00B73123"/>
    <w:rsid w:val="00B73181"/>
    <w:rsid w:val="00B73192"/>
    <w:rsid w:val="00B73236"/>
    <w:rsid w:val="00B733D0"/>
    <w:rsid w:val="00B73416"/>
    <w:rsid w:val="00B73484"/>
    <w:rsid w:val="00B7358C"/>
    <w:rsid w:val="00B73597"/>
    <w:rsid w:val="00B735C4"/>
    <w:rsid w:val="00B735CE"/>
    <w:rsid w:val="00B735F5"/>
    <w:rsid w:val="00B7379F"/>
    <w:rsid w:val="00B73819"/>
    <w:rsid w:val="00B7384A"/>
    <w:rsid w:val="00B7385F"/>
    <w:rsid w:val="00B738C1"/>
    <w:rsid w:val="00B7396E"/>
    <w:rsid w:val="00B7399B"/>
    <w:rsid w:val="00B739D6"/>
    <w:rsid w:val="00B739FF"/>
    <w:rsid w:val="00B73A81"/>
    <w:rsid w:val="00B73A8D"/>
    <w:rsid w:val="00B73B8F"/>
    <w:rsid w:val="00B73C15"/>
    <w:rsid w:val="00B73D32"/>
    <w:rsid w:val="00B73E34"/>
    <w:rsid w:val="00B73F6A"/>
    <w:rsid w:val="00B73FB8"/>
    <w:rsid w:val="00B7409A"/>
    <w:rsid w:val="00B740E4"/>
    <w:rsid w:val="00B740E7"/>
    <w:rsid w:val="00B74426"/>
    <w:rsid w:val="00B744FE"/>
    <w:rsid w:val="00B74731"/>
    <w:rsid w:val="00B74744"/>
    <w:rsid w:val="00B74803"/>
    <w:rsid w:val="00B748E6"/>
    <w:rsid w:val="00B74999"/>
    <w:rsid w:val="00B749D0"/>
    <w:rsid w:val="00B74A6E"/>
    <w:rsid w:val="00B74A90"/>
    <w:rsid w:val="00B74AE5"/>
    <w:rsid w:val="00B74BA8"/>
    <w:rsid w:val="00B74C0A"/>
    <w:rsid w:val="00B74CC8"/>
    <w:rsid w:val="00B74CDC"/>
    <w:rsid w:val="00B74E48"/>
    <w:rsid w:val="00B74E54"/>
    <w:rsid w:val="00B74FC6"/>
    <w:rsid w:val="00B7520C"/>
    <w:rsid w:val="00B75343"/>
    <w:rsid w:val="00B753AF"/>
    <w:rsid w:val="00B753BD"/>
    <w:rsid w:val="00B75402"/>
    <w:rsid w:val="00B7548E"/>
    <w:rsid w:val="00B75513"/>
    <w:rsid w:val="00B755C6"/>
    <w:rsid w:val="00B7569E"/>
    <w:rsid w:val="00B757D3"/>
    <w:rsid w:val="00B757FE"/>
    <w:rsid w:val="00B75886"/>
    <w:rsid w:val="00B75978"/>
    <w:rsid w:val="00B7598C"/>
    <w:rsid w:val="00B759BB"/>
    <w:rsid w:val="00B759D7"/>
    <w:rsid w:val="00B75A1F"/>
    <w:rsid w:val="00B75A44"/>
    <w:rsid w:val="00B75B01"/>
    <w:rsid w:val="00B75B75"/>
    <w:rsid w:val="00B75B7A"/>
    <w:rsid w:val="00B75BF5"/>
    <w:rsid w:val="00B75C71"/>
    <w:rsid w:val="00B75C86"/>
    <w:rsid w:val="00B75CB6"/>
    <w:rsid w:val="00B75D03"/>
    <w:rsid w:val="00B75E5F"/>
    <w:rsid w:val="00B75EBD"/>
    <w:rsid w:val="00B75EE3"/>
    <w:rsid w:val="00B75F31"/>
    <w:rsid w:val="00B76032"/>
    <w:rsid w:val="00B7604C"/>
    <w:rsid w:val="00B760A9"/>
    <w:rsid w:val="00B760AD"/>
    <w:rsid w:val="00B760D8"/>
    <w:rsid w:val="00B7622B"/>
    <w:rsid w:val="00B7624E"/>
    <w:rsid w:val="00B763D8"/>
    <w:rsid w:val="00B7641E"/>
    <w:rsid w:val="00B764AB"/>
    <w:rsid w:val="00B764B2"/>
    <w:rsid w:val="00B767D1"/>
    <w:rsid w:val="00B768E6"/>
    <w:rsid w:val="00B769E2"/>
    <w:rsid w:val="00B76B02"/>
    <w:rsid w:val="00B76B49"/>
    <w:rsid w:val="00B76BBD"/>
    <w:rsid w:val="00B76BCE"/>
    <w:rsid w:val="00B76C72"/>
    <w:rsid w:val="00B76C76"/>
    <w:rsid w:val="00B76D43"/>
    <w:rsid w:val="00B76F14"/>
    <w:rsid w:val="00B77040"/>
    <w:rsid w:val="00B77041"/>
    <w:rsid w:val="00B770CB"/>
    <w:rsid w:val="00B770D2"/>
    <w:rsid w:val="00B771C6"/>
    <w:rsid w:val="00B771F9"/>
    <w:rsid w:val="00B7726F"/>
    <w:rsid w:val="00B77327"/>
    <w:rsid w:val="00B7745B"/>
    <w:rsid w:val="00B774A5"/>
    <w:rsid w:val="00B775DA"/>
    <w:rsid w:val="00B776CC"/>
    <w:rsid w:val="00B776E1"/>
    <w:rsid w:val="00B7773F"/>
    <w:rsid w:val="00B7774A"/>
    <w:rsid w:val="00B777DE"/>
    <w:rsid w:val="00B777F6"/>
    <w:rsid w:val="00B778CB"/>
    <w:rsid w:val="00B778DC"/>
    <w:rsid w:val="00B7795C"/>
    <w:rsid w:val="00B779A4"/>
    <w:rsid w:val="00B779AC"/>
    <w:rsid w:val="00B77A51"/>
    <w:rsid w:val="00B77BE8"/>
    <w:rsid w:val="00B77C41"/>
    <w:rsid w:val="00B77D24"/>
    <w:rsid w:val="00B77E52"/>
    <w:rsid w:val="00B77F9E"/>
    <w:rsid w:val="00B77FB9"/>
    <w:rsid w:val="00B8003A"/>
    <w:rsid w:val="00B800A0"/>
    <w:rsid w:val="00B80108"/>
    <w:rsid w:val="00B8019C"/>
    <w:rsid w:val="00B801C9"/>
    <w:rsid w:val="00B803B6"/>
    <w:rsid w:val="00B803C8"/>
    <w:rsid w:val="00B803D1"/>
    <w:rsid w:val="00B8042F"/>
    <w:rsid w:val="00B80490"/>
    <w:rsid w:val="00B80770"/>
    <w:rsid w:val="00B808F1"/>
    <w:rsid w:val="00B80908"/>
    <w:rsid w:val="00B809CF"/>
    <w:rsid w:val="00B80AE2"/>
    <w:rsid w:val="00B80AE7"/>
    <w:rsid w:val="00B80AEC"/>
    <w:rsid w:val="00B80B05"/>
    <w:rsid w:val="00B80B67"/>
    <w:rsid w:val="00B80B8E"/>
    <w:rsid w:val="00B80C19"/>
    <w:rsid w:val="00B80D24"/>
    <w:rsid w:val="00B80D4C"/>
    <w:rsid w:val="00B80D5F"/>
    <w:rsid w:val="00B80DBD"/>
    <w:rsid w:val="00B80E16"/>
    <w:rsid w:val="00B80E74"/>
    <w:rsid w:val="00B81143"/>
    <w:rsid w:val="00B8119A"/>
    <w:rsid w:val="00B812D6"/>
    <w:rsid w:val="00B81363"/>
    <w:rsid w:val="00B813E2"/>
    <w:rsid w:val="00B8143D"/>
    <w:rsid w:val="00B8182F"/>
    <w:rsid w:val="00B819F0"/>
    <w:rsid w:val="00B81A8B"/>
    <w:rsid w:val="00B81A96"/>
    <w:rsid w:val="00B81ABA"/>
    <w:rsid w:val="00B81ADE"/>
    <w:rsid w:val="00B81C12"/>
    <w:rsid w:val="00B81CBA"/>
    <w:rsid w:val="00B81D16"/>
    <w:rsid w:val="00B81E06"/>
    <w:rsid w:val="00B81E2D"/>
    <w:rsid w:val="00B81E3A"/>
    <w:rsid w:val="00B81EFE"/>
    <w:rsid w:val="00B81F14"/>
    <w:rsid w:val="00B8204E"/>
    <w:rsid w:val="00B82057"/>
    <w:rsid w:val="00B82087"/>
    <w:rsid w:val="00B8223C"/>
    <w:rsid w:val="00B822D5"/>
    <w:rsid w:val="00B823E3"/>
    <w:rsid w:val="00B8254A"/>
    <w:rsid w:val="00B825A6"/>
    <w:rsid w:val="00B826C5"/>
    <w:rsid w:val="00B827D8"/>
    <w:rsid w:val="00B82816"/>
    <w:rsid w:val="00B8287F"/>
    <w:rsid w:val="00B82963"/>
    <w:rsid w:val="00B829C7"/>
    <w:rsid w:val="00B82A04"/>
    <w:rsid w:val="00B82B11"/>
    <w:rsid w:val="00B82E77"/>
    <w:rsid w:val="00B82E8F"/>
    <w:rsid w:val="00B82F5A"/>
    <w:rsid w:val="00B82FF0"/>
    <w:rsid w:val="00B83025"/>
    <w:rsid w:val="00B83045"/>
    <w:rsid w:val="00B8309E"/>
    <w:rsid w:val="00B831D3"/>
    <w:rsid w:val="00B83264"/>
    <w:rsid w:val="00B8334D"/>
    <w:rsid w:val="00B8342E"/>
    <w:rsid w:val="00B834FE"/>
    <w:rsid w:val="00B835DC"/>
    <w:rsid w:val="00B835F7"/>
    <w:rsid w:val="00B8368E"/>
    <w:rsid w:val="00B836CD"/>
    <w:rsid w:val="00B83B4A"/>
    <w:rsid w:val="00B83BD2"/>
    <w:rsid w:val="00B83C38"/>
    <w:rsid w:val="00B83C96"/>
    <w:rsid w:val="00B83CC8"/>
    <w:rsid w:val="00B83D9C"/>
    <w:rsid w:val="00B83D9F"/>
    <w:rsid w:val="00B83ED4"/>
    <w:rsid w:val="00B83FA7"/>
    <w:rsid w:val="00B83FF1"/>
    <w:rsid w:val="00B84074"/>
    <w:rsid w:val="00B84104"/>
    <w:rsid w:val="00B84124"/>
    <w:rsid w:val="00B84184"/>
    <w:rsid w:val="00B841F6"/>
    <w:rsid w:val="00B842CD"/>
    <w:rsid w:val="00B842DA"/>
    <w:rsid w:val="00B84351"/>
    <w:rsid w:val="00B84438"/>
    <w:rsid w:val="00B84669"/>
    <w:rsid w:val="00B8471F"/>
    <w:rsid w:val="00B8472E"/>
    <w:rsid w:val="00B8478B"/>
    <w:rsid w:val="00B84829"/>
    <w:rsid w:val="00B8483D"/>
    <w:rsid w:val="00B8498A"/>
    <w:rsid w:val="00B849A1"/>
    <w:rsid w:val="00B849B0"/>
    <w:rsid w:val="00B84AA2"/>
    <w:rsid w:val="00B84AF9"/>
    <w:rsid w:val="00B84B70"/>
    <w:rsid w:val="00B84BDB"/>
    <w:rsid w:val="00B84D9E"/>
    <w:rsid w:val="00B84E11"/>
    <w:rsid w:val="00B84E48"/>
    <w:rsid w:val="00B84EA0"/>
    <w:rsid w:val="00B84EB7"/>
    <w:rsid w:val="00B84EF1"/>
    <w:rsid w:val="00B84F2A"/>
    <w:rsid w:val="00B85030"/>
    <w:rsid w:val="00B85325"/>
    <w:rsid w:val="00B8538F"/>
    <w:rsid w:val="00B8542F"/>
    <w:rsid w:val="00B85526"/>
    <w:rsid w:val="00B8553C"/>
    <w:rsid w:val="00B858BD"/>
    <w:rsid w:val="00B85936"/>
    <w:rsid w:val="00B85A95"/>
    <w:rsid w:val="00B85D5C"/>
    <w:rsid w:val="00B85D91"/>
    <w:rsid w:val="00B85DCF"/>
    <w:rsid w:val="00B85F7E"/>
    <w:rsid w:val="00B85F8A"/>
    <w:rsid w:val="00B85FC0"/>
    <w:rsid w:val="00B86099"/>
    <w:rsid w:val="00B860A0"/>
    <w:rsid w:val="00B861C9"/>
    <w:rsid w:val="00B86326"/>
    <w:rsid w:val="00B8636D"/>
    <w:rsid w:val="00B863A0"/>
    <w:rsid w:val="00B8649F"/>
    <w:rsid w:val="00B86600"/>
    <w:rsid w:val="00B86631"/>
    <w:rsid w:val="00B86704"/>
    <w:rsid w:val="00B86868"/>
    <w:rsid w:val="00B869D9"/>
    <w:rsid w:val="00B869E6"/>
    <w:rsid w:val="00B86A1A"/>
    <w:rsid w:val="00B86B3B"/>
    <w:rsid w:val="00B86BF9"/>
    <w:rsid w:val="00B86C04"/>
    <w:rsid w:val="00B86E5B"/>
    <w:rsid w:val="00B86E79"/>
    <w:rsid w:val="00B86EFA"/>
    <w:rsid w:val="00B86EFF"/>
    <w:rsid w:val="00B86FEA"/>
    <w:rsid w:val="00B87006"/>
    <w:rsid w:val="00B87086"/>
    <w:rsid w:val="00B87153"/>
    <w:rsid w:val="00B87155"/>
    <w:rsid w:val="00B871CB"/>
    <w:rsid w:val="00B8720E"/>
    <w:rsid w:val="00B873C4"/>
    <w:rsid w:val="00B87604"/>
    <w:rsid w:val="00B87893"/>
    <w:rsid w:val="00B879A4"/>
    <w:rsid w:val="00B879DF"/>
    <w:rsid w:val="00B87AC2"/>
    <w:rsid w:val="00B87ADE"/>
    <w:rsid w:val="00B87B7A"/>
    <w:rsid w:val="00B87BA1"/>
    <w:rsid w:val="00B87BA6"/>
    <w:rsid w:val="00B87BC2"/>
    <w:rsid w:val="00B87BE0"/>
    <w:rsid w:val="00B87C90"/>
    <w:rsid w:val="00B87CB7"/>
    <w:rsid w:val="00B87F09"/>
    <w:rsid w:val="00B87FC3"/>
    <w:rsid w:val="00B87FE0"/>
    <w:rsid w:val="00B87FEA"/>
    <w:rsid w:val="00B9009A"/>
    <w:rsid w:val="00B901E1"/>
    <w:rsid w:val="00B90210"/>
    <w:rsid w:val="00B902BB"/>
    <w:rsid w:val="00B902CD"/>
    <w:rsid w:val="00B90330"/>
    <w:rsid w:val="00B90372"/>
    <w:rsid w:val="00B903F5"/>
    <w:rsid w:val="00B9061B"/>
    <w:rsid w:val="00B90624"/>
    <w:rsid w:val="00B906D8"/>
    <w:rsid w:val="00B90798"/>
    <w:rsid w:val="00B907DB"/>
    <w:rsid w:val="00B907ED"/>
    <w:rsid w:val="00B9096A"/>
    <w:rsid w:val="00B90B03"/>
    <w:rsid w:val="00B90B73"/>
    <w:rsid w:val="00B90B7D"/>
    <w:rsid w:val="00B90B8B"/>
    <w:rsid w:val="00B90D69"/>
    <w:rsid w:val="00B90EAF"/>
    <w:rsid w:val="00B90FBC"/>
    <w:rsid w:val="00B90FC6"/>
    <w:rsid w:val="00B910A6"/>
    <w:rsid w:val="00B91129"/>
    <w:rsid w:val="00B911B3"/>
    <w:rsid w:val="00B9120D"/>
    <w:rsid w:val="00B91371"/>
    <w:rsid w:val="00B913D4"/>
    <w:rsid w:val="00B91459"/>
    <w:rsid w:val="00B914D6"/>
    <w:rsid w:val="00B914E8"/>
    <w:rsid w:val="00B9167F"/>
    <w:rsid w:val="00B918D0"/>
    <w:rsid w:val="00B918F1"/>
    <w:rsid w:val="00B91A78"/>
    <w:rsid w:val="00B91B44"/>
    <w:rsid w:val="00B91B8E"/>
    <w:rsid w:val="00B91C0D"/>
    <w:rsid w:val="00B91DE5"/>
    <w:rsid w:val="00B91E1C"/>
    <w:rsid w:val="00B91E28"/>
    <w:rsid w:val="00B91F5B"/>
    <w:rsid w:val="00B91F97"/>
    <w:rsid w:val="00B91FE1"/>
    <w:rsid w:val="00B920B6"/>
    <w:rsid w:val="00B920F1"/>
    <w:rsid w:val="00B920FD"/>
    <w:rsid w:val="00B9231B"/>
    <w:rsid w:val="00B92376"/>
    <w:rsid w:val="00B9238D"/>
    <w:rsid w:val="00B923A4"/>
    <w:rsid w:val="00B923D3"/>
    <w:rsid w:val="00B92400"/>
    <w:rsid w:val="00B9240C"/>
    <w:rsid w:val="00B92510"/>
    <w:rsid w:val="00B92621"/>
    <w:rsid w:val="00B926F9"/>
    <w:rsid w:val="00B928EF"/>
    <w:rsid w:val="00B929FB"/>
    <w:rsid w:val="00B92A25"/>
    <w:rsid w:val="00B92B50"/>
    <w:rsid w:val="00B92BA2"/>
    <w:rsid w:val="00B92C8D"/>
    <w:rsid w:val="00B92CCB"/>
    <w:rsid w:val="00B92D2F"/>
    <w:rsid w:val="00B92D81"/>
    <w:rsid w:val="00B92DA3"/>
    <w:rsid w:val="00B92E13"/>
    <w:rsid w:val="00B92E45"/>
    <w:rsid w:val="00B92F98"/>
    <w:rsid w:val="00B92F9F"/>
    <w:rsid w:val="00B92FFB"/>
    <w:rsid w:val="00B933B9"/>
    <w:rsid w:val="00B933D3"/>
    <w:rsid w:val="00B934E3"/>
    <w:rsid w:val="00B934F7"/>
    <w:rsid w:val="00B93555"/>
    <w:rsid w:val="00B935B8"/>
    <w:rsid w:val="00B935D6"/>
    <w:rsid w:val="00B93666"/>
    <w:rsid w:val="00B93747"/>
    <w:rsid w:val="00B93868"/>
    <w:rsid w:val="00B939EF"/>
    <w:rsid w:val="00B93A5E"/>
    <w:rsid w:val="00B93B12"/>
    <w:rsid w:val="00B93B58"/>
    <w:rsid w:val="00B93BAB"/>
    <w:rsid w:val="00B93D23"/>
    <w:rsid w:val="00B93D35"/>
    <w:rsid w:val="00B93DA5"/>
    <w:rsid w:val="00B93E4D"/>
    <w:rsid w:val="00B93E9E"/>
    <w:rsid w:val="00B93EB6"/>
    <w:rsid w:val="00B93ED5"/>
    <w:rsid w:val="00B93F9C"/>
    <w:rsid w:val="00B93FE2"/>
    <w:rsid w:val="00B9404F"/>
    <w:rsid w:val="00B940DD"/>
    <w:rsid w:val="00B94136"/>
    <w:rsid w:val="00B941FE"/>
    <w:rsid w:val="00B94201"/>
    <w:rsid w:val="00B9436F"/>
    <w:rsid w:val="00B94385"/>
    <w:rsid w:val="00B943EE"/>
    <w:rsid w:val="00B943F2"/>
    <w:rsid w:val="00B94471"/>
    <w:rsid w:val="00B94491"/>
    <w:rsid w:val="00B94789"/>
    <w:rsid w:val="00B94847"/>
    <w:rsid w:val="00B9484D"/>
    <w:rsid w:val="00B948AA"/>
    <w:rsid w:val="00B94B01"/>
    <w:rsid w:val="00B94B19"/>
    <w:rsid w:val="00B94C1B"/>
    <w:rsid w:val="00B94CB3"/>
    <w:rsid w:val="00B94CEB"/>
    <w:rsid w:val="00B94DB2"/>
    <w:rsid w:val="00B94DF5"/>
    <w:rsid w:val="00B94E30"/>
    <w:rsid w:val="00B94ED4"/>
    <w:rsid w:val="00B95052"/>
    <w:rsid w:val="00B950EE"/>
    <w:rsid w:val="00B95223"/>
    <w:rsid w:val="00B952A6"/>
    <w:rsid w:val="00B953A8"/>
    <w:rsid w:val="00B9540B"/>
    <w:rsid w:val="00B9542A"/>
    <w:rsid w:val="00B95459"/>
    <w:rsid w:val="00B954CA"/>
    <w:rsid w:val="00B954EA"/>
    <w:rsid w:val="00B955D5"/>
    <w:rsid w:val="00B955FA"/>
    <w:rsid w:val="00B957CA"/>
    <w:rsid w:val="00B958FB"/>
    <w:rsid w:val="00B9595F"/>
    <w:rsid w:val="00B95AB1"/>
    <w:rsid w:val="00B95AF9"/>
    <w:rsid w:val="00B95C0B"/>
    <w:rsid w:val="00B95E3F"/>
    <w:rsid w:val="00B95F21"/>
    <w:rsid w:val="00B95F80"/>
    <w:rsid w:val="00B95FEE"/>
    <w:rsid w:val="00B96036"/>
    <w:rsid w:val="00B960A0"/>
    <w:rsid w:val="00B96218"/>
    <w:rsid w:val="00B96306"/>
    <w:rsid w:val="00B96325"/>
    <w:rsid w:val="00B96373"/>
    <w:rsid w:val="00B9645F"/>
    <w:rsid w:val="00B96488"/>
    <w:rsid w:val="00B964F0"/>
    <w:rsid w:val="00B9652B"/>
    <w:rsid w:val="00B96629"/>
    <w:rsid w:val="00B967C5"/>
    <w:rsid w:val="00B9681C"/>
    <w:rsid w:val="00B968CB"/>
    <w:rsid w:val="00B968E6"/>
    <w:rsid w:val="00B96903"/>
    <w:rsid w:val="00B9690A"/>
    <w:rsid w:val="00B96A00"/>
    <w:rsid w:val="00B96A8C"/>
    <w:rsid w:val="00B96AE5"/>
    <w:rsid w:val="00B96AF8"/>
    <w:rsid w:val="00B96B83"/>
    <w:rsid w:val="00B96C47"/>
    <w:rsid w:val="00B96C7C"/>
    <w:rsid w:val="00B96DB5"/>
    <w:rsid w:val="00B96E64"/>
    <w:rsid w:val="00B96F7A"/>
    <w:rsid w:val="00B970AA"/>
    <w:rsid w:val="00B970FB"/>
    <w:rsid w:val="00B9711E"/>
    <w:rsid w:val="00B971A5"/>
    <w:rsid w:val="00B9720A"/>
    <w:rsid w:val="00B97406"/>
    <w:rsid w:val="00B97547"/>
    <w:rsid w:val="00B9758F"/>
    <w:rsid w:val="00B9759A"/>
    <w:rsid w:val="00B975B5"/>
    <w:rsid w:val="00B975F6"/>
    <w:rsid w:val="00B976E3"/>
    <w:rsid w:val="00B97720"/>
    <w:rsid w:val="00B9784C"/>
    <w:rsid w:val="00B97896"/>
    <w:rsid w:val="00B978FA"/>
    <w:rsid w:val="00B97A5D"/>
    <w:rsid w:val="00B97A5E"/>
    <w:rsid w:val="00B97C38"/>
    <w:rsid w:val="00B97C63"/>
    <w:rsid w:val="00B97D6B"/>
    <w:rsid w:val="00B97DC7"/>
    <w:rsid w:val="00B97E15"/>
    <w:rsid w:val="00B97EB3"/>
    <w:rsid w:val="00B97EDB"/>
    <w:rsid w:val="00B97F89"/>
    <w:rsid w:val="00BA01D9"/>
    <w:rsid w:val="00BA0235"/>
    <w:rsid w:val="00BA0287"/>
    <w:rsid w:val="00BA02DF"/>
    <w:rsid w:val="00BA04D0"/>
    <w:rsid w:val="00BA05EB"/>
    <w:rsid w:val="00BA07E8"/>
    <w:rsid w:val="00BA0848"/>
    <w:rsid w:val="00BA0875"/>
    <w:rsid w:val="00BA08C6"/>
    <w:rsid w:val="00BA093F"/>
    <w:rsid w:val="00BA0979"/>
    <w:rsid w:val="00BA0A1B"/>
    <w:rsid w:val="00BA0A26"/>
    <w:rsid w:val="00BA0C31"/>
    <w:rsid w:val="00BA0C88"/>
    <w:rsid w:val="00BA0C89"/>
    <w:rsid w:val="00BA0D31"/>
    <w:rsid w:val="00BA0D4E"/>
    <w:rsid w:val="00BA0ECB"/>
    <w:rsid w:val="00BA1125"/>
    <w:rsid w:val="00BA12EE"/>
    <w:rsid w:val="00BA1353"/>
    <w:rsid w:val="00BA13FC"/>
    <w:rsid w:val="00BA1536"/>
    <w:rsid w:val="00BA1620"/>
    <w:rsid w:val="00BA16E3"/>
    <w:rsid w:val="00BA17EA"/>
    <w:rsid w:val="00BA1815"/>
    <w:rsid w:val="00BA18CE"/>
    <w:rsid w:val="00BA1B9C"/>
    <w:rsid w:val="00BA1BD4"/>
    <w:rsid w:val="00BA1D1A"/>
    <w:rsid w:val="00BA1DA6"/>
    <w:rsid w:val="00BA1DDC"/>
    <w:rsid w:val="00BA1E79"/>
    <w:rsid w:val="00BA1F78"/>
    <w:rsid w:val="00BA1FBF"/>
    <w:rsid w:val="00BA208E"/>
    <w:rsid w:val="00BA20E6"/>
    <w:rsid w:val="00BA2158"/>
    <w:rsid w:val="00BA2197"/>
    <w:rsid w:val="00BA21C0"/>
    <w:rsid w:val="00BA22AE"/>
    <w:rsid w:val="00BA234B"/>
    <w:rsid w:val="00BA23AA"/>
    <w:rsid w:val="00BA24DE"/>
    <w:rsid w:val="00BA2545"/>
    <w:rsid w:val="00BA2575"/>
    <w:rsid w:val="00BA2576"/>
    <w:rsid w:val="00BA262E"/>
    <w:rsid w:val="00BA27A3"/>
    <w:rsid w:val="00BA2895"/>
    <w:rsid w:val="00BA292E"/>
    <w:rsid w:val="00BA297D"/>
    <w:rsid w:val="00BA2A2B"/>
    <w:rsid w:val="00BA2A34"/>
    <w:rsid w:val="00BA2A57"/>
    <w:rsid w:val="00BA2BB6"/>
    <w:rsid w:val="00BA2D35"/>
    <w:rsid w:val="00BA2E25"/>
    <w:rsid w:val="00BA2E5E"/>
    <w:rsid w:val="00BA2E76"/>
    <w:rsid w:val="00BA2F24"/>
    <w:rsid w:val="00BA2FF3"/>
    <w:rsid w:val="00BA3004"/>
    <w:rsid w:val="00BA3022"/>
    <w:rsid w:val="00BA30A6"/>
    <w:rsid w:val="00BA3275"/>
    <w:rsid w:val="00BA3290"/>
    <w:rsid w:val="00BA32A8"/>
    <w:rsid w:val="00BA32D5"/>
    <w:rsid w:val="00BA32F1"/>
    <w:rsid w:val="00BA34B3"/>
    <w:rsid w:val="00BA3508"/>
    <w:rsid w:val="00BA379F"/>
    <w:rsid w:val="00BA37B6"/>
    <w:rsid w:val="00BA383F"/>
    <w:rsid w:val="00BA3894"/>
    <w:rsid w:val="00BA3898"/>
    <w:rsid w:val="00BA38FA"/>
    <w:rsid w:val="00BA393A"/>
    <w:rsid w:val="00BA3986"/>
    <w:rsid w:val="00BA39A7"/>
    <w:rsid w:val="00BA3A03"/>
    <w:rsid w:val="00BA3A6B"/>
    <w:rsid w:val="00BA3A9B"/>
    <w:rsid w:val="00BA3B21"/>
    <w:rsid w:val="00BA3BCC"/>
    <w:rsid w:val="00BA3BD2"/>
    <w:rsid w:val="00BA3C94"/>
    <w:rsid w:val="00BA3CF0"/>
    <w:rsid w:val="00BA3D88"/>
    <w:rsid w:val="00BA3E75"/>
    <w:rsid w:val="00BA3E8A"/>
    <w:rsid w:val="00BA4170"/>
    <w:rsid w:val="00BA4314"/>
    <w:rsid w:val="00BA4316"/>
    <w:rsid w:val="00BA433A"/>
    <w:rsid w:val="00BA43B6"/>
    <w:rsid w:val="00BA45DC"/>
    <w:rsid w:val="00BA461C"/>
    <w:rsid w:val="00BA4725"/>
    <w:rsid w:val="00BA47B6"/>
    <w:rsid w:val="00BA483B"/>
    <w:rsid w:val="00BA4B4E"/>
    <w:rsid w:val="00BA4B53"/>
    <w:rsid w:val="00BA4B88"/>
    <w:rsid w:val="00BA4BDA"/>
    <w:rsid w:val="00BA4BE2"/>
    <w:rsid w:val="00BA4C07"/>
    <w:rsid w:val="00BA4D1D"/>
    <w:rsid w:val="00BA4D56"/>
    <w:rsid w:val="00BA4F5E"/>
    <w:rsid w:val="00BA4FE8"/>
    <w:rsid w:val="00BA507C"/>
    <w:rsid w:val="00BA5097"/>
    <w:rsid w:val="00BA50CB"/>
    <w:rsid w:val="00BA5168"/>
    <w:rsid w:val="00BA51D9"/>
    <w:rsid w:val="00BA525A"/>
    <w:rsid w:val="00BA52D8"/>
    <w:rsid w:val="00BA5305"/>
    <w:rsid w:val="00BA531A"/>
    <w:rsid w:val="00BA5368"/>
    <w:rsid w:val="00BA538B"/>
    <w:rsid w:val="00BA53E5"/>
    <w:rsid w:val="00BA54F3"/>
    <w:rsid w:val="00BA5638"/>
    <w:rsid w:val="00BA56C5"/>
    <w:rsid w:val="00BA5703"/>
    <w:rsid w:val="00BA572F"/>
    <w:rsid w:val="00BA585A"/>
    <w:rsid w:val="00BA597C"/>
    <w:rsid w:val="00BA5A04"/>
    <w:rsid w:val="00BA5A11"/>
    <w:rsid w:val="00BA5A3C"/>
    <w:rsid w:val="00BA5ABF"/>
    <w:rsid w:val="00BA5ACA"/>
    <w:rsid w:val="00BA5BD0"/>
    <w:rsid w:val="00BA5BD8"/>
    <w:rsid w:val="00BA5CA7"/>
    <w:rsid w:val="00BA5D14"/>
    <w:rsid w:val="00BA5D89"/>
    <w:rsid w:val="00BA5D9B"/>
    <w:rsid w:val="00BA5E44"/>
    <w:rsid w:val="00BA5EA5"/>
    <w:rsid w:val="00BA5EE0"/>
    <w:rsid w:val="00BA5F86"/>
    <w:rsid w:val="00BA6150"/>
    <w:rsid w:val="00BA6167"/>
    <w:rsid w:val="00BA61A5"/>
    <w:rsid w:val="00BA6205"/>
    <w:rsid w:val="00BA631C"/>
    <w:rsid w:val="00BA6393"/>
    <w:rsid w:val="00BA64F2"/>
    <w:rsid w:val="00BA664E"/>
    <w:rsid w:val="00BA6704"/>
    <w:rsid w:val="00BA6720"/>
    <w:rsid w:val="00BA676F"/>
    <w:rsid w:val="00BA67E0"/>
    <w:rsid w:val="00BA68FD"/>
    <w:rsid w:val="00BA6A8E"/>
    <w:rsid w:val="00BA6B20"/>
    <w:rsid w:val="00BA6B54"/>
    <w:rsid w:val="00BA6BBC"/>
    <w:rsid w:val="00BA6C4E"/>
    <w:rsid w:val="00BA6C9C"/>
    <w:rsid w:val="00BA6CEC"/>
    <w:rsid w:val="00BA6DEC"/>
    <w:rsid w:val="00BA6E6A"/>
    <w:rsid w:val="00BA6F90"/>
    <w:rsid w:val="00BA6FD4"/>
    <w:rsid w:val="00BA7072"/>
    <w:rsid w:val="00BA711E"/>
    <w:rsid w:val="00BA7126"/>
    <w:rsid w:val="00BA7138"/>
    <w:rsid w:val="00BA722C"/>
    <w:rsid w:val="00BA72BF"/>
    <w:rsid w:val="00BA72C4"/>
    <w:rsid w:val="00BA7301"/>
    <w:rsid w:val="00BA731E"/>
    <w:rsid w:val="00BA73CE"/>
    <w:rsid w:val="00BA751C"/>
    <w:rsid w:val="00BA755B"/>
    <w:rsid w:val="00BA76A2"/>
    <w:rsid w:val="00BA7906"/>
    <w:rsid w:val="00BA7962"/>
    <w:rsid w:val="00BA798F"/>
    <w:rsid w:val="00BA79D8"/>
    <w:rsid w:val="00BA7A3B"/>
    <w:rsid w:val="00BA7A45"/>
    <w:rsid w:val="00BA7A55"/>
    <w:rsid w:val="00BA7B1F"/>
    <w:rsid w:val="00BA7C1C"/>
    <w:rsid w:val="00BA7C6A"/>
    <w:rsid w:val="00BA7C7A"/>
    <w:rsid w:val="00BA7D24"/>
    <w:rsid w:val="00BA7E64"/>
    <w:rsid w:val="00BA7F91"/>
    <w:rsid w:val="00BA7FC4"/>
    <w:rsid w:val="00BB002C"/>
    <w:rsid w:val="00BB00C9"/>
    <w:rsid w:val="00BB01CA"/>
    <w:rsid w:val="00BB0296"/>
    <w:rsid w:val="00BB02DC"/>
    <w:rsid w:val="00BB0305"/>
    <w:rsid w:val="00BB03D7"/>
    <w:rsid w:val="00BB04BC"/>
    <w:rsid w:val="00BB070D"/>
    <w:rsid w:val="00BB079D"/>
    <w:rsid w:val="00BB07B0"/>
    <w:rsid w:val="00BB07CB"/>
    <w:rsid w:val="00BB0887"/>
    <w:rsid w:val="00BB0A83"/>
    <w:rsid w:val="00BB0B3F"/>
    <w:rsid w:val="00BB0D27"/>
    <w:rsid w:val="00BB0DDA"/>
    <w:rsid w:val="00BB0F14"/>
    <w:rsid w:val="00BB0F5A"/>
    <w:rsid w:val="00BB0FA1"/>
    <w:rsid w:val="00BB0FFB"/>
    <w:rsid w:val="00BB103A"/>
    <w:rsid w:val="00BB1083"/>
    <w:rsid w:val="00BB110B"/>
    <w:rsid w:val="00BB11AF"/>
    <w:rsid w:val="00BB11B9"/>
    <w:rsid w:val="00BB11DA"/>
    <w:rsid w:val="00BB1228"/>
    <w:rsid w:val="00BB128B"/>
    <w:rsid w:val="00BB14F1"/>
    <w:rsid w:val="00BB1639"/>
    <w:rsid w:val="00BB16C4"/>
    <w:rsid w:val="00BB17A3"/>
    <w:rsid w:val="00BB1801"/>
    <w:rsid w:val="00BB1805"/>
    <w:rsid w:val="00BB1877"/>
    <w:rsid w:val="00BB1B6B"/>
    <w:rsid w:val="00BB1CC4"/>
    <w:rsid w:val="00BB1F34"/>
    <w:rsid w:val="00BB2197"/>
    <w:rsid w:val="00BB2311"/>
    <w:rsid w:val="00BB2329"/>
    <w:rsid w:val="00BB23BB"/>
    <w:rsid w:val="00BB2496"/>
    <w:rsid w:val="00BB24F7"/>
    <w:rsid w:val="00BB2504"/>
    <w:rsid w:val="00BB25CA"/>
    <w:rsid w:val="00BB2635"/>
    <w:rsid w:val="00BB278D"/>
    <w:rsid w:val="00BB27F5"/>
    <w:rsid w:val="00BB281D"/>
    <w:rsid w:val="00BB287D"/>
    <w:rsid w:val="00BB2882"/>
    <w:rsid w:val="00BB2901"/>
    <w:rsid w:val="00BB296D"/>
    <w:rsid w:val="00BB29B3"/>
    <w:rsid w:val="00BB29BB"/>
    <w:rsid w:val="00BB2A01"/>
    <w:rsid w:val="00BB2A61"/>
    <w:rsid w:val="00BB2B00"/>
    <w:rsid w:val="00BB2B1D"/>
    <w:rsid w:val="00BB2B2C"/>
    <w:rsid w:val="00BB2B89"/>
    <w:rsid w:val="00BB2BE0"/>
    <w:rsid w:val="00BB2CF9"/>
    <w:rsid w:val="00BB2D81"/>
    <w:rsid w:val="00BB2DDF"/>
    <w:rsid w:val="00BB2E68"/>
    <w:rsid w:val="00BB2E78"/>
    <w:rsid w:val="00BB2F1E"/>
    <w:rsid w:val="00BB304B"/>
    <w:rsid w:val="00BB30DF"/>
    <w:rsid w:val="00BB3272"/>
    <w:rsid w:val="00BB3594"/>
    <w:rsid w:val="00BB35B2"/>
    <w:rsid w:val="00BB35BB"/>
    <w:rsid w:val="00BB3657"/>
    <w:rsid w:val="00BB3695"/>
    <w:rsid w:val="00BB37FC"/>
    <w:rsid w:val="00BB380D"/>
    <w:rsid w:val="00BB3966"/>
    <w:rsid w:val="00BB396A"/>
    <w:rsid w:val="00BB3A14"/>
    <w:rsid w:val="00BB3A32"/>
    <w:rsid w:val="00BB3C15"/>
    <w:rsid w:val="00BB3C17"/>
    <w:rsid w:val="00BB3C74"/>
    <w:rsid w:val="00BB3D7F"/>
    <w:rsid w:val="00BB3E99"/>
    <w:rsid w:val="00BB3F33"/>
    <w:rsid w:val="00BB40A7"/>
    <w:rsid w:val="00BB40E4"/>
    <w:rsid w:val="00BB40F0"/>
    <w:rsid w:val="00BB4142"/>
    <w:rsid w:val="00BB41A7"/>
    <w:rsid w:val="00BB41BB"/>
    <w:rsid w:val="00BB41F4"/>
    <w:rsid w:val="00BB41FE"/>
    <w:rsid w:val="00BB44E2"/>
    <w:rsid w:val="00BB45B5"/>
    <w:rsid w:val="00BB464D"/>
    <w:rsid w:val="00BB476B"/>
    <w:rsid w:val="00BB47C0"/>
    <w:rsid w:val="00BB48DC"/>
    <w:rsid w:val="00BB491E"/>
    <w:rsid w:val="00BB494B"/>
    <w:rsid w:val="00BB4A40"/>
    <w:rsid w:val="00BB4A70"/>
    <w:rsid w:val="00BB4A97"/>
    <w:rsid w:val="00BB4AAC"/>
    <w:rsid w:val="00BB4AB6"/>
    <w:rsid w:val="00BB4CD7"/>
    <w:rsid w:val="00BB4D2F"/>
    <w:rsid w:val="00BB4E96"/>
    <w:rsid w:val="00BB4EE8"/>
    <w:rsid w:val="00BB4F26"/>
    <w:rsid w:val="00BB4FC6"/>
    <w:rsid w:val="00BB529E"/>
    <w:rsid w:val="00BB541D"/>
    <w:rsid w:val="00BB5485"/>
    <w:rsid w:val="00BB5598"/>
    <w:rsid w:val="00BB5629"/>
    <w:rsid w:val="00BB56A0"/>
    <w:rsid w:val="00BB56D2"/>
    <w:rsid w:val="00BB57AB"/>
    <w:rsid w:val="00BB5841"/>
    <w:rsid w:val="00BB5950"/>
    <w:rsid w:val="00BB5988"/>
    <w:rsid w:val="00BB5A59"/>
    <w:rsid w:val="00BB5AB1"/>
    <w:rsid w:val="00BB5AD8"/>
    <w:rsid w:val="00BB5B73"/>
    <w:rsid w:val="00BB5B82"/>
    <w:rsid w:val="00BB5CC2"/>
    <w:rsid w:val="00BB5CDF"/>
    <w:rsid w:val="00BB5D38"/>
    <w:rsid w:val="00BB5DB9"/>
    <w:rsid w:val="00BB5F9C"/>
    <w:rsid w:val="00BB5FBC"/>
    <w:rsid w:val="00BB609A"/>
    <w:rsid w:val="00BB60C3"/>
    <w:rsid w:val="00BB60C5"/>
    <w:rsid w:val="00BB61E4"/>
    <w:rsid w:val="00BB6235"/>
    <w:rsid w:val="00BB6285"/>
    <w:rsid w:val="00BB6290"/>
    <w:rsid w:val="00BB6302"/>
    <w:rsid w:val="00BB642C"/>
    <w:rsid w:val="00BB654D"/>
    <w:rsid w:val="00BB65C1"/>
    <w:rsid w:val="00BB6672"/>
    <w:rsid w:val="00BB66A9"/>
    <w:rsid w:val="00BB66B3"/>
    <w:rsid w:val="00BB66F6"/>
    <w:rsid w:val="00BB67C6"/>
    <w:rsid w:val="00BB6830"/>
    <w:rsid w:val="00BB6838"/>
    <w:rsid w:val="00BB68C9"/>
    <w:rsid w:val="00BB6A3B"/>
    <w:rsid w:val="00BB6AC3"/>
    <w:rsid w:val="00BB6AC8"/>
    <w:rsid w:val="00BB6BA0"/>
    <w:rsid w:val="00BB6BC5"/>
    <w:rsid w:val="00BB6C11"/>
    <w:rsid w:val="00BB6C3D"/>
    <w:rsid w:val="00BB6CB2"/>
    <w:rsid w:val="00BB6E20"/>
    <w:rsid w:val="00BB6F88"/>
    <w:rsid w:val="00BB7092"/>
    <w:rsid w:val="00BB712B"/>
    <w:rsid w:val="00BB717E"/>
    <w:rsid w:val="00BB7211"/>
    <w:rsid w:val="00BB72C2"/>
    <w:rsid w:val="00BB7362"/>
    <w:rsid w:val="00BB73ED"/>
    <w:rsid w:val="00BB7443"/>
    <w:rsid w:val="00BB74CA"/>
    <w:rsid w:val="00BB7682"/>
    <w:rsid w:val="00BB7791"/>
    <w:rsid w:val="00BB77A3"/>
    <w:rsid w:val="00BB7874"/>
    <w:rsid w:val="00BB795D"/>
    <w:rsid w:val="00BB79AC"/>
    <w:rsid w:val="00BB7A5C"/>
    <w:rsid w:val="00BB7A96"/>
    <w:rsid w:val="00BB7AAC"/>
    <w:rsid w:val="00BB7AC1"/>
    <w:rsid w:val="00BB7B29"/>
    <w:rsid w:val="00BB7B37"/>
    <w:rsid w:val="00BB7B47"/>
    <w:rsid w:val="00BB7B6B"/>
    <w:rsid w:val="00BB7CB3"/>
    <w:rsid w:val="00BB7D33"/>
    <w:rsid w:val="00BB7D7A"/>
    <w:rsid w:val="00BB7DE9"/>
    <w:rsid w:val="00BB7E00"/>
    <w:rsid w:val="00BC0014"/>
    <w:rsid w:val="00BC008F"/>
    <w:rsid w:val="00BC01C4"/>
    <w:rsid w:val="00BC0213"/>
    <w:rsid w:val="00BC02B6"/>
    <w:rsid w:val="00BC02D1"/>
    <w:rsid w:val="00BC0327"/>
    <w:rsid w:val="00BC0388"/>
    <w:rsid w:val="00BC03FF"/>
    <w:rsid w:val="00BC0694"/>
    <w:rsid w:val="00BC0696"/>
    <w:rsid w:val="00BC06A9"/>
    <w:rsid w:val="00BC087E"/>
    <w:rsid w:val="00BC08DB"/>
    <w:rsid w:val="00BC09DC"/>
    <w:rsid w:val="00BC0A2B"/>
    <w:rsid w:val="00BC0C13"/>
    <w:rsid w:val="00BC0D17"/>
    <w:rsid w:val="00BC0DCF"/>
    <w:rsid w:val="00BC0DD0"/>
    <w:rsid w:val="00BC0E68"/>
    <w:rsid w:val="00BC1099"/>
    <w:rsid w:val="00BC10F1"/>
    <w:rsid w:val="00BC1135"/>
    <w:rsid w:val="00BC1173"/>
    <w:rsid w:val="00BC1238"/>
    <w:rsid w:val="00BC1246"/>
    <w:rsid w:val="00BC1284"/>
    <w:rsid w:val="00BC129A"/>
    <w:rsid w:val="00BC14FE"/>
    <w:rsid w:val="00BC151E"/>
    <w:rsid w:val="00BC160A"/>
    <w:rsid w:val="00BC1676"/>
    <w:rsid w:val="00BC177A"/>
    <w:rsid w:val="00BC183E"/>
    <w:rsid w:val="00BC189F"/>
    <w:rsid w:val="00BC194F"/>
    <w:rsid w:val="00BC1AD2"/>
    <w:rsid w:val="00BC1ADE"/>
    <w:rsid w:val="00BC1CFF"/>
    <w:rsid w:val="00BC1D29"/>
    <w:rsid w:val="00BC1E04"/>
    <w:rsid w:val="00BC1E43"/>
    <w:rsid w:val="00BC212D"/>
    <w:rsid w:val="00BC2134"/>
    <w:rsid w:val="00BC22A8"/>
    <w:rsid w:val="00BC22D6"/>
    <w:rsid w:val="00BC234C"/>
    <w:rsid w:val="00BC2377"/>
    <w:rsid w:val="00BC2442"/>
    <w:rsid w:val="00BC24B6"/>
    <w:rsid w:val="00BC24F3"/>
    <w:rsid w:val="00BC24FE"/>
    <w:rsid w:val="00BC25AC"/>
    <w:rsid w:val="00BC25E4"/>
    <w:rsid w:val="00BC2627"/>
    <w:rsid w:val="00BC265D"/>
    <w:rsid w:val="00BC268B"/>
    <w:rsid w:val="00BC26DC"/>
    <w:rsid w:val="00BC2761"/>
    <w:rsid w:val="00BC2794"/>
    <w:rsid w:val="00BC28EE"/>
    <w:rsid w:val="00BC2A3C"/>
    <w:rsid w:val="00BC2A68"/>
    <w:rsid w:val="00BC2ADC"/>
    <w:rsid w:val="00BC2B15"/>
    <w:rsid w:val="00BC2BF0"/>
    <w:rsid w:val="00BC2C08"/>
    <w:rsid w:val="00BC2C2C"/>
    <w:rsid w:val="00BC2C50"/>
    <w:rsid w:val="00BC2C7F"/>
    <w:rsid w:val="00BC2CBA"/>
    <w:rsid w:val="00BC2D7A"/>
    <w:rsid w:val="00BC2FA1"/>
    <w:rsid w:val="00BC3028"/>
    <w:rsid w:val="00BC3104"/>
    <w:rsid w:val="00BC3168"/>
    <w:rsid w:val="00BC3445"/>
    <w:rsid w:val="00BC344A"/>
    <w:rsid w:val="00BC3531"/>
    <w:rsid w:val="00BC3591"/>
    <w:rsid w:val="00BC35EE"/>
    <w:rsid w:val="00BC36FF"/>
    <w:rsid w:val="00BC3770"/>
    <w:rsid w:val="00BC37F4"/>
    <w:rsid w:val="00BC3A09"/>
    <w:rsid w:val="00BC3A67"/>
    <w:rsid w:val="00BC3A7B"/>
    <w:rsid w:val="00BC3B28"/>
    <w:rsid w:val="00BC3B3A"/>
    <w:rsid w:val="00BC3BCB"/>
    <w:rsid w:val="00BC3BDE"/>
    <w:rsid w:val="00BC3C3D"/>
    <w:rsid w:val="00BC3C4C"/>
    <w:rsid w:val="00BC3F35"/>
    <w:rsid w:val="00BC3F4C"/>
    <w:rsid w:val="00BC4070"/>
    <w:rsid w:val="00BC40A3"/>
    <w:rsid w:val="00BC41B2"/>
    <w:rsid w:val="00BC420B"/>
    <w:rsid w:val="00BC4281"/>
    <w:rsid w:val="00BC429B"/>
    <w:rsid w:val="00BC42D6"/>
    <w:rsid w:val="00BC442A"/>
    <w:rsid w:val="00BC44D5"/>
    <w:rsid w:val="00BC4509"/>
    <w:rsid w:val="00BC4586"/>
    <w:rsid w:val="00BC4610"/>
    <w:rsid w:val="00BC4677"/>
    <w:rsid w:val="00BC46D1"/>
    <w:rsid w:val="00BC4888"/>
    <w:rsid w:val="00BC4933"/>
    <w:rsid w:val="00BC4A11"/>
    <w:rsid w:val="00BC4A25"/>
    <w:rsid w:val="00BC4B0E"/>
    <w:rsid w:val="00BC4BCC"/>
    <w:rsid w:val="00BC4C24"/>
    <w:rsid w:val="00BC4C8B"/>
    <w:rsid w:val="00BC4D27"/>
    <w:rsid w:val="00BC4D28"/>
    <w:rsid w:val="00BC4E09"/>
    <w:rsid w:val="00BC4F15"/>
    <w:rsid w:val="00BC4F84"/>
    <w:rsid w:val="00BC4FAF"/>
    <w:rsid w:val="00BC4FC2"/>
    <w:rsid w:val="00BC4FC7"/>
    <w:rsid w:val="00BC5064"/>
    <w:rsid w:val="00BC50B0"/>
    <w:rsid w:val="00BC52E9"/>
    <w:rsid w:val="00BC53E1"/>
    <w:rsid w:val="00BC546D"/>
    <w:rsid w:val="00BC5488"/>
    <w:rsid w:val="00BC5502"/>
    <w:rsid w:val="00BC5505"/>
    <w:rsid w:val="00BC551D"/>
    <w:rsid w:val="00BC5535"/>
    <w:rsid w:val="00BC561D"/>
    <w:rsid w:val="00BC5653"/>
    <w:rsid w:val="00BC56DC"/>
    <w:rsid w:val="00BC56E5"/>
    <w:rsid w:val="00BC56F8"/>
    <w:rsid w:val="00BC5753"/>
    <w:rsid w:val="00BC58B6"/>
    <w:rsid w:val="00BC5945"/>
    <w:rsid w:val="00BC59E3"/>
    <w:rsid w:val="00BC5B2A"/>
    <w:rsid w:val="00BC5B6C"/>
    <w:rsid w:val="00BC5BD6"/>
    <w:rsid w:val="00BC5BF8"/>
    <w:rsid w:val="00BC5C01"/>
    <w:rsid w:val="00BC5C0D"/>
    <w:rsid w:val="00BC5C38"/>
    <w:rsid w:val="00BC5CB5"/>
    <w:rsid w:val="00BC5D97"/>
    <w:rsid w:val="00BC5DC9"/>
    <w:rsid w:val="00BC5E79"/>
    <w:rsid w:val="00BC5F22"/>
    <w:rsid w:val="00BC6058"/>
    <w:rsid w:val="00BC60BC"/>
    <w:rsid w:val="00BC6110"/>
    <w:rsid w:val="00BC6143"/>
    <w:rsid w:val="00BC6409"/>
    <w:rsid w:val="00BC6430"/>
    <w:rsid w:val="00BC644C"/>
    <w:rsid w:val="00BC644F"/>
    <w:rsid w:val="00BC6624"/>
    <w:rsid w:val="00BC667D"/>
    <w:rsid w:val="00BC66BE"/>
    <w:rsid w:val="00BC66DF"/>
    <w:rsid w:val="00BC673C"/>
    <w:rsid w:val="00BC67D0"/>
    <w:rsid w:val="00BC687C"/>
    <w:rsid w:val="00BC6993"/>
    <w:rsid w:val="00BC69ED"/>
    <w:rsid w:val="00BC6AA2"/>
    <w:rsid w:val="00BC6C21"/>
    <w:rsid w:val="00BC6DCF"/>
    <w:rsid w:val="00BC6E56"/>
    <w:rsid w:val="00BC6EBE"/>
    <w:rsid w:val="00BC6FDD"/>
    <w:rsid w:val="00BC71DC"/>
    <w:rsid w:val="00BC72EB"/>
    <w:rsid w:val="00BC7360"/>
    <w:rsid w:val="00BC73C7"/>
    <w:rsid w:val="00BC742A"/>
    <w:rsid w:val="00BC7495"/>
    <w:rsid w:val="00BC7691"/>
    <w:rsid w:val="00BC76E1"/>
    <w:rsid w:val="00BC76FB"/>
    <w:rsid w:val="00BC77EA"/>
    <w:rsid w:val="00BC780B"/>
    <w:rsid w:val="00BC7858"/>
    <w:rsid w:val="00BC7873"/>
    <w:rsid w:val="00BC78A4"/>
    <w:rsid w:val="00BC78B6"/>
    <w:rsid w:val="00BC799C"/>
    <w:rsid w:val="00BC7A5E"/>
    <w:rsid w:val="00BC7A87"/>
    <w:rsid w:val="00BC7ADA"/>
    <w:rsid w:val="00BC7AF6"/>
    <w:rsid w:val="00BC7B81"/>
    <w:rsid w:val="00BC7B83"/>
    <w:rsid w:val="00BC7C10"/>
    <w:rsid w:val="00BC7C35"/>
    <w:rsid w:val="00BC7C45"/>
    <w:rsid w:val="00BC7CD7"/>
    <w:rsid w:val="00BC7CDA"/>
    <w:rsid w:val="00BC7D10"/>
    <w:rsid w:val="00BC7E7E"/>
    <w:rsid w:val="00BC7EC8"/>
    <w:rsid w:val="00BC7F6B"/>
    <w:rsid w:val="00BD009B"/>
    <w:rsid w:val="00BD0127"/>
    <w:rsid w:val="00BD0199"/>
    <w:rsid w:val="00BD01FA"/>
    <w:rsid w:val="00BD021E"/>
    <w:rsid w:val="00BD0232"/>
    <w:rsid w:val="00BD024D"/>
    <w:rsid w:val="00BD030F"/>
    <w:rsid w:val="00BD043E"/>
    <w:rsid w:val="00BD044E"/>
    <w:rsid w:val="00BD046D"/>
    <w:rsid w:val="00BD0500"/>
    <w:rsid w:val="00BD050A"/>
    <w:rsid w:val="00BD0518"/>
    <w:rsid w:val="00BD0523"/>
    <w:rsid w:val="00BD0538"/>
    <w:rsid w:val="00BD057D"/>
    <w:rsid w:val="00BD0637"/>
    <w:rsid w:val="00BD06A7"/>
    <w:rsid w:val="00BD093A"/>
    <w:rsid w:val="00BD0ABC"/>
    <w:rsid w:val="00BD0B86"/>
    <w:rsid w:val="00BD0BBD"/>
    <w:rsid w:val="00BD0C0D"/>
    <w:rsid w:val="00BD0C7B"/>
    <w:rsid w:val="00BD0C9D"/>
    <w:rsid w:val="00BD0D2D"/>
    <w:rsid w:val="00BD0D6C"/>
    <w:rsid w:val="00BD0F44"/>
    <w:rsid w:val="00BD0F50"/>
    <w:rsid w:val="00BD1049"/>
    <w:rsid w:val="00BD1290"/>
    <w:rsid w:val="00BD1318"/>
    <w:rsid w:val="00BD1339"/>
    <w:rsid w:val="00BD13FA"/>
    <w:rsid w:val="00BD1415"/>
    <w:rsid w:val="00BD1448"/>
    <w:rsid w:val="00BD151D"/>
    <w:rsid w:val="00BD1541"/>
    <w:rsid w:val="00BD15DD"/>
    <w:rsid w:val="00BD16CD"/>
    <w:rsid w:val="00BD17F4"/>
    <w:rsid w:val="00BD187D"/>
    <w:rsid w:val="00BD18CC"/>
    <w:rsid w:val="00BD1905"/>
    <w:rsid w:val="00BD1B1C"/>
    <w:rsid w:val="00BD1C13"/>
    <w:rsid w:val="00BD1C2F"/>
    <w:rsid w:val="00BD1C6E"/>
    <w:rsid w:val="00BD1D00"/>
    <w:rsid w:val="00BD1EE9"/>
    <w:rsid w:val="00BD1F10"/>
    <w:rsid w:val="00BD1F90"/>
    <w:rsid w:val="00BD202E"/>
    <w:rsid w:val="00BD208C"/>
    <w:rsid w:val="00BD214C"/>
    <w:rsid w:val="00BD21F8"/>
    <w:rsid w:val="00BD22DA"/>
    <w:rsid w:val="00BD2328"/>
    <w:rsid w:val="00BD2442"/>
    <w:rsid w:val="00BD2520"/>
    <w:rsid w:val="00BD2596"/>
    <w:rsid w:val="00BD2628"/>
    <w:rsid w:val="00BD2681"/>
    <w:rsid w:val="00BD278B"/>
    <w:rsid w:val="00BD27D9"/>
    <w:rsid w:val="00BD288E"/>
    <w:rsid w:val="00BD28B6"/>
    <w:rsid w:val="00BD2926"/>
    <w:rsid w:val="00BD2C1F"/>
    <w:rsid w:val="00BD2C6A"/>
    <w:rsid w:val="00BD2CFB"/>
    <w:rsid w:val="00BD2D94"/>
    <w:rsid w:val="00BD2DC6"/>
    <w:rsid w:val="00BD2DF9"/>
    <w:rsid w:val="00BD2EE1"/>
    <w:rsid w:val="00BD2FA0"/>
    <w:rsid w:val="00BD2FEB"/>
    <w:rsid w:val="00BD3012"/>
    <w:rsid w:val="00BD3045"/>
    <w:rsid w:val="00BD30EE"/>
    <w:rsid w:val="00BD328E"/>
    <w:rsid w:val="00BD32E9"/>
    <w:rsid w:val="00BD3301"/>
    <w:rsid w:val="00BD330F"/>
    <w:rsid w:val="00BD3580"/>
    <w:rsid w:val="00BD36B0"/>
    <w:rsid w:val="00BD3722"/>
    <w:rsid w:val="00BD3880"/>
    <w:rsid w:val="00BD388E"/>
    <w:rsid w:val="00BD38DA"/>
    <w:rsid w:val="00BD3945"/>
    <w:rsid w:val="00BD3A65"/>
    <w:rsid w:val="00BD3CC4"/>
    <w:rsid w:val="00BD3D35"/>
    <w:rsid w:val="00BD3D8C"/>
    <w:rsid w:val="00BD3E27"/>
    <w:rsid w:val="00BD3E45"/>
    <w:rsid w:val="00BD3E56"/>
    <w:rsid w:val="00BD3E88"/>
    <w:rsid w:val="00BD4176"/>
    <w:rsid w:val="00BD42CB"/>
    <w:rsid w:val="00BD432D"/>
    <w:rsid w:val="00BD43DB"/>
    <w:rsid w:val="00BD4697"/>
    <w:rsid w:val="00BD498B"/>
    <w:rsid w:val="00BD49C7"/>
    <w:rsid w:val="00BD49DF"/>
    <w:rsid w:val="00BD4A6A"/>
    <w:rsid w:val="00BD4B98"/>
    <w:rsid w:val="00BD4B9B"/>
    <w:rsid w:val="00BD4D18"/>
    <w:rsid w:val="00BD4DEA"/>
    <w:rsid w:val="00BD4E07"/>
    <w:rsid w:val="00BD4E11"/>
    <w:rsid w:val="00BD4E8D"/>
    <w:rsid w:val="00BD4EFB"/>
    <w:rsid w:val="00BD4F64"/>
    <w:rsid w:val="00BD50B4"/>
    <w:rsid w:val="00BD50EF"/>
    <w:rsid w:val="00BD5110"/>
    <w:rsid w:val="00BD5153"/>
    <w:rsid w:val="00BD51EE"/>
    <w:rsid w:val="00BD5215"/>
    <w:rsid w:val="00BD5230"/>
    <w:rsid w:val="00BD523E"/>
    <w:rsid w:val="00BD5246"/>
    <w:rsid w:val="00BD5310"/>
    <w:rsid w:val="00BD5337"/>
    <w:rsid w:val="00BD53DA"/>
    <w:rsid w:val="00BD5409"/>
    <w:rsid w:val="00BD573F"/>
    <w:rsid w:val="00BD576D"/>
    <w:rsid w:val="00BD5836"/>
    <w:rsid w:val="00BD586A"/>
    <w:rsid w:val="00BD59B9"/>
    <w:rsid w:val="00BD5AFE"/>
    <w:rsid w:val="00BD5B37"/>
    <w:rsid w:val="00BD5B4E"/>
    <w:rsid w:val="00BD5B8D"/>
    <w:rsid w:val="00BD5DB0"/>
    <w:rsid w:val="00BD5DB2"/>
    <w:rsid w:val="00BD5E37"/>
    <w:rsid w:val="00BD5EBB"/>
    <w:rsid w:val="00BD5F3C"/>
    <w:rsid w:val="00BD619D"/>
    <w:rsid w:val="00BD61D1"/>
    <w:rsid w:val="00BD6222"/>
    <w:rsid w:val="00BD6321"/>
    <w:rsid w:val="00BD6416"/>
    <w:rsid w:val="00BD6426"/>
    <w:rsid w:val="00BD647E"/>
    <w:rsid w:val="00BD64FA"/>
    <w:rsid w:val="00BD67AC"/>
    <w:rsid w:val="00BD68EF"/>
    <w:rsid w:val="00BD69A6"/>
    <w:rsid w:val="00BD6B04"/>
    <w:rsid w:val="00BD6CCA"/>
    <w:rsid w:val="00BD6CD0"/>
    <w:rsid w:val="00BD6D08"/>
    <w:rsid w:val="00BD6DDB"/>
    <w:rsid w:val="00BD6DE2"/>
    <w:rsid w:val="00BD6DEF"/>
    <w:rsid w:val="00BD6E1F"/>
    <w:rsid w:val="00BD705B"/>
    <w:rsid w:val="00BD726B"/>
    <w:rsid w:val="00BD7323"/>
    <w:rsid w:val="00BD7380"/>
    <w:rsid w:val="00BD738F"/>
    <w:rsid w:val="00BD7423"/>
    <w:rsid w:val="00BD744B"/>
    <w:rsid w:val="00BD74D4"/>
    <w:rsid w:val="00BD74F3"/>
    <w:rsid w:val="00BD7530"/>
    <w:rsid w:val="00BD754D"/>
    <w:rsid w:val="00BD758D"/>
    <w:rsid w:val="00BD75E9"/>
    <w:rsid w:val="00BD765A"/>
    <w:rsid w:val="00BD7667"/>
    <w:rsid w:val="00BD76CC"/>
    <w:rsid w:val="00BD770C"/>
    <w:rsid w:val="00BD7749"/>
    <w:rsid w:val="00BD7830"/>
    <w:rsid w:val="00BD79DF"/>
    <w:rsid w:val="00BD79EA"/>
    <w:rsid w:val="00BD7AC2"/>
    <w:rsid w:val="00BD7B92"/>
    <w:rsid w:val="00BD7C6B"/>
    <w:rsid w:val="00BD7C86"/>
    <w:rsid w:val="00BD7D15"/>
    <w:rsid w:val="00BD7E26"/>
    <w:rsid w:val="00BD7EB4"/>
    <w:rsid w:val="00BE001E"/>
    <w:rsid w:val="00BE008D"/>
    <w:rsid w:val="00BE01D3"/>
    <w:rsid w:val="00BE020B"/>
    <w:rsid w:val="00BE0286"/>
    <w:rsid w:val="00BE03A5"/>
    <w:rsid w:val="00BE0476"/>
    <w:rsid w:val="00BE06C0"/>
    <w:rsid w:val="00BE08BF"/>
    <w:rsid w:val="00BE0952"/>
    <w:rsid w:val="00BE0A73"/>
    <w:rsid w:val="00BE0AFE"/>
    <w:rsid w:val="00BE0B92"/>
    <w:rsid w:val="00BE0F18"/>
    <w:rsid w:val="00BE1012"/>
    <w:rsid w:val="00BE1079"/>
    <w:rsid w:val="00BE1097"/>
    <w:rsid w:val="00BE10CB"/>
    <w:rsid w:val="00BE1109"/>
    <w:rsid w:val="00BE11E0"/>
    <w:rsid w:val="00BE12F7"/>
    <w:rsid w:val="00BE1503"/>
    <w:rsid w:val="00BE1565"/>
    <w:rsid w:val="00BE1670"/>
    <w:rsid w:val="00BE1674"/>
    <w:rsid w:val="00BE16E2"/>
    <w:rsid w:val="00BE16E8"/>
    <w:rsid w:val="00BE1756"/>
    <w:rsid w:val="00BE17D1"/>
    <w:rsid w:val="00BE17F2"/>
    <w:rsid w:val="00BE182F"/>
    <w:rsid w:val="00BE183D"/>
    <w:rsid w:val="00BE189B"/>
    <w:rsid w:val="00BE18B1"/>
    <w:rsid w:val="00BE18C0"/>
    <w:rsid w:val="00BE18C9"/>
    <w:rsid w:val="00BE1967"/>
    <w:rsid w:val="00BE19CB"/>
    <w:rsid w:val="00BE1A40"/>
    <w:rsid w:val="00BE1A4E"/>
    <w:rsid w:val="00BE1B34"/>
    <w:rsid w:val="00BE1B52"/>
    <w:rsid w:val="00BE1BCE"/>
    <w:rsid w:val="00BE1C44"/>
    <w:rsid w:val="00BE1C5A"/>
    <w:rsid w:val="00BE1CBB"/>
    <w:rsid w:val="00BE1D6F"/>
    <w:rsid w:val="00BE1DA8"/>
    <w:rsid w:val="00BE1E32"/>
    <w:rsid w:val="00BE1ED2"/>
    <w:rsid w:val="00BE1F07"/>
    <w:rsid w:val="00BE1F76"/>
    <w:rsid w:val="00BE2539"/>
    <w:rsid w:val="00BE259F"/>
    <w:rsid w:val="00BE2682"/>
    <w:rsid w:val="00BE2701"/>
    <w:rsid w:val="00BE273C"/>
    <w:rsid w:val="00BE284A"/>
    <w:rsid w:val="00BE2882"/>
    <w:rsid w:val="00BE2989"/>
    <w:rsid w:val="00BE29A4"/>
    <w:rsid w:val="00BE2A2F"/>
    <w:rsid w:val="00BE2BD7"/>
    <w:rsid w:val="00BE2C2A"/>
    <w:rsid w:val="00BE2C40"/>
    <w:rsid w:val="00BE2D27"/>
    <w:rsid w:val="00BE2D6E"/>
    <w:rsid w:val="00BE2D7B"/>
    <w:rsid w:val="00BE2E22"/>
    <w:rsid w:val="00BE2ECC"/>
    <w:rsid w:val="00BE2F3C"/>
    <w:rsid w:val="00BE2F7D"/>
    <w:rsid w:val="00BE2F8C"/>
    <w:rsid w:val="00BE3055"/>
    <w:rsid w:val="00BE30D4"/>
    <w:rsid w:val="00BE3141"/>
    <w:rsid w:val="00BE3228"/>
    <w:rsid w:val="00BE32CF"/>
    <w:rsid w:val="00BE352F"/>
    <w:rsid w:val="00BE354A"/>
    <w:rsid w:val="00BE356A"/>
    <w:rsid w:val="00BE3591"/>
    <w:rsid w:val="00BE35B2"/>
    <w:rsid w:val="00BE35E6"/>
    <w:rsid w:val="00BE3614"/>
    <w:rsid w:val="00BE3824"/>
    <w:rsid w:val="00BE38B9"/>
    <w:rsid w:val="00BE3932"/>
    <w:rsid w:val="00BE396A"/>
    <w:rsid w:val="00BE3979"/>
    <w:rsid w:val="00BE39BA"/>
    <w:rsid w:val="00BE3A1C"/>
    <w:rsid w:val="00BE3A63"/>
    <w:rsid w:val="00BE3B49"/>
    <w:rsid w:val="00BE3C70"/>
    <w:rsid w:val="00BE3CEF"/>
    <w:rsid w:val="00BE3E46"/>
    <w:rsid w:val="00BE3E63"/>
    <w:rsid w:val="00BE3ECF"/>
    <w:rsid w:val="00BE3ED5"/>
    <w:rsid w:val="00BE3F3D"/>
    <w:rsid w:val="00BE4124"/>
    <w:rsid w:val="00BE4150"/>
    <w:rsid w:val="00BE418A"/>
    <w:rsid w:val="00BE44B1"/>
    <w:rsid w:val="00BE44E8"/>
    <w:rsid w:val="00BE4679"/>
    <w:rsid w:val="00BE469B"/>
    <w:rsid w:val="00BE469C"/>
    <w:rsid w:val="00BE4756"/>
    <w:rsid w:val="00BE47AB"/>
    <w:rsid w:val="00BE49AB"/>
    <w:rsid w:val="00BE49D6"/>
    <w:rsid w:val="00BE4B1E"/>
    <w:rsid w:val="00BE4C5D"/>
    <w:rsid w:val="00BE4CC6"/>
    <w:rsid w:val="00BE4D4C"/>
    <w:rsid w:val="00BE4D5D"/>
    <w:rsid w:val="00BE4EE4"/>
    <w:rsid w:val="00BE4FAE"/>
    <w:rsid w:val="00BE4FD1"/>
    <w:rsid w:val="00BE5144"/>
    <w:rsid w:val="00BE51E4"/>
    <w:rsid w:val="00BE551E"/>
    <w:rsid w:val="00BE5583"/>
    <w:rsid w:val="00BE55E5"/>
    <w:rsid w:val="00BE5642"/>
    <w:rsid w:val="00BE567E"/>
    <w:rsid w:val="00BE5722"/>
    <w:rsid w:val="00BE5965"/>
    <w:rsid w:val="00BE5A02"/>
    <w:rsid w:val="00BE5AB0"/>
    <w:rsid w:val="00BE5B44"/>
    <w:rsid w:val="00BE5BD1"/>
    <w:rsid w:val="00BE5C1C"/>
    <w:rsid w:val="00BE5C83"/>
    <w:rsid w:val="00BE5C9C"/>
    <w:rsid w:val="00BE5D94"/>
    <w:rsid w:val="00BE5DF8"/>
    <w:rsid w:val="00BE5E50"/>
    <w:rsid w:val="00BE5E8C"/>
    <w:rsid w:val="00BE5EDE"/>
    <w:rsid w:val="00BE5FE9"/>
    <w:rsid w:val="00BE5FED"/>
    <w:rsid w:val="00BE6046"/>
    <w:rsid w:val="00BE61B8"/>
    <w:rsid w:val="00BE6217"/>
    <w:rsid w:val="00BE62C9"/>
    <w:rsid w:val="00BE62F4"/>
    <w:rsid w:val="00BE65D0"/>
    <w:rsid w:val="00BE66A2"/>
    <w:rsid w:val="00BE66AF"/>
    <w:rsid w:val="00BE6779"/>
    <w:rsid w:val="00BE67C6"/>
    <w:rsid w:val="00BE69CF"/>
    <w:rsid w:val="00BE69FD"/>
    <w:rsid w:val="00BE6B47"/>
    <w:rsid w:val="00BE6C00"/>
    <w:rsid w:val="00BE6CB7"/>
    <w:rsid w:val="00BE6CBC"/>
    <w:rsid w:val="00BE6CE0"/>
    <w:rsid w:val="00BE6D60"/>
    <w:rsid w:val="00BE6D62"/>
    <w:rsid w:val="00BE6F1D"/>
    <w:rsid w:val="00BE705F"/>
    <w:rsid w:val="00BE70F0"/>
    <w:rsid w:val="00BE71BB"/>
    <w:rsid w:val="00BE7206"/>
    <w:rsid w:val="00BE73B6"/>
    <w:rsid w:val="00BE75BE"/>
    <w:rsid w:val="00BE76E8"/>
    <w:rsid w:val="00BE76FB"/>
    <w:rsid w:val="00BE7718"/>
    <w:rsid w:val="00BE77BD"/>
    <w:rsid w:val="00BE78F5"/>
    <w:rsid w:val="00BE7900"/>
    <w:rsid w:val="00BE79C6"/>
    <w:rsid w:val="00BE7A33"/>
    <w:rsid w:val="00BE7A39"/>
    <w:rsid w:val="00BE7A7A"/>
    <w:rsid w:val="00BE7B4C"/>
    <w:rsid w:val="00BE7B52"/>
    <w:rsid w:val="00BE7BDF"/>
    <w:rsid w:val="00BE7C03"/>
    <w:rsid w:val="00BE7E2F"/>
    <w:rsid w:val="00BE7E82"/>
    <w:rsid w:val="00BE7F2D"/>
    <w:rsid w:val="00BF0037"/>
    <w:rsid w:val="00BF00AB"/>
    <w:rsid w:val="00BF00FA"/>
    <w:rsid w:val="00BF0499"/>
    <w:rsid w:val="00BF04B4"/>
    <w:rsid w:val="00BF052F"/>
    <w:rsid w:val="00BF0544"/>
    <w:rsid w:val="00BF062B"/>
    <w:rsid w:val="00BF065B"/>
    <w:rsid w:val="00BF0662"/>
    <w:rsid w:val="00BF08AA"/>
    <w:rsid w:val="00BF08C5"/>
    <w:rsid w:val="00BF09B6"/>
    <w:rsid w:val="00BF0A3A"/>
    <w:rsid w:val="00BF0AE6"/>
    <w:rsid w:val="00BF0C36"/>
    <w:rsid w:val="00BF0DD0"/>
    <w:rsid w:val="00BF0EBC"/>
    <w:rsid w:val="00BF0EC0"/>
    <w:rsid w:val="00BF0FE1"/>
    <w:rsid w:val="00BF1021"/>
    <w:rsid w:val="00BF112C"/>
    <w:rsid w:val="00BF126A"/>
    <w:rsid w:val="00BF1310"/>
    <w:rsid w:val="00BF137D"/>
    <w:rsid w:val="00BF151F"/>
    <w:rsid w:val="00BF1557"/>
    <w:rsid w:val="00BF1591"/>
    <w:rsid w:val="00BF1759"/>
    <w:rsid w:val="00BF17BE"/>
    <w:rsid w:val="00BF17D3"/>
    <w:rsid w:val="00BF1802"/>
    <w:rsid w:val="00BF1856"/>
    <w:rsid w:val="00BF18A1"/>
    <w:rsid w:val="00BF18E6"/>
    <w:rsid w:val="00BF1B37"/>
    <w:rsid w:val="00BF1B8B"/>
    <w:rsid w:val="00BF1C78"/>
    <w:rsid w:val="00BF1CE7"/>
    <w:rsid w:val="00BF1E2A"/>
    <w:rsid w:val="00BF1FEC"/>
    <w:rsid w:val="00BF2014"/>
    <w:rsid w:val="00BF206A"/>
    <w:rsid w:val="00BF20C7"/>
    <w:rsid w:val="00BF21DB"/>
    <w:rsid w:val="00BF2232"/>
    <w:rsid w:val="00BF224E"/>
    <w:rsid w:val="00BF2309"/>
    <w:rsid w:val="00BF234D"/>
    <w:rsid w:val="00BF2475"/>
    <w:rsid w:val="00BF250A"/>
    <w:rsid w:val="00BF262D"/>
    <w:rsid w:val="00BF276D"/>
    <w:rsid w:val="00BF27A8"/>
    <w:rsid w:val="00BF2892"/>
    <w:rsid w:val="00BF2896"/>
    <w:rsid w:val="00BF2959"/>
    <w:rsid w:val="00BF29FA"/>
    <w:rsid w:val="00BF2AB0"/>
    <w:rsid w:val="00BF2B2E"/>
    <w:rsid w:val="00BF2BAE"/>
    <w:rsid w:val="00BF2BCE"/>
    <w:rsid w:val="00BF2C0C"/>
    <w:rsid w:val="00BF2D29"/>
    <w:rsid w:val="00BF2E05"/>
    <w:rsid w:val="00BF30A7"/>
    <w:rsid w:val="00BF3218"/>
    <w:rsid w:val="00BF3243"/>
    <w:rsid w:val="00BF32DA"/>
    <w:rsid w:val="00BF3347"/>
    <w:rsid w:val="00BF335B"/>
    <w:rsid w:val="00BF3457"/>
    <w:rsid w:val="00BF34D7"/>
    <w:rsid w:val="00BF3500"/>
    <w:rsid w:val="00BF35A2"/>
    <w:rsid w:val="00BF36F2"/>
    <w:rsid w:val="00BF36FD"/>
    <w:rsid w:val="00BF379D"/>
    <w:rsid w:val="00BF384C"/>
    <w:rsid w:val="00BF39FD"/>
    <w:rsid w:val="00BF3A4F"/>
    <w:rsid w:val="00BF3AA9"/>
    <w:rsid w:val="00BF3C82"/>
    <w:rsid w:val="00BF3C9E"/>
    <w:rsid w:val="00BF3CB6"/>
    <w:rsid w:val="00BF3D62"/>
    <w:rsid w:val="00BF3EAB"/>
    <w:rsid w:val="00BF3F9E"/>
    <w:rsid w:val="00BF3FC4"/>
    <w:rsid w:val="00BF402C"/>
    <w:rsid w:val="00BF413C"/>
    <w:rsid w:val="00BF417F"/>
    <w:rsid w:val="00BF41A8"/>
    <w:rsid w:val="00BF4232"/>
    <w:rsid w:val="00BF42ED"/>
    <w:rsid w:val="00BF45E2"/>
    <w:rsid w:val="00BF4677"/>
    <w:rsid w:val="00BF46B1"/>
    <w:rsid w:val="00BF478B"/>
    <w:rsid w:val="00BF4872"/>
    <w:rsid w:val="00BF4938"/>
    <w:rsid w:val="00BF49ED"/>
    <w:rsid w:val="00BF4B78"/>
    <w:rsid w:val="00BF4B7C"/>
    <w:rsid w:val="00BF4D0E"/>
    <w:rsid w:val="00BF4D7B"/>
    <w:rsid w:val="00BF4E16"/>
    <w:rsid w:val="00BF4F33"/>
    <w:rsid w:val="00BF4FCE"/>
    <w:rsid w:val="00BF5182"/>
    <w:rsid w:val="00BF519D"/>
    <w:rsid w:val="00BF5244"/>
    <w:rsid w:val="00BF52FA"/>
    <w:rsid w:val="00BF5379"/>
    <w:rsid w:val="00BF5446"/>
    <w:rsid w:val="00BF5450"/>
    <w:rsid w:val="00BF546E"/>
    <w:rsid w:val="00BF5556"/>
    <w:rsid w:val="00BF569D"/>
    <w:rsid w:val="00BF56D4"/>
    <w:rsid w:val="00BF5714"/>
    <w:rsid w:val="00BF5732"/>
    <w:rsid w:val="00BF574C"/>
    <w:rsid w:val="00BF584E"/>
    <w:rsid w:val="00BF586E"/>
    <w:rsid w:val="00BF58F2"/>
    <w:rsid w:val="00BF5958"/>
    <w:rsid w:val="00BF5963"/>
    <w:rsid w:val="00BF5977"/>
    <w:rsid w:val="00BF5AB9"/>
    <w:rsid w:val="00BF5B14"/>
    <w:rsid w:val="00BF5B42"/>
    <w:rsid w:val="00BF5C12"/>
    <w:rsid w:val="00BF5C42"/>
    <w:rsid w:val="00BF5CC1"/>
    <w:rsid w:val="00BF5D2A"/>
    <w:rsid w:val="00BF5EE1"/>
    <w:rsid w:val="00BF5F3F"/>
    <w:rsid w:val="00BF5FA6"/>
    <w:rsid w:val="00BF5FA7"/>
    <w:rsid w:val="00BF616C"/>
    <w:rsid w:val="00BF61F8"/>
    <w:rsid w:val="00BF626E"/>
    <w:rsid w:val="00BF6350"/>
    <w:rsid w:val="00BF6360"/>
    <w:rsid w:val="00BF636F"/>
    <w:rsid w:val="00BF63C0"/>
    <w:rsid w:val="00BF6468"/>
    <w:rsid w:val="00BF651F"/>
    <w:rsid w:val="00BF6617"/>
    <w:rsid w:val="00BF66F9"/>
    <w:rsid w:val="00BF69C7"/>
    <w:rsid w:val="00BF6A3D"/>
    <w:rsid w:val="00BF6A47"/>
    <w:rsid w:val="00BF6B81"/>
    <w:rsid w:val="00BF6BB4"/>
    <w:rsid w:val="00BF6C32"/>
    <w:rsid w:val="00BF6C3D"/>
    <w:rsid w:val="00BF6C3F"/>
    <w:rsid w:val="00BF6CB4"/>
    <w:rsid w:val="00BF7162"/>
    <w:rsid w:val="00BF716A"/>
    <w:rsid w:val="00BF71A0"/>
    <w:rsid w:val="00BF71F8"/>
    <w:rsid w:val="00BF725F"/>
    <w:rsid w:val="00BF72F0"/>
    <w:rsid w:val="00BF73FD"/>
    <w:rsid w:val="00BF750F"/>
    <w:rsid w:val="00BF7539"/>
    <w:rsid w:val="00BF763A"/>
    <w:rsid w:val="00BF7695"/>
    <w:rsid w:val="00BF7736"/>
    <w:rsid w:val="00BF774E"/>
    <w:rsid w:val="00BF77F9"/>
    <w:rsid w:val="00BF78AA"/>
    <w:rsid w:val="00BF7941"/>
    <w:rsid w:val="00BF7975"/>
    <w:rsid w:val="00BF7996"/>
    <w:rsid w:val="00BF79A4"/>
    <w:rsid w:val="00BF7B55"/>
    <w:rsid w:val="00BF7C46"/>
    <w:rsid w:val="00BF7DBE"/>
    <w:rsid w:val="00BF7DD2"/>
    <w:rsid w:val="00BF7E2B"/>
    <w:rsid w:val="00BF7E84"/>
    <w:rsid w:val="00BF7FA6"/>
    <w:rsid w:val="00C00065"/>
    <w:rsid w:val="00C000B8"/>
    <w:rsid w:val="00C000FB"/>
    <w:rsid w:val="00C00167"/>
    <w:rsid w:val="00C001F9"/>
    <w:rsid w:val="00C0025A"/>
    <w:rsid w:val="00C002DE"/>
    <w:rsid w:val="00C004E1"/>
    <w:rsid w:val="00C0054E"/>
    <w:rsid w:val="00C00598"/>
    <w:rsid w:val="00C005DB"/>
    <w:rsid w:val="00C006D9"/>
    <w:rsid w:val="00C0087E"/>
    <w:rsid w:val="00C008A0"/>
    <w:rsid w:val="00C0095D"/>
    <w:rsid w:val="00C00972"/>
    <w:rsid w:val="00C0099A"/>
    <w:rsid w:val="00C00B10"/>
    <w:rsid w:val="00C00C05"/>
    <w:rsid w:val="00C00C1A"/>
    <w:rsid w:val="00C00C20"/>
    <w:rsid w:val="00C00CBE"/>
    <w:rsid w:val="00C00CE1"/>
    <w:rsid w:val="00C00D56"/>
    <w:rsid w:val="00C00DC2"/>
    <w:rsid w:val="00C00E2B"/>
    <w:rsid w:val="00C00F2E"/>
    <w:rsid w:val="00C00F61"/>
    <w:rsid w:val="00C01031"/>
    <w:rsid w:val="00C0108E"/>
    <w:rsid w:val="00C010E2"/>
    <w:rsid w:val="00C01147"/>
    <w:rsid w:val="00C01230"/>
    <w:rsid w:val="00C0139A"/>
    <w:rsid w:val="00C0139F"/>
    <w:rsid w:val="00C01562"/>
    <w:rsid w:val="00C0161E"/>
    <w:rsid w:val="00C0169F"/>
    <w:rsid w:val="00C016E0"/>
    <w:rsid w:val="00C016EE"/>
    <w:rsid w:val="00C01732"/>
    <w:rsid w:val="00C0186A"/>
    <w:rsid w:val="00C01971"/>
    <w:rsid w:val="00C01999"/>
    <w:rsid w:val="00C01A40"/>
    <w:rsid w:val="00C01ACF"/>
    <w:rsid w:val="00C01AE6"/>
    <w:rsid w:val="00C01C0F"/>
    <w:rsid w:val="00C01CD1"/>
    <w:rsid w:val="00C01D1B"/>
    <w:rsid w:val="00C01D56"/>
    <w:rsid w:val="00C01D6D"/>
    <w:rsid w:val="00C01E78"/>
    <w:rsid w:val="00C01E7D"/>
    <w:rsid w:val="00C01EC6"/>
    <w:rsid w:val="00C01ED4"/>
    <w:rsid w:val="00C02177"/>
    <w:rsid w:val="00C0217E"/>
    <w:rsid w:val="00C0239C"/>
    <w:rsid w:val="00C023A0"/>
    <w:rsid w:val="00C02401"/>
    <w:rsid w:val="00C0253D"/>
    <w:rsid w:val="00C0265C"/>
    <w:rsid w:val="00C026B0"/>
    <w:rsid w:val="00C026D4"/>
    <w:rsid w:val="00C0282E"/>
    <w:rsid w:val="00C02859"/>
    <w:rsid w:val="00C02A9F"/>
    <w:rsid w:val="00C02CBD"/>
    <w:rsid w:val="00C02D3B"/>
    <w:rsid w:val="00C02E13"/>
    <w:rsid w:val="00C02EB3"/>
    <w:rsid w:val="00C030B7"/>
    <w:rsid w:val="00C0316F"/>
    <w:rsid w:val="00C03232"/>
    <w:rsid w:val="00C0329C"/>
    <w:rsid w:val="00C0331E"/>
    <w:rsid w:val="00C035C4"/>
    <w:rsid w:val="00C0373A"/>
    <w:rsid w:val="00C038AE"/>
    <w:rsid w:val="00C039CB"/>
    <w:rsid w:val="00C03A66"/>
    <w:rsid w:val="00C03B9D"/>
    <w:rsid w:val="00C03BE3"/>
    <w:rsid w:val="00C03C40"/>
    <w:rsid w:val="00C03C43"/>
    <w:rsid w:val="00C03C5F"/>
    <w:rsid w:val="00C03D6E"/>
    <w:rsid w:val="00C03DDE"/>
    <w:rsid w:val="00C03DF9"/>
    <w:rsid w:val="00C03F74"/>
    <w:rsid w:val="00C03FF2"/>
    <w:rsid w:val="00C04065"/>
    <w:rsid w:val="00C040F7"/>
    <w:rsid w:val="00C042CE"/>
    <w:rsid w:val="00C042EE"/>
    <w:rsid w:val="00C042FD"/>
    <w:rsid w:val="00C04376"/>
    <w:rsid w:val="00C043CA"/>
    <w:rsid w:val="00C043F9"/>
    <w:rsid w:val="00C0444C"/>
    <w:rsid w:val="00C0446E"/>
    <w:rsid w:val="00C04490"/>
    <w:rsid w:val="00C044C6"/>
    <w:rsid w:val="00C04510"/>
    <w:rsid w:val="00C045D7"/>
    <w:rsid w:val="00C046C3"/>
    <w:rsid w:val="00C0479A"/>
    <w:rsid w:val="00C047D8"/>
    <w:rsid w:val="00C047F8"/>
    <w:rsid w:val="00C048F3"/>
    <w:rsid w:val="00C0495F"/>
    <w:rsid w:val="00C04B60"/>
    <w:rsid w:val="00C04C8B"/>
    <w:rsid w:val="00C04D4A"/>
    <w:rsid w:val="00C04ED5"/>
    <w:rsid w:val="00C04EEE"/>
    <w:rsid w:val="00C0521E"/>
    <w:rsid w:val="00C05272"/>
    <w:rsid w:val="00C052A8"/>
    <w:rsid w:val="00C052C0"/>
    <w:rsid w:val="00C05356"/>
    <w:rsid w:val="00C05382"/>
    <w:rsid w:val="00C05604"/>
    <w:rsid w:val="00C0586A"/>
    <w:rsid w:val="00C05A1C"/>
    <w:rsid w:val="00C05A77"/>
    <w:rsid w:val="00C05AC8"/>
    <w:rsid w:val="00C05B30"/>
    <w:rsid w:val="00C05B50"/>
    <w:rsid w:val="00C05B60"/>
    <w:rsid w:val="00C05BA7"/>
    <w:rsid w:val="00C05E02"/>
    <w:rsid w:val="00C05EF3"/>
    <w:rsid w:val="00C05F31"/>
    <w:rsid w:val="00C05FCD"/>
    <w:rsid w:val="00C06072"/>
    <w:rsid w:val="00C0615D"/>
    <w:rsid w:val="00C06195"/>
    <w:rsid w:val="00C06285"/>
    <w:rsid w:val="00C062AE"/>
    <w:rsid w:val="00C063FB"/>
    <w:rsid w:val="00C064B3"/>
    <w:rsid w:val="00C06502"/>
    <w:rsid w:val="00C06554"/>
    <w:rsid w:val="00C06575"/>
    <w:rsid w:val="00C066BE"/>
    <w:rsid w:val="00C066FF"/>
    <w:rsid w:val="00C06772"/>
    <w:rsid w:val="00C0677A"/>
    <w:rsid w:val="00C06797"/>
    <w:rsid w:val="00C06835"/>
    <w:rsid w:val="00C068D6"/>
    <w:rsid w:val="00C06996"/>
    <w:rsid w:val="00C069AA"/>
    <w:rsid w:val="00C06B80"/>
    <w:rsid w:val="00C06C1C"/>
    <w:rsid w:val="00C06D12"/>
    <w:rsid w:val="00C06DBB"/>
    <w:rsid w:val="00C06ED8"/>
    <w:rsid w:val="00C06FCC"/>
    <w:rsid w:val="00C06FCD"/>
    <w:rsid w:val="00C07054"/>
    <w:rsid w:val="00C0706B"/>
    <w:rsid w:val="00C07091"/>
    <w:rsid w:val="00C070C1"/>
    <w:rsid w:val="00C07143"/>
    <w:rsid w:val="00C072E3"/>
    <w:rsid w:val="00C07318"/>
    <w:rsid w:val="00C07360"/>
    <w:rsid w:val="00C0736C"/>
    <w:rsid w:val="00C073C4"/>
    <w:rsid w:val="00C07436"/>
    <w:rsid w:val="00C07443"/>
    <w:rsid w:val="00C07445"/>
    <w:rsid w:val="00C07469"/>
    <w:rsid w:val="00C075B7"/>
    <w:rsid w:val="00C0762A"/>
    <w:rsid w:val="00C07782"/>
    <w:rsid w:val="00C0779A"/>
    <w:rsid w:val="00C07858"/>
    <w:rsid w:val="00C0790C"/>
    <w:rsid w:val="00C07984"/>
    <w:rsid w:val="00C0799D"/>
    <w:rsid w:val="00C07A2E"/>
    <w:rsid w:val="00C07A80"/>
    <w:rsid w:val="00C07A9C"/>
    <w:rsid w:val="00C07C0F"/>
    <w:rsid w:val="00C07CC7"/>
    <w:rsid w:val="00C07DE0"/>
    <w:rsid w:val="00C07E03"/>
    <w:rsid w:val="00C07F29"/>
    <w:rsid w:val="00C07F76"/>
    <w:rsid w:val="00C07FE5"/>
    <w:rsid w:val="00C1005A"/>
    <w:rsid w:val="00C10083"/>
    <w:rsid w:val="00C101FB"/>
    <w:rsid w:val="00C10284"/>
    <w:rsid w:val="00C102F1"/>
    <w:rsid w:val="00C10334"/>
    <w:rsid w:val="00C1040F"/>
    <w:rsid w:val="00C104AC"/>
    <w:rsid w:val="00C1071F"/>
    <w:rsid w:val="00C10748"/>
    <w:rsid w:val="00C10757"/>
    <w:rsid w:val="00C107B7"/>
    <w:rsid w:val="00C10854"/>
    <w:rsid w:val="00C108FF"/>
    <w:rsid w:val="00C1098E"/>
    <w:rsid w:val="00C10990"/>
    <w:rsid w:val="00C10992"/>
    <w:rsid w:val="00C10A71"/>
    <w:rsid w:val="00C10CF9"/>
    <w:rsid w:val="00C10D18"/>
    <w:rsid w:val="00C10D62"/>
    <w:rsid w:val="00C10DA4"/>
    <w:rsid w:val="00C10E81"/>
    <w:rsid w:val="00C110CF"/>
    <w:rsid w:val="00C11144"/>
    <w:rsid w:val="00C11181"/>
    <w:rsid w:val="00C111BC"/>
    <w:rsid w:val="00C11234"/>
    <w:rsid w:val="00C114C9"/>
    <w:rsid w:val="00C114F3"/>
    <w:rsid w:val="00C11587"/>
    <w:rsid w:val="00C11616"/>
    <w:rsid w:val="00C116A0"/>
    <w:rsid w:val="00C1174F"/>
    <w:rsid w:val="00C1179B"/>
    <w:rsid w:val="00C118C5"/>
    <w:rsid w:val="00C118E1"/>
    <w:rsid w:val="00C119E1"/>
    <w:rsid w:val="00C11A38"/>
    <w:rsid w:val="00C11B3B"/>
    <w:rsid w:val="00C11C00"/>
    <w:rsid w:val="00C11C2D"/>
    <w:rsid w:val="00C11C61"/>
    <w:rsid w:val="00C11D95"/>
    <w:rsid w:val="00C11E68"/>
    <w:rsid w:val="00C11E79"/>
    <w:rsid w:val="00C11EA1"/>
    <w:rsid w:val="00C11F9E"/>
    <w:rsid w:val="00C12119"/>
    <w:rsid w:val="00C12136"/>
    <w:rsid w:val="00C12267"/>
    <w:rsid w:val="00C12296"/>
    <w:rsid w:val="00C122F7"/>
    <w:rsid w:val="00C12306"/>
    <w:rsid w:val="00C12320"/>
    <w:rsid w:val="00C12369"/>
    <w:rsid w:val="00C12426"/>
    <w:rsid w:val="00C12446"/>
    <w:rsid w:val="00C1245D"/>
    <w:rsid w:val="00C124FE"/>
    <w:rsid w:val="00C12688"/>
    <w:rsid w:val="00C12B07"/>
    <w:rsid w:val="00C12B2A"/>
    <w:rsid w:val="00C12B59"/>
    <w:rsid w:val="00C12C87"/>
    <w:rsid w:val="00C12CBA"/>
    <w:rsid w:val="00C12EA0"/>
    <w:rsid w:val="00C12FCF"/>
    <w:rsid w:val="00C13286"/>
    <w:rsid w:val="00C132A9"/>
    <w:rsid w:val="00C13371"/>
    <w:rsid w:val="00C13396"/>
    <w:rsid w:val="00C133E6"/>
    <w:rsid w:val="00C133F1"/>
    <w:rsid w:val="00C1341F"/>
    <w:rsid w:val="00C1348C"/>
    <w:rsid w:val="00C134D7"/>
    <w:rsid w:val="00C1365B"/>
    <w:rsid w:val="00C13660"/>
    <w:rsid w:val="00C138D1"/>
    <w:rsid w:val="00C13934"/>
    <w:rsid w:val="00C1394E"/>
    <w:rsid w:val="00C139CF"/>
    <w:rsid w:val="00C13AF4"/>
    <w:rsid w:val="00C13BE6"/>
    <w:rsid w:val="00C13D09"/>
    <w:rsid w:val="00C13D85"/>
    <w:rsid w:val="00C13D90"/>
    <w:rsid w:val="00C13EC5"/>
    <w:rsid w:val="00C13F44"/>
    <w:rsid w:val="00C14039"/>
    <w:rsid w:val="00C14099"/>
    <w:rsid w:val="00C140FF"/>
    <w:rsid w:val="00C14187"/>
    <w:rsid w:val="00C14195"/>
    <w:rsid w:val="00C141CA"/>
    <w:rsid w:val="00C141E9"/>
    <w:rsid w:val="00C141FB"/>
    <w:rsid w:val="00C14253"/>
    <w:rsid w:val="00C1429B"/>
    <w:rsid w:val="00C142E9"/>
    <w:rsid w:val="00C14537"/>
    <w:rsid w:val="00C145AB"/>
    <w:rsid w:val="00C145FB"/>
    <w:rsid w:val="00C147CF"/>
    <w:rsid w:val="00C147D3"/>
    <w:rsid w:val="00C147E5"/>
    <w:rsid w:val="00C14A15"/>
    <w:rsid w:val="00C14A85"/>
    <w:rsid w:val="00C14A95"/>
    <w:rsid w:val="00C14B29"/>
    <w:rsid w:val="00C14D30"/>
    <w:rsid w:val="00C14DC3"/>
    <w:rsid w:val="00C14E2C"/>
    <w:rsid w:val="00C14EBC"/>
    <w:rsid w:val="00C14F98"/>
    <w:rsid w:val="00C15040"/>
    <w:rsid w:val="00C15123"/>
    <w:rsid w:val="00C151B9"/>
    <w:rsid w:val="00C15248"/>
    <w:rsid w:val="00C1531B"/>
    <w:rsid w:val="00C15463"/>
    <w:rsid w:val="00C1548A"/>
    <w:rsid w:val="00C154A8"/>
    <w:rsid w:val="00C154CF"/>
    <w:rsid w:val="00C1555E"/>
    <w:rsid w:val="00C15597"/>
    <w:rsid w:val="00C15703"/>
    <w:rsid w:val="00C15836"/>
    <w:rsid w:val="00C1588E"/>
    <w:rsid w:val="00C159CF"/>
    <w:rsid w:val="00C15A84"/>
    <w:rsid w:val="00C15ABC"/>
    <w:rsid w:val="00C15AE0"/>
    <w:rsid w:val="00C15C67"/>
    <w:rsid w:val="00C15DA9"/>
    <w:rsid w:val="00C15DCF"/>
    <w:rsid w:val="00C15E9C"/>
    <w:rsid w:val="00C15EAF"/>
    <w:rsid w:val="00C15EE4"/>
    <w:rsid w:val="00C15FA0"/>
    <w:rsid w:val="00C16130"/>
    <w:rsid w:val="00C161BC"/>
    <w:rsid w:val="00C16211"/>
    <w:rsid w:val="00C1622A"/>
    <w:rsid w:val="00C164C8"/>
    <w:rsid w:val="00C164F0"/>
    <w:rsid w:val="00C16514"/>
    <w:rsid w:val="00C1659A"/>
    <w:rsid w:val="00C165B2"/>
    <w:rsid w:val="00C165DC"/>
    <w:rsid w:val="00C16670"/>
    <w:rsid w:val="00C166E4"/>
    <w:rsid w:val="00C16722"/>
    <w:rsid w:val="00C1673D"/>
    <w:rsid w:val="00C16796"/>
    <w:rsid w:val="00C167FB"/>
    <w:rsid w:val="00C16800"/>
    <w:rsid w:val="00C1682B"/>
    <w:rsid w:val="00C16913"/>
    <w:rsid w:val="00C16930"/>
    <w:rsid w:val="00C16A99"/>
    <w:rsid w:val="00C16AD3"/>
    <w:rsid w:val="00C16B02"/>
    <w:rsid w:val="00C16C46"/>
    <w:rsid w:val="00C16D71"/>
    <w:rsid w:val="00C16F67"/>
    <w:rsid w:val="00C16FF8"/>
    <w:rsid w:val="00C172BC"/>
    <w:rsid w:val="00C17384"/>
    <w:rsid w:val="00C173FD"/>
    <w:rsid w:val="00C174F5"/>
    <w:rsid w:val="00C1751E"/>
    <w:rsid w:val="00C175FD"/>
    <w:rsid w:val="00C177B9"/>
    <w:rsid w:val="00C1786D"/>
    <w:rsid w:val="00C17892"/>
    <w:rsid w:val="00C17896"/>
    <w:rsid w:val="00C1796D"/>
    <w:rsid w:val="00C179D5"/>
    <w:rsid w:val="00C179D8"/>
    <w:rsid w:val="00C17A6C"/>
    <w:rsid w:val="00C17B68"/>
    <w:rsid w:val="00C17B96"/>
    <w:rsid w:val="00C17C56"/>
    <w:rsid w:val="00C17D12"/>
    <w:rsid w:val="00C17D77"/>
    <w:rsid w:val="00C17E02"/>
    <w:rsid w:val="00C17E48"/>
    <w:rsid w:val="00C17E63"/>
    <w:rsid w:val="00C17E66"/>
    <w:rsid w:val="00C17E9B"/>
    <w:rsid w:val="00C17F38"/>
    <w:rsid w:val="00C17F59"/>
    <w:rsid w:val="00C17F6E"/>
    <w:rsid w:val="00C17F9D"/>
    <w:rsid w:val="00C17FF6"/>
    <w:rsid w:val="00C20084"/>
    <w:rsid w:val="00C200F9"/>
    <w:rsid w:val="00C2015C"/>
    <w:rsid w:val="00C2021A"/>
    <w:rsid w:val="00C2026A"/>
    <w:rsid w:val="00C202DD"/>
    <w:rsid w:val="00C202FA"/>
    <w:rsid w:val="00C20341"/>
    <w:rsid w:val="00C2046D"/>
    <w:rsid w:val="00C2069D"/>
    <w:rsid w:val="00C206BF"/>
    <w:rsid w:val="00C207AB"/>
    <w:rsid w:val="00C20804"/>
    <w:rsid w:val="00C208B9"/>
    <w:rsid w:val="00C209B6"/>
    <w:rsid w:val="00C209D5"/>
    <w:rsid w:val="00C20B39"/>
    <w:rsid w:val="00C20CD5"/>
    <w:rsid w:val="00C20E49"/>
    <w:rsid w:val="00C20E6C"/>
    <w:rsid w:val="00C20F84"/>
    <w:rsid w:val="00C20FA7"/>
    <w:rsid w:val="00C2113C"/>
    <w:rsid w:val="00C21231"/>
    <w:rsid w:val="00C21239"/>
    <w:rsid w:val="00C21252"/>
    <w:rsid w:val="00C21258"/>
    <w:rsid w:val="00C21334"/>
    <w:rsid w:val="00C2138D"/>
    <w:rsid w:val="00C21441"/>
    <w:rsid w:val="00C21489"/>
    <w:rsid w:val="00C21494"/>
    <w:rsid w:val="00C21551"/>
    <w:rsid w:val="00C216DA"/>
    <w:rsid w:val="00C2177C"/>
    <w:rsid w:val="00C2181D"/>
    <w:rsid w:val="00C21ACC"/>
    <w:rsid w:val="00C21B01"/>
    <w:rsid w:val="00C21D04"/>
    <w:rsid w:val="00C21D4E"/>
    <w:rsid w:val="00C21E0E"/>
    <w:rsid w:val="00C21E3E"/>
    <w:rsid w:val="00C21F40"/>
    <w:rsid w:val="00C21FED"/>
    <w:rsid w:val="00C2201D"/>
    <w:rsid w:val="00C2205E"/>
    <w:rsid w:val="00C2209B"/>
    <w:rsid w:val="00C220E2"/>
    <w:rsid w:val="00C2212A"/>
    <w:rsid w:val="00C221C2"/>
    <w:rsid w:val="00C221E5"/>
    <w:rsid w:val="00C2221D"/>
    <w:rsid w:val="00C2229C"/>
    <w:rsid w:val="00C22337"/>
    <w:rsid w:val="00C223C6"/>
    <w:rsid w:val="00C223D0"/>
    <w:rsid w:val="00C224E1"/>
    <w:rsid w:val="00C225A1"/>
    <w:rsid w:val="00C22611"/>
    <w:rsid w:val="00C22656"/>
    <w:rsid w:val="00C2268B"/>
    <w:rsid w:val="00C2286F"/>
    <w:rsid w:val="00C2291F"/>
    <w:rsid w:val="00C2293F"/>
    <w:rsid w:val="00C22949"/>
    <w:rsid w:val="00C229A2"/>
    <w:rsid w:val="00C229EA"/>
    <w:rsid w:val="00C22AAC"/>
    <w:rsid w:val="00C22AD2"/>
    <w:rsid w:val="00C22B48"/>
    <w:rsid w:val="00C22CED"/>
    <w:rsid w:val="00C22D14"/>
    <w:rsid w:val="00C22D8B"/>
    <w:rsid w:val="00C22E88"/>
    <w:rsid w:val="00C22EC4"/>
    <w:rsid w:val="00C23076"/>
    <w:rsid w:val="00C23140"/>
    <w:rsid w:val="00C2315F"/>
    <w:rsid w:val="00C231AB"/>
    <w:rsid w:val="00C2324E"/>
    <w:rsid w:val="00C2341E"/>
    <w:rsid w:val="00C23456"/>
    <w:rsid w:val="00C2345D"/>
    <w:rsid w:val="00C2347B"/>
    <w:rsid w:val="00C2347F"/>
    <w:rsid w:val="00C234E1"/>
    <w:rsid w:val="00C23579"/>
    <w:rsid w:val="00C235BA"/>
    <w:rsid w:val="00C235C5"/>
    <w:rsid w:val="00C2361B"/>
    <w:rsid w:val="00C236E0"/>
    <w:rsid w:val="00C2370A"/>
    <w:rsid w:val="00C23752"/>
    <w:rsid w:val="00C2385E"/>
    <w:rsid w:val="00C23924"/>
    <w:rsid w:val="00C23947"/>
    <w:rsid w:val="00C23B60"/>
    <w:rsid w:val="00C23B85"/>
    <w:rsid w:val="00C23C1E"/>
    <w:rsid w:val="00C23F02"/>
    <w:rsid w:val="00C23F64"/>
    <w:rsid w:val="00C2407F"/>
    <w:rsid w:val="00C2417B"/>
    <w:rsid w:val="00C24196"/>
    <w:rsid w:val="00C24511"/>
    <w:rsid w:val="00C24530"/>
    <w:rsid w:val="00C24553"/>
    <w:rsid w:val="00C245A9"/>
    <w:rsid w:val="00C246C8"/>
    <w:rsid w:val="00C2481B"/>
    <w:rsid w:val="00C2481F"/>
    <w:rsid w:val="00C24841"/>
    <w:rsid w:val="00C24915"/>
    <w:rsid w:val="00C2493E"/>
    <w:rsid w:val="00C2497E"/>
    <w:rsid w:val="00C24A07"/>
    <w:rsid w:val="00C24ADC"/>
    <w:rsid w:val="00C24B57"/>
    <w:rsid w:val="00C24BC0"/>
    <w:rsid w:val="00C24C2B"/>
    <w:rsid w:val="00C24D21"/>
    <w:rsid w:val="00C24E60"/>
    <w:rsid w:val="00C24FEF"/>
    <w:rsid w:val="00C2501D"/>
    <w:rsid w:val="00C2517B"/>
    <w:rsid w:val="00C25259"/>
    <w:rsid w:val="00C25309"/>
    <w:rsid w:val="00C25352"/>
    <w:rsid w:val="00C2545E"/>
    <w:rsid w:val="00C25468"/>
    <w:rsid w:val="00C254A8"/>
    <w:rsid w:val="00C254F4"/>
    <w:rsid w:val="00C25554"/>
    <w:rsid w:val="00C255AF"/>
    <w:rsid w:val="00C255EC"/>
    <w:rsid w:val="00C255F8"/>
    <w:rsid w:val="00C25602"/>
    <w:rsid w:val="00C256BD"/>
    <w:rsid w:val="00C25787"/>
    <w:rsid w:val="00C257A1"/>
    <w:rsid w:val="00C2594A"/>
    <w:rsid w:val="00C259EF"/>
    <w:rsid w:val="00C25BD2"/>
    <w:rsid w:val="00C25C47"/>
    <w:rsid w:val="00C25C5F"/>
    <w:rsid w:val="00C25CE3"/>
    <w:rsid w:val="00C25D30"/>
    <w:rsid w:val="00C25DE6"/>
    <w:rsid w:val="00C25DFD"/>
    <w:rsid w:val="00C25FA4"/>
    <w:rsid w:val="00C260AB"/>
    <w:rsid w:val="00C260FA"/>
    <w:rsid w:val="00C26157"/>
    <w:rsid w:val="00C261BA"/>
    <w:rsid w:val="00C261C4"/>
    <w:rsid w:val="00C26260"/>
    <w:rsid w:val="00C26284"/>
    <w:rsid w:val="00C26295"/>
    <w:rsid w:val="00C262F7"/>
    <w:rsid w:val="00C26337"/>
    <w:rsid w:val="00C264A0"/>
    <w:rsid w:val="00C2654F"/>
    <w:rsid w:val="00C266F9"/>
    <w:rsid w:val="00C268A1"/>
    <w:rsid w:val="00C2695F"/>
    <w:rsid w:val="00C269A4"/>
    <w:rsid w:val="00C26A1D"/>
    <w:rsid w:val="00C26B04"/>
    <w:rsid w:val="00C26B77"/>
    <w:rsid w:val="00C26BA3"/>
    <w:rsid w:val="00C26CFB"/>
    <w:rsid w:val="00C26D5F"/>
    <w:rsid w:val="00C26D9C"/>
    <w:rsid w:val="00C26E08"/>
    <w:rsid w:val="00C26F66"/>
    <w:rsid w:val="00C26FE4"/>
    <w:rsid w:val="00C270C6"/>
    <w:rsid w:val="00C2717F"/>
    <w:rsid w:val="00C27187"/>
    <w:rsid w:val="00C27257"/>
    <w:rsid w:val="00C272FC"/>
    <w:rsid w:val="00C2743F"/>
    <w:rsid w:val="00C27488"/>
    <w:rsid w:val="00C274CD"/>
    <w:rsid w:val="00C2754B"/>
    <w:rsid w:val="00C275C5"/>
    <w:rsid w:val="00C27783"/>
    <w:rsid w:val="00C27889"/>
    <w:rsid w:val="00C2790E"/>
    <w:rsid w:val="00C27925"/>
    <w:rsid w:val="00C27A6F"/>
    <w:rsid w:val="00C27A72"/>
    <w:rsid w:val="00C27AA9"/>
    <w:rsid w:val="00C27B57"/>
    <w:rsid w:val="00C27BC7"/>
    <w:rsid w:val="00C27BEF"/>
    <w:rsid w:val="00C27C7E"/>
    <w:rsid w:val="00C27D00"/>
    <w:rsid w:val="00C27D7A"/>
    <w:rsid w:val="00C27E27"/>
    <w:rsid w:val="00C27EB7"/>
    <w:rsid w:val="00C27F17"/>
    <w:rsid w:val="00C27F54"/>
    <w:rsid w:val="00C3005E"/>
    <w:rsid w:val="00C30136"/>
    <w:rsid w:val="00C30144"/>
    <w:rsid w:val="00C30369"/>
    <w:rsid w:val="00C304DC"/>
    <w:rsid w:val="00C30555"/>
    <w:rsid w:val="00C305EA"/>
    <w:rsid w:val="00C30685"/>
    <w:rsid w:val="00C308DC"/>
    <w:rsid w:val="00C309BB"/>
    <w:rsid w:val="00C30A32"/>
    <w:rsid w:val="00C30AB3"/>
    <w:rsid w:val="00C30BC0"/>
    <w:rsid w:val="00C30BFF"/>
    <w:rsid w:val="00C30E9F"/>
    <w:rsid w:val="00C30F81"/>
    <w:rsid w:val="00C30FE3"/>
    <w:rsid w:val="00C3101B"/>
    <w:rsid w:val="00C3106F"/>
    <w:rsid w:val="00C310A6"/>
    <w:rsid w:val="00C31121"/>
    <w:rsid w:val="00C31213"/>
    <w:rsid w:val="00C31322"/>
    <w:rsid w:val="00C31389"/>
    <w:rsid w:val="00C313EC"/>
    <w:rsid w:val="00C31486"/>
    <w:rsid w:val="00C314C6"/>
    <w:rsid w:val="00C31835"/>
    <w:rsid w:val="00C3185E"/>
    <w:rsid w:val="00C31931"/>
    <w:rsid w:val="00C319B4"/>
    <w:rsid w:val="00C319C2"/>
    <w:rsid w:val="00C319CB"/>
    <w:rsid w:val="00C319DC"/>
    <w:rsid w:val="00C31B59"/>
    <w:rsid w:val="00C31B8A"/>
    <w:rsid w:val="00C31C16"/>
    <w:rsid w:val="00C31C4F"/>
    <w:rsid w:val="00C31CA9"/>
    <w:rsid w:val="00C31CAA"/>
    <w:rsid w:val="00C31D22"/>
    <w:rsid w:val="00C31DCD"/>
    <w:rsid w:val="00C31F7E"/>
    <w:rsid w:val="00C31FAF"/>
    <w:rsid w:val="00C31FEF"/>
    <w:rsid w:val="00C3202F"/>
    <w:rsid w:val="00C3206C"/>
    <w:rsid w:val="00C3212C"/>
    <w:rsid w:val="00C321C3"/>
    <w:rsid w:val="00C32246"/>
    <w:rsid w:val="00C324A4"/>
    <w:rsid w:val="00C32535"/>
    <w:rsid w:val="00C3255D"/>
    <w:rsid w:val="00C3258F"/>
    <w:rsid w:val="00C325A5"/>
    <w:rsid w:val="00C32719"/>
    <w:rsid w:val="00C3275F"/>
    <w:rsid w:val="00C327AA"/>
    <w:rsid w:val="00C3283E"/>
    <w:rsid w:val="00C32871"/>
    <w:rsid w:val="00C32938"/>
    <w:rsid w:val="00C329F4"/>
    <w:rsid w:val="00C32A45"/>
    <w:rsid w:val="00C32A4C"/>
    <w:rsid w:val="00C32A9E"/>
    <w:rsid w:val="00C32AA7"/>
    <w:rsid w:val="00C32ADF"/>
    <w:rsid w:val="00C32EC2"/>
    <w:rsid w:val="00C32F07"/>
    <w:rsid w:val="00C32F1C"/>
    <w:rsid w:val="00C3300A"/>
    <w:rsid w:val="00C3307E"/>
    <w:rsid w:val="00C3308F"/>
    <w:rsid w:val="00C330F0"/>
    <w:rsid w:val="00C33123"/>
    <w:rsid w:val="00C33217"/>
    <w:rsid w:val="00C33220"/>
    <w:rsid w:val="00C332AC"/>
    <w:rsid w:val="00C3349B"/>
    <w:rsid w:val="00C334FE"/>
    <w:rsid w:val="00C3351F"/>
    <w:rsid w:val="00C335D5"/>
    <w:rsid w:val="00C335F9"/>
    <w:rsid w:val="00C336AF"/>
    <w:rsid w:val="00C33710"/>
    <w:rsid w:val="00C337DB"/>
    <w:rsid w:val="00C33801"/>
    <w:rsid w:val="00C3380B"/>
    <w:rsid w:val="00C338A3"/>
    <w:rsid w:val="00C338C6"/>
    <w:rsid w:val="00C339DC"/>
    <w:rsid w:val="00C33B75"/>
    <w:rsid w:val="00C33B9F"/>
    <w:rsid w:val="00C33BED"/>
    <w:rsid w:val="00C33C0A"/>
    <w:rsid w:val="00C33C75"/>
    <w:rsid w:val="00C33CEA"/>
    <w:rsid w:val="00C33D8C"/>
    <w:rsid w:val="00C33DC4"/>
    <w:rsid w:val="00C33EA1"/>
    <w:rsid w:val="00C33F98"/>
    <w:rsid w:val="00C33FB0"/>
    <w:rsid w:val="00C34005"/>
    <w:rsid w:val="00C342AE"/>
    <w:rsid w:val="00C342CE"/>
    <w:rsid w:val="00C342FD"/>
    <w:rsid w:val="00C34319"/>
    <w:rsid w:val="00C34337"/>
    <w:rsid w:val="00C34404"/>
    <w:rsid w:val="00C34423"/>
    <w:rsid w:val="00C34449"/>
    <w:rsid w:val="00C3449F"/>
    <w:rsid w:val="00C34775"/>
    <w:rsid w:val="00C3485F"/>
    <w:rsid w:val="00C34870"/>
    <w:rsid w:val="00C34876"/>
    <w:rsid w:val="00C34889"/>
    <w:rsid w:val="00C34999"/>
    <w:rsid w:val="00C349B1"/>
    <w:rsid w:val="00C34A41"/>
    <w:rsid w:val="00C34AAE"/>
    <w:rsid w:val="00C34AE0"/>
    <w:rsid w:val="00C34C45"/>
    <w:rsid w:val="00C34C7F"/>
    <w:rsid w:val="00C34D4E"/>
    <w:rsid w:val="00C34DAA"/>
    <w:rsid w:val="00C34E09"/>
    <w:rsid w:val="00C34EFC"/>
    <w:rsid w:val="00C34F70"/>
    <w:rsid w:val="00C34FAB"/>
    <w:rsid w:val="00C35078"/>
    <w:rsid w:val="00C35201"/>
    <w:rsid w:val="00C35220"/>
    <w:rsid w:val="00C35418"/>
    <w:rsid w:val="00C35439"/>
    <w:rsid w:val="00C35524"/>
    <w:rsid w:val="00C355E0"/>
    <w:rsid w:val="00C35631"/>
    <w:rsid w:val="00C3568A"/>
    <w:rsid w:val="00C35803"/>
    <w:rsid w:val="00C3582C"/>
    <w:rsid w:val="00C35982"/>
    <w:rsid w:val="00C35A50"/>
    <w:rsid w:val="00C35C30"/>
    <w:rsid w:val="00C35C71"/>
    <w:rsid w:val="00C35CC5"/>
    <w:rsid w:val="00C35CD0"/>
    <w:rsid w:val="00C35D78"/>
    <w:rsid w:val="00C35EC4"/>
    <w:rsid w:val="00C3603F"/>
    <w:rsid w:val="00C3604B"/>
    <w:rsid w:val="00C360D4"/>
    <w:rsid w:val="00C36187"/>
    <w:rsid w:val="00C36248"/>
    <w:rsid w:val="00C3624C"/>
    <w:rsid w:val="00C362AC"/>
    <w:rsid w:val="00C363B1"/>
    <w:rsid w:val="00C363C9"/>
    <w:rsid w:val="00C363FC"/>
    <w:rsid w:val="00C36599"/>
    <w:rsid w:val="00C365A9"/>
    <w:rsid w:val="00C36640"/>
    <w:rsid w:val="00C366A1"/>
    <w:rsid w:val="00C366E3"/>
    <w:rsid w:val="00C36712"/>
    <w:rsid w:val="00C36715"/>
    <w:rsid w:val="00C367FD"/>
    <w:rsid w:val="00C36800"/>
    <w:rsid w:val="00C368FA"/>
    <w:rsid w:val="00C3690D"/>
    <w:rsid w:val="00C3690E"/>
    <w:rsid w:val="00C36942"/>
    <w:rsid w:val="00C36948"/>
    <w:rsid w:val="00C36A7C"/>
    <w:rsid w:val="00C36A8E"/>
    <w:rsid w:val="00C36A95"/>
    <w:rsid w:val="00C36B5E"/>
    <w:rsid w:val="00C36B79"/>
    <w:rsid w:val="00C36BCA"/>
    <w:rsid w:val="00C36C42"/>
    <w:rsid w:val="00C36C66"/>
    <w:rsid w:val="00C36CAB"/>
    <w:rsid w:val="00C36CD4"/>
    <w:rsid w:val="00C36CFD"/>
    <w:rsid w:val="00C36D03"/>
    <w:rsid w:val="00C36D77"/>
    <w:rsid w:val="00C36E27"/>
    <w:rsid w:val="00C36F8A"/>
    <w:rsid w:val="00C37011"/>
    <w:rsid w:val="00C3709A"/>
    <w:rsid w:val="00C3719A"/>
    <w:rsid w:val="00C371CD"/>
    <w:rsid w:val="00C371D7"/>
    <w:rsid w:val="00C3722D"/>
    <w:rsid w:val="00C3727D"/>
    <w:rsid w:val="00C37525"/>
    <w:rsid w:val="00C375AF"/>
    <w:rsid w:val="00C3769D"/>
    <w:rsid w:val="00C376EC"/>
    <w:rsid w:val="00C37704"/>
    <w:rsid w:val="00C37758"/>
    <w:rsid w:val="00C377DD"/>
    <w:rsid w:val="00C37898"/>
    <w:rsid w:val="00C378A7"/>
    <w:rsid w:val="00C378BB"/>
    <w:rsid w:val="00C37937"/>
    <w:rsid w:val="00C3793F"/>
    <w:rsid w:val="00C3795B"/>
    <w:rsid w:val="00C37C11"/>
    <w:rsid w:val="00C37C71"/>
    <w:rsid w:val="00C37C7D"/>
    <w:rsid w:val="00C37CAB"/>
    <w:rsid w:val="00C37CCA"/>
    <w:rsid w:val="00C37E71"/>
    <w:rsid w:val="00C37F0A"/>
    <w:rsid w:val="00C37F36"/>
    <w:rsid w:val="00C37F68"/>
    <w:rsid w:val="00C37F84"/>
    <w:rsid w:val="00C37FE0"/>
    <w:rsid w:val="00C37FFD"/>
    <w:rsid w:val="00C4006F"/>
    <w:rsid w:val="00C40095"/>
    <w:rsid w:val="00C4012B"/>
    <w:rsid w:val="00C40446"/>
    <w:rsid w:val="00C40553"/>
    <w:rsid w:val="00C40576"/>
    <w:rsid w:val="00C4057A"/>
    <w:rsid w:val="00C405DB"/>
    <w:rsid w:val="00C40634"/>
    <w:rsid w:val="00C40706"/>
    <w:rsid w:val="00C40767"/>
    <w:rsid w:val="00C407A1"/>
    <w:rsid w:val="00C40869"/>
    <w:rsid w:val="00C4092A"/>
    <w:rsid w:val="00C40992"/>
    <w:rsid w:val="00C409C0"/>
    <w:rsid w:val="00C40A1E"/>
    <w:rsid w:val="00C40B04"/>
    <w:rsid w:val="00C40B39"/>
    <w:rsid w:val="00C40B72"/>
    <w:rsid w:val="00C40B94"/>
    <w:rsid w:val="00C40BDA"/>
    <w:rsid w:val="00C40CF2"/>
    <w:rsid w:val="00C40E9A"/>
    <w:rsid w:val="00C40F20"/>
    <w:rsid w:val="00C40F84"/>
    <w:rsid w:val="00C41107"/>
    <w:rsid w:val="00C41127"/>
    <w:rsid w:val="00C41300"/>
    <w:rsid w:val="00C4145A"/>
    <w:rsid w:val="00C41462"/>
    <w:rsid w:val="00C4152B"/>
    <w:rsid w:val="00C41540"/>
    <w:rsid w:val="00C415FA"/>
    <w:rsid w:val="00C416C6"/>
    <w:rsid w:val="00C4173D"/>
    <w:rsid w:val="00C41769"/>
    <w:rsid w:val="00C4192C"/>
    <w:rsid w:val="00C41A24"/>
    <w:rsid w:val="00C41CF4"/>
    <w:rsid w:val="00C41D07"/>
    <w:rsid w:val="00C41D0D"/>
    <w:rsid w:val="00C41E50"/>
    <w:rsid w:val="00C41E70"/>
    <w:rsid w:val="00C41F1B"/>
    <w:rsid w:val="00C41F52"/>
    <w:rsid w:val="00C42084"/>
    <w:rsid w:val="00C420A6"/>
    <w:rsid w:val="00C4214C"/>
    <w:rsid w:val="00C4216E"/>
    <w:rsid w:val="00C421C2"/>
    <w:rsid w:val="00C4225B"/>
    <w:rsid w:val="00C42321"/>
    <w:rsid w:val="00C4234D"/>
    <w:rsid w:val="00C42377"/>
    <w:rsid w:val="00C423C4"/>
    <w:rsid w:val="00C423D8"/>
    <w:rsid w:val="00C42477"/>
    <w:rsid w:val="00C4250D"/>
    <w:rsid w:val="00C4254F"/>
    <w:rsid w:val="00C425DE"/>
    <w:rsid w:val="00C425F8"/>
    <w:rsid w:val="00C426FA"/>
    <w:rsid w:val="00C4272A"/>
    <w:rsid w:val="00C42907"/>
    <w:rsid w:val="00C429B9"/>
    <w:rsid w:val="00C429F3"/>
    <w:rsid w:val="00C42A57"/>
    <w:rsid w:val="00C42C61"/>
    <w:rsid w:val="00C42E20"/>
    <w:rsid w:val="00C42FB2"/>
    <w:rsid w:val="00C43006"/>
    <w:rsid w:val="00C4310C"/>
    <w:rsid w:val="00C43367"/>
    <w:rsid w:val="00C43431"/>
    <w:rsid w:val="00C4343E"/>
    <w:rsid w:val="00C43471"/>
    <w:rsid w:val="00C4360F"/>
    <w:rsid w:val="00C4372E"/>
    <w:rsid w:val="00C43B21"/>
    <w:rsid w:val="00C43B3F"/>
    <w:rsid w:val="00C43C4D"/>
    <w:rsid w:val="00C43D5C"/>
    <w:rsid w:val="00C43E5D"/>
    <w:rsid w:val="00C43F2B"/>
    <w:rsid w:val="00C43F4F"/>
    <w:rsid w:val="00C44081"/>
    <w:rsid w:val="00C44130"/>
    <w:rsid w:val="00C4413F"/>
    <w:rsid w:val="00C44282"/>
    <w:rsid w:val="00C442B4"/>
    <w:rsid w:val="00C44375"/>
    <w:rsid w:val="00C443E5"/>
    <w:rsid w:val="00C4448E"/>
    <w:rsid w:val="00C44629"/>
    <w:rsid w:val="00C4484A"/>
    <w:rsid w:val="00C44880"/>
    <w:rsid w:val="00C44921"/>
    <w:rsid w:val="00C449AC"/>
    <w:rsid w:val="00C44A3E"/>
    <w:rsid w:val="00C44A80"/>
    <w:rsid w:val="00C44AAB"/>
    <w:rsid w:val="00C44AC2"/>
    <w:rsid w:val="00C44C44"/>
    <w:rsid w:val="00C44C75"/>
    <w:rsid w:val="00C44CE5"/>
    <w:rsid w:val="00C44D93"/>
    <w:rsid w:val="00C44DB0"/>
    <w:rsid w:val="00C44DF4"/>
    <w:rsid w:val="00C44E7C"/>
    <w:rsid w:val="00C44EED"/>
    <w:rsid w:val="00C44FA5"/>
    <w:rsid w:val="00C450CD"/>
    <w:rsid w:val="00C451F0"/>
    <w:rsid w:val="00C45255"/>
    <w:rsid w:val="00C452CF"/>
    <w:rsid w:val="00C45348"/>
    <w:rsid w:val="00C45384"/>
    <w:rsid w:val="00C453F5"/>
    <w:rsid w:val="00C45420"/>
    <w:rsid w:val="00C45493"/>
    <w:rsid w:val="00C454D0"/>
    <w:rsid w:val="00C4552C"/>
    <w:rsid w:val="00C455A0"/>
    <w:rsid w:val="00C455C8"/>
    <w:rsid w:val="00C455F9"/>
    <w:rsid w:val="00C456A4"/>
    <w:rsid w:val="00C45765"/>
    <w:rsid w:val="00C45785"/>
    <w:rsid w:val="00C457D4"/>
    <w:rsid w:val="00C457FC"/>
    <w:rsid w:val="00C458C0"/>
    <w:rsid w:val="00C458FF"/>
    <w:rsid w:val="00C45933"/>
    <w:rsid w:val="00C4595F"/>
    <w:rsid w:val="00C45A16"/>
    <w:rsid w:val="00C45A21"/>
    <w:rsid w:val="00C45A35"/>
    <w:rsid w:val="00C45A49"/>
    <w:rsid w:val="00C45ACA"/>
    <w:rsid w:val="00C45AE0"/>
    <w:rsid w:val="00C45BA8"/>
    <w:rsid w:val="00C45DAA"/>
    <w:rsid w:val="00C45E39"/>
    <w:rsid w:val="00C45E84"/>
    <w:rsid w:val="00C45E88"/>
    <w:rsid w:val="00C45E90"/>
    <w:rsid w:val="00C45ECC"/>
    <w:rsid w:val="00C45F7B"/>
    <w:rsid w:val="00C46080"/>
    <w:rsid w:val="00C46135"/>
    <w:rsid w:val="00C46149"/>
    <w:rsid w:val="00C46225"/>
    <w:rsid w:val="00C46302"/>
    <w:rsid w:val="00C46362"/>
    <w:rsid w:val="00C4637C"/>
    <w:rsid w:val="00C4644B"/>
    <w:rsid w:val="00C464CE"/>
    <w:rsid w:val="00C464F8"/>
    <w:rsid w:val="00C4650D"/>
    <w:rsid w:val="00C46579"/>
    <w:rsid w:val="00C46602"/>
    <w:rsid w:val="00C46653"/>
    <w:rsid w:val="00C46681"/>
    <w:rsid w:val="00C4674B"/>
    <w:rsid w:val="00C467A2"/>
    <w:rsid w:val="00C467A7"/>
    <w:rsid w:val="00C467F6"/>
    <w:rsid w:val="00C46980"/>
    <w:rsid w:val="00C46B02"/>
    <w:rsid w:val="00C46B5B"/>
    <w:rsid w:val="00C46BA6"/>
    <w:rsid w:val="00C46E74"/>
    <w:rsid w:val="00C46F63"/>
    <w:rsid w:val="00C46FBD"/>
    <w:rsid w:val="00C470EE"/>
    <w:rsid w:val="00C47174"/>
    <w:rsid w:val="00C47203"/>
    <w:rsid w:val="00C47266"/>
    <w:rsid w:val="00C47340"/>
    <w:rsid w:val="00C4739B"/>
    <w:rsid w:val="00C47413"/>
    <w:rsid w:val="00C47473"/>
    <w:rsid w:val="00C474F0"/>
    <w:rsid w:val="00C476ED"/>
    <w:rsid w:val="00C4774A"/>
    <w:rsid w:val="00C4774D"/>
    <w:rsid w:val="00C4782E"/>
    <w:rsid w:val="00C478CE"/>
    <w:rsid w:val="00C4790E"/>
    <w:rsid w:val="00C47923"/>
    <w:rsid w:val="00C47B9A"/>
    <w:rsid w:val="00C47BC3"/>
    <w:rsid w:val="00C47C00"/>
    <w:rsid w:val="00C47D33"/>
    <w:rsid w:val="00C47D3E"/>
    <w:rsid w:val="00C47D68"/>
    <w:rsid w:val="00C47D74"/>
    <w:rsid w:val="00C47EDF"/>
    <w:rsid w:val="00C47FFD"/>
    <w:rsid w:val="00C5004A"/>
    <w:rsid w:val="00C50078"/>
    <w:rsid w:val="00C50083"/>
    <w:rsid w:val="00C5022B"/>
    <w:rsid w:val="00C503BA"/>
    <w:rsid w:val="00C503C4"/>
    <w:rsid w:val="00C50445"/>
    <w:rsid w:val="00C5055A"/>
    <w:rsid w:val="00C505E9"/>
    <w:rsid w:val="00C5064B"/>
    <w:rsid w:val="00C506CD"/>
    <w:rsid w:val="00C507F4"/>
    <w:rsid w:val="00C5093F"/>
    <w:rsid w:val="00C50BB9"/>
    <w:rsid w:val="00C50D2F"/>
    <w:rsid w:val="00C50D40"/>
    <w:rsid w:val="00C50D96"/>
    <w:rsid w:val="00C50DA6"/>
    <w:rsid w:val="00C50DC6"/>
    <w:rsid w:val="00C50E4D"/>
    <w:rsid w:val="00C50EDF"/>
    <w:rsid w:val="00C50EFA"/>
    <w:rsid w:val="00C50F4A"/>
    <w:rsid w:val="00C50F5C"/>
    <w:rsid w:val="00C50F9D"/>
    <w:rsid w:val="00C510BB"/>
    <w:rsid w:val="00C510EA"/>
    <w:rsid w:val="00C5113D"/>
    <w:rsid w:val="00C511E7"/>
    <w:rsid w:val="00C51222"/>
    <w:rsid w:val="00C51635"/>
    <w:rsid w:val="00C5165F"/>
    <w:rsid w:val="00C51660"/>
    <w:rsid w:val="00C516F9"/>
    <w:rsid w:val="00C51729"/>
    <w:rsid w:val="00C518AE"/>
    <w:rsid w:val="00C518CF"/>
    <w:rsid w:val="00C51923"/>
    <w:rsid w:val="00C51953"/>
    <w:rsid w:val="00C51983"/>
    <w:rsid w:val="00C51A5A"/>
    <w:rsid w:val="00C51B3A"/>
    <w:rsid w:val="00C51BA5"/>
    <w:rsid w:val="00C51D08"/>
    <w:rsid w:val="00C51DBD"/>
    <w:rsid w:val="00C51E10"/>
    <w:rsid w:val="00C51EB6"/>
    <w:rsid w:val="00C51F6E"/>
    <w:rsid w:val="00C51FFC"/>
    <w:rsid w:val="00C52051"/>
    <w:rsid w:val="00C5218E"/>
    <w:rsid w:val="00C52197"/>
    <w:rsid w:val="00C52299"/>
    <w:rsid w:val="00C52355"/>
    <w:rsid w:val="00C52394"/>
    <w:rsid w:val="00C523BE"/>
    <w:rsid w:val="00C5248F"/>
    <w:rsid w:val="00C524BD"/>
    <w:rsid w:val="00C52550"/>
    <w:rsid w:val="00C52553"/>
    <w:rsid w:val="00C525F5"/>
    <w:rsid w:val="00C526A7"/>
    <w:rsid w:val="00C526B9"/>
    <w:rsid w:val="00C5275E"/>
    <w:rsid w:val="00C527D0"/>
    <w:rsid w:val="00C527DC"/>
    <w:rsid w:val="00C5286E"/>
    <w:rsid w:val="00C52889"/>
    <w:rsid w:val="00C528D6"/>
    <w:rsid w:val="00C528ED"/>
    <w:rsid w:val="00C52A74"/>
    <w:rsid w:val="00C52A7C"/>
    <w:rsid w:val="00C52B2C"/>
    <w:rsid w:val="00C52C7F"/>
    <w:rsid w:val="00C52CAF"/>
    <w:rsid w:val="00C52E8A"/>
    <w:rsid w:val="00C52F39"/>
    <w:rsid w:val="00C52F92"/>
    <w:rsid w:val="00C52FA4"/>
    <w:rsid w:val="00C53075"/>
    <w:rsid w:val="00C531CC"/>
    <w:rsid w:val="00C533BA"/>
    <w:rsid w:val="00C53500"/>
    <w:rsid w:val="00C53504"/>
    <w:rsid w:val="00C5357D"/>
    <w:rsid w:val="00C53697"/>
    <w:rsid w:val="00C5372D"/>
    <w:rsid w:val="00C53734"/>
    <w:rsid w:val="00C53814"/>
    <w:rsid w:val="00C5394A"/>
    <w:rsid w:val="00C53B7C"/>
    <w:rsid w:val="00C53D2E"/>
    <w:rsid w:val="00C53D38"/>
    <w:rsid w:val="00C53DC0"/>
    <w:rsid w:val="00C53DE3"/>
    <w:rsid w:val="00C53EFE"/>
    <w:rsid w:val="00C53F8F"/>
    <w:rsid w:val="00C54059"/>
    <w:rsid w:val="00C540C2"/>
    <w:rsid w:val="00C540E1"/>
    <w:rsid w:val="00C54132"/>
    <w:rsid w:val="00C54172"/>
    <w:rsid w:val="00C542B8"/>
    <w:rsid w:val="00C54353"/>
    <w:rsid w:val="00C543FD"/>
    <w:rsid w:val="00C544D9"/>
    <w:rsid w:val="00C54557"/>
    <w:rsid w:val="00C54588"/>
    <w:rsid w:val="00C545BB"/>
    <w:rsid w:val="00C5466E"/>
    <w:rsid w:val="00C54676"/>
    <w:rsid w:val="00C546AB"/>
    <w:rsid w:val="00C54861"/>
    <w:rsid w:val="00C54891"/>
    <w:rsid w:val="00C54895"/>
    <w:rsid w:val="00C5489D"/>
    <w:rsid w:val="00C548A3"/>
    <w:rsid w:val="00C548AA"/>
    <w:rsid w:val="00C54917"/>
    <w:rsid w:val="00C5493C"/>
    <w:rsid w:val="00C549B5"/>
    <w:rsid w:val="00C549B7"/>
    <w:rsid w:val="00C54A37"/>
    <w:rsid w:val="00C54BA2"/>
    <w:rsid w:val="00C54BB3"/>
    <w:rsid w:val="00C54C97"/>
    <w:rsid w:val="00C54D77"/>
    <w:rsid w:val="00C54D91"/>
    <w:rsid w:val="00C54DD3"/>
    <w:rsid w:val="00C54E0F"/>
    <w:rsid w:val="00C54EF6"/>
    <w:rsid w:val="00C54F68"/>
    <w:rsid w:val="00C54FED"/>
    <w:rsid w:val="00C55014"/>
    <w:rsid w:val="00C550E2"/>
    <w:rsid w:val="00C55183"/>
    <w:rsid w:val="00C551F4"/>
    <w:rsid w:val="00C552D4"/>
    <w:rsid w:val="00C552EC"/>
    <w:rsid w:val="00C553EB"/>
    <w:rsid w:val="00C555B6"/>
    <w:rsid w:val="00C55683"/>
    <w:rsid w:val="00C556BB"/>
    <w:rsid w:val="00C556C3"/>
    <w:rsid w:val="00C5582E"/>
    <w:rsid w:val="00C55981"/>
    <w:rsid w:val="00C559EA"/>
    <w:rsid w:val="00C55A7D"/>
    <w:rsid w:val="00C55A85"/>
    <w:rsid w:val="00C55A92"/>
    <w:rsid w:val="00C55B57"/>
    <w:rsid w:val="00C55B8D"/>
    <w:rsid w:val="00C55C9E"/>
    <w:rsid w:val="00C55D29"/>
    <w:rsid w:val="00C55D2E"/>
    <w:rsid w:val="00C55D97"/>
    <w:rsid w:val="00C55E65"/>
    <w:rsid w:val="00C55E93"/>
    <w:rsid w:val="00C55EEC"/>
    <w:rsid w:val="00C55F85"/>
    <w:rsid w:val="00C5611A"/>
    <w:rsid w:val="00C56170"/>
    <w:rsid w:val="00C561F9"/>
    <w:rsid w:val="00C562A8"/>
    <w:rsid w:val="00C562AE"/>
    <w:rsid w:val="00C563CF"/>
    <w:rsid w:val="00C56517"/>
    <w:rsid w:val="00C565D7"/>
    <w:rsid w:val="00C5669B"/>
    <w:rsid w:val="00C5671F"/>
    <w:rsid w:val="00C567CF"/>
    <w:rsid w:val="00C56A00"/>
    <w:rsid w:val="00C56A4D"/>
    <w:rsid w:val="00C56AF5"/>
    <w:rsid w:val="00C56B13"/>
    <w:rsid w:val="00C56B7C"/>
    <w:rsid w:val="00C56C6C"/>
    <w:rsid w:val="00C56D60"/>
    <w:rsid w:val="00C56D9C"/>
    <w:rsid w:val="00C56E52"/>
    <w:rsid w:val="00C56EAB"/>
    <w:rsid w:val="00C56F81"/>
    <w:rsid w:val="00C5710F"/>
    <w:rsid w:val="00C5717D"/>
    <w:rsid w:val="00C571BA"/>
    <w:rsid w:val="00C571F1"/>
    <w:rsid w:val="00C5722E"/>
    <w:rsid w:val="00C572B9"/>
    <w:rsid w:val="00C57313"/>
    <w:rsid w:val="00C57371"/>
    <w:rsid w:val="00C573CE"/>
    <w:rsid w:val="00C57444"/>
    <w:rsid w:val="00C57445"/>
    <w:rsid w:val="00C5746C"/>
    <w:rsid w:val="00C574D3"/>
    <w:rsid w:val="00C574E9"/>
    <w:rsid w:val="00C57583"/>
    <w:rsid w:val="00C576DE"/>
    <w:rsid w:val="00C57866"/>
    <w:rsid w:val="00C57A19"/>
    <w:rsid w:val="00C57A6A"/>
    <w:rsid w:val="00C57C89"/>
    <w:rsid w:val="00C57D69"/>
    <w:rsid w:val="00C57E0E"/>
    <w:rsid w:val="00C57EE3"/>
    <w:rsid w:val="00C57EFC"/>
    <w:rsid w:val="00C57FC2"/>
    <w:rsid w:val="00C60002"/>
    <w:rsid w:val="00C60029"/>
    <w:rsid w:val="00C600C9"/>
    <w:rsid w:val="00C60113"/>
    <w:rsid w:val="00C60255"/>
    <w:rsid w:val="00C602BF"/>
    <w:rsid w:val="00C60318"/>
    <w:rsid w:val="00C60551"/>
    <w:rsid w:val="00C6072D"/>
    <w:rsid w:val="00C60831"/>
    <w:rsid w:val="00C60897"/>
    <w:rsid w:val="00C60904"/>
    <w:rsid w:val="00C609EE"/>
    <w:rsid w:val="00C60A26"/>
    <w:rsid w:val="00C60A2D"/>
    <w:rsid w:val="00C60A3D"/>
    <w:rsid w:val="00C60A4C"/>
    <w:rsid w:val="00C60AA5"/>
    <w:rsid w:val="00C60B84"/>
    <w:rsid w:val="00C60CBA"/>
    <w:rsid w:val="00C60D0E"/>
    <w:rsid w:val="00C60D62"/>
    <w:rsid w:val="00C60E4F"/>
    <w:rsid w:val="00C60E69"/>
    <w:rsid w:val="00C60E96"/>
    <w:rsid w:val="00C60EDB"/>
    <w:rsid w:val="00C60F34"/>
    <w:rsid w:val="00C60F4B"/>
    <w:rsid w:val="00C60FD4"/>
    <w:rsid w:val="00C61007"/>
    <w:rsid w:val="00C6100F"/>
    <w:rsid w:val="00C6103B"/>
    <w:rsid w:val="00C610DF"/>
    <w:rsid w:val="00C61222"/>
    <w:rsid w:val="00C61294"/>
    <w:rsid w:val="00C61346"/>
    <w:rsid w:val="00C613B6"/>
    <w:rsid w:val="00C61444"/>
    <w:rsid w:val="00C614F7"/>
    <w:rsid w:val="00C6166E"/>
    <w:rsid w:val="00C61695"/>
    <w:rsid w:val="00C61714"/>
    <w:rsid w:val="00C61780"/>
    <w:rsid w:val="00C6188D"/>
    <w:rsid w:val="00C61910"/>
    <w:rsid w:val="00C619CD"/>
    <w:rsid w:val="00C619D7"/>
    <w:rsid w:val="00C619EC"/>
    <w:rsid w:val="00C61A75"/>
    <w:rsid w:val="00C61AB2"/>
    <w:rsid w:val="00C61BB1"/>
    <w:rsid w:val="00C61BE8"/>
    <w:rsid w:val="00C61E10"/>
    <w:rsid w:val="00C61FA1"/>
    <w:rsid w:val="00C61FE2"/>
    <w:rsid w:val="00C6221A"/>
    <w:rsid w:val="00C6224C"/>
    <w:rsid w:val="00C62269"/>
    <w:rsid w:val="00C622DF"/>
    <w:rsid w:val="00C62414"/>
    <w:rsid w:val="00C6247A"/>
    <w:rsid w:val="00C624EB"/>
    <w:rsid w:val="00C6252E"/>
    <w:rsid w:val="00C62558"/>
    <w:rsid w:val="00C6255C"/>
    <w:rsid w:val="00C6258A"/>
    <w:rsid w:val="00C62611"/>
    <w:rsid w:val="00C62616"/>
    <w:rsid w:val="00C62727"/>
    <w:rsid w:val="00C62888"/>
    <w:rsid w:val="00C6289B"/>
    <w:rsid w:val="00C62938"/>
    <w:rsid w:val="00C62948"/>
    <w:rsid w:val="00C6294F"/>
    <w:rsid w:val="00C62A4A"/>
    <w:rsid w:val="00C62B2F"/>
    <w:rsid w:val="00C62BFA"/>
    <w:rsid w:val="00C62D04"/>
    <w:rsid w:val="00C62DCC"/>
    <w:rsid w:val="00C62EF5"/>
    <w:rsid w:val="00C6300C"/>
    <w:rsid w:val="00C63018"/>
    <w:rsid w:val="00C63055"/>
    <w:rsid w:val="00C6306F"/>
    <w:rsid w:val="00C63251"/>
    <w:rsid w:val="00C632BF"/>
    <w:rsid w:val="00C632E4"/>
    <w:rsid w:val="00C6336B"/>
    <w:rsid w:val="00C633BA"/>
    <w:rsid w:val="00C633E2"/>
    <w:rsid w:val="00C636B3"/>
    <w:rsid w:val="00C6372A"/>
    <w:rsid w:val="00C6378A"/>
    <w:rsid w:val="00C63815"/>
    <w:rsid w:val="00C638DE"/>
    <w:rsid w:val="00C638F3"/>
    <w:rsid w:val="00C63924"/>
    <w:rsid w:val="00C63947"/>
    <w:rsid w:val="00C63950"/>
    <w:rsid w:val="00C63A3D"/>
    <w:rsid w:val="00C63A4C"/>
    <w:rsid w:val="00C63A6B"/>
    <w:rsid w:val="00C63BA1"/>
    <w:rsid w:val="00C63C32"/>
    <w:rsid w:val="00C63C3E"/>
    <w:rsid w:val="00C63DB0"/>
    <w:rsid w:val="00C63DF0"/>
    <w:rsid w:val="00C63E34"/>
    <w:rsid w:val="00C63E9B"/>
    <w:rsid w:val="00C63FB6"/>
    <w:rsid w:val="00C63FBE"/>
    <w:rsid w:val="00C6422F"/>
    <w:rsid w:val="00C64268"/>
    <w:rsid w:val="00C64272"/>
    <w:rsid w:val="00C642A0"/>
    <w:rsid w:val="00C6430B"/>
    <w:rsid w:val="00C64315"/>
    <w:rsid w:val="00C6445C"/>
    <w:rsid w:val="00C644E9"/>
    <w:rsid w:val="00C646B2"/>
    <w:rsid w:val="00C647F0"/>
    <w:rsid w:val="00C64894"/>
    <w:rsid w:val="00C648F3"/>
    <w:rsid w:val="00C64A69"/>
    <w:rsid w:val="00C64B0D"/>
    <w:rsid w:val="00C64B53"/>
    <w:rsid w:val="00C64B76"/>
    <w:rsid w:val="00C64D56"/>
    <w:rsid w:val="00C64DCD"/>
    <w:rsid w:val="00C64DD7"/>
    <w:rsid w:val="00C64DE8"/>
    <w:rsid w:val="00C64E89"/>
    <w:rsid w:val="00C64E9D"/>
    <w:rsid w:val="00C64FD3"/>
    <w:rsid w:val="00C64FF3"/>
    <w:rsid w:val="00C65117"/>
    <w:rsid w:val="00C65137"/>
    <w:rsid w:val="00C6520E"/>
    <w:rsid w:val="00C65422"/>
    <w:rsid w:val="00C6549C"/>
    <w:rsid w:val="00C6549E"/>
    <w:rsid w:val="00C6555B"/>
    <w:rsid w:val="00C65579"/>
    <w:rsid w:val="00C655F4"/>
    <w:rsid w:val="00C65626"/>
    <w:rsid w:val="00C656AB"/>
    <w:rsid w:val="00C65779"/>
    <w:rsid w:val="00C657AA"/>
    <w:rsid w:val="00C657E8"/>
    <w:rsid w:val="00C65816"/>
    <w:rsid w:val="00C6581E"/>
    <w:rsid w:val="00C65843"/>
    <w:rsid w:val="00C65A10"/>
    <w:rsid w:val="00C65BD2"/>
    <w:rsid w:val="00C65C80"/>
    <w:rsid w:val="00C65CE1"/>
    <w:rsid w:val="00C65CF9"/>
    <w:rsid w:val="00C65D4D"/>
    <w:rsid w:val="00C65D92"/>
    <w:rsid w:val="00C65E94"/>
    <w:rsid w:val="00C65EB7"/>
    <w:rsid w:val="00C6602E"/>
    <w:rsid w:val="00C660FD"/>
    <w:rsid w:val="00C6616E"/>
    <w:rsid w:val="00C661F5"/>
    <w:rsid w:val="00C66377"/>
    <w:rsid w:val="00C664F5"/>
    <w:rsid w:val="00C66603"/>
    <w:rsid w:val="00C66675"/>
    <w:rsid w:val="00C6677E"/>
    <w:rsid w:val="00C667FF"/>
    <w:rsid w:val="00C66826"/>
    <w:rsid w:val="00C6685B"/>
    <w:rsid w:val="00C66862"/>
    <w:rsid w:val="00C668A8"/>
    <w:rsid w:val="00C66962"/>
    <w:rsid w:val="00C66A4C"/>
    <w:rsid w:val="00C66A88"/>
    <w:rsid w:val="00C66AA6"/>
    <w:rsid w:val="00C66B5E"/>
    <w:rsid w:val="00C66B8D"/>
    <w:rsid w:val="00C66C0D"/>
    <w:rsid w:val="00C66C4A"/>
    <w:rsid w:val="00C66CB8"/>
    <w:rsid w:val="00C66CDF"/>
    <w:rsid w:val="00C66D51"/>
    <w:rsid w:val="00C66D6C"/>
    <w:rsid w:val="00C66DAD"/>
    <w:rsid w:val="00C66DFB"/>
    <w:rsid w:val="00C66E60"/>
    <w:rsid w:val="00C66E73"/>
    <w:rsid w:val="00C66EA3"/>
    <w:rsid w:val="00C66EED"/>
    <w:rsid w:val="00C6703D"/>
    <w:rsid w:val="00C670F6"/>
    <w:rsid w:val="00C67159"/>
    <w:rsid w:val="00C67223"/>
    <w:rsid w:val="00C6724F"/>
    <w:rsid w:val="00C672D6"/>
    <w:rsid w:val="00C67382"/>
    <w:rsid w:val="00C673B4"/>
    <w:rsid w:val="00C673CA"/>
    <w:rsid w:val="00C673F4"/>
    <w:rsid w:val="00C674B8"/>
    <w:rsid w:val="00C6755F"/>
    <w:rsid w:val="00C6760D"/>
    <w:rsid w:val="00C676A6"/>
    <w:rsid w:val="00C67708"/>
    <w:rsid w:val="00C67760"/>
    <w:rsid w:val="00C67815"/>
    <w:rsid w:val="00C6785A"/>
    <w:rsid w:val="00C67861"/>
    <w:rsid w:val="00C6786F"/>
    <w:rsid w:val="00C67AEF"/>
    <w:rsid w:val="00C67B2D"/>
    <w:rsid w:val="00C67B44"/>
    <w:rsid w:val="00C67B79"/>
    <w:rsid w:val="00C67B84"/>
    <w:rsid w:val="00C67C6C"/>
    <w:rsid w:val="00C67C88"/>
    <w:rsid w:val="00C67D22"/>
    <w:rsid w:val="00C67DE3"/>
    <w:rsid w:val="00C67E68"/>
    <w:rsid w:val="00C700C9"/>
    <w:rsid w:val="00C70277"/>
    <w:rsid w:val="00C70359"/>
    <w:rsid w:val="00C704EB"/>
    <w:rsid w:val="00C7052D"/>
    <w:rsid w:val="00C7056A"/>
    <w:rsid w:val="00C70636"/>
    <w:rsid w:val="00C706E2"/>
    <w:rsid w:val="00C70709"/>
    <w:rsid w:val="00C70716"/>
    <w:rsid w:val="00C70729"/>
    <w:rsid w:val="00C70782"/>
    <w:rsid w:val="00C707CF"/>
    <w:rsid w:val="00C70832"/>
    <w:rsid w:val="00C708AF"/>
    <w:rsid w:val="00C708C0"/>
    <w:rsid w:val="00C70977"/>
    <w:rsid w:val="00C709AA"/>
    <w:rsid w:val="00C709F8"/>
    <w:rsid w:val="00C70A04"/>
    <w:rsid w:val="00C70A97"/>
    <w:rsid w:val="00C70B5A"/>
    <w:rsid w:val="00C70C3E"/>
    <w:rsid w:val="00C70C93"/>
    <w:rsid w:val="00C70D30"/>
    <w:rsid w:val="00C70DAF"/>
    <w:rsid w:val="00C70DC8"/>
    <w:rsid w:val="00C70EDE"/>
    <w:rsid w:val="00C70FC3"/>
    <w:rsid w:val="00C70FE8"/>
    <w:rsid w:val="00C71185"/>
    <w:rsid w:val="00C711BB"/>
    <w:rsid w:val="00C71262"/>
    <w:rsid w:val="00C712EB"/>
    <w:rsid w:val="00C712FC"/>
    <w:rsid w:val="00C71430"/>
    <w:rsid w:val="00C71566"/>
    <w:rsid w:val="00C71592"/>
    <w:rsid w:val="00C7165B"/>
    <w:rsid w:val="00C716B9"/>
    <w:rsid w:val="00C71726"/>
    <w:rsid w:val="00C7179E"/>
    <w:rsid w:val="00C71802"/>
    <w:rsid w:val="00C718DD"/>
    <w:rsid w:val="00C71B0E"/>
    <w:rsid w:val="00C71BD1"/>
    <w:rsid w:val="00C71BF9"/>
    <w:rsid w:val="00C71C35"/>
    <w:rsid w:val="00C71D37"/>
    <w:rsid w:val="00C71DCA"/>
    <w:rsid w:val="00C71E44"/>
    <w:rsid w:val="00C71FD4"/>
    <w:rsid w:val="00C7207A"/>
    <w:rsid w:val="00C720CD"/>
    <w:rsid w:val="00C7213B"/>
    <w:rsid w:val="00C72157"/>
    <w:rsid w:val="00C721D9"/>
    <w:rsid w:val="00C7220C"/>
    <w:rsid w:val="00C722B9"/>
    <w:rsid w:val="00C723D5"/>
    <w:rsid w:val="00C7250F"/>
    <w:rsid w:val="00C7253E"/>
    <w:rsid w:val="00C725DE"/>
    <w:rsid w:val="00C725EA"/>
    <w:rsid w:val="00C7263B"/>
    <w:rsid w:val="00C72719"/>
    <w:rsid w:val="00C7278A"/>
    <w:rsid w:val="00C727FC"/>
    <w:rsid w:val="00C72909"/>
    <w:rsid w:val="00C729AA"/>
    <w:rsid w:val="00C72A65"/>
    <w:rsid w:val="00C72B29"/>
    <w:rsid w:val="00C72BCD"/>
    <w:rsid w:val="00C72C52"/>
    <w:rsid w:val="00C72CCB"/>
    <w:rsid w:val="00C72D20"/>
    <w:rsid w:val="00C72DC7"/>
    <w:rsid w:val="00C72DEE"/>
    <w:rsid w:val="00C72E6B"/>
    <w:rsid w:val="00C7311B"/>
    <w:rsid w:val="00C73120"/>
    <w:rsid w:val="00C73176"/>
    <w:rsid w:val="00C73249"/>
    <w:rsid w:val="00C733C6"/>
    <w:rsid w:val="00C73407"/>
    <w:rsid w:val="00C73416"/>
    <w:rsid w:val="00C73488"/>
    <w:rsid w:val="00C73523"/>
    <w:rsid w:val="00C736BC"/>
    <w:rsid w:val="00C736F0"/>
    <w:rsid w:val="00C736F7"/>
    <w:rsid w:val="00C7370C"/>
    <w:rsid w:val="00C73722"/>
    <w:rsid w:val="00C73728"/>
    <w:rsid w:val="00C7389D"/>
    <w:rsid w:val="00C73A42"/>
    <w:rsid w:val="00C73A86"/>
    <w:rsid w:val="00C73AD1"/>
    <w:rsid w:val="00C73B0B"/>
    <w:rsid w:val="00C73B53"/>
    <w:rsid w:val="00C73C8C"/>
    <w:rsid w:val="00C73C99"/>
    <w:rsid w:val="00C73DB3"/>
    <w:rsid w:val="00C73DD9"/>
    <w:rsid w:val="00C73E20"/>
    <w:rsid w:val="00C73FE7"/>
    <w:rsid w:val="00C7401E"/>
    <w:rsid w:val="00C740A5"/>
    <w:rsid w:val="00C74119"/>
    <w:rsid w:val="00C74130"/>
    <w:rsid w:val="00C741D4"/>
    <w:rsid w:val="00C74286"/>
    <w:rsid w:val="00C742FE"/>
    <w:rsid w:val="00C74327"/>
    <w:rsid w:val="00C743AA"/>
    <w:rsid w:val="00C743EF"/>
    <w:rsid w:val="00C74454"/>
    <w:rsid w:val="00C74473"/>
    <w:rsid w:val="00C744B4"/>
    <w:rsid w:val="00C745CB"/>
    <w:rsid w:val="00C745DF"/>
    <w:rsid w:val="00C74762"/>
    <w:rsid w:val="00C7481D"/>
    <w:rsid w:val="00C74840"/>
    <w:rsid w:val="00C74848"/>
    <w:rsid w:val="00C748E0"/>
    <w:rsid w:val="00C7499A"/>
    <w:rsid w:val="00C74A8D"/>
    <w:rsid w:val="00C74A9B"/>
    <w:rsid w:val="00C74C33"/>
    <w:rsid w:val="00C74CAA"/>
    <w:rsid w:val="00C74CE2"/>
    <w:rsid w:val="00C74D90"/>
    <w:rsid w:val="00C74EAC"/>
    <w:rsid w:val="00C74EBD"/>
    <w:rsid w:val="00C74EE2"/>
    <w:rsid w:val="00C74FC1"/>
    <w:rsid w:val="00C75019"/>
    <w:rsid w:val="00C75038"/>
    <w:rsid w:val="00C75240"/>
    <w:rsid w:val="00C752BB"/>
    <w:rsid w:val="00C752CA"/>
    <w:rsid w:val="00C754B7"/>
    <w:rsid w:val="00C754F4"/>
    <w:rsid w:val="00C756A7"/>
    <w:rsid w:val="00C756BB"/>
    <w:rsid w:val="00C756C0"/>
    <w:rsid w:val="00C757F2"/>
    <w:rsid w:val="00C758FA"/>
    <w:rsid w:val="00C7592B"/>
    <w:rsid w:val="00C759BE"/>
    <w:rsid w:val="00C75A14"/>
    <w:rsid w:val="00C75A45"/>
    <w:rsid w:val="00C75A85"/>
    <w:rsid w:val="00C75AAF"/>
    <w:rsid w:val="00C75AD2"/>
    <w:rsid w:val="00C75B59"/>
    <w:rsid w:val="00C75C29"/>
    <w:rsid w:val="00C75C87"/>
    <w:rsid w:val="00C75E73"/>
    <w:rsid w:val="00C75EA5"/>
    <w:rsid w:val="00C75F5F"/>
    <w:rsid w:val="00C76028"/>
    <w:rsid w:val="00C7606E"/>
    <w:rsid w:val="00C76079"/>
    <w:rsid w:val="00C7610B"/>
    <w:rsid w:val="00C7613D"/>
    <w:rsid w:val="00C761A7"/>
    <w:rsid w:val="00C762E3"/>
    <w:rsid w:val="00C76312"/>
    <w:rsid w:val="00C763F6"/>
    <w:rsid w:val="00C764C3"/>
    <w:rsid w:val="00C7656E"/>
    <w:rsid w:val="00C765EB"/>
    <w:rsid w:val="00C765ED"/>
    <w:rsid w:val="00C76617"/>
    <w:rsid w:val="00C76672"/>
    <w:rsid w:val="00C766F4"/>
    <w:rsid w:val="00C766FF"/>
    <w:rsid w:val="00C7671C"/>
    <w:rsid w:val="00C76747"/>
    <w:rsid w:val="00C76750"/>
    <w:rsid w:val="00C76819"/>
    <w:rsid w:val="00C7681C"/>
    <w:rsid w:val="00C768F6"/>
    <w:rsid w:val="00C7694B"/>
    <w:rsid w:val="00C769AA"/>
    <w:rsid w:val="00C769F9"/>
    <w:rsid w:val="00C76A01"/>
    <w:rsid w:val="00C76A4C"/>
    <w:rsid w:val="00C76B65"/>
    <w:rsid w:val="00C76C0C"/>
    <w:rsid w:val="00C76C11"/>
    <w:rsid w:val="00C76C46"/>
    <w:rsid w:val="00C76C64"/>
    <w:rsid w:val="00C76D45"/>
    <w:rsid w:val="00C76F3C"/>
    <w:rsid w:val="00C76F51"/>
    <w:rsid w:val="00C770FD"/>
    <w:rsid w:val="00C77181"/>
    <w:rsid w:val="00C771A7"/>
    <w:rsid w:val="00C77266"/>
    <w:rsid w:val="00C77374"/>
    <w:rsid w:val="00C773E3"/>
    <w:rsid w:val="00C776F7"/>
    <w:rsid w:val="00C77750"/>
    <w:rsid w:val="00C777A2"/>
    <w:rsid w:val="00C778AD"/>
    <w:rsid w:val="00C778E5"/>
    <w:rsid w:val="00C778F7"/>
    <w:rsid w:val="00C7796C"/>
    <w:rsid w:val="00C77974"/>
    <w:rsid w:val="00C779E0"/>
    <w:rsid w:val="00C77A4F"/>
    <w:rsid w:val="00C77B3F"/>
    <w:rsid w:val="00C77B68"/>
    <w:rsid w:val="00C77C32"/>
    <w:rsid w:val="00C77C6D"/>
    <w:rsid w:val="00C77C77"/>
    <w:rsid w:val="00C77CC9"/>
    <w:rsid w:val="00C77CD3"/>
    <w:rsid w:val="00C77D10"/>
    <w:rsid w:val="00C77E26"/>
    <w:rsid w:val="00C77E9E"/>
    <w:rsid w:val="00C77EA2"/>
    <w:rsid w:val="00C77F5D"/>
    <w:rsid w:val="00C77FA0"/>
    <w:rsid w:val="00C77FC7"/>
    <w:rsid w:val="00C77FC8"/>
    <w:rsid w:val="00C80000"/>
    <w:rsid w:val="00C801E7"/>
    <w:rsid w:val="00C80227"/>
    <w:rsid w:val="00C802A2"/>
    <w:rsid w:val="00C803B3"/>
    <w:rsid w:val="00C803D6"/>
    <w:rsid w:val="00C80447"/>
    <w:rsid w:val="00C804B7"/>
    <w:rsid w:val="00C804F2"/>
    <w:rsid w:val="00C804F6"/>
    <w:rsid w:val="00C80514"/>
    <w:rsid w:val="00C80541"/>
    <w:rsid w:val="00C80678"/>
    <w:rsid w:val="00C8069B"/>
    <w:rsid w:val="00C80712"/>
    <w:rsid w:val="00C80835"/>
    <w:rsid w:val="00C80852"/>
    <w:rsid w:val="00C808D6"/>
    <w:rsid w:val="00C808E0"/>
    <w:rsid w:val="00C809DC"/>
    <w:rsid w:val="00C80AEE"/>
    <w:rsid w:val="00C80B5F"/>
    <w:rsid w:val="00C80C06"/>
    <w:rsid w:val="00C80C64"/>
    <w:rsid w:val="00C80CF3"/>
    <w:rsid w:val="00C80D57"/>
    <w:rsid w:val="00C80FA7"/>
    <w:rsid w:val="00C81024"/>
    <w:rsid w:val="00C810AB"/>
    <w:rsid w:val="00C81172"/>
    <w:rsid w:val="00C81232"/>
    <w:rsid w:val="00C81350"/>
    <w:rsid w:val="00C8139D"/>
    <w:rsid w:val="00C813F9"/>
    <w:rsid w:val="00C81407"/>
    <w:rsid w:val="00C814E5"/>
    <w:rsid w:val="00C8152D"/>
    <w:rsid w:val="00C815E5"/>
    <w:rsid w:val="00C8161E"/>
    <w:rsid w:val="00C816F3"/>
    <w:rsid w:val="00C8181A"/>
    <w:rsid w:val="00C8182B"/>
    <w:rsid w:val="00C8187B"/>
    <w:rsid w:val="00C818C9"/>
    <w:rsid w:val="00C81968"/>
    <w:rsid w:val="00C81B4D"/>
    <w:rsid w:val="00C81CA4"/>
    <w:rsid w:val="00C81D21"/>
    <w:rsid w:val="00C81DCE"/>
    <w:rsid w:val="00C81DD3"/>
    <w:rsid w:val="00C81E1F"/>
    <w:rsid w:val="00C81EDC"/>
    <w:rsid w:val="00C81F24"/>
    <w:rsid w:val="00C81F2A"/>
    <w:rsid w:val="00C82053"/>
    <w:rsid w:val="00C82111"/>
    <w:rsid w:val="00C8226A"/>
    <w:rsid w:val="00C822E2"/>
    <w:rsid w:val="00C82301"/>
    <w:rsid w:val="00C8230E"/>
    <w:rsid w:val="00C823AD"/>
    <w:rsid w:val="00C823FC"/>
    <w:rsid w:val="00C82409"/>
    <w:rsid w:val="00C824E8"/>
    <w:rsid w:val="00C82620"/>
    <w:rsid w:val="00C826C3"/>
    <w:rsid w:val="00C8274E"/>
    <w:rsid w:val="00C82750"/>
    <w:rsid w:val="00C82875"/>
    <w:rsid w:val="00C82AB0"/>
    <w:rsid w:val="00C82B27"/>
    <w:rsid w:val="00C82B2C"/>
    <w:rsid w:val="00C82C36"/>
    <w:rsid w:val="00C82C3B"/>
    <w:rsid w:val="00C82D16"/>
    <w:rsid w:val="00C82D3C"/>
    <w:rsid w:val="00C82D69"/>
    <w:rsid w:val="00C82EA6"/>
    <w:rsid w:val="00C82EFC"/>
    <w:rsid w:val="00C82F7A"/>
    <w:rsid w:val="00C8300D"/>
    <w:rsid w:val="00C83040"/>
    <w:rsid w:val="00C83152"/>
    <w:rsid w:val="00C8319D"/>
    <w:rsid w:val="00C831C1"/>
    <w:rsid w:val="00C831DE"/>
    <w:rsid w:val="00C83253"/>
    <w:rsid w:val="00C832E3"/>
    <w:rsid w:val="00C8333F"/>
    <w:rsid w:val="00C8339C"/>
    <w:rsid w:val="00C833EC"/>
    <w:rsid w:val="00C8353E"/>
    <w:rsid w:val="00C8357B"/>
    <w:rsid w:val="00C835C5"/>
    <w:rsid w:val="00C83734"/>
    <w:rsid w:val="00C83764"/>
    <w:rsid w:val="00C837E5"/>
    <w:rsid w:val="00C8385C"/>
    <w:rsid w:val="00C83865"/>
    <w:rsid w:val="00C838B8"/>
    <w:rsid w:val="00C83915"/>
    <w:rsid w:val="00C83929"/>
    <w:rsid w:val="00C8394B"/>
    <w:rsid w:val="00C83970"/>
    <w:rsid w:val="00C839A9"/>
    <w:rsid w:val="00C839B0"/>
    <w:rsid w:val="00C83ACB"/>
    <w:rsid w:val="00C83AF2"/>
    <w:rsid w:val="00C83B65"/>
    <w:rsid w:val="00C83D0A"/>
    <w:rsid w:val="00C83E37"/>
    <w:rsid w:val="00C83E58"/>
    <w:rsid w:val="00C83EBB"/>
    <w:rsid w:val="00C83FB5"/>
    <w:rsid w:val="00C83FC5"/>
    <w:rsid w:val="00C83FEE"/>
    <w:rsid w:val="00C84024"/>
    <w:rsid w:val="00C8402D"/>
    <w:rsid w:val="00C84045"/>
    <w:rsid w:val="00C840FC"/>
    <w:rsid w:val="00C84104"/>
    <w:rsid w:val="00C84140"/>
    <w:rsid w:val="00C841D9"/>
    <w:rsid w:val="00C841EB"/>
    <w:rsid w:val="00C8429B"/>
    <w:rsid w:val="00C84325"/>
    <w:rsid w:val="00C8432A"/>
    <w:rsid w:val="00C84392"/>
    <w:rsid w:val="00C843D3"/>
    <w:rsid w:val="00C843E2"/>
    <w:rsid w:val="00C8440B"/>
    <w:rsid w:val="00C844E3"/>
    <w:rsid w:val="00C84553"/>
    <w:rsid w:val="00C84639"/>
    <w:rsid w:val="00C8471F"/>
    <w:rsid w:val="00C8472C"/>
    <w:rsid w:val="00C847C5"/>
    <w:rsid w:val="00C8487D"/>
    <w:rsid w:val="00C84AEE"/>
    <w:rsid w:val="00C84C8B"/>
    <w:rsid w:val="00C84DAF"/>
    <w:rsid w:val="00C84DF0"/>
    <w:rsid w:val="00C84EC5"/>
    <w:rsid w:val="00C84F23"/>
    <w:rsid w:val="00C84FBB"/>
    <w:rsid w:val="00C8502E"/>
    <w:rsid w:val="00C851B4"/>
    <w:rsid w:val="00C8522F"/>
    <w:rsid w:val="00C85266"/>
    <w:rsid w:val="00C85284"/>
    <w:rsid w:val="00C85455"/>
    <w:rsid w:val="00C8548C"/>
    <w:rsid w:val="00C85576"/>
    <w:rsid w:val="00C855BF"/>
    <w:rsid w:val="00C85668"/>
    <w:rsid w:val="00C8579D"/>
    <w:rsid w:val="00C857AD"/>
    <w:rsid w:val="00C85812"/>
    <w:rsid w:val="00C858A7"/>
    <w:rsid w:val="00C858EF"/>
    <w:rsid w:val="00C85981"/>
    <w:rsid w:val="00C85A38"/>
    <w:rsid w:val="00C85A4A"/>
    <w:rsid w:val="00C85AC1"/>
    <w:rsid w:val="00C85B0D"/>
    <w:rsid w:val="00C85B1E"/>
    <w:rsid w:val="00C85B32"/>
    <w:rsid w:val="00C85B37"/>
    <w:rsid w:val="00C85BA2"/>
    <w:rsid w:val="00C85CA9"/>
    <w:rsid w:val="00C85CED"/>
    <w:rsid w:val="00C85D42"/>
    <w:rsid w:val="00C85D58"/>
    <w:rsid w:val="00C85F35"/>
    <w:rsid w:val="00C86056"/>
    <w:rsid w:val="00C86190"/>
    <w:rsid w:val="00C862A9"/>
    <w:rsid w:val="00C86341"/>
    <w:rsid w:val="00C86390"/>
    <w:rsid w:val="00C863D4"/>
    <w:rsid w:val="00C86411"/>
    <w:rsid w:val="00C8649A"/>
    <w:rsid w:val="00C86546"/>
    <w:rsid w:val="00C86676"/>
    <w:rsid w:val="00C866F2"/>
    <w:rsid w:val="00C8673B"/>
    <w:rsid w:val="00C86804"/>
    <w:rsid w:val="00C86815"/>
    <w:rsid w:val="00C8691B"/>
    <w:rsid w:val="00C86923"/>
    <w:rsid w:val="00C86980"/>
    <w:rsid w:val="00C86A1B"/>
    <w:rsid w:val="00C86A5E"/>
    <w:rsid w:val="00C86A66"/>
    <w:rsid w:val="00C86B21"/>
    <w:rsid w:val="00C86B89"/>
    <w:rsid w:val="00C86D2C"/>
    <w:rsid w:val="00C86E4C"/>
    <w:rsid w:val="00C86E56"/>
    <w:rsid w:val="00C86F70"/>
    <w:rsid w:val="00C8705A"/>
    <w:rsid w:val="00C87105"/>
    <w:rsid w:val="00C8726F"/>
    <w:rsid w:val="00C87369"/>
    <w:rsid w:val="00C87604"/>
    <w:rsid w:val="00C87674"/>
    <w:rsid w:val="00C876B0"/>
    <w:rsid w:val="00C876C7"/>
    <w:rsid w:val="00C87793"/>
    <w:rsid w:val="00C87883"/>
    <w:rsid w:val="00C878CF"/>
    <w:rsid w:val="00C8794B"/>
    <w:rsid w:val="00C87A20"/>
    <w:rsid w:val="00C87A74"/>
    <w:rsid w:val="00C87AB3"/>
    <w:rsid w:val="00C87B8E"/>
    <w:rsid w:val="00C87D42"/>
    <w:rsid w:val="00C87D6E"/>
    <w:rsid w:val="00C87E03"/>
    <w:rsid w:val="00C87FAD"/>
    <w:rsid w:val="00C901CB"/>
    <w:rsid w:val="00C902AE"/>
    <w:rsid w:val="00C90301"/>
    <w:rsid w:val="00C9036B"/>
    <w:rsid w:val="00C903B6"/>
    <w:rsid w:val="00C903E2"/>
    <w:rsid w:val="00C904BB"/>
    <w:rsid w:val="00C905EC"/>
    <w:rsid w:val="00C9060E"/>
    <w:rsid w:val="00C906E8"/>
    <w:rsid w:val="00C9084B"/>
    <w:rsid w:val="00C908F1"/>
    <w:rsid w:val="00C90904"/>
    <w:rsid w:val="00C90AA9"/>
    <w:rsid w:val="00C90AEF"/>
    <w:rsid w:val="00C90B1F"/>
    <w:rsid w:val="00C90B2E"/>
    <w:rsid w:val="00C90BF0"/>
    <w:rsid w:val="00C90C53"/>
    <w:rsid w:val="00C90CB7"/>
    <w:rsid w:val="00C90D05"/>
    <w:rsid w:val="00C90E1E"/>
    <w:rsid w:val="00C90E47"/>
    <w:rsid w:val="00C90E4C"/>
    <w:rsid w:val="00C90F1E"/>
    <w:rsid w:val="00C90F70"/>
    <w:rsid w:val="00C90FE6"/>
    <w:rsid w:val="00C91054"/>
    <w:rsid w:val="00C91069"/>
    <w:rsid w:val="00C9124C"/>
    <w:rsid w:val="00C9126F"/>
    <w:rsid w:val="00C91278"/>
    <w:rsid w:val="00C91300"/>
    <w:rsid w:val="00C91410"/>
    <w:rsid w:val="00C91453"/>
    <w:rsid w:val="00C91590"/>
    <w:rsid w:val="00C915EF"/>
    <w:rsid w:val="00C916BC"/>
    <w:rsid w:val="00C91730"/>
    <w:rsid w:val="00C9176C"/>
    <w:rsid w:val="00C917B4"/>
    <w:rsid w:val="00C917EA"/>
    <w:rsid w:val="00C9198F"/>
    <w:rsid w:val="00C91A98"/>
    <w:rsid w:val="00C91ADD"/>
    <w:rsid w:val="00C91AFF"/>
    <w:rsid w:val="00C91D78"/>
    <w:rsid w:val="00C91DF5"/>
    <w:rsid w:val="00C91E09"/>
    <w:rsid w:val="00C91F16"/>
    <w:rsid w:val="00C91F48"/>
    <w:rsid w:val="00C9201B"/>
    <w:rsid w:val="00C9214B"/>
    <w:rsid w:val="00C921DD"/>
    <w:rsid w:val="00C92213"/>
    <w:rsid w:val="00C92327"/>
    <w:rsid w:val="00C923C7"/>
    <w:rsid w:val="00C92487"/>
    <w:rsid w:val="00C92579"/>
    <w:rsid w:val="00C92597"/>
    <w:rsid w:val="00C926F6"/>
    <w:rsid w:val="00C926FC"/>
    <w:rsid w:val="00C9272E"/>
    <w:rsid w:val="00C9276E"/>
    <w:rsid w:val="00C9277A"/>
    <w:rsid w:val="00C927BA"/>
    <w:rsid w:val="00C928BD"/>
    <w:rsid w:val="00C928C5"/>
    <w:rsid w:val="00C92A55"/>
    <w:rsid w:val="00C92A8F"/>
    <w:rsid w:val="00C92AB9"/>
    <w:rsid w:val="00C92AED"/>
    <w:rsid w:val="00C92B00"/>
    <w:rsid w:val="00C92D63"/>
    <w:rsid w:val="00C92DB6"/>
    <w:rsid w:val="00C92E10"/>
    <w:rsid w:val="00C92E48"/>
    <w:rsid w:val="00C92F31"/>
    <w:rsid w:val="00C92F42"/>
    <w:rsid w:val="00C92FBE"/>
    <w:rsid w:val="00C93122"/>
    <w:rsid w:val="00C9316D"/>
    <w:rsid w:val="00C93236"/>
    <w:rsid w:val="00C9327B"/>
    <w:rsid w:val="00C93299"/>
    <w:rsid w:val="00C932B0"/>
    <w:rsid w:val="00C9335A"/>
    <w:rsid w:val="00C9337F"/>
    <w:rsid w:val="00C933F7"/>
    <w:rsid w:val="00C933FA"/>
    <w:rsid w:val="00C9347F"/>
    <w:rsid w:val="00C934C3"/>
    <w:rsid w:val="00C93503"/>
    <w:rsid w:val="00C93593"/>
    <w:rsid w:val="00C936E2"/>
    <w:rsid w:val="00C9372D"/>
    <w:rsid w:val="00C93822"/>
    <w:rsid w:val="00C938E6"/>
    <w:rsid w:val="00C938F1"/>
    <w:rsid w:val="00C93943"/>
    <w:rsid w:val="00C93965"/>
    <w:rsid w:val="00C939AC"/>
    <w:rsid w:val="00C939E6"/>
    <w:rsid w:val="00C93A80"/>
    <w:rsid w:val="00C93ACE"/>
    <w:rsid w:val="00C93CEB"/>
    <w:rsid w:val="00C93E82"/>
    <w:rsid w:val="00C93E89"/>
    <w:rsid w:val="00C93E9F"/>
    <w:rsid w:val="00C93EBE"/>
    <w:rsid w:val="00C93F95"/>
    <w:rsid w:val="00C93FD9"/>
    <w:rsid w:val="00C9418E"/>
    <w:rsid w:val="00C941B5"/>
    <w:rsid w:val="00C942A8"/>
    <w:rsid w:val="00C942D8"/>
    <w:rsid w:val="00C944B6"/>
    <w:rsid w:val="00C944C5"/>
    <w:rsid w:val="00C9451F"/>
    <w:rsid w:val="00C9452F"/>
    <w:rsid w:val="00C945DC"/>
    <w:rsid w:val="00C9463B"/>
    <w:rsid w:val="00C946DE"/>
    <w:rsid w:val="00C94739"/>
    <w:rsid w:val="00C94914"/>
    <w:rsid w:val="00C9491F"/>
    <w:rsid w:val="00C94AA9"/>
    <w:rsid w:val="00C94B51"/>
    <w:rsid w:val="00C94BD6"/>
    <w:rsid w:val="00C94E3F"/>
    <w:rsid w:val="00C94EB3"/>
    <w:rsid w:val="00C95078"/>
    <w:rsid w:val="00C950FD"/>
    <w:rsid w:val="00C95140"/>
    <w:rsid w:val="00C951E7"/>
    <w:rsid w:val="00C95224"/>
    <w:rsid w:val="00C95245"/>
    <w:rsid w:val="00C9527A"/>
    <w:rsid w:val="00C952C5"/>
    <w:rsid w:val="00C952D5"/>
    <w:rsid w:val="00C952E5"/>
    <w:rsid w:val="00C95419"/>
    <w:rsid w:val="00C95467"/>
    <w:rsid w:val="00C954BB"/>
    <w:rsid w:val="00C955B7"/>
    <w:rsid w:val="00C95620"/>
    <w:rsid w:val="00C95652"/>
    <w:rsid w:val="00C95693"/>
    <w:rsid w:val="00C956C5"/>
    <w:rsid w:val="00C956CD"/>
    <w:rsid w:val="00C9572D"/>
    <w:rsid w:val="00C959E2"/>
    <w:rsid w:val="00C95A53"/>
    <w:rsid w:val="00C95B76"/>
    <w:rsid w:val="00C95C1A"/>
    <w:rsid w:val="00C95C30"/>
    <w:rsid w:val="00C95C46"/>
    <w:rsid w:val="00C95D0C"/>
    <w:rsid w:val="00C95E01"/>
    <w:rsid w:val="00C95EE0"/>
    <w:rsid w:val="00C96102"/>
    <w:rsid w:val="00C96121"/>
    <w:rsid w:val="00C96136"/>
    <w:rsid w:val="00C96139"/>
    <w:rsid w:val="00C96284"/>
    <w:rsid w:val="00C96396"/>
    <w:rsid w:val="00C964BA"/>
    <w:rsid w:val="00C964F4"/>
    <w:rsid w:val="00C96505"/>
    <w:rsid w:val="00C9655E"/>
    <w:rsid w:val="00C9656A"/>
    <w:rsid w:val="00C966AA"/>
    <w:rsid w:val="00C966F4"/>
    <w:rsid w:val="00C96961"/>
    <w:rsid w:val="00C969EC"/>
    <w:rsid w:val="00C96A3E"/>
    <w:rsid w:val="00C96A69"/>
    <w:rsid w:val="00C96B20"/>
    <w:rsid w:val="00C96B78"/>
    <w:rsid w:val="00C96CBA"/>
    <w:rsid w:val="00C96EBF"/>
    <w:rsid w:val="00C974A3"/>
    <w:rsid w:val="00C974B4"/>
    <w:rsid w:val="00C97506"/>
    <w:rsid w:val="00C976CD"/>
    <w:rsid w:val="00C976E5"/>
    <w:rsid w:val="00C976F0"/>
    <w:rsid w:val="00C9790F"/>
    <w:rsid w:val="00C9791F"/>
    <w:rsid w:val="00C9793D"/>
    <w:rsid w:val="00C97945"/>
    <w:rsid w:val="00C97960"/>
    <w:rsid w:val="00C979B2"/>
    <w:rsid w:val="00C979DE"/>
    <w:rsid w:val="00C97AC7"/>
    <w:rsid w:val="00C97B8B"/>
    <w:rsid w:val="00C97BEF"/>
    <w:rsid w:val="00C97CF5"/>
    <w:rsid w:val="00C97DA7"/>
    <w:rsid w:val="00C97DF1"/>
    <w:rsid w:val="00C97DF5"/>
    <w:rsid w:val="00C97E76"/>
    <w:rsid w:val="00C97FE8"/>
    <w:rsid w:val="00C97FF8"/>
    <w:rsid w:val="00CA0015"/>
    <w:rsid w:val="00CA018F"/>
    <w:rsid w:val="00CA01DE"/>
    <w:rsid w:val="00CA02C1"/>
    <w:rsid w:val="00CA02C6"/>
    <w:rsid w:val="00CA0340"/>
    <w:rsid w:val="00CA0347"/>
    <w:rsid w:val="00CA035F"/>
    <w:rsid w:val="00CA0748"/>
    <w:rsid w:val="00CA074D"/>
    <w:rsid w:val="00CA0758"/>
    <w:rsid w:val="00CA0798"/>
    <w:rsid w:val="00CA08D5"/>
    <w:rsid w:val="00CA08F4"/>
    <w:rsid w:val="00CA09B1"/>
    <w:rsid w:val="00CA0C99"/>
    <w:rsid w:val="00CA0D30"/>
    <w:rsid w:val="00CA0D7B"/>
    <w:rsid w:val="00CA0E00"/>
    <w:rsid w:val="00CA0EF2"/>
    <w:rsid w:val="00CA103F"/>
    <w:rsid w:val="00CA1322"/>
    <w:rsid w:val="00CA1352"/>
    <w:rsid w:val="00CA137E"/>
    <w:rsid w:val="00CA1381"/>
    <w:rsid w:val="00CA1413"/>
    <w:rsid w:val="00CA14A0"/>
    <w:rsid w:val="00CA14A1"/>
    <w:rsid w:val="00CA16A6"/>
    <w:rsid w:val="00CA1702"/>
    <w:rsid w:val="00CA17EF"/>
    <w:rsid w:val="00CA184B"/>
    <w:rsid w:val="00CA197A"/>
    <w:rsid w:val="00CA1B0B"/>
    <w:rsid w:val="00CA1B7D"/>
    <w:rsid w:val="00CA1BBB"/>
    <w:rsid w:val="00CA1C67"/>
    <w:rsid w:val="00CA1D0A"/>
    <w:rsid w:val="00CA1D72"/>
    <w:rsid w:val="00CA1E18"/>
    <w:rsid w:val="00CA1F3E"/>
    <w:rsid w:val="00CA1F5A"/>
    <w:rsid w:val="00CA2072"/>
    <w:rsid w:val="00CA20D7"/>
    <w:rsid w:val="00CA20D8"/>
    <w:rsid w:val="00CA21E5"/>
    <w:rsid w:val="00CA22BD"/>
    <w:rsid w:val="00CA231E"/>
    <w:rsid w:val="00CA2552"/>
    <w:rsid w:val="00CA2655"/>
    <w:rsid w:val="00CA27CA"/>
    <w:rsid w:val="00CA2824"/>
    <w:rsid w:val="00CA2831"/>
    <w:rsid w:val="00CA2858"/>
    <w:rsid w:val="00CA2939"/>
    <w:rsid w:val="00CA29E5"/>
    <w:rsid w:val="00CA2C12"/>
    <w:rsid w:val="00CA2C1A"/>
    <w:rsid w:val="00CA2C26"/>
    <w:rsid w:val="00CA2CD1"/>
    <w:rsid w:val="00CA2E70"/>
    <w:rsid w:val="00CA2FA6"/>
    <w:rsid w:val="00CA2FB8"/>
    <w:rsid w:val="00CA3089"/>
    <w:rsid w:val="00CA3118"/>
    <w:rsid w:val="00CA319D"/>
    <w:rsid w:val="00CA31FA"/>
    <w:rsid w:val="00CA326F"/>
    <w:rsid w:val="00CA336E"/>
    <w:rsid w:val="00CA33B0"/>
    <w:rsid w:val="00CA33BC"/>
    <w:rsid w:val="00CA34E6"/>
    <w:rsid w:val="00CA358A"/>
    <w:rsid w:val="00CA358D"/>
    <w:rsid w:val="00CA359C"/>
    <w:rsid w:val="00CA35DB"/>
    <w:rsid w:val="00CA360F"/>
    <w:rsid w:val="00CA36A0"/>
    <w:rsid w:val="00CA3731"/>
    <w:rsid w:val="00CA3758"/>
    <w:rsid w:val="00CA37BB"/>
    <w:rsid w:val="00CA37DC"/>
    <w:rsid w:val="00CA37F5"/>
    <w:rsid w:val="00CA3807"/>
    <w:rsid w:val="00CA38C7"/>
    <w:rsid w:val="00CA39C1"/>
    <w:rsid w:val="00CA3B44"/>
    <w:rsid w:val="00CA3B67"/>
    <w:rsid w:val="00CA3BCB"/>
    <w:rsid w:val="00CA3C76"/>
    <w:rsid w:val="00CA3CE6"/>
    <w:rsid w:val="00CA3D0B"/>
    <w:rsid w:val="00CA3D3B"/>
    <w:rsid w:val="00CA3F5B"/>
    <w:rsid w:val="00CA411C"/>
    <w:rsid w:val="00CA4175"/>
    <w:rsid w:val="00CA4212"/>
    <w:rsid w:val="00CA4236"/>
    <w:rsid w:val="00CA423A"/>
    <w:rsid w:val="00CA436E"/>
    <w:rsid w:val="00CA442B"/>
    <w:rsid w:val="00CA448D"/>
    <w:rsid w:val="00CA4503"/>
    <w:rsid w:val="00CA469A"/>
    <w:rsid w:val="00CA46BD"/>
    <w:rsid w:val="00CA4825"/>
    <w:rsid w:val="00CA48F4"/>
    <w:rsid w:val="00CA4935"/>
    <w:rsid w:val="00CA4A69"/>
    <w:rsid w:val="00CA4AF8"/>
    <w:rsid w:val="00CA4B2E"/>
    <w:rsid w:val="00CA4CFB"/>
    <w:rsid w:val="00CA4D4A"/>
    <w:rsid w:val="00CA4E10"/>
    <w:rsid w:val="00CA4F00"/>
    <w:rsid w:val="00CA4F81"/>
    <w:rsid w:val="00CA5008"/>
    <w:rsid w:val="00CA5058"/>
    <w:rsid w:val="00CA52A8"/>
    <w:rsid w:val="00CA53CF"/>
    <w:rsid w:val="00CA53E3"/>
    <w:rsid w:val="00CA5430"/>
    <w:rsid w:val="00CA54B4"/>
    <w:rsid w:val="00CA54BE"/>
    <w:rsid w:val="00CA54D4"/>
    <w:rsid w:val="00CA5551"/>
    <w:rsid w:val="00CA5583"/>
    <w:rsid w:val="00CA559E"/>
    <w:rsid w:val="00CA55EC"/>
    <w:rsid w:val="00CA56A6"/>
    <w:rsid w:val="00CA56E1"/>
    <w:rsid w:val="00CA5795"/>
    <w:rsid w:val="00CA57E3"/>
    <w:rsid w:val="00CA58DC"/>
    <w:rsid w:val="00CA59A1"/>
    <w:rsid w:val="00CA5A27"/>
    <w:rsid w:val="00CA5A37"/>
    <w:rsid w:val="00CA5B62"/>
    <w:rsid w:val="00CA5CED"/>
    <w:rsid w:val="00CA5D11"/>
    <w:rsid w:val="00CA5DA8"/>
    <w:rsid w:val="00CA5E65"/>
    <w:rsid w:val="00CA5EBE"/>
    <w:rsid w:val="00CA5F31"/>
    <w:rsid w:val="00CA5F3C"/>
    <w:rsid w:val="00CA60A3"/>
    <w:rsid w:val="00CA60DF"/>
    <w:rsid w:val="00CA60F6"/>
    <w:rsid w:val="00CA6176"/>
    <w:rsid w:val="00CA6285"/>
    <w:rsid w:val="00CA62EA"/>
    <w:rsid w:val="00CA630A"/>
    <w:rsid w:val="00CA6377"/>
    <w:rsid w:val="00CA6533"/>
    <w:rsid w:val="00CA6670"/>
    <w:rsid w:val="00CA670D"/>
    <w:rsid w:val="00CA671F"/>
    <w:rsid w:val="00CA67F0"/>
    <w:rsid w:val="00CA6836"/>
    <w:rsid w:val="00CA6852"/>
    <w:rsid w:val="00CA6873"/>
    <w:rsid w:val="00CA6AC9"/>
    <w:rsid w:val="00CA6AFD"/>
    <w:rsid w:val="00CA6BDC"/>
    <w:rsid w:val="00CA6CB2"/>
    <w:rsid w:val="00CA6E22"/>
    <w:rsid w:val="00CA6F55"/>
    <w:rsid w:val="00CA6F6A"/>
    <w:rsid w:val="00CA6F81"/>
    <w:rsid w:val="00CA7020"/>
    <w:rsid w:val="00CA704C"/>
    <w:rsid w:val="00CA71FA"/>
    <w:rsid w:val="00CA7208"/>
    <w:rsid w:val="00CA72CF"/>
    <w:rsid w:val="00CA73F1"/>
    <w:rsid w:val="00CA7522"/>
    <w:rsid w:val="00CA759F"/>
    <w:rsid w:val="00CA75D0"/>
    <w:rsid w:val="00CA762D"/>
    <w:rsid w:val="00CA7668"/>
    <w:rsid w:val="00CA7724"/>
    <w:rsid w:val="00CA7837"/>
    <w:rsid w:val="00CA7983"/>
    <w:rsid w:val="00CA79E1"/>
    <w:rsid w:val="00CA7B32"/>
    <w:rsid w:val="00CA7BED"/>
    <w:rsid w:val="00CA7C2A"/>
    <w:rsid w:val="00CA7D3F"/>
    <w:rsid w:val="00CA7DB8"/>
    <w:rsid w:val="00CA7DB9"/>
    <w:rsid w:val="00CA7EC0"/>
    <w:rsid w:val="00CA7EF0"/>
    <w:rsid w:val="00CA7F46"/>
    <w:rsid w:val="00CB00D7"/>
    <w:rsid w:val="00CB01E7"/>
    <w:rsid w:val="00CB0206"/>
    <w:rsid w:val="00CB020D"/>
    <w:rsid w:val="00CB02C0"/>
    <w:rsid w:val="00CB0355"/>
    <w:rsid w:val="00CB03A4"/>
    <w:rsid w:val="00CB050D"/>
    <w:rsid w:val="00CB0518"/>
    <w:rsid w:val="00CB0538"/>
    <w:rsid w:val="00CB05D0"/>
    <w:rsid w:val="00CB0806"/>
    <w:rsid w:val="00CB08A9"/>
    <w:rsid w:val="00CB0928"/>
    <w:rsid w:val="00CB0A33"/>
    <w:rsid w:val="00CB0AD6"/>
    <w:rsid w:val="00CB0B03"/>
    <w:rsid w:val="00CB0B59"/>
    <w:rsid w:val="00CB0C35"/>
    <w:rsid w:val="00CB0C4B"/>
    <w:rsid w:val="00CB0D31"/>
    <w:rsid w:val="00CB0DCD"/>
    <w:rsid w:val="00CB0E0B"/>
    <w:rsid w:val="00CB0E41"/>
    <w:rsid w:val="00CB0E45"/>
    <w:rsid w:val="00CB0E6C"/>
    <w:rsid w:val="00CB0E8F"/>
    <w:rsid w:val="00CB0FA4"/>
    <w:rsid w:val="00CB0FCD"/>
    <w:rsid w:val="00CB1105"/>
    <w:rsid w:val="00CB1241"/>
    <w:rsid w:val="00CB12E3"/>
    <w:rsid w:val="00CB132C"/>
    <w:rsid w:val="00CB139F"/>
    <w:rsid w:val="00CB146E"/>
    <w:rsid w:val="00CB1472"/>
    <w:rsid w:val="00CB158B"/>
    <w:rsid w:val="00CB16D6"/>
    <w:rsid w:val="00CB16FD"/>
    <w:rsid w:val="00CB17E5"/>
    <w:rsid w:val="00CB182F"/>
    <w:rsid w:val="00CB1909"/>
    <w:rsid w:val="00CB194E"/>
    <w:rsid w:val="00CB197E"/>
    <w:rsid w:val="00CB19E2"/>
    <w:rsid w:val="00CB1A14"/>
    <w:rsid w:val="00CB1AC5"/>
    <w:rsid w:val="00CB1B0D"/>
    <w:rsid w:val="00CB1D64"/>
    <w:rsid w:val="00CB1DDF"/>
    <w:rsid w:val="00CB1E00"/>
    <w:rsid w:val="00CB1E24"/>
    <w:rsid w:val="00CB1EA0"/>
    <w:rsid w:val="00CB1EF2"/>
    <w:rsid w:val="00CB1F86"/>
    <w:rsid w:val="00CB1FE5"/>
    <w:rsid w:val="00CB2046"/>
    <w:rsid w:val="00CB217E"/>
    <w:rsid w:val="00CB2194"/>
    <w:rsid w:val="00CB236F"/>
    <w:rsid w:val="00CB2395"/>
    <w:rsid w:val="00CB239D"/>
    <w:rsid w:val="00CB23FB"/>
    <w:rsid w:val="00CB2478"/>
    <w:rsid w:val="00CB24EA"/>
    <w:rsid w:val="00CB250A"/>
    <w:rsid w:val="00CB258C"/>
    <w:rsid w:val="00CB25D8"/>
    <w:rsid w:val="00CB285D"/>
    <w:rsid w:val="00CB2898"/>
    <w:rsid w:val="00CB289E"/>
    <w:rsid w:val="00CB2903"/>
    <w:rsid w:val="00CB2926"/>
    <w:rsid w:val="00CB29B4"/>
    <w:rsid w:val="00CB2A05"/>
    <w:rsid w:val="00CB2AA1"/>
    <w:rsid w:val="00CB2AA7"/>
    <w:rsid w:val="00CB2AF8"/>
    <w:rsid w:val="00CB2BDB"/>
    <w:rsid w:val="00CB2C7E"/>
    <w:rsid w:val="00CB2D01"/>
    <w:rsid w:val="00CB2DCC"/>
    <w:rsid w:val="00CB2E12"/>
    <w:rsid w:val="00CB2EA2"/>
    <w:rsid w:val="00CB2F70"/>
    <w:rsid w:val="00CB3101"/>
    <w:rsid w:val="00CB31EA"/>
    <w:rsid w:val="00CB3213"/>
    <w:rsid w:val="00CB3217"/>
    <w:rsid w:val="00CB327B"/>
    <w:rsid w:val="00CB3294"/>
    <w:rsid w:val="00CB331A"/>
    <w:rsid w:val="00CB3326"/>
    <w:rsid w:val="00CB34BA"/>
    <w:rsid w:val="00CB359C"/>
    <w:rsid w:val="00CB3669"/>
    <w:rsid w:val="00CB36A2"/>
    <w:rsid w:val="00CB36EE"/>
    <w:rsid w:val="00CB3765"/>
    <w:rsid w:val="00CB3923"/>
    <w:rsid w:val="00CB3B52"/>
    <w:rsid w:val="00CB3B62"/>
    <w:rsid w:val="00CB3C9D"/>
    <w:rsid w:val="00CB3CC1"/>
    <w:rsid w:val="00CB3D67"/>
    <w:rsid w:val="00CB3E83"/>
    <w:rsid w:val="00CB3EF0"/>
    <w:rsid w:val="00CB3F02"/>
    <w:rsid w:val="00CB3FB2"/>
    <w:rsid w:val="00CB4028"/>
    <w:rsid w:val="00CB4070"/>
    <w:rsid w:val="00CB40FA"/>
    <w:rsid w:val="00CB41F6"/>
    <w:rsid w:val="00CB42C7"/>
    <w:rsid w:val="00CB44B8"/>
    <w:rsid w:val="00CB452E"/>
    <w:rsid w:val="00CB453E"/>
    <w:rsid w:val="00CB4723"/>
    <w:rsid w:val="00CB4797"/>
    <w:rsid w:val="00CB479E"/>
    <w:rsid w:val="00CB4807"/>
    <w:rsid w:val="00CB480B"/>
    <w:rsid w:val="00CB48A6"/>
    <w:rsid w:val="00CB48BC"/>
    <w:rsid w:val="00CB4936"/>
    <w:rsid w:val="00CB4A85"/>
    <w:rsid w:val="00CB4AD7"/>
    <w:rsid w:val="00CB4ADB"/>
    <w:rsid w:val="00CB4AF2"/>
    <w:rsid w:val="00CB4BD4"/>
    <w:rsid w:val="00CB4CC1"/>
    <w:rsid w:val="00CB4E7A"/>
    <w:rsid w:val="00CB4F8E"/>
    <w:rsid w:val="00CB4FA9"/>
    <w:rsid w:val="00CB502B"/>
    <w:rsid w:val="00CB506B"/>
    <w:rsid w:val="00CB50B3"/>
    <w:rsid w:val="00CB511C"/>
    <w:rsid w:val="00CB5133"/>
    <w:rsid w:val="00CB532B"/>
    <w:rsid w:val="00CB533E"/>
    <w:rsid w:val="00CB53AB"/>
    <w:rsid w:val="00CB54F2"/>
    <w:rsid w:val="00CB5524"/>
    <w:rsid w:val="00CB553A"/>
    <w:rsid w:val="00CB55BC"/>
    <w:rsid w:val="00CB55DE"/>
    <w:rsid w:val="00CB561A"/>
    <w:rsid w:val="00CB563D"/>
    <w:rsid w:val="00CB5709"/>
    <w:rsid w:val="00CB585A"/>
    <w:rsid w:val="00CB585C"/>
    <w:rsid w:val="00CB58C9"/>
    <w:rsid w:val="00CB5901"/>
    <w:rsid w:val="00CB596E"/>
    <w:rsid w:val="00CB59DE"/>
    <w:rsid w:val="00CB5A38"/>
    <w:rsid w:val="00CB5ADC"/>
    <w:rsid w:val="00CB5B2F"/>
    <w:rsid w:val="00CB5B32"/>
    <w:rsid w:val="00CB5BD3"/>
    <w:rsid w:val="00CB5D06"/>
    <w:rsid w:val="00CB5D20"/>
    <w:rsid w:val="00CB5F8F"/>
    <w:rsid w:val="00CB5FAE"/>
    <w:rsid w:val="00CB6039"/>
    <w:rsid w:val="00CB6100"/>
    <w:rsid w:val="00CB6137"/>
    <w:rsid w:val="00CB6202"/>
    <w:rsid w:val="00CB621E"/>
    <w:rsid w:val="00CB6256"/>
    <w:rsid w:val="00CB6295"/>
    <w:rsid w:val="00CB629D"/>
    <w:rsid w:val="00CB62D5"/>
    <w:rsid w:val="00CB6311"/>
    <w:rsid w:val="00CB647E"/>
    <w:rsid w:val="00CB6505"/>
    <w:rsid w:val="00CB652C"/>
    <w:rsid w:val="00CB65DD"/>
    <w:rsid w:val="00CB65F0"/>
    <w:rsid w:val="00CB661A"/>
    <w:rsid w:val="00CB6634"/>
    <w:rsid w:val="00CB6686"/>
    <w:rsid w:val="00CB676A"/>
    <w:rsid w:val="00CB6805"/>
    <w:rsid w:val="00CB6866"/>
    <w:rsid w:val="00CB69A7"/>
    <w:rsid w:val="00CB6CA8"/>
    <w:rsid w:val="00CB6D42"/>
    <w:rsid w:val="00CB6D7E"/>
    <w:rsid w:val="00CB6D8C"/>
    <w:rsid w:val="00CB6F36"/>
    <w:rsid w:val="00CB6F7D"/>
    <w:rsid w:val="00CB6FE6"/>
    <w:rsid w:val="00CB709B"/>
    <w:rsid w:val="00CB7132"/>
    <w:rsid w:val="00CB720C"/>
    <w:rsid w:val="00CB7425"/>
    <w:rsid w:val="00CB74FA"/>
    <w:rsid w:val="00CB750E"/>
    <w:rsid w:val="00CB75B6"/>
    <w:rsid w:val="00CB760E"/>
    <w:rsid w:val="00CB769E"/>
    <w:rsid w:val="00CB76B4"/>
    <w:rsid w:val="00CB76C5"/>
    <w:rsid w:val="00CB7757"/>
    <w:rsid w:val="00CB779B"/>
    <w:rsid w:val="00CB781C"/>
    <w:rsid w:val="00CB78A2"/>
    <w:rsid w:val="00CB799E"/>
    <w:rsid w:val="00CB79D6"/>
    <w:rsid w:val="00CB7A57"/>
    <w:rsid w:val="00CB7A73"/>
    <w:rsid w:val="00CB7C43"/>
    <w:rsid w:val="00CB7DEA"/>
    <w:rsid w:val="00CB7E8A"/>
    <w:rsid w:val="00CC0014"/>
    <w:rsid w:val="00CC001C"/>
    <w:rsid w:val="00CC008A"/>
    <w:rsid w:val="00CC0190"/>
    <w:rsid w:val="00CC01BD"/>
    <w:rsid w:val="00CC026E"/>
    <w:rsid w:val="00CC027F"/>
    <w:rsid w:val="00CC02D9"/>
    <w:rsid w:val="00CC034C"/>
    <w:rsid w:val="00CC0515"/>
    <w:rsid w:val="00CC06E5"/>
    <w:rsid w:val="00CC0835"/>
    <w:rsid w:val="00CC090C"/>
    <w:rsid w:val="00CC0A8A"/>
    <w:rsid w:val="00CC0AA8"/>
    <w:rsid w:val="00CC0B09"/>
    <w:rsid w:val="00CC0B7A"/>
    <w:rsid w:val="00CC0C1F"/>
    <w:rsid w:val="00CC0CC9"/>
    <w:rsid w:val="00CC0CE5"/>
    <w:rsid w:val="00CC0E5F"/>
    <w:rsid w:val="00CC0E6C"/>
    <w:rsid w:val="00CC0E94"/>
    <w:rsid w:val="00CC0EEE"/>
    <w:rsid w:val="00CC0F2B"/>
    <w:rsid w:val="00CC0FA5"/>
    <w:rsid w:val="00CC12ED"/>
    <w:rsid w:val="00CC135F"/>
    <w:rsid w:val="00CC1484"/>
    <w:rsid w:val="00CC1519"/>
    <w:rsid w:val="00CC152C"/>
    <w:rsid w:val="00CC152E"/>
    <w:rsid w:val="00CC1611"/>
    <w:rsid w:val="00CC16B2"/>
    <w:rsid w:val="00CC1795"/>
    <w:rsid w:val="00CC17E4"/>
    <w:rsid w:val="00CC17FD"/>
    <w:rsid w:val="00CC1873"/>
    <w:rsid w:val="00CC18FF"/>
    <w:rsid w:val="00CC1927"/>
    <w:rsid w:val="00CC1929"/>
    <w:rsid w:val="00CC195F"/>
    <w:rsid w:val="00CC1AB4"/>
    <w:rsid w:val="00CC1BF8"/>
    <w:rsid w:val="00CC1D47"/>
    <w:rsid w:val="00CC1E78"/>
    <w:rsid w:val="00CC1EA1"/>
    <w:rsid w:val="00CC1F03"/>
    <w:rsid w:val="00CC1F94"/>
    <w:rsid w:val="00CC20AA"/>
    <w:rsid w:val="00CC20AB"/>
    <w:rsid w:val="00CC215F"/>
    <w:rsid w:val="00CC21BF"/>
    <w:rsid w:val="00CC22BF"/>
    <w:rsid w:val="00CC2400"/>
    <w:rsid w:val="00CC24E1"/>
    <w:rsid w:val="00CC253F"/>
    <w:rsid w:val="00CC25E5"/>
    <w:rsid w:val="00CC269B"/>
    <w:rsid w:val="00CC2714"/>
    <w:rsid w:val="00CC27D1"/>
    <w:rsid w:val="00CC27E3"/>
    <w:rsid w:val="00CC2817"/>
    <w:rsid w:val="00CC28ED"/>
    <w:rsid w:val="00CC29AE"/>
    <w:rsid w:val="00CC2A54"/>
    <w:rsid w:val="00CC2BCB"/>
    <w:rsid w:val="00CC2C73"/>
    <w:rsid w:val="00CC2CF0"/>
    <w:rsid w:val="00CC2D36"/>
    <w:rsid w:val="00CC2D3D"/>
    <w:rsid w:val="00CC2DCE"/>
    <w:rsid w:val="00CC2EA1"/>
    <w:rsid w:val="00CC2EA4"/>
    <w:rsid w:val="00CC2EC0"/>
    <w:rsid w:val="00CC3096"/>
    <w:rsid w:val="00CC30DA"/>
    <w:rsid w:val="00CC310B"/>
    <w:rsid w:val="00CC3129"/>
    <w:rsid w:val="00CC317B"/>
    <w:rsid w:val="00CC328C"/>
    <w:rsid w:val="00CC328D"/>
    <w:rsid w:val="00CC3302"/>
    <w:rsid w:val="00CC338F"/>
    <w:rsid w:val="00CC341E"/>
    <w:rsid w:val="00CC3484"/>
    <w:rsid w:val="00CC3525"/>
    <w:rsid w:val="00CC3598"/>
    <w:rsid w:val="00CC365E"/>
    <w:rsid w:val="00CC3685"/>
    <w:rsid w:val="00CC3777"/>
    <w:rsid w:val="00CC37BB"/>
    <w:rsid w:val="00CC3814"/>
    <w:rsid w:val="00CC383B"/>
    <w:rsid w:val="00CC389A"/>
    <w:rsid w:val="00CC3A10"/>
    <w:rsid w:val="00CC3A92"/>
    <w:rsid w:val="00CC3AC3"/>
    <w:rsid w:val="00CC3C63"/>
    <w:rsid w:val="00CC3D26"/>
    <w:rsid w:val="00CC3E4D"/>
    <w:rsid w:val="00CC3EB8"/>
    <w:rsid w:val="00CC3F42"/>
    <w:rsid w:val="00CC3F59"/>
    <w:rsid w:val="00CC40D7"/>
    <w:rsid w:val="00CC40E7"/>
    <w:rsid w:val="00CC411C"/>
    <w:rsid w:val="00CC41E4"/>
    <w:rsid w:val="00CC4233"/>
    <w:rsid w:val="00CC4276"/>
    <w:rsid w:val="00CC4376"/>
    <w:rsid w:val="00CC437F"/>
    <w:rsid w:val="00CC4537"/>
    <w:rsid w:val="00CC45BE"/>
    <w:rsid w:val="00CC46E6"/>
    <w:rsid w:val="00CC4899"/>
    <w:rsid w:val="00CC4A9F"/>
    <w:rsid w:val="00CC4AD1"/>
    <w:rsid w:val="00CC4C1B"/>
    <w:rsid w:val="00CC4D1A"/>
    <w:rsid w:val="00CC4D89"/>
    <w:rsid w:val="00CC4DAC"/>
    <w:rsid w:val="00CC4E23"/>
    <w:rsid w:val="00CC4E69"/>
    <w:rsid w:val="00CC4EF9"/>
    <w:rsid w:val="00CC4F02"/>
    <w:rsid w:val="00CC4F49"/>
    <w:rsid w:val="00CC5017"/>
    <w:rsid w:val="00CC513D"/>
    <w:rsid w:val="00CC52EB"/>
    <w:rsid w:val="00CC53A8"/>
    <w:rsid w:val="00CC53D4"/>
    <w:rsid w:val="00CC550B"/>
    <w:rsid w:val="00CC5545"/>
    <w:rsid w:val="00CC5593"/>
    <w:rsid w:val="00CC5611"/>
    <w:rsid w:val="00CC5667"/>
    <w:rsid w:val="00CC56F0"/>
    <w:rsid w:val="00CC574B"/>
    <w:rsid w:val="00CC5A2A"/>
    <w:rsid w:val="00CC5A55"/>
    <w:rsid w:val="00CC5BD8"/>
    <w:rsid w:val="00CC5C0E"/>
    <w:rsid w:val="00CC5CE3"/>
    <w:rsid w:val="00CC5FAB"/>
    <w:rsid w:val="00CC6077"/>
    <w:rsid w:val="00CC6157"/>
    <w:rsid w:val="00CC625A"/>
    <w:rsid w:val="00CC656F"/>
    <w:rsid w:val="00CC663A"/>
    <w:rsid w:val="00CC67F6"/>
    <w:rsid w:val="00CC686D"/>
    <w:rsid w:val="00CC6887"/>
    <w:rsid w:val="00CC68C5"/>
    <w:rsid w:val="00CC68F9"/>
    <w:rsid w:val="00CC6AAB"/>
    <w:rsid w:val="00CC6ABF"/>
    <w:rsid w:val="00CC6AF2"/>
    <w:rsid w:val="00CC6BA2"/>
    <w:rsid w:val="00CC6CEF"/>
    <w:rsid w:val="00CC6DA3"/>
    <w:rsid w:val="00CC6E8A"/>
    <w:rsid w:val="00CC71D7"/>
    <w:rsid w:val="00CC71DE"/>
    <w:rsid w:val="00CC7296"/>
    <w:rsid w:val="00CC72CA"/>
    <w:rsid w:val="00CC7356"/>
    <w:rsid w:val="00CC73A6"/>
    <w:rsid w:val="00CC73A9"/>
    <w:rsid w:val="00CC73BF"/>
    <w:rsid w:val="00CC743E"/>
    <w:rsid w:val="00CC74C0"/>
    <w:rsid w:val="00CC75AA"/>
    <w:rsid w:val="00CC75DD"/>
    <w:rsid w:val="00CC772E"/>
    <w:rsid w:val="00CC77C4"/>
    <w:rsid w:val="00CC7864"/>
    <w:rsid w:val="00CC79D2"/>
    <w:rsid w:val="00CC7A3C"/>
    <w:rsid w:val="00CC7A48"/>
    <w:rsid w:val="00CC7A75"/>
    <w:rsid w:val="00CC7A89"/>
    <w:rsid w:val="00CC7B00"/>
    <w:rsid w:val="00CC7B15"/>
    <w:rsid w:val="00CC7B2B"/>
    <w:rsid w:val="00CC7CF4"/>
    <w:rsid w:val="00CC7D55"/>
    <w:rsid w:val="00CC7D59"/>
    <w:rsid w:val="00CC7DD0"/>
    <w:rsid w:val="00CC7DE8"/>
    <w:rsid w:val="00CC7F18"/>
    <w:rsid w:val="00CD0012"/>
    <w:rsid w:val="00CD0067"/>
    <w:rsid w:val="00CD00E1"/>
    <w:rsid w:val="00CD0117"/>
    <w:rsid w:val="00CD01DB"/>
    <w:rsid w:val="00CD02B5"/>
    <w:rsid w:val="00CD02D8"/>
    <w:rsid w:val="00CD03E5"/>
    <w:rsid w:val="00CD0542"/>
    <w:rsid w:val="00CD05BF"/>
    <w:rsid w:val="00CD0674"/>
    <w:rsid w:val="00CD06AD"/>
    <w:rsid w:val="00CD06F2"/>
    <w:rsid w:val="00CD0958"/>
    <w:rsid w:val="00CD09CE"/>
    <w:rsid w:val="00CD09F0"/>
    <w:rsid w:val="00CD0A02"/>
    <w:rsid w:val="00CD0B6E"/>
    <w:rsid w:val="00CD0C4E"/>
    <w:rsid w:val="00CD0CDF"/>
    <w:rsid w:val="00CD0D32"/>
    <w:rsid w:val="00CD0E31"/>
    <w:rsid w:val="00CD0EC7"/>
    <w:rsid w:val="00CD1077"/>
    <w:rsid w:val="00CD10B0"/>
    <w:rsid w:val="00CD1170"/>
    <w:rsid w:val="00CD1237"/>
    <w:rsid w:val="00CD1287"/>
    <w:rsid w:val="00CD134E"/>
    <w:rsid w:val="00CD135E"/>
    <w:rsid w:val="00CD146D"/>
    <w:rsid w:val="00CD1486"/>
    <w:rsid w:val="00CD148B"/>
    <w:rsid w:val="00CD1564"/>
    <w:rsid w:val="00CD161E"/>
    <w:rsid w:val="00CD16A8"/>
    <w:rsid w:val="00CD16FB"/>
    <w:rsid w:val="00CD19DF"/>
    <w:rsid w:val="00CD1A0D"/>
    <w:rsid w:val="00CD1AB6"/>
    <w:rsid w:val="00CD1B0A"/>
    <w:rsid w:val="00CD1B30"/>
    <w:rsid w:val="00CD1B3B"/>
    <w:rsid w:val="00CD1B7A"/>
    <w:rsid w:val="00CD1E21"/>
    <w:rsid w:val="00CD1E6F"/>
    <w:rsid w:val="00CD1EBE"/>
    <w:rsid w:val="00CD1EFC"/>
    <w:rsid w:val="00CD1F60"/>
    <w:rsid w:val="00CD20B7"/>
    <w:rsid w:val="00CD20B8"/>
    <w:rsid w:val="00CD2165"/>
    <w:rsid w:val="00CD21EA"/>
    <w:rsid w:val="00CD2298"/>
    <w:rsid w:val="00CD22E8"/>
    <w:rsid w:val="00CD2378"/>
    <w:rsid w:val="00CD23CE"/>
    <w:rsid w:val="00CD23F5"/>
    <w:rsid w:val="00CD241E"/>
    <w:rsid w:val="00CD2479"/>
    <w:rsid w:val="00CD24A0"/>
    <w:rsid w:val="00CD24A1"/>
    <w:rsid w:val="00CD266F"/>
    <w:rsid w:val="00CD27BD"/>
    <w:rsid w:val="00CD27D6"/>
    <w:rsid w:val="00CD29D0"/>
    <w:rsid w:val="00CD2A83"/>
    <w:rsid w:val="00CD2B57"/>
    <w:rsid w:val="00CD2C0C"/>
    <w:rsid w:val="00CD2CF3"/>
    <w:rsid w:val="00CD2DAF"/>
    <w:rsid w:val="00CD2DDD"/>
    <w:rsid w:val="00CD2E02"/>
    <w:rsid w:val="00CD2E56"/>
    <w:rsid w:val="00CD310F"/>
    <w:rsid w:val="00CD318F"/>
    <w:rsid w:val="00CD31D0"/>
    <w:rsid w:val="00CD31F3"/>
    <w:rsid w:val="00CD321D"/>
    <w:rsid w:val="00CD3404"/>
    <w:rsid w:val="00CD340B"/>
    <w:rsid w:val="00CD3704"/>
    <w:rsid w:val="00CD37D9"/>
    <w:rsid w:val="00CD3870"/>
    <w:rsid w:val="00CD38C7"/>
    <w:rsid w:val="00CD399A"/>
    <w:rsid w:val="00CD3A11"/>
    <w:rsid w:val="00CD3A4F"/>
    <w:rsid w:val="00CD3AAD"/>
    <w:rsid w:val="00CD3B56"/>
    <w:rsid w:val="00CD3BAB"/>
    <w:rsid w:val="00CD3CE8"/>
    <w:rsid w:val="00CD3D6E"/>
    <w:rsid w:val="00CD3EBC"/>
    <w:rsid w:val="00CD3EE8"/>
    <w:rsid w:val="00CD411E"/>
    <w:rsid w:val="00CD41BB"/>
    <w:rsid w:val="00CD42DB"/>
    <w:rsid w:val="00CD4327"/>
    <w:rsid w:val="00CD4377"/>
    <w:rsid w:val="00CD438C"/>
    <w:rsid w:val="00CD43D9"/>
    <w:rsid w:val="00CD4463"/>
    <w:rsid w:val="00CD4682"/>
    <w:rsid w:val="00CD468E"/>
    <w:rsid w:val="00CD46CD"/>
    <w:rsid w:val="00CD4707"/>
    <w:rsid w:val="00CD4781"/>
    <w:rsid w:val="00CD47FD"/>
    <w:rsid w:val="00CD480B"/>
    <w:rsid w:val="00CD4969"/>
    <w:rsid w:val="00CD49A6"/>
    <w:rsid w:val="00CD4A06"/>
    <w:rsid w:val="00CD4AFD"/>
    <w:rsid w:val="00CD4BFC"/>
    <w:rsid w:val="00CD4C90"/>
    <w:rsid w:val="00CD4CA2"/>
    <w:rsid w:val="00CD4CE6"/>
    <w:rsid w:val="00CD4D19"/>
    <w:rsid w:val="00CD4D1F"/>
    <w:rsid w:val="00CD4D67"/>
    <w:rsid w:val="00CD4D6D"/>
    <w:rsid w:val="00CD4D80"/>
    <w:rsid w:val="00CD4D93"/>
    <w:rsid w:val="00CD4DDF"/>
    <w:rsid w:val="00CD4EB4"/>
    <w:rsid w:val="00CD4EFD"/>
    <w:rsid w:val="00CD4F59"/>
    <w:rsid w:val="00CD4F5C"/>
    <w:rsid w:val="00CD4FE4"/>
    <w:rsid w:val="00CD50CD"/>
    <w:rsid w:val="00CD50FD"/>
    <w:rsid w:val="00CD515A"/>
    <w:rsid w:val="00CD5180"/>
    <w:rsid w:val="00CD5186"/>
    <w:rsid w:val="00CD51B0"/>
    <w:rsid w:val="00CD51E0"/>
    <w:rsid w:val="00CD5211"/>
    <w:rsid w:val="00CD522A"/>
    <w:rsid w:val="00CD5279"/>
    <w:rsid w:val="00CD52BF"/>
    <w:rsid w:val="00CD5356"/>
    <w:rsid w:val="00CD5418"/>
    <w:rsid w:val="00CD5534"/>
    <w:rsid w:val="00CD556B"/>
    <w:rsid w:val="00CD556F"/>
    <w:rsid w:val="00CD55D2"/>
    <w:rsid w:val="00CD55FF"/>
    <w:rsid w:val="00CD5631"/>
    <w:rsid w:val="00CD5648"/>
    <w:rsid w:val="00CD580A"/>
    <w:rsid w:val="00CD5A06"/>
    <w:rsid w:val="00CD5A51"/>
    <w:rsid w:val="00CD5A5A"/>
    <w:rsid w:val="00CD5A67"/>
    <w:rsid w:val="00CD5D0D"/>
    <w:rsid w:val="00CD5D6D"/>
    <w:rsid w:val="00CD5D73"/>
    <w:rsid w:val="00CD5EAA"/>
    <w:rsid w:val="00CD5EB9"/>
    <w:rsid w:val="00CD5EF3"/>
    <w:rsid w:val="00CD5EF9"/>
    <w:rsid w:val="00CD5EFE"/>
    <w:rsid w:val="00CD5F1E"/>
    <w:rsid w:val="00CD5FCA"/>
    <w:rsid w:val="00CD6014"/>
    <w:rsid w:val="00CD6023"/>
    <w:rsid w:val="00CD6028"/>
    <w:rsid w:val="00CD603C"/>
    <w:rsid w:val="00CD6069"/>
    <w:rsid w:val="00CD6075"/>
    <w:rsid w:val="00CD609A"/>
    <w:rsid w:val="00CD60EB"/>
    <w:rsid w:val="00CD628F"/>
    <w:rsid w:val="00CD62F7"/>
    <w:rsid w:val="00CD63AC"/>
    <w:rsid w:val="00CD65C5"/>
    <w:rsid w:val="00CD670E"/>
    <w:rsid w:val="00CD6782"/>
    <w:rsid w:val="00CD67DA"/>
    <w:rsid w:val="00CD6868"/>
    <w:rsid w:val="00CD6933"/>
    <w:rsid w:val="00CD6995"/>
    <w:rsid w:val="00CD6A7C"/>
    <w:rsid w:val="00CD6B14"/>
    <w:rsid w:val="00CD6BAB"/>
    <w:rsid w:val="00CD6C72"/>
    <w:rsid w:val="00CD6D1E"/>
    <w:rsid w:val="00CD6D98"/>
    <w:rsid w:val="00CD6DEE"/>
    <w:rsid w:val="00CD6E91"/>
    <w:rsid w:val="00CD6ECE"/>
    <w:rsid w:val="00CD6F67"/>
    <w:rsid w:val="00CD6FDD"/>
    <w:rsid w:val="00CD720D"/>
    <w:rsid w:val="00CD7283"/>
    <w:rsid w:val="00CD7290"/>
    <w:rsid w:val="00CD72D9"/>
    <w:rsid w:val="00CD7349"/>
    <w:rsid w:val="00CD740B"/>
    <w:rsid w:val="00CD7489"/>
    <w:rsid w:val="00CD7532"/>
    <w:rsid w:val="00CD76B9"/>
    <w:rsid w:val="00CD7719"/>
    <w:rsid w:val="00CD7915"/>
    <w:rsid w:val="00CD7A54"/>
    <w:rsid w:val="00CD7A82"/>
    <w:rsid w:val="00CD7AD2"/>
    <w:rsid w:val="00CD7C42"/>
    <w:rsid w:val="00CD7CC1"/>
    <w:rsid w:val="00CD7CDC"/>
    <w:rsid w:val="00CD7DB8"/>
    <w:rsid w:val="00CD7DC6"/>
    <w:rsid w:val="00CD7EC8"/>
    <w:rsid w:val="00CE01A0"/>
    <w:rsid w:val="00CE0219"/>
    <w:rsid w:val="00CE034A"/>
    <w:rsid w:val="00CE03EE"/>
    <w:rsid w:val="00CE03FE"/>
    <w:rsid w:val="00CE0542"/>
    <w:rsid w:val="00CE05B0"/>
    <w:rsid w:val="00CE05C9"/>
    <w:rsid w:val="00CE05E4"/>
    <w:rsid w:val="00CE0718"/>
    <w:rsid w:val="00CE07C9"/>
    <w:rsid w:val="00CE0843"/>
    <w:rsid w:val="00CE0857"/>
    <w:rsid w:val="00CE085A"/>
    <w:rsid w:val="00CE08F9"/>
    <w:rsid w:val="00CE08FB"/>
    <w:rsid w:val="00CE0954"/>
    <w:rsid w:val="00CE0A31"/>
    <w:rsid w:val="00CE0B20"/>
    <w:rsid w:val="00CE0C6D"/>
    <w:rsid w:val="00CE0C70"/>
    <w:rsid w:val="00CE0E83"/>
    <w:rsid w:val="00CE0EB1"/>
    <w:rsid w:val="00CE0EBC"/>
    <w:rsid w:val="00CE0F5B"/>
    <w:rsid w:val="00CE1020"/>
    <w:rsid w:val="00CE112F"/>
    <w:rsid w:val="00CE115A"/>
    <w:rsid w:val="00CE12D5"/>
    <w:rsid w:val="00CE12E6"/>
    <w:rsid w:val="00CE1316"/>
    <w:rsid w:val="00CE151C"/>
    <w:rsid w:val="00CE162F"/>
    <w:rsid w:val="00CE16D3"/>
    <w:rsid w:val="00CE17E1"/>
    <w:rsid w:val="00CE18CB"/>
    <w:rsid w:val="00CE19F6"/>
    <w:rsid w:val="00CE1C5A"/>
    <w:rsid w:val="00CE1C85"/>
    <w:rsid w:val="00CE1D9A"/>
    <w:rsid w:val="00CE1DEA"/>
    <w:rsid w:val="00CE1E55"/>
    <w:rsid w:val="00CE1F17"/>
    <w:rsid w:val="00CE1F46"/>
    <w:rsid w:val="00CE2131"/>
    <w:rsid w:val="00CE2191"/>
    <w:rsid w:val="00CE22D8"/>
    <w:rsid w:val="00CE2380"/>
    <w:rsid w:val="00CE247D"/>
    <w:rsid w:val="00CE24F2"/>
    <w:rsid w:val="00CE2554"/>
    <w:rsid w:val="00CE25FC"/>
    <w:rsid w:val="00CE26A2"/>
    <w:rsid w:val="00CE26E8"/>
    <w:rsid w:val="00CE2764"/>
    <w:rsid w:val="00CE284C"/>
    <w:rsid w:val="00CE2A3C"/>
    <w:rsid w:val="00CE2AEA"/>
    <w:rsid w:val="00CE2D6C"/>
    <w:rsid w:val="00CE2E02"/>
    <w:rsid w:val="00CE2E51"/>
    <w:rsid w:val="00CE2E7D"/>
    <w:rsid w:val="00CE2F3A"/>
    <w:rsid w:val="00CE30AD"/>
    <w:rsid w:val="00CE31C7"/>
    <w:rsid w:val="00CE32E2"/>
    <w:rsid w:val="00CE3392"/>
    <w:rsid w:val="00CE3606"/>
    <w:rsid w:val="00CE37DD"/>
    <w:rsid w:val="00CE3807"/>
    <w:rsid w:val="00CE3828"/>
    <w:rsid w:val="00CE3941"/>
    <w:rsid w:val="00CE39E6"/>
    <w:rsid w:val="00CE3C31"/>
    <w:rsid w:val="00CE3C4F"/>
    <w:rsid w:val="00CE3D0F"/>
    <w:rsid w:val="00CE3DD0"/>
    <w:rsid w:val="00CE3E24"/>
    <w:rsid w:val="00CE3FB7"/>
    <w:rsid w:val="00CE401E"/>
    <w:rsid w:val="00CE40E8"/>
    <w:rsid w:val="00CE40EA"/>
    <w:rsid w:val="00CE40F4"/>
    <w:rsid w:val="00CE4135"/>
    <w:rsid w:val="00CE4151"/>
    <w:rsid w:val="00CE43E2"/>
    <w:rsid w:val="00CE4426"/>
    <w:rsid w:val="00CE4469"/>
    <w:rsid w:val="00CE4499"/>
    <w:rsid w:val="00CE44C6"/>
    <w:rsid w:val="00CE4596"/>
    <w:rsid w:val="00CE4718"/>
    <w:rsid w:val="00CE4765"/>
    <w:rsid w:val="00CE47C8"/>
    <w:rsid w:val="00CE4873"/>
    <w:rsid w:val="00CE4874"/>
    <w:rsid w:val="00CE4A21"/>
    <w:rsid w:val="00CE4AAB"/>
    <w:rsid w:val="00CE4B6A"/>
    <w:rsid w:val="00CE4C1B"/>
    <w:rsid w:val="00CE4DAA"/>
    <w:rsid w:val="00CE4E36"/>
    <w:rsid w:val="00CE4EB2"/>
    <w:rsid w:val="00CE5038"/>
    <w:rsid w:val="00CE51B3"/>
    <w:rsid w:val="00CE5413"/>
    <w:rsid w:val="00CE546F"/>
    <w:rsid w:val="00CE5496"/>
    <w:rsid w:val="00CE5606"/>
    <w:rsid w:val="00CE5662"/>
    <w:rsid w:val="00CE5707"/>
    <w:rsid w:val="00CE5721"/>
    <w:rsid w:val="00CE574D"/>
    <w:rsid w:val="00CE5823"/>
    <w:rsid w:val="00CE591B"/>
    <w:rsid w:val="00CE5977"/>
    <w:rsid w:val="00CE5A45"/>
    <w:rsid w:val="00CE5A72"/>
    <w:rsid w:val="00CE5A75"/>
    <w:rsid w:val="00CE5A90"/>
    <w:rsid w:val="00CE5B19"/>
    <w:rsid w:val="00CE5B3E"/>
    <w:rsid w:val="00CE5B9E"/>
    <w:rsid w:val="00CE5C1C"/>
    <w:rsid w:val="00CE5C62"/>
    <w:rsid w:val="00CE5CBB"/>
    <w:rsid w:val="00CE5CEE"/>
    <w:rsid w:val="00CE5CF6"/>
    <w:rsid w:val="00CE5CFA"/>
    <w:rsid w:val="00CE5DC9"/>
    <w:rsid w:val="00CE5DE4"/>
    <w:rsid w:val="00CE5F63"/>
    <w:rsid w:val="00CE5FE4"/>
    <w:rsid w:val="00CE6101"/>
    <w:rsid w:val="00CE61FF"/>
    <w:rsid w:val="00CE620C"/>
    <w:rsid w:val="00CE62EC"/>
    <w:rsid w:val="00CE6320"/>
    <w:rsid w:val="00CE6547"/>
    <w:rsid w:val="00CE6654"/>
    <w:rsid w:val="00CE6686"/>
    <w:rsid w:val="00CE6715"/>
    <w:rsid w:val="00CE6964"/>
    <w:rsid w:val="00CE6977"/>
    <w:rsid w:val="00CE6A02"/>
    <w:rsid w:val="00CE6A7C"/>
    <w:rsid w:val="00CE6ADA"/>
    <w:rsid w:val="00CE6BB3"/>
    <w:rsid w:val="00CE6C43"/>
    <w:rsid w:val="00CE6C6A"/>
    <w:rsid w:val="00CE6CF3"/>
    <w:rsid w:val="00CE6F8F"/>
    <w:rsid w:val="00CE7106"/>
    <w:rsid w:val="00CE71CA"/>
    <w:rsid w:val="00CE7251"/>
    <w:rsid w:val="00CE72D7"/>
    <w:rsid w:val="00CE7313"/>
    <w:rsid w:val="00CE757A"/>
    <w:rsid w:val="00CE770F"/>
    <w:rsid w:val="00CE788F"/>
    <w:rsid w:val="00CE78F9"/>
    <w:rsid w:val="00CE79DE"/>
    <w:rsid w:val="00CE79F1"/>
    <w:rsid w:val="00CE7ADA"/>
    <w:rsid w:val="00CE7B08"/>
    <w:rsid w:val="00CE7BE5"/>
    <w:rsid w:val="00CE7C2C"/>
    <w:rsid w:val="00CE7C95"/>
    <w:rsid w:val="00CE7CA0"/>
    <w:rsid w:val="00CE7CD5"/>
    <w:rsid w:val="00CE7D27"/>
    <w:rsid w:val="00CE7D3E"/>
    <w:rsid w:val="00CE7DC7"/>
    <w:rsid w:val="00CE7DCE"/>
    <w:rsid w:val="00CE7DD8"/>
    <w:rsid w:val="00CE7E77"/>
    <w:rsid w:val="00CE7E84"/>
    <w:rsid w:val="00CE7E9B"/>
    <w:rsid w:val="00CE7EDE"/>
    <w:rsid w:val="00CE7FC6"/>
    <w:rsid w:val="00CF0088"/>
    <w:rsid w:val="00CF00ED"/>
    <w:rsid w:val="00CF015E"/>
    <w:rsid w:val="00CF0174"/>
    <w:rsid w:val="00CF023B"/>
    <w:rsid w:val="00CF02F4"/>
    <w:rsid w:val="00CF0325"/>
    <w:rsid w:val="00CF0358"/>
    <w:rsid w:val="00CF0429"/>
    <w:rsid w:val="00CF056D"/>
    <w:rsid w:val="00CF0601"/>
    <w:rsid w:val="00CF06B1"/>
    <w:rsid w:val="00CF0725"/>
    <w:rsid w:val="00CF0764"/>
    <w:rsid w:val="00CF07A0"/>
    <w:rsid w:val="00CF07A1"/>
    <w:rsid w:val="00CF0809"/>
    <w:rsid w:val="00CF0864"/>
    <w:rsid w:val="00CF097E"/>
    <w:rsid w:val="00CF0A2F"/>
    <w:rsid w:val="00CF0A71"/>
    <w:rsid w:val="00CF0AB9"/>
    <w:rsid w:val="00CF0AD6"/>
    <w:rsid w:val="00CF0C67"/>
    <w:rsid w:val="00CF0DBB"/>
    <w:rsid w:val="00CF0DD7"/>
    <w:rsid w:val="00CF1220"/>
    <w:rsid w:val="00CF1418"/>
    <w:rsid w:val="00CF1463"/>
    <w:rsid w:val="00CF14D2"/>
    <w:rsid w:val="00CF1533"/>
    <w:rsid w:val="00CF1591"/>
    <w:rsid w:val="00CF1666"/>
    <w:rsid w:val="00CF188E"/>
    <w:rsid w:val="00CF18D1"/>
    <w:rsid w:val="00CF18EE"/>
    <w:rsid w:val="00CF191D"/>
    <w:rsid w:val="00CF196B"/>
    <w:rsid w:val="00CF1999"/>
    <w:rsid w:val="00CF1BE5"/>
    <w:rsid w:val="00CF1C8E"/>
    <w:rsid w:val="00CF1DEF"/>
    <w:rsid w:val="00CF1E25"/>
    <w:rsid w:val="00CF1E34"/>
    <w:rsid w:val="00CF1E7B"/>
    <w:rsid w:val="00CF1EB4"/>
    <w:rsid w:val="00CF1ED3"/>
    <w:rsid w:val="00CF1EF7"/>
    <w:rsid w:val="00CF209D"/>
    <w:rsid w:val="00CF20E4"/>
    <w:rsid w:val="00CF2289"/>
    <w:rsid w:val="00CF247A"/>
    <w:rsid w:val="00CF2643"/>
    <w:rsid w:val="00CF26FE"/>
    <w:rsid w:val="00CF27E9"/>
    <w:rsid w:val="00CF2841"/>
    <w:rsid w:val="00CF2A8A"/>
    <w:rsid w:val="00CF2B4C"/>
    <w:rsid w:val="00CF2BBA"/>
    <w:rsid w:val="00CF2C0E"/>
    <w:rsid w:val="00CF2C5F"/>
    <w:rsid w:val="00CF2D56"/>
    <w:rsid w:val="00CF2D5C"/>
    <w:rsid w:val="00CF302D"/>
    <w:rsid w:val="00CF30B6"/>
    <w:rsid w:val="00CF31D4"/>
    <w:rsid w:val="00CF3343"/>
    <w:rsid w:val="00CF3350"/>
    <w:rsid w:val="00CF33D3"/>
    <w:rsid w:val="00CF33F5"/>
    <w:rsid w:val="00CF3473"/>
    <w:rsid w:val="00CF35B8"/>
    <w:rsid w:val="00CF35FE"/>
    <w:rsid w:val="00CF362A"/>
    <w:rsid w:val="00CF3790"/>
    <w:rsid w:val="00CF3820"/>
    <w:rsid w:val="00CF3A33"/>
    <w:rsid w:val="00CF3B9C"/>
    <w:rsid w:val="00CF3DD8"/>
    <w:rsid w:val="00CF3F24"/>
    <w:rsid w:val="00CF3F90"/>
    <w:rsid w:val="00CF3F97"/>
    <w:rsid w:val="00CF4044"/>
    <w:rsid w:val="00CF4079"/>
    <w:rsid w:val="00CF4111"/>
    <w:rsid w:val="00CF4322"/>
    <w:rsid w:val="00CF46A3"/>
    <w:rsid w:val="00CF4761"/>
    <w:rsid w:val="00CF4779"/>
    <w:rsid w:val="00CF4820"/>
    <w:rsid w:val="00CF4825"/>
    <w:rsid w:val="00CF4862"/>
    <w:rsid w:val="00CF4898"/>
    <w:rsid w:val="00CF48B0"/>
    <w:rsid w:val="00CF4A4B"/>
    <w:rsid w:val="00CF4A97"/>
    <w:rsid w:val="00CF4B9B"/>
    <w:rsid w:val="00CF4D8F"/>
    <w:rsid w:val="00CF4E05"/>
    <w:rsid w:val="00CF4E69"/>
    <w:rsid w:val="00CF4E74"/>
    <w:rsid w:val="00CF4F18"/>
    <w:rsid w:val="00CF504E"/>
    <w:rsid w:val="00CF505C"/>
    <w:rsid w:val="00CF506C"/>
    <w:rsid w:val="00CF515D"/>
    <w:rsid w:val="00CF51FB"/>
    <w:rsid w:val="00CF521C"/>
    <w:rsid w:val="00CF5246"/>
    <w:rsid w:val="00CF54C0"/>
    <w:rsid w:val="00CF55AC"/>
    <w:rsid w:val="00CF5609"/>
    <w:rsid w:val="00CF561B"/>
    <w:rsid w:val="00CF5777"/>
    <w:rsid w:val="00CF5828"/>
    <w:rsid w:val="00CF589E"/>
    <w:rsid w:val="00CF5AA6"/>
    <w:rsid w:val="00CF5ADB"/>
    <w:rsid w:val="00CF5B4A"/>
    <w:rsid w:val="00CF5B4F"/>
    <w:rsid w:val="00CF5B7E"/>
    <w:rsid w:val="00CF5CC2"/>
    <w:rsid w:val="00CF5D4C"/>
    <w:rsid w:val="00CF5E59"/>
    <w:rsid w:val="00CF5E92"/>
    <w:rsid w:val="00CF5FF7"/>
    <w:rsid w:val="00CF6272"/>
    <w:rsid w:val="00CF6355"/>
    <w:rsid w:val="00CF63FB"/>
    <w:rsid w:val="00CF6451"/>
    <w:rsid w:val="00CF6459"/>
    <w:rsid w:val="00CF6488"/>
    <w:rsid w:val="00CF6760"/>
    <w:rsid w:val="00CF684C"/>
    <w:rsid w:val="00CF6B53"/>
    <w:rsid w:val="00CF6B81"/>
    <w:rsid w:val="00CF6BF0"/>
    <w:rsid w:val="00CF6C8A"/>
    <w:rsid w:val="00CF6D7E"/>
    <w:rsid w:val="00CF6E09"/>
    <w:rsid w:val="00CF6EBB"/>
    <w:rsid w:val="00CF6F03"/>
    <w:rsid w:val="00CF6F63"/>
    <w:rsid w:val="00CF705A"/>
    <w:rsid w:val="00CF713C"/>
    <w:rsid w:val="00CF737E"/>
    <w:rsid w:val="00CF7390"/>
    <w:rsid w:val="00CF73A6"/>
    <w:rsid w:val="00CF7608"/>
    <w:rsid w:val="00CF768C"/>
    <w:rsid w:val="00CF77B1"/>
    <w:rsid w:val="00CF77DA"/>
    <w:rsid w:val="00CF7895"/>
    <w:rsid w:val="00CF78CC"/>
    <w:rsid w:val="00CF7949"/>
    <w:rsid w:val="00CF79B5"/>
    <w:rsid w:val="00CF79F6"/>
    <w:rsid w:val="00CF7AC7"/>
    <w:rsid w:val="00CF7C2A"/>
    <w:rsid w:val="00CF7C62"/>
    <w:rsid w:val="00CF7C6C"/>
    <w:rsid w:val="00CF7C70"/>
    <w:rsid w:val="00CF7D93"/>
    <w:rsid w:val="00CF7E63"/>
    <w:rsid w:val="00CF7F31"/>
    <w:rsid w:val="00D0005A"/>
    <w:rsid w:val="00D000F6"/>
    <w:rsid w:val="00D00142"/>
    <w:rsid w:val="00D00245"/>
    <w:rsid w:val="00D00378"/>
    <w:rsid w:val="00D0037D"/>
    <w:rsid w:val="00D0051B"/>
    <w:rsid w:val="00D005FE"/>
    <w:rsid w:val="00D006D4"/>
    <w:rsid w:val="00D007F9"/>
    <w:rsid w:val="00D00842"/>
    <w:rsid w:val="00D008F7"/>
    <w:rsid w:val="00D00A02"/>
    <w:rsid w:val="00D00A38"/>
    <w:rsid w:val="00D00AA6"/>
    <w:rsid w:val="00D00AB8"/>
    <w:rsid w:val="00D00B65"/>
    <w:rsid w:val="00D00B95"/>
    <w:rsid w:val="00D00BC0"/>
    <w:rsid w:val="00D00C5B"/>
    <w:rsid w:val="00D00CA6"/>
    <w:rsid w:val="00D00D34"/>
    <w:rsid w:val="00D00D9F"/>
    <w:rsid w:val="00D00DCA"/>
    <w:rsid w:val="00D00DD4"/>
    <w:rsid w:val="00D00EA5"/>
    <w:rsid w:val="00D00F6C"/>
    <w:rsid w:val="00D00FD0"/>
    <w:rsid w:val="00D00FED"/>
    <w:rsid w:val="00D01078"/>
    <w:rsid w:val="00D010CA"/>
    <w:rsid w:val="00D01125"/>
    <w:rsid w:val="00D01203"/>
    <w:rsid w:val="00D012C6"/>
    <w:rsid w:val="00D013A0"/>
    <w:rsid w:val="00D013AF"/>
    <w:rsid w:val="00D01425"/>
    <w:rsid w:val="00D01455"/>
    <w:rsid w:val="00D01481"/>
    <w:rsid w:val="00D01546"/>
    <w:rsid w:val="00D01598"/>
    <w:rsid w:val="00D015D6"/>
    <w:rsid w:val="00D01668"/>
    <w:rsid w:val="00D016FB"/>
    <w:rsid w:val="00D016FD"/>
    <w:rsid w:val="00D0186A"/>
    <w:rsid w:val="00D018D9"/>
    <w:rsid w:val="00D01919"/>
    <w:rsid w:val="00D01C4A"/>
    <w:rsid w:val="00D01C6F"/>
    <w:rsid w:val="00D01D05"/>
    <w:rsid w:val="00D01E0B"/>
    <w:rsid w:val="00D01E7B"/>
    <w:rsid w:val="00D01EAA"/>
    <w:rsid w:val="00D01F24"/>
    <w:rsid w:val="00D02113"/>
    <w:rsid w:val="00D0211C"/>
    <w:rsid w:val="00D02172"/>
    <w:rsid w:val="00D02256"/>
    <w:rsid w:val="00D02282"/>
    <w:rsid w:val="00D02288"/>
    <w:rsid w:val="00D022FC"/>
    <w:rsid w:val="00D02446"/>
    <w:rsid w:val="00D02499"/>
    <w:rsid w:val="00D02554"/>
    <w:rsid w:val="00D02593"/>
    <w:rsid w:val="00D025C1"/>
    <w:rsid w:val="00D02603"/>
    <w:rsid w:val="00D026BB"/>
    <w:rsid w:val="00D02826"/>
    <w:rsid w:val="00D02CBA"/>
    <w:rsid w:val="00D02D65"/>
    <w:rsid w:val="00D02DB9"/>
    <w:rsid w:val="00D02DED"/>
    <w:rsid w:val="00D02E02"/>
    <w:rsid w:val="00D02E25"/>
    <w:rsid w:val="00D02E5E"/>
    <w:rsid w:val="00D02F86"/>
    <w:rsid w:val="00D03189"/>
    <w:rsid w:val="00D031F7"/>
    <w:rsid w:val="00D0335C"/>
    <w:rsid w:val="00D03404"/>
    <w:rsid w:val="00D035E9"/>
    <w:rsid w:val="00D035FB"/>
    <w:rsid w:val="00D03671"/>
    <w:rsid w:val="00D0367D"/>
    <w:rsid w:val="00D0375C"/>
    <w:rsid w:val="00D0376E"/>
    <w:rsid w:val="00D03868"/>
    <w:rsid w:val="00D0387B"/>
    <w:rsid w:val="00D03910"/>
    <w:rsid w:val="00D039B6"/>
    <w:rsid w:val="00D039C5"/>
    <w:rsid w:val="00D03AC2"/>
    <w:rsid w:val="00D03D94"/>
    <w:rsid w:val="00D03DBF"/>
    <w:rsid w:val="00D03E33"/>
    <w:rsid w:val="00D03E38"/>
    <w:rsid w:val="00D03E6C"/>
    <w:rsid w:val="00D03F10"/>
    <w:rsid w:val="00D03F8C"/>
    <w:rsid w:val="00D03FB4"/>
    <w:rsid w:val="00D04075"/>
    <w:rsid w:val="00D04093"/>
    <w:rsid w:val="00D040BC"/>
    <w:rsid w:val="00D040DA"/>
    <w:rsid w:val="00D04156"/>
    <w:rsid w:val="00D0416E"/>
    <w:rsid w:val="00D0423B"/>
    <w:rsid w:val="00D04354"/>
    <w:rsid w:val="00D0438B"/>
    <w:rsid w:val="00D043D0"/>
    <w:rsid w:val="00D046B7"/>
    <w:rsid w:val="00D04827"/>
    <w:rsid w:val="00D04877"/>
    <w:rsid w:val="00D04965"/>
    <w:rsid w:val="00D0499B"/>
    <w:rsid w:val="00D04A59"/>
    <w:rsid w:val="00D04AC9"/>
    <w:rsid w:val="00D04B3E"/>
    <w:rsid w:val="00D04B4F"/>
    <w:rsid w:val="00D04BB3"/>
    <w:rsid w:val="00D04CC1"/>
    <w:rsid w:val="00D04D24"/>
    <w:rsid w:val="00D04D30"/>
    <w:rsid w:val="00D04D78"/>
    <w:rsid w:val="00D04D93"/>
    <w:rsid w:val="00D04DDF"/>
    <w:rsid w:val="00D04E2A"/>
    <w:rsid w:val="00D04EF4"/>
    <w:rsid w:val="00D04F30"/>
    <w:rsid w:val="00D05125"/>
    <w:rsid w:val="00D0518F"/>
    <w:rsid w:val="00D051C8"/>
    <w:rsid w:val="00D05248"/>
    <w:rsid w:val="00D052A9"/>
    <w:rsid w:val="00D052EE"/>
    <w:rsid w:val="00D053E4"/>
    <w:rsid w:val="00D054F8"/>
    <w:rsid w:val="00D056F7"/>
    <w:rsid w:val="00D0579E"/>
    <w:rsid w:val="00D057FB"/>
    <w:rsid w:val="00D0580F"/>
    <w:rsid w:val="00D058C2"/>
    <w:rsid w:val="00D05912"/>
    <w:rsid w:val="00D059E0"/>
    <w:rsid w:val="00D05A31"/>
    <w:rsid w:val="00D05A6F"/>
    <w:rsid w:val="00D05B0F"/>
    <w:rsid w:val="00D05B55"/>
    <w:rsid w:val="00D05BA7"/>
    <w:rsid w:val="00D05BB9"/>
    <w:rsid w:val="00D05C08"/>
    <w:rsid w:val="00D05C65"/>
    <w:rsid w:val="00D05CD5"/>
    <w:rsid w:val="00D05D0B"/>
    <w:rsid w:val="00D05D3F"/>
    <w:rsid w:val="00D05D7E"/>
    <w:rsid w:val="00D05DA1"/>
    <w:rsid w:val="00D06086"/>
    <w:rsid w:val="00D060C1"/>
    <w:rsid w:val="00D06177"/>
    <w:rsid w:val="00D06367"/>
    <w:rsid w:val="00D0641D"/>
    <w:rsid w:val="00D065B1"/>
    <w:rsid w:val="00D065D4"/>
    <w:rsid w:val="00D065E2"/>
    <w:rsid w:val="00D0665F"/>
    <w:rsid w:val="00D0670D"/>
    <w:rsid w:val="00D06713"/>
    <w:rsid w:val="00D0675A"/>
    <w:rsid w:val="00D067C9"/>
    <w:rsid w:val="00D068AF"/>
    <w:rsid w:val="00D0690A"/>
    <w:rsid w:val="00D06A1B"/>
    <w:rsid w:val="00D06B27"/>
    <w:rsid w:val="00D06C55"/>
    <w:rsid w:val="00D06C64"/>
    <w:rsid w:val="00D06CB0"/>
    <w:rsid w:val="00D06CB7"/>
    <w:rsid w:val="00D06EBD"/>
    <w:rsid w:val="00D06F13"/>
    <w:rsid w:val="00D06F27"/>
    <w:rsid w:val="00D06F5C"/>
    <w:rsid w:val="00D06FA7"/>
    <w:rsid w:val="00D06FE5"/>
    <w:rsid w:val="00D0705D"/>
    <w:rsid w:val="00D07068"/>
    <w:rsid w:val="00D07142"/>
    <w:rsid w:val="00D07256"/>
    <w:rsid w:val="00D072B4"/>
    <w:rsid w:val="00D072C4"/>
    <w:rsid w:val="00D0736E"/>
    <w:rsid w:val="00D07387"/>
    <w:rsid w:val="00D0746E"/>
    <w:rsid w:val="00D07474"/>
    <w:rsid w:val="00D074CB"/>
    <w:rsid w:val="00D076B6"/>
    <w:rsid w:val="00D076F1"/>
    <w:rsid w:val="00D076FE"/>
    <w:rsid w:val="00D0776B"/>
    <w:rsid w:val="00D07791"/>
    <w:rsid w:val="00D077CC"/>
    <w:rsid w:val="00D077E1"/>
    <w:rsid w:val="00D07806"/>
    <w:rsid w:val="00D07843"/>
    <w:rsid w:val="00D07898"/>
    <w:rsid w:val="00D07A74"/>
    <w:rsid w:val="00D07BBD"/>
    <w:rsid w:val="00D07BFF"/>
    <w:rsid w:val="00D07D13"/>
    <w:rsid w:val="00D07F1D"/>
    <w:rsid w:val="00D07FA2"/>
    <w:rsid w:val="00D07FA6"/>
    <w:rsid w:val="00D07FAC"/>
    <w:rsid w:val="00D1006B"/>
    <w:rsid w:val="00D100C8"/>
    <w:rsid w:val="00D10261"/>
    <w:rsid w:val="00D10314"/>
    <w:rsid w:val="00D1042E"/>
    <w:rsid w:val="00D10500"/>
    <w:rsid w:val="00D10501"/>
    <w:rsid w:val="00D105AD"/>
    <w:rsid w:val="00D10679"/>
    <w:rsid w:val="00D1070C"/>
    <w:rsid w:val="00D10747"/>
    <w:rsid w:val="00D10767"/>
    <w:rsid w:val="00D10796"/>
    <w:rsid w:val="00D10816"/>
    <w:rsid w:val="00D1095E"/>
    <w:rsid w:val="00D1097F"/>
    <w:rsid w:val="00D10ACD"/>
    <w:rsid w:val="00D10AFE"/>
    <w:rsid w:val="00D10B99"/>
    <w:rsid w:val="00D10BD2"/>
    <w:rsid w:val="00D10C0D"/>
    <w:rsid w:val="00D10E9B"/>
    <w:rsid w:val="00D10F13"/>
    <w:rsid w:val="00D10F36"/>
    <w:rsid w:val="00D11041"/>
    <w:rsid w:val="00D1119D"/>
    <w:rsid w:val="00D111C6"/>
    <w:rsid w:val="00D1124A"/>
    <w:rsid w:val="00D1126B"/>
    <w:rsid w:val="00D1128B"/>
    <w:rsid w:val="00D1134E"/>
    <w:rsid w:val="00D1142E"/>
    <w:rsid w:val="00D114A5"/>
    <w:rsid w:val="00D11531"/>
    <w:rsid w:val="00D1168D"/>
    <w:rsid w:val="00D116D8"/>
    <w:rsid w:val="00D11710"/>
    <w:rsid w:val="00D11821"/>
    <w:rsid w:val="00D118CF"/>
    <w:rsid w:val="00D11937"/>
    <w:rsid w:val="00D11C1E"/>
    <w:rsid w:val="00D11C7C"/>
    <w:rsid w:val="00D11D43"/>
    <w:rsid w:val="00D11DE7"/>
    <w:rsid w:val="00D11E2E"/>
    <w:rsid w:val="00D11E8D"/>
    <w:rsid w:val="00D11F0A"/>
    <w:rsid w:val="00D12078"/>
    <w:rsid w:val="00D120C8"/>
    <w:rsid w:val="00D12126"/>
    <w:rsid w:val="00D1216C"/>
    <w:rsid w:val="00D1219C"/>
    <w:rsid w:val="00D121DD"/>
    <w:rsid w:val="00D1235E"/>
    <w:rsid w:val="00D12388"/>
    <w:rsid w:val="00D12546"/>
    <w:rsid w:val="00D12588"/>
    <w:rsid w:val="00D125A7"/>
    <w:rsid w:val="00D12645"/>
    <w:rsid w:val="00D126DC"/>
    <w:rsid w:val="00D12799"/>
    <w:rsid w:val="00D127FE"/>
    <w:rsid w:val="00D128FC"/>
    <w:rsid w:val="00D12975"/>
    <w:rsid w:val="00D12BC6"/>
    <w:rsid w:val="00D12E1F"/>
    <w:rsid w:val="00D12E59"/>
    <w:rsid w:val="00D12ED7"/>
    <w:rsid w:val="00D12EE7"/>
    <w:rsid w:val="00D12F60"/>
    <w:rsid w:val="00D1303E"/>
    <w:rsid w:val="00D1305D"/>
    <w:rsid w:val="00D13103"/>
    <w:rsid w:val="00D13183"/>
    <w:rsid w:val="00D131B4"/>
    <w:rsid w:val="00D13208"/>
    <w:rsid w:val="00D13236"/>
    <w:rsid w:val="00D1325C"/>
    <w:rsid w:val="00D13261"/>
    <w:rsid w:val="00D133F4"/>
    <w:rsid w:val="00D133FB"/>
    <w:rsid w:val="00D133FC"/>
    <w:rsid w:val="00D134A6"/>
    <w:rsid w:val="00D134E6"/>
    <w:rsid w:val="00D135CA"/>
    <w:rsid w:val="00D13619"/>
    <w:rsid w:val="00D13649"/>
    <w:rsid w:val="00D1368F"/>
    <w:rsid w:val="00D13744"/>
    <w:rsid w:val="00D13766"/>
    <w:rsid w:val="00D137CF"/>
    <w:rsid w:val="00D13807"/>
    <w:rsid w:val="00D13844"/>
    <w:rsid w:val="00D13973"/>
    <w:rsid w:val="00D1398E"/>
    <w:rsid w:val="00D13A7C"/>
    <w:rsid w:val="00D13ABA"/>
    <w:rsid w:val="00D13AFC"/>
    <w:rsid w:val="00D13B59"/>
    <w:rsid w:val="00D13B5F"/>
    <w:rsid w:val="00D13BC0"/>
    <w:rsid w:val="00D13DC2"/>
    <w:rsid w:val="00D13DD4"/>
    <w:rsid w:val="00D13E3F"/>
    <w:rsid w:val="00D13E9C"/>
    <w:rsid w:val="00D13EC7"/>
    <w:rsid w:val="00D13F1A"/>
    <w:rsid w:val="00D13F1C"/>
    <w:rsid w:val="00D13F53"/>
    <w:rsid w:val="00D13F5E"/>
    <w:rsid w:val="00D14103"/>
    <w:rsid w:val="00D141F9"/>
    <w:rsid w:val="00D14245"/>
    <w:rsid w:val="00D14292"/>
    <w:rsid w:val="00D142A5"/>
    <w:rsid w:val="00D14319"/>
    <w:rsid w:val="00D14334"/>
    <w:rsid w:val="00D1442F"/>
    <w:rsid w:val="00D1450F"/>
    <w:rsid w:val="00D1463A"/>
    <w:rsid w:val="00D1467D"/>
    <w:rsid w:val="00D14B17"/>
    <w:rsid w:val="00D14CDE"/>
    <w:rsid w:val="00D14D0C"/>
    <w:rsid w:val="00D14E02"/>
    <w:rsid w:val="00D14E05"/>
    <w:rsid w:val="00D14F70"/>
    <w:rsid w:val="00D1502B"/>
    <w:rsid w:val="00D1509E"/>
    <w:rsid w:val="00D150C9"/>
    <w:rsid w:val="00D1511C"/>
    <w:rsid w:val="00D151A3"/>
    <w:rsid w:val="00D151FE"/>
    <w:rsid w:val="00D15228"/>
    <w:rsid w:val="00D15383"/>
    <w:rsid w:val="00D1543E"/>
    <w:rsid w:val="00D15452"/>
    <w:rsid w:val="00D1546B"/>
    <w:rsid w:val="00D15549"/>
    <w:rsid w:val="00D155C8"/>
    <w:rsid w:val="00D15720"/>
    <w:rsid w:val="00D15753"/>
    <w:rsid w:val="00D158BC"/>
    <w:rsid w:val="00D1595D"/>
    <w:rsid w:val="00D159F5"/>
    <w:rsid w:val="00D15A54"/>
    <w:rsid w:val="00D15A5F"/>
    <w:rsid w:val="00D15B04"/>
    <w:rsid w:val="00D15B7D"/>
    <w:rsid w:val="00D15F0E"/>
    <w:rsid w:val="00D16031"/>
    <w:rsid w:val="00D1609A"/>
    <w:rsid w:val="00D16215"/>
    <w:rsid w:val="00D16242"/>
    <w:rsid w:val="00D1628F"/>
    <w:rsid w:val="00D1630A"/>
    <w:rsid w:val="00D16310"/>
    <w:rsid w:val="00D16354"/>
    <w:rsid w:val="00D1639F"/>
    <w:rsid w:val="00D163BA"/>
    <w:rsid w:val="00D1658C"/>
    <w:rsid w:val="00D16607"/>
    <w:rsid w:val="00D16608"/>
    <w:rsid w:val="00D166FA"/>
    <w:rsid w:val="00D166FD"/>
    <w:rsid w:val="00D1671D"/>
    <w:rsid w:val="00D16722"/>
    <w:rsid w:val="00D16734"/>
    <w:rsid w:val="00D169E0"/>
    <w:rsid w:val="00D169F3"/>
    <w:rsid w:val="00D16A98"/>
    <w:rsid w:val="00D16AC4"/>
    <w:rsid w:val="00D16AD8"/>
    <w:rsid w:val="00D16AEB"/>
    <w:rsid w:val="00D16BC6"/>
    <w:rsid w:val="00D16BD0"/>
    <w:rsid w:val="00D16DB4"/>
    <w:rsid w:val="00D16DD7"/>
    <w:rsid w:val="00D16DEF"/>
    <w:rsid w:val="00D16E0D"/>
    <w:rsid w:val="00D16F3C"/>
    <w:rsid w:val="00D17054"/>
    <w:rsid w:val="00D170CA"/>
    <w:rsid w:val="00D170E1"/>
    <w:rsid w:val="00D17192"/>
    <w:rsid w:val="00D171F6"/>
    <w:rsid w:val="00D17282"/>
    <w:rsid w:val="00D172CB"/>
    <w:rsid w:val="00D174DC"/>
    <w:rsid w:val="00D174FD"/>
    <w:rsid w:val="00D176BC"/>
    <w:rsid w:val="00D176E3"/>
    <w:rsid w:val="00D17706"/>
    <w:rsid w:val="00D17715"/>
    <w:rsid w:val="00D17832"/>
    <w:rsid w:val="00D178CA"/>
    <w:rsid w:val="00D1797A"/>
    <w:rsid w:val="00D179EB"/>
    <w:rsid w:val="00D17B10"/>
    <w:rsid w:val="00D17C2A"/>
    <w:rsid w:val="00D17C4A"/>
    <w:rsid w:val="00D17C7D"/>
    <w:rsid w:val="00D17CB2"/>
    <w:rsid w:val="00D17D19"/>
    <w:rsid w:val="00D17D43"/>
    <w:rsid w:val="00D17DE0"/>
    <w:rsid w:val="00D17F18"/>
    <w:rsid w:val="00D17F32"/>
    <w:rsid w:val="00D200BA"/>
    <w:rsid w:val="00D20109"/>
    <w:rsid w:val="00D2010A"/>
    <w:rsid w:val="00D20200"/>
    <w:rsid w:val="00D20376"/>
    <w:rsid w:val="00D203CE"/>
    <w:rsid w:val="00D203D7"/>
    <w:rsid w:val="00D203E9"/>
    <w:rsid w:val="00D20589"/>
    <w:rsid w:val="00D205B8"/>
    <w:rsid w:val="00D205E2"/>
    <w:rsid w:val="00D20650"/>
    <w:rsid w:val="00D2065E"/>
    <w:rsid w:val="00D20791"/>
    <w:rsid w:val="00D20A5D"/>
    <w:rsid w:val="00D20AAB"/>
    <w:rsid w:val="00D20AAD"/>
    <w:rsid w:val="00D20BA7"/>
    <w:rsid w:val="00D20BF8"/>
    <w:rsid w:val="00D20C38"/>
    <w:rsid w:val="00D20C40"/>
    <w:rsid w:val="00D20C73"/>
    <w:rsid w:val="00D20C7F"/>
    <w:rsid w:val="00D20CD8"/>
    <w:rsid w:val="00D20CE7"/>
    <w:rsid w:val="00D20D08"/>
    <w:rsid w:val="00D20D77"/>
    <w:rsid w:val="00D20E72"/>
    <w:rsid w:val="00D20F19"/>
    <w:rsid w:val="00D20F39"/>
    <w:rsid w:val="00D20F99"/>
    <w:rsid w:val="00D21066"/>
    <w:rsid w:val="00D2111C"/>
    <w:rsid w:val="00D2116E"/>
    <w:rsid w:val="00D212CC"/>
    <w:rsid w:val="00D2141A"/>
    <w:rsid w:val="00D2147F"/>
    <w:rsid w:val="00D214C1"/>
    <w:rsid w:val="00D21520"/>
    <w:rsid w:val="00D215AE"/>
    <w:rsid w:val="00D2160D"/>
    <w:rsid w:val="00D21637"/>
    <w:rsid w:val="00D2169E"/>
    <w:rsid w:val="00D216A1"/>
    <w:rsid w:val="00D2170B"/>
    <w:rsid w:val="00D218C7"/>
    <w:rsid w:val="00D218D7"/>
    <w:rsid w:val="00D2191E"/>
    <w:rsid w:val="00D21967"/>
    <w:rsid w:val="00D21A48"/>
    <w:rsid w:val="00D21C82"/>
    <w:rsid w:val="00D21D81"/>
    <w:rsid w:val="00D21DF1"/>
    <w:rsid w:val="00D21ECC"/>
    <w:rsid w:val="00D21FD2"/>
    <w:rsid w:val="00D22209"/>
    <w:rsid w:val="00D22271"/>
    <w:rsid w:val="00D222B8"/>
    <w:rsid w:val="00D223B7"/>
    <w:rsid w:val="00D2265E"/>
    <w:rsid w:val="00D22765"/>
    <w:rsid w:val="00D227B7"/>
    <w:rsid w:val="00D227BA"/>
    <w:rsid w:val="00D22863"/>
    <w:rsid w:val="00D2295E"/>
    <w:rsid w:val="00D229B6"/>
    <w:rsid w:val="00D22A12"/>
    <w:rsid w:val="00D22A6B"/>
    <w:rsid w:val="00D22A93"/>
    <w:rsid w:val="00D22C03"/>
    <w:rsid w:val="00D22C57"/>
    <w:rsid w:val="00D22D1F"/>
    <w:rsid w:val="00D230BA"/>
    <w:rsid w:val="00D2318B"/>
    <w:rsid w:val="00D231FA"/>
    <w:rsid w:val="00D232AB"/>
    <w:rsid w:val="00D23329"/>
    <w:rsid w:val="00D2333D"/>
    <w:rsid w:val="00D233B9"/>
    <w:rsid w:val="00D235AB"/>
    <w:rsid w:val="00D236D9"/>
    <w:rsid w:val="00D239A6"/>
    <w:rsid w:val="00D239CA"/>
    <w:rsid w:val="00D23AA3"/>
    <w:rsid w:val="00D23AF7"/>
    <w:rsid w:val="00D23BC0"/>
    <w:rsid w:val="00D23C6D"/>
    <w:rsid w:val="00D23E61"/>
    <w:rsid w:val="00D23E9E"/>
    <w:rsid w:val="00D23FF1"/>
    <w:rsid w:val="00D24030"/>
    <w:rsid w:val="00D2407E"/>
    <w:rsid w:val="00D240A6"/>
    <w:rsid w:val="00D2423B"/>
    <w:rsid w:val="00D24252"/>
    <w:rsid w:val="00D2430A"/>
    <w:rsid w:val="00D243C5"/>
    <w:rsid w:val="00D2444A"/>
    <w:rsid w:val="00D244AF"/>
    <w:rsid w:val="00D245E0"/>
    <w:rsid w:val="00D245F1"/>
    <w:rsid w:val="00D24624"/>
    <w:rsid w:val="00D247C7"/>
    <w:rsid w:val="00D24856"/>
    <w:rsid w:val="00D249D4"/>
    <w:rsid w:val="00D24A08"/>
    <w:rsid w:val="00D24A40"/>
    <w:rsid w:val="00D24AFE"/>
    <w:rsid w:val="00D24B47"/>
    <w:rsid w:val="00D24CCB"/>
    <w:rsid w:val="00D24CCE"/>
    <w:rsid w:val="00D25042"/>
    <w:rsid w:val="00D2504F"/>
    <w:rsid w:val="00D250B1"/>
    <w:rsid w:val="00D25173"/>
    <w:rsid w:val="00D254CE"/>
    <w:rsid w:val="00D25541"/>
    <w:rsid w:val="00D25749"/>
    <w:rsid w:val="00D257A2"/>
    <w:rsid w:val="00D2582B"/>
    <w:rsid w:val="00D2586C"/>
    <w:rsid w:val="00D258E8"/>
    <w:rsid w:val="00D25907"/>
    <w:rsid w:val="00D25A53"/>
    <w:rsid w:val="00D25AEB"/>
    <w:rsid w:val="00D25AF7"/>
    <w:rsid w:val="00D25BEB"/>
    <w:rsid w:val="00D25C0C"/>
    <w:rsid w:val="00D25CE4"/>
    <w:rsid w:val="00D25D4B"/>
    <w:rsid w:val="00D25E5B"/>
    <w:rsid w:val="00D2601C"/>
    <w:rsid w:val="00D2608B"/>
    <w:rsid w:val="00D2608D"/>
    <w:rsid w:val="00D26094"/>
    <w:rsid w:val="00D2609A"/>
    <w:rsid w:val="00D260E5"/>
    <w:rsid w:val="00D260F0"/>
    <w:rsid w:val="00D26196"/>
    <w:rsid w:val="00D262EB"/>
    <w:rsid w:val="00D262F5"/>
    <w:rsid w:val="00D2631B"/>
    <w:rsid w:val="00D26358"/>
    <w:rsid w:val="00D2638F"/>
    <w:rsid w:val="00D26474"/>
    <w:rsid w:val="00D2658D"/>
    <w:rsid w:val="00D26591"/>
    <w:rsid w:val="00D2662F"/>
    <w:rsid w:val="00D266A2"/>
    <w:rsid w:val="00D266D4"/>
    <w:rsid w:val="00D266FB"/>
    <w:rsid w:val="00D2670A"/>
    <w:rsid w:val="00D267A6"/>
    <w:rsid w:val="00D26848"/>
    <w:rsid w:val="00D26861"/>
    <w:rsid w:val="00D26959"/>
    <w:rsid w:val="00D26AF5"/>
    <w:rsid w:val="00D26B10"/>
    <w:rsid w:val="00D26B49"/>
    <w:rsid w:val="00D26B65"/>
    <w:rsid w:val="00D26B7B"/>
    <w:rsid w:val="00D26CD2"/>
    <w:rsid w:val="00D26CEE"/>
    <w:rsid w:val="00D26D0F"/>
    <w:rsid w:val="00D2700C"/>
    <w:rsid w:val="00D2711B"/>
    <w:rsid w:val="00D27275"/>
    <w:rsid w:val="00D272E8"/>
    <w:rsid w:val="00D2733C"/>
    <w:rsid w:val="00D27378"/>
    <w:rsid w:val="00D27443"/>
    <w:rsid w:val="00D274B5"/>
    <w:rsid w:val="00D27746"/>
    <w:rsid w:val="00D2774D"/>
    <w:rsid w:val="00D2778D"/>
    <w:rsid w:val="00D277DD"/>
    <w:rsid w:val="00D278B7"/>
    <w:rsid w:val="00D278F3"/>
    <w:rsid w:val="00D27964"/>
    <w:rsid w:val="00D279A8"/>
    <w:rsid w:val="00D279D2"/>
    <w:rsid w:val="00D27A08"/>
    <w:rsid w:val="00D27A50"/>
    <w:rsid w:val="00D27ABF"/>
    <w:rsid w:val="00D27B56"/>
    <w:rsid w:val="00D27C3C"/>
    <w:rsid w:val="00D27D67"/>
    <w:rsid w:val="00D27F87"/>
    <w:rsid w:val="00D27FF7"/>
    <w:rsid w:val="00D3001F"/>
    <w:rsid w:val="00D3010F"/>
    <w:rsid w:val="00D30251"/>
    <w:rsid w:val="00D302B1"/>
    <w:rsid w:val="00D303A7"/>
    <w:rsid w:val="00D303B2"/>
    <w:rsid w:val="00D30518"/>
    <w:rsid w:val="00D3058C"/>
    <w:rsid w:val="00D3059B"/>
    <w:rsid w:val="00D305DC"/>
    <w:rsid w:val="00D306A5"/>
    <w:rsid w:val="00D30793"/>
    <w:rsid w:val="00D307D2"/>
    <w:rsid w:val="00D30901"/>
    <w:rsid w:val="00D30968"/>
    <w:rsid w:val="00D3099A"/>
    <w:rsid w:val="00D30B7C"/>
    <w:rsid w:val="00D30C3B"/>
    <w:rsid w:val="00D30CD3"/>
    <w:rsid w:val="00D30DC4"/>
    <w:rsid w:val="00D30E4D"/>
    <w:rsid w:val="00D30F3F"/>
    <w:rsid w:val="00D3100E"/>
    <w:rsid w:val="00D311D0"/>
    <w:rsid w:val="00D312F4"/>
    <w:rsid w:val="00D313ED"/>
    <w:rsid w:val="00D31417"/>
    <w:rsid w:val="00D3145B"/>
    <w:rsid w:val="00D314E0"/>
    <w:rsid w:val="00D314F6"/>
    <w:rsid w:val="00D31543"/>
    <w:rsid w:val="00D3168F"/>
    <w:rsid w:val="00D316E4"/>
    <w:rsid w:val="00D31781"/>
    <w:rsid w:val="00D31912"/>
    <w:rsid w:val="00D31ABD"/>
    <w:rsid w:val="00D31B44"/>
    <w:rsid w:val="00D31BD4"/>
    <w:rsid w:val="00D31BF2"/>
    <w:rsid w:val="00D31C41"/>
    <w:rsid w:val="00D31C6D"/>
    <w:rsid w:val="00D31D55"/>
    <w:rsid w:val="00D31DD2"/>
    <w:rsid w:val="00D31DD5"/>
    <w:rsid w:val="00D31E0D"/>
    <w:rsid w:val="00D31F3C"/>
    <w:rsid w:val="00D31F41"/>
    <w:rsid w:val="00D31FBC"/>
    <w:rsid w:val="00D31FF8"/>
    <w:rsid w:val="00D3200E"/>
    <w:rsid w:val="00D3201F"/>
    <w:rsid w:val="00D320AD"/>
    <w:rsid w:val="00D320D0"/>
    <w:rsid w:val="00D32142"/>
    <w:rsid w:val="00D32226"/>
    <w:rsid w:val="00D322A9"/>
    <w:rsid w:val="00D322EF"/>
    <w:rsid w:val="00D32498"/>
    <w:rsid w:val="00D32564"/>
    <w:rsid w:val="00D32572"/>
    <w:rsid w:val="00D325AE"/>
    <w:rsid w:val="00D326B8"/>
    <w:rsid w:val="00D32775"/>
    <w:rsid w:val="00D32795"/>
    <w:rsid w:val="00D327BC"/>
    <w:rsid w:val="00D327F5"/>
    <w:rsid w:val="00D328C7"/>
    <w:rsid w:val="00D32ABB"/>
    <w:rsid w:val="00D32CBB"/>
    <w:rsid w:val="00D32E64"/>
    <w:rsid w:val="00D32FAC"/>
    <w:rsid w:val="00D32FFD"/>
    <w:rsid w:val="00D33068"/>
    <w:rsid w:val="00D3308F"/>
    <w:rsid w:val="00D33124"/>
    <w:rsid w:val="00D331AB"/>
    <w:rsid w:val="00D33300"/>
    <w:rsid w:val="00D3330B"/>
    <w:rsid w:val="00D33370"/>
    <w:rsid w:val="00D333F1"/>
    <w:rsid w:val="00D3344A"/>
    <w:rsid w:val="00D33481"/>
    <w:rsid w:val="00D33516"/>
    <w:rsid w:val="00D33623"/>
    <w:rsid w:val="00D33684"/>
    <w:rsid w:val="00D33689"/>
    <w:rsid w:val="00D33690"/>
    <w:rsid w:val="00D338B1"/>
    <w:rsid w:val="00D338B8"/>
    <w:rsid w:val="00D338F3"/>
    <w:rsid w:val="00D339E1"/>
    <w:rsid w:val="00D33ABB"/>
    <w:rsid w:val="00D33ACB"/>
    <w:rsid w:val="00D33ACE"/>
    <w:rsid w:val="00D33B41"/>
    <w:rsid w:val="00D33C2C"/>
    <w:rsid w:val="00D33C9E"/>
    <w:rsid w:val="00D33CBC"/>
    <w:rsid w:val="00D33CFE"/>
    <w:rsid w:val="00D33D68"/>
    <w:rsid w:val="00D33D86"/>
    <w:rsid w:val="00D33DDD"/>
    <w:rsid w:val="00D33EB9"/>
    <w:rsid w:val="00D33EFF"/>
    <w:rsid w:val="00D33FC5"/>
    <w:rsid w:val="00D3406C"/>
    <w:rsid w:val="00D340E5"/>
    <w:rsid w:val="00D34202"/>
    <w:rsid w:val="00D343EF"/>
    <w:rsid w:val="00D3444E"/>
    <w:rsid w:val="00D3447D"/>
    <w:rsid w:val="00D3449E"/>
    <w:rsid w:val="00D344C0"/>
    <w:rsid w:val="00D345FD"/>
    <w:rsid w:val="00D3474C"/>
    <w:rsid w:val="00D348BE"/>
    <w:rsid w:val="00D348D0"/>
    <w:rsid w:val="00D34A48"/>
    <w:rsid w:val="00D34B0F"/>
    <w:rsid w:val="00D34B55"/>
    <w:rsid w:val="00D34B81"/>
    <w:rsid w:val="00D34BDE"/>
    <w:rsid w:val="00D34BEB"/>
    <w:rsid w:val="00D34BF3"/>
    <w:rsid w:val="00D34CAD"/>
    <w:rsid w:val="00D34CB9"/>
    <w:rsid w:val="00D34D04"/>
    <w:rsid w:val="00D34D78"/>
    <w:rsid w:val="00D34D9F"/>
    <w:rsid w:val="00D34DCE"/>
    <w:rsid w:val="00D34DFD"/>
    <w:rsid w:val="00D34F0A"/>
    <w:rsid w:val="00D34F29"/>
    <w:rsid w:val="00D34FE6"/>
    <w:rsid w:val="00D350D4"/>
    <w:rsid w:val="00D35120"/>
    <w:rsid w:val="00D3515A"/>
    <w:rsid w:val="00D35222"/>
    <w:rsid w:val="00D352A3"/>
    <w:rsid w:val="00D352E7"/>
    <w:rsid w:val="00D353A2"/>
    <w:rsid w:val="00D353E1"/>
    <w:rsid w:val="00D353F7"/>
    <w:rsid w:val="00D3541A"/>
    <w:rsid w:val="00D3542D"/>
    <w:rsid w:val="00D3553D"/>
    <w:rsid w:val="00D35550"/>
    <w:rsid w:val="00D3557B"/>
    <w:rsid w:val="00D35665"/>
    <w:rsid w:val="00D35764"/>
    <w:rsid w:val="00D357ED"/>
    <w:rsid w:val="00D358FE"/>
    <w:rsid w:val="00D35932"/>
    <w:rsid w:val="00D35C0F"/>
    <w:rsid w:val="00D35C4E"/>
    <w:rsid w:val="00D35C52"/>
    <w:rsid w:val="00D35C5F"/>
    <w:rsid w:val="00D35CD7"/>
    <w:rsid w:val="00D35D03"/>
    <w:rsid w:val="00D35DBB"/>
    <w:rsid w:val="00D35EC3"/>
    <w:rsid w:val="00D35F24"/>
    <w:rsid w:val="00D35FA8"/>
    <w:rsid w:val="00D361F2"/>
    <w:rsid w:val="00D36214"/>
    <w:rsid w:val="00D36237"/>
    <w:rsid w:val="00D3629C"/>
    <w:rsid w:val="00D36382"/>
    <w:rsid w:val="00D363CD"/>
    <w:rsid w:val="00D36534"/>
    <w:rsid w:val="00D36547"/>
    <w:rsid w:val="00D365D9"/>
    <w:rsid w:val="00D365DC"/>
    <w:rsid w:val="00D36752"/>
    <w:rsid w:val="00D36816"/>
    <w:rsid w:val="00D36A4B"/>
    <w:rsid w:val="00D36A6B"/>
    <w:rsid w:val="00D36A8A"/>
    <w:rsid w:val="00D36C20"/>
    <w:rsid w:val="00D36C8A"/>
    <w:rsid w:val="00D36CAA"/>
    <w:rsid w:val="00D36CD0"/>
    <w:rsid w:val="00D36D60"/>
    <w:rsid w:val="00D3700F"/>
    <w:rsid w:val="00D3720B"/>
    <w:rsid w:val="00D37214"/>
    <w:rsid w:val="00D3731B"/>
    <w:rsid w:val="00D373D4"/>
    <w:rsid w:val="00D373F5"/>
    <w:rsid w:val="00D37449"/>
    <w:rsid w:val="00D37504"/>
    <w:rsid w:val="00D375BF"/>
    <w:rsid w:val="00D37678"/>
    <w:rsid w:val="00D3768D"/>
    <w:rsid w:val="00D37712"/>
    <w:rsid w:val="00D3772A"/>
    <w:rsid w:val="00D37787"/>
    <w:rsid w:val="00D37797"/>
    <w:rsid w:val="00D377A6"/>
    <w:rsid w:val="00D377CD"/>
    <w:rsid w:val="00D378CD"/>
    <w:rsid w:val="00D379EF"/>
    <w:rsid w:val="00D37A78"/>
    <w:rsid w:val="00D37A79"/>
    <w:rsid w:val="00D37AB0"/>
    <w:rsid w:val="00D37C29"/>
    <w:rsid w:val="00D37D19"/>
    <w:rsid w:val="00D37D54"/>
    <w:rsid w:val="00D37ED7"/>
    <w:rsid w:val="00D37F19"/>
    <w:rsid w:val="00D400A5"/>
    <w:rsid w:val="00D40142"/>
    <w:rsid w:val="00D4019C"/>
    <w:rsid w:val="00D401F7"/>
    <w:rsid w:val="00D4023F"/>
    <w:rsid w:val="00D40398"/>
    <w:rsid w:val="00D40480"/>
    <w:rsid w:val="00D40502"/>
    <w:rsid w:val="00D405C1"/>
    <w:rsid w:val="00D40620"/>
    <w:rsid w:val="00D4064B"/>
    <w:rsid w:val="00D40AB3"/>
    <w:rsid w:val="00D40D5D"/>
    <w:rsid w:val="00D40E07"/>
    <w:rsid w:val="00D40EDE"/>
    <w:rsid w:val="00D40F15"/>
    <w:rsid w:val="00D4111C"/>
    <w:rsid w:val="00D411F5"/>
    <w:rsid w:val="00D41268"/>
    <w:rsid w:val="00D41322"/>
    <w:rsid w:val="00D41436"/>
    <w:rsid w:val="00D4145E"/>
    <w:rsid w:val="00D414A5"/>
    <w:rsid w:val="00D41507"/>
    <w:rsid w:val="00D415F4"/>
    <w:rsid w:val="00D415F8"/>
    <w:rsid w:val="00D41743"/>
    <w:rsid w:val="00D4192A"/>
    <w:rsid w:val="00D41A73"/>
    <w:rsid w:val="00D41AC1"/>
    <w:rsid w:val="00D41B42"/>
    <w:rsid w:val="00D41B93"/>
    <w:rsid w:val="00D41BC8"/>
    <w:rsid w:val="00D41CD1"/>
    <w:rsid w:val="00D41D4A"/>
    <w:rsid w:val="00D41D98"/>
    <w:rsid w:val="00D41DED"/>
    <w:rsid w:val="00D41E02"/>
    <w:rsid w:val="00D41E51"/>
    <w:rsid w:val="00D41EFF"/>
    <w:rsid w:val="00D41F79"/>
    <w:rsid w:val="00D42038"/>
    <w:rsid w:val="00D42042"/>
    <w:rsid w:val="00D420A6"/>
    <w:rsid w:val="00D42124"/>
    <w:rsid w:val="00D4212D"/>
    <w:rsid w:val="00D421A0"/>
    <w:rsid w:val="00D423AA"/>
    <w:rsid w:val="00D423BB"/>
    <w:rsid w:val="00D42465"/>
    <w:rsid w:val="00D4255B"/>
    <w:rsid w:val="00D4259E"/>
    <w:rsid w:val="00D425DA"/>
    <w:rsid w:val="00D42696"/>
    <w:rsid w:val="00D426C0"/>
    <w:rsid w:val="00D428C3"/>
    <w:rsid w:val="00D42960"/>
    <w:rsid w:val="00D429FF"/>
    <w:rsid w:val="00D42B32"/>
    <w:rsid w:val="00D42B6B"/>
    <w:rsid w:val="00D42D1C"/>
    <w:rsid w:val="00D42DEC"/>
    <w:rsid w:val="00D42E59"/>
    <w:rsid w:val="00D42EBD"/>
    <w:rsid w:val="00D42FA8"/>
    <w:rsid w:val="00D43023"/>
    <w:rsid w:val="00D4323C"/>
    <w:rsid w:val="00D4332F"/>
    <w:rsid w:val="00D43351"/>
    <w:rsid w:val="00D43369"/>
    <w:rsid w:val="00D43425"/>
    <w:rsid w:val="00D4348D"/>
    <w:rsid w:val="00D434E3"/>
    <w:rsid w:val="00D4358E"/>
    <w:rsid w:val="00D436BF"/>
    <w:rsid w:val="00D437A5"/>
    <w:rsid w:val="00D43811"/>
    <w:rsid w:val="00D4381A"/>
    <w:rsid w:val="00D43839"/>
    <w:rsid w:val="00D43908"/>
    <w:rsid w:val="00D439B7"/>
    <w:rsid w:val="00D43B89"/>
    <w:rsid w:val="00D43C59"/>
    <w:rsid w:val="00D43CB2"/>
    <w:rsid w:val="00D43D6C"/>
    <w:rsid w:val="00D43D81"/>
    <w:rsid w:val="00D43DA3"/>
    <w:rsid w:val="00D43DD5"/>
    <w:rsid w:val="00D43E35"/>
    <w:rsid w:val="00D43E74"/>
    <w:rsid w:val="00D43EF2"/>
    <w:rsid w:val="00D43F36"/>
    <w:rsid w:val="00D43FA1"/>
    <w:rsid w:val="00D43FC1"/>
    <w:rsid w:val="00D44047"/>
    <w:rsid w:val="00D440A5"/>
    <w:rsid w:val="00D440E9"/>
    <w:rsid w:val="00D441BB"/>
    <w:rsid w:val="00D44230"/>
    <w:rsid w:val="00D442AF"/>
    <w:rsid w:val="00D4437E"/>
    <w:rsid w:val="00D443A0"/>
    <w:rsid w:val="00D443B0"/>
    <w:rsid w:val="00D444AB"/>
    <w:rsid w:val="00D4466E"/>
    <w:rsid w:val="00D44700"/>
    <w:rsid w:val="00D44818"/>
    <w:rsid w:val="00D449E0"/>
    <w:rsid w:val="00D44AE5"/>
    <w:rsid w:val="00D44B1A"/>
    <w:rsid w:val="00D44B38"/>
    <w:rsid w:val="00D44B75"/>
    <w:rsid w:val="00D44C9D"/>
    <w:rsid w:val="00D44D08"/>
    <w:rsid w:val="00D44D54"/>
    <w:rsid w:val="00D44D90"/>
    <w:rsid w:val="00D44E2B"/>
    <w:rsid w:val="00D44E37"/>
    <w:rsid w:val="00D44E5B"/>
    <w:rsid w:val="00D44E7C"/>
    <w:rsid w:val="00D44EE2"/>
    <w:rsid w:val="00D44EE3"/>
    <w:rsid w:val="00D44FA5"/>
    <w:rsid w:val="00D44FF8"/>
    <w:rsid w:val="00D4500D"/>
    <w:rsid w:val="00D4502A"/>
    <w:rsid w:val="00D450D9"/>
    <w:rsid w:val="00D45191"/>
    <w:rsid w:val="00D45250"/>
    <w:rsid w:val="00D45382"/>
    <w:rsid w:val="00D45471"/>
    <w:rsid w:val="00D45499"/>
    <w:rsid w:val="00D45514"/>
    <w:rsid w:val="00D45525"/>
    <w:rsid w:val="00D456FE"/>
    <w:rsid w:val="00D45766"/>
    <w:rsid w:val="00D4585C"/>
    <w:rsid w:val="00D458F7"/>
    <w:rsid w:val="00D45974"/>
    <w:rsid w:val="00D45A19"/>
    <w:rsid w:val="00D45A1D"/>
    <w:rsid w:val="00D45AFA"/>
    <w:rsid w:val="00D45CA0"/>
    <w:rsid w:val="00D45D4B"/>
    <w:rsid w:val="00D45D91"/>
    <w:rsid w:val="00D45D92"/>
    <w:rsid w:val="00D45DB2"/>
    <w:rsid w:val="00D45E86"/>
    <w:rsid w:val="00D45FA1"/>
    <w:rsid w:val="00D46046"/>
    <w:rsid w:val="00D4606F"/>
    <w:rsid w:val="00D460FC"/>
    <w:rsid w:val="00D4621F"/>
    <w:rsid w:val="00D46224"/>
    <w:rsid w:val="00D46226"/>
    <w:rsid w:val="00D462F6"/>
    <w:rsid w:val="00D46379"/>
    <w:rsid w:val="00D4639A"/>
    <w:rsid w:val="00D4639E"/>
    <w:rsid w:val="00D46486"/>
    <w:rsid w:val="00D464F2"/>
    <w:rsid w:val="00D4652A"/>
    <w:rsid w:val="00D46554"/>
    <w:rsid w:val="00D4656A"/>
    <w:rsid w:val="00D466C3"/>
    <w:rsid w:val="00D46716"/>
    <w:rsid w:val="00D4698B"/>
    <w:rsid w:val="00D469D0"/>
    <w:rsid w:val="00D46D0C"/>
    <w:rsid w:val="00D46D57"/>
    <w:rsid w:val="00D46E30"/>
    <w:rsid w:val="00D46E5C"/>
    <w:rsid w:val="00D46EC0"/>
    <w:rsid w:val="00D46FA7"/>
    <w:rsid w:val="00D47018"/>
    <w:rsid w:val="00D4704B"/>
    <w:rsid w:val="00D47060"/>
    <w:rsid w:val="00D47171"/>
    <w:rsid w:val="00D471BD"/>
    <w:rsid w:val="00D471ED"/>
    <w:rsid w:val="00D472FE"/>
    <w:rsid w:val="00D47338"/>
    <w:rsid w:val="00D474C1"/>
    <w:rsid w:val="00D47505"/>
    <w:rsid w:val="00D47679"/>
    <w:rsid w:val="00D476D6"/>
    <w:rsid w:val="00D47716"/>
    <w:rsid w:val="00D47738"/>
    <w:rsid w:val="00D47753"/>
    <w:rsid w:val="00D477E3"/>
    <w:rsid w:val="00D479DE"/>
    <w:rsid w:val="00D47A8D"/>
    <w:rsid w:val="00D47ADE"/>
    <w:rsid w:val="00D47B49"/>
    <w:rsid w:val="00D47C6E"/>
    <w:rsid w:val="00D47CB5"/>
    <w:rsid w:val="00D47D1F"/>
    <w:rsid w:val="00D47E71"/>
    <w:rsid w:val="00D47F4C"/>
    <w:rsid w:val="00D47F81"/>
    <w:rsid w:val="00D50090"/>
    <w:rsid w:val="00D500D0"/>
    <w:rsid w:val="00D500EA"/>
    <w:rsid w:val="00D50139"/>
    <w:rsid w:val="00D50171"/>
    <w:rsid w:val="00D501D1"/>
    <w:rsid w:val="00D501F6"/>
    <w:rsid w:val="00D50264"/>
    <w:rsid w:val="00D502E4"/>
    <w:rsid w:val="00D503DD"/>
    <w:rsid w:val="00D5047B"/>
    <w:rsid w:val="00D504C6"/>
    <w:rsid w:val="00D504D5"/>
    <w:rsid w:val="00D5057F"/>
    <w:rsid w:val="00D50614"/>
    <w:rsid w:val="00D50681"/>
    <w:rsid w:val="00D5069E"/>
    <w:rsid w:val="00D506BC"/>
    <w:rsid w:val="00D506C0"/>
    <w:rsid w:val="00D5074A"/>
    <w:rsid w:val="00D50797"/>
    <w:rsid w:val="00D508D0"/>
    <w:rsid w:val="00D5092A"/>
    <w:rsid w:val="00D5098F"/>
    <w:rsid w:val="00D50A22"/>
    <w:rsid w:val="00D50B50"/>
    <w:rsid w:val="00D50C25"/>
    <w:rsid w:val="00D50D2E"/>
    <w:rsid w:val="00D50D96"/>
    <w:rsid w:val="00D50F0A"/>
    <w:rsid w:val="00D50F48"/>
    <w:rsid w:val="00D51034"/>
    <w:rsid w:val="00D51075"/>
    <w:rsid w:val="00D51093"/>
    <w:rsid w:val="00D5119C"/>
    <w:rsid w:val="00D51213"/>
    <w:rsid w:val="00D51373"/>
    <w:rsid w:val="00D515B4"/>
    <w:rsid w:val="00D5162B"/>
    <w:rsid w:val="00D51691"/>
    <w:rsid w:val="00D516CB"/>
    <w:rsid w:val="00D518CB"/>
    <w:rsid w:val="00D5195E"/>
    <w:rsid w:val="00D51AB5"/>
    <w:rsid w:val="00D51AFD"/>
    <w:rsid w:val="00D51B80"/>
    <w:rsid w:val="00D51BCC"/>
    <w:rsid w:val="00D51C87"/>
    <w:rsid w:val="00D51C96"/>
    <w:rsid w:val="00D51E9A"/>
    <w:rsid w:val="00D51F3F"/>
    <w:rsid w:val="00D51F9F"/>
    <w:rsid w:val="00D52058"/>
    <w:rsid w:val="00D52115"/>
    <w:rsid w:val="00D52143"/>
    <w:rsid w:val="00D521BA"/>
    <w:rsid w:val="00D52292"/>
    <w:rsid w:val="00D522CE"/>
    <w:rsid w:val="00D5232D"/>
    <w:rsid w:val="00D5235C"/>
    <w:rsid w:val="00D5238D"/>
    <w:rsid w:val="00D523FC"/>
    <w:rsid w:val="00D5248D"/>
    <w:rsid w:val="00D52514"/>
    <w:rsid w:val="00D52549"/>
    <w:rsid w:val="00D525DE"/>
    <w:rsid w:val="00D52722"/>
    <w:rsid w:val="00D5275A"/>
    <w:rsid w:val="00D527CF"/>
    <w:rsid w:val="00D52997"/>
    <w:rsid w:val="00D52A04"/>
    <w:rsid w:val="00D52A68"/>
    <w:rsid w:val="00D52AAD"/>
    <w:rsid w:val="00D52BC1"/>
    <w:rsid w:val="00D52C77"/>
    <w:rsid w:val="00D52CDC"/>
    <w:rsid w:val="00D52D41"/>
    <w:rsid w:val="00D52D93"/>
    <w:rsid w:val="00D52FCC"/>
    <w:rsid w:val="00D53048"/>
    <w:rsid w:val="00D53119"/>
    <w:rsid w:val="00D53125"/>
    <w:rsid w:val="00D53176"/>
    <w:rsid w:val="00D531CC"/>
    <w:rsid w:val="00D53348"/>
    <w:rsid w:val="00D53455"/>
    <w:rsid w:val="00D534A1"/>
    <w:rsid w:val="00D53579"/>
    <w:rsid w:val="00D53647"/>
    <w:rsid w:val="00D5365B"/>
    <w:rsid w:val="00D5366B"/>
    <w:rsid w:val="00D53712"/>
    <w:rsid w:val="00D5381F"/>
    <w:rsid w:val="00D538F3"/>
    <w:rsid w:val="00D5396C"/>
    <w:rsid w:val="00D539D0"/>
    <w:rsid w:val="00D53A79"/>
    <w:rsid w:val="00D53AAC"/>
    <w:rsid w:val="00D53AD1"/>
    <w:rsid w:val="00D53B72"/>
    <w:rsid w:val="00D53C48"/>
    <w:rsid w:val="00D53D61"/>
    <w:rsid w:val="00D53D77"/>
    <w:rsid w:val="00D53DC9"/>
    <w:rsid w:val="00D53E53"/>
    <w:rsid w:val="00D53E59"/>
    <w:rsid w:val="00D53F46"/>
    <w:rsid w:val="00D53F7A"/>
    <w:rsid w:val="00D53F92"/>
    <w:rsid w:val="00D53FF3"/>
    <w:rsid w:val="00D54092"/>
    <w:rsid w:val="00D540E7"/>
    <w:rsid w:val="00D542E7"/>
    <w:rsid w:val="00D54304"/>
    <w:rsid w:val="00D54407"/>
    <w:rsid w:val="00D54461"/>
    <w:rsid w:val="00D544F0"/>
    <w:rsid w:val="00D54520"/>
    <w:rsid w:val="00D54592"/>
    <w:rsid w:val="00D54661"/>
    <w:rsid w:val="00D546DB"/>
    <w:rsid w:val="00D5477C"/>
    <w:rsid w:val="00D5478C"/>
    <w:rsid w:val="00D547B1"/>
    <w:rsid w:val="00D547C4"/>
    <w:rsid w:val="00D54833"/>
    <w:rsid w:val="00D54889"/>
    <w:rsid w:val="00D54892"/>
    <w:rsid w:val="00D549BF"/>
    <w:rsid w:val="00D54A30"/>
    <w:rsid w:val="00D54A47"/>
    <w:rsid w:val="00D54AA8"/>
    <w:rsid w:val="00D54B7B"/>
    <w:rsid w:val="00D54B84"/>
    <w:rsid w:val="00D54CAE"/>
    <w:rsid w:val="00D54D72"/>
    <w:rsid w:val="00D54DD8"/>
    <w:rsid w:val="00D54F35"/>
    <w:rsid w:val="00D54F94"/>
    <w:rsid w:val="00D54FB2"/>
    <w:rsid w:val="00D550C5"/>
    <w:rsid w:val="00D550F8"/>
    <w:rsid w:val="00D551FF"/>
    <w:rsid w:val="00D553A1"/>
    <w:rsid w:val="00D55479"/>
    <w:rsid w:val="00D554A9"/>
    <w:rsid w:val="00D55658"/>
    <w:rsid w:val="00D5567C"/>
    <w:rsid w:val="00D5569C"/>
    <w:rsid w:val="00D556FB"/>
    <w:rsid w:val="00D55750"/>
    <w:rsid w:val="00D557BC"/>
    <w:rsid w:val="00D557F6"/>
    <w:rsid w:val="00D55AD9"/>
    <w:rsid w:val="00D55ADA"/>
    <w:rsid w:val="00D55B18"/>
    <w:rsid w:val="00D55B32"/>
    <w:rsid w:val="00D55B55"/>
    <w:rsid w:val="00D55B69"/>
    <w:rsid w:val="00D55BF9"/>
    <w:rsid w:val="00D55C54"/>
    <w:rsid w:val="00D55D48"/>
    <w:rsid w:val="00D55E85"/>
    <w:rsid w:val="00D55F4E"/>
    <w:rsid w:val="00D5604A"/>
    <w:rsid w:val="00D5604E"/>
    <w:rsid w:val="00D56090"/>
    <w:rsid w:val="00D5615A"/>
    <w:rsid w:val="00D561DE"/>
    <w:rsid w:val="00D5631F"/>
    <w:rsid w:val="00D56671"/>
    <w:rsid w:val="00D566BB"/>
    <w:rsid w:val="00D5670F"/>
    <w:rsid w:val="00D56781"/>
    <w:rsid w:val="00D56890"/>
    <w:rsid w:val="00D568E8"/>
    <w:rsid w:val="00D56982"/>
    <w:rsid w:val="00D569A6"/>
    <w:rsid w:val="00D56AA7"/>
    <w:rsid w:val="00D56AC5"/>
    <w:rsid w:val="00D56AD6"/>
    <w:rsid w:val="00D56BE2"/>
    <w:rsid w:val="00D56C0D"/>
    <w:rsid w:val="00D56C49"/>
    <w:rsid w:val="00D56C7A"/>
    <w:rsid w:val="00D56C7B"/>
    <w:rsid w:val="00D56C90"/>
    <w:rsid w:val="00D56D1C"/>
    <w:rsid w:val="00D56D4B"/>
    <w:rsid w:val="00D56EC5"/>
    <w:rsid w:val="00D56EEE"/>
    <w:rsid w:val="00D56F43"/>
    <w:rsid w:val="00D56FCD"/>
    <w:rsid w:val="00D57099"/>
    <w:rsid w:val="00D570FE"/>
    <w:rsid w:val="00D57199"/>
    <w:rsid w:val="00D571A1"/>
    <w:rsid w:val="00D571C9"/>
    <w:rsid w:val="00D57228"/>
    <w:rsid w:val="00D57267"/>
    <w:rsid w:val="00D573EA"/>
    <w:rsid w:val="00D573F5"/>
    <w:rsid w:val="00D573F7"/>
    <w:rsid w:val="00D57476"/>
    <w:rsid w:val="00D57501"/>
    <w:rsid w:val="00D57510"/>
    <w:rsid w:val="00D575F2"/>
    <w:rsid w:val="00D57701"/>
    <w:rsid w:val="00D57727"/>
    <w:rsid w:val="00D57905"/>
    <w:rsid w:val="00D57A70"/>
    <w:rsid w:val="00D57D3F"/>
    <w:rsid w:val="00D57D51"/>
    <w:rsid w:val="00D57E3C"/>
    <w:rsid w:val="00D57E5C"/>
    <w:rsid w:val="00D57F1F"/>
    <w:rsid w:val="00D57FF3"/>
    <w:rsid w:val="00D60096"/>
    <w:rsid w:val="00D600D3"/>
    <w:rsid w:val="00D60189"/>
    <w:rsid w:val="00D6019F"/>
    <w:rsid w:val="00D601E1"/>
    <w:rsid w:val="00D60210"/>
    <w:rsid w:val="00D60254"/>
    <w:rsid w:val="00D60434"/>
    <w:rsid w:val="00D60543"/>
    <w:rsid w:val="00D6087B"/>
    <w:rsid w:val="00D60B40"/>
    <w:rsid w:val="00D60B8A"/>
    <w:rsid w:val="00D60CF6"/>
    <w:rsid w:val="00D60D4D"/>
    <w:rsid w:val="00D60E2F"/>
    <w:rsid w:val="00D60EBA"/>
    <w:rsid w:val="00D60F87"/>
    <w:rsid w:val="00D60F9D"/>
    <w:rsid w:val="00D60FAA"/>
    <w:rsid w:val="00D610E6"/>
    <w:rsid w:val="00D611F8"/>
    <w:rsid w:val="00D61217"/>
    <w:rsid w:val="00D61235"/>
    <w:rsid w:val="00D6136D"/>
    <w:rsid w:val="00D6143D"/>
    <w:rsid w:val="00D61485"/>
    <w:rsid w:val="00D614FF"/>
    <w:rsid w:val="00D6152D"/>
    <w:rsid w:val="00D61596"/>
    <w:rsid w:val="00D61638"/>
    <w:rsid w:val="00D6165D"/>
    <w:rsid w:val="00D61760"/>
    <w:rsid w:val="00D61876"/>
    <w:rsid w:val="00D61885"/>
    <w:rsid w:val="00D6194B"/>
    <w:rsid w:val="00D61984"/>
    <w:rsid w:val="00D61AA4"/>
    <w:rsid w:val="00D61B9B"/>
    <w:rsid w:val="00D61C0A"/>
    <w:rsid w:val="00D61C80"/>
    <w:rsid w:val="00D61CBF"/>
    <w:rsid w:val="00D61D46"/>
    <w:rsid w:val="00D61ED8"/>
    <w:rsid w:val="00D620A7"/>
    <w:rsid w:val="00D620E3"/>
    <w:rsid w:val="00D6212A"/>
    <w:rsid w:val="00D6214B"/>
    <w:rsid w:val="00D6218D"/>
    <w:rsid w:val="00D6227D"/>
    <w:rsid w:val="00D62341"/>
    <w:rsid w:val="00D62393"/>
    <w:rsid w:val="00D62406"/>
    <w:rsid w:val="00D624B3"/>
    <w:rsid w:val="00D6261C"/>
    <w:rsid w:val="00D62631"/>
    <w:rsid w:val="00D627D1"/>
    <w:rsid w:val="00D628AF"/>
    <w:rsid w:val="00D628B4"/>
    <w:rsid w:val="00D6296E"/>
    <w:rsid w:val="00D629FB"/>
    <w:rsid w:val="00D62A01"/>
    <w:rsid w:val="00D62A0A"/>
    <w:rsid w:val="00D62A27"/>
    <w:rsid w:val="00D62B1E"/>
    <w:rsid w:val="00D62C4F"/>
    <w:rsid w:val="00D62D04"/>
    <w:rsid w:val="00D62E32"/>
    <w:rsid w:val="00D62E5E"/>
    <w:rsid w:val="00D62E60"/>
    <w:rsid w:val="00D62E63"/>
    <w:rsid w:val="00D62E79"/>
    <w:rsid w:val="00D62F1E"/>
    <w:rsid w:val="00D62F49"/>
    <w:rsid w:val="00D62F5D"/>
    <w:rsid w:val="00D62FC8"/>
    <w:rsid w:val="00D6307B"/>
    <w:rsid w:val="00D630A0"/>
    <w:rsid w:val="00D6311B"/>
    <w:rsid w:val="00D6330D"/>
    <w:rsid w:val="00D6331A"/>
    <w:rsid w:val="00D633C7"/>
    <w:rsid w:val="00D63425"/>
    <w:rsid w:val="00D635AB"/>
    <w:rsid w:val="00D635C8"/>
    <w:rsid w:val="00D635E6"/>
    <w:rsid w:val="00D635F5"/>
    <w:rsid w:val="00D636D0"/>
    <w:rsid w:val="00D63739"/>
    <w:rsid w:val="00D637C8"/>
    <w:rsid w:val="00D63953"/>
    <w:rsid w:val="00D63A4E"/>
    <w:rsid w:val="00D63ACC"/>
    <w:rsid w:val="00D63AE9"/>
    <w:rsid w:val="00D63B75"/>
    <w:rsid w:val="00D63C51"/>
    <w:rsid w:val="00D63CA9"/>
    <w:rsid w:val="00D63D07"/>
    <w:rsid w:val="00D63D34"/>
    <w:rsid w:val="00D63D5F"/>
    <w:rsid w:val="00D63DBC"/>
    <w:rsid w:val="00D63DD9"/>
    <w:rsid w:val="00D63FAB"/>
    <w:rsid w:val="00D63FB4"/>
    <w:rsid w:val="00D63FE9"/>
    <w:rsid w:val="00D64074"/>
    <w:rsid w:val="00D640C6"/>
    <w:rsid w:val="00D640F1"/>
    <w:rsid w:val="00D6418A"/>
    <w:rsid w:val="00D6422C"/>
    <w:rsid w:val="00D64281"/>
    <w:rsid w:val="00D64410"/>
    <w:rsid w:val="00D644EB"/>
    <w:rsid w:val="00D64537"/>
    <w:rsid w:val="00D6458F"/>
    <w:rsid w:val="00D645BE"/>
    <w:rsid w:val="00D645CB"/>
    <w:rsid w:val="00D645F8"/>
    <w:rsid w:val="00D645FE"/>
    <w:rsid w:val="00D6465D"/>
    <w:rsid w:val="00D646A8"/>
    <w:rsid w:val="00D64777"/>
    <w:rsid w:val="00D64812"/>
    <w:rsid w:val="00D64816"/>
    <w:rsid w:val="00D64879"/>
    <w:rsid w:val="00D6496F"/>
    <w:rsid w:val="00D64B83"/>
    <w:rsid w:val="00D64C52"/>
    <w:rsid w:val="00D64CD8"/>
    <w:rsid w:val="00D64D9F"/>
    <w:rsid w:val="00D64E06"/>
    <w:rsid w:val="00D64E87"/>
    <w:rsid w:val="00D64EF4"/>
    <w:rsid w:val="00D64F29"/>
    <w:rsid w:val="00D64F9E"/>
    <w:rsid w:val="00D64FAB"/>
    <w:rsid w:val="00D64FD9"/>
    <w:rsid w:val="00D650AE"/>
    <w:rsid w:val="00D650C6"/>
    <w:rsid w:val="00D6514C"/>
    <w:rsid w:val="00D651E2"/>
    <w:rsid w:val="00D652C1"/>
    <w:rsid w:val="00D654F1"/>
    <w:rsid w:val="00D65519"/>
    <w:rsid w:val="00D6551A"/>
    <w:rsid w:val="00D6554F"/>
    <w:rsid w:val="00D6561A"/>
    <w:rsid w:val="00D65630"/>
    <w:rsid w:val="00D6574A"/>
    <w:rsid w:val="00D657AE"/>
    <w:rsid w:val="00D657E1"/>
    <w:rsid w:val="00D6587E"/>
    <w:rsid w:val="00D658F5"/>
    <w:rsid w:val="00D65BC0"/>
    <w:rsid w:val="00D65C64"/>
    <w:rsid w:val="00D65D23"/>
    <w:rsid w:val="00D65F39"/>
    <w:rsid w:val="00D65F43"/>
    <w:rsid w:val="00D65F64"/>
    <w:rsid w:val="00D6619B"/>
    <w:rsid w:val="00D6628B"/>
    <w:rsid w:val="00D662BD"/>
    <w:rsid w:val="00D662FE"/>
    <w:rsid w:val="00D66300"/>
    <w:rsid w:val="00D66306"/>
    <w:rsid w:val="00D66383"/>
    <w:rsid w:val="00D663C3"/>
    <w:rsid w:val="00D664DC"/>
    <w:rsid w:val="00D6653E"/>
    <w:rsid w:val="00D665BB"/>
    <w:rsid w:val="00D665DC"/>
    <w:rsid w:val="00D6664A"/>
    <w:rsid w:val="00D66784"/>
    <w:rsid w:val="00D667B8"/>
    <w:rsid w:val="00D668B3"/>
    <w:rsid w:val="00D668C8"/>
    <w:rsid w:val="00D668E9"/>
    <w:rsid w:val="00D66908"/>
    <w:rsid w:val="00D669DD"/>
    <w:rsid w:val="00D66B06"/>
    <w:rsid w:val="00D66B3E"/>
    <w:rsid w:val="00D66B3F"/>
    <w:rsid w:val="00D66B79"/>
    <w:rsid w:val="00D66BA5"/>
    <w:rsid w:val="00D66D52"/>
    <w:rsid w:val="00D66E2B"/>
    <w:rsid w:val="00D66E41"/>
    <w:rsid w:val="00D66E8B"/>
    <w:rsid w:val="00D66F82"/>
    <w:rsid w:val="00D670FD"/>
    <w:rsid w:val="00D67117"/>
    <w:rsid w:val="00D6718E"/>
    <w:rsid w:val="00D671F7"/>
    <w:rsid w:val="00D6722C"/>
    <w:rsid w:val="00D67285"/>
    <w:rsid w:val="00D672B3"/>
    <w:rsid w:val="00D672D5"/>
    <w:rsid w:val="00D672FD"/>
    <w:rsid w:val="00D6732A"/>
    <w:rsid w:val="00D67383"/>
    <w:rsid w:val="00D673A3"/>
    <w:rsid w:val="00D67492"/>
    <w:rsid w:val="00D674F5"/>
    <w:rsid w:val="00D6778D"/>
    <w:rsid w:val="00D67866"/>
    <w:rsid w:val="00D67870"/>
    <w:rsid w:val="00D678E0"/>
    <w:rsid w:val="00D678FD"/>
    <w:rsid w:val="00D67961"/>
    <w:rsid w:val="00D679A9"/>
    <w:rsid w:val="00D67A27"/>
    <w:rsid w:val="00D67A9F"/>
    <w:rsid w:val="00D67B24"/>
    <w:rsid w:val="00D67B73"/>
    <w:rsid w:val="00D67C6A"/>
    <w:rsid w:val="00D67C72"/>
    <w:rsid w:val="00D67CE6"/>
    <w:rsid w:val="00D67DAC"/>
    <w:rsid w:val="00D67FD6"/>
    <w:rsid w:val="00D70043"/>
    <w:rsid w:val="00D7007E"/>
    <w:rsid w:val="00D7017F"/>
    <w:rsid w:val="00D701D1"/>
    <w:rsid w:val="00D70208"/>
    <w:rsid w:val="00D702BD"/>
    <w:rsid w:val="00D702D6"/>
    <w:rsid w:val="00D703EE"/>
    <w:rsid w:val="00D704FC"/>
    <w:rsid w:val="00D70637"/>
    <w:rsid w:val="00D7064D"/>
    <w:rsid w:val="00D70680"/>
    <w:rsid w:val="00D708BF"/>
    <w:rsid w:val="00D709E4"/>
    <w:rsid w:val="00D70AFA"/>
    <w:rsid w:val="00D70B71"/>
    <w:rsid w:val="00D70CAD"/>
    <w:rsid w:val="00D70CFF"/>
    <w:rsid w:val="00D70DB3"/>
    <w:rsid w:val="00D70DC1"/>
    <w:rsid w:val="00D70E80"/>
    <w:rsid w:val="00D70EC9"/>
    <w:rsid w:val="00D70F5B"/>
    <w:rsid w:val="00D70FB6"/>
    <w:rsid w:val="00D7103E"/>
    <w:rsid w:val="00D712F7"/>
    <w:rsid w:val="00D71339"/>
    <w:rsid w:val="00D71376"/>
    <w:rsid w:val="00D7147E"/>
    <w:rsid w:val="00D7148B"/>
    <w:rsid w:val="00D71544"/>
    <w:rsid w:val="00D71557"/>
    <w:rsid w:val="00D715A9"/>
    <w:rsid w:val="00D715B6"/>
    <w:rsid w:val="00D715E2"/>
    <w:rsid w:val="00D71662"/>
    <w:rsid w:val="00D71748"/>
    <w:rsid w:val="00D71990"/>
    <w:rsid w:val="00D71B84"/>
    <w:rsid w:val="00D71B93"/>
    <w:rsid w:val="00D71BE0"/>
    <w:rsid w:val="00D71CA8"/>
    <w:rsid w:val="00D71CAD"/>
    <w:rsid w:val="00D71CED"/>
    <w:rsid w:val="00D71D0A"/>
    <w:rsid w:val="00D71D67"/>
    <w:rsid w:val="00D71D82"/>
    <w:rsid w:val="00D71F24"/>
    <w:rsid w:val="00D71F99"/>
    <w:rsid w:val="00D720C2"/>
    <w:rsid w:val="00D72108"/>
    <w:rsid w:val="00D72192"/>
    <w:rsid w:val="00D722B7"/>
    <w:rsid w:val="00D722E7"/>
    <w:rsid w:val="00D72346"/>
    <w:rsid w:val="00D723F5"/>
    <w:rsid w:val="00D72402"/>
    <w:rsid w:val="00D7241F"/>
    <w:rsid w:val="00D72571"/>
    <w:rsid w:val="00D7257A"/>
    <w:rsid w:val="00D725A8"/>
    <w:rsid w:val="00D725B7"/>
    <w:rsid w:val="00D72639"/>
    <w:rsid w:val="00D727DD"/>
    <w:rsid w:val="00D727E1"/>
    <w:rsid w:val="00D72844"/>
    <w:rsid w:val="00D72890"/>
    <w:rsid w:val="00D728E3"/>
    <w:rsid w:val="00D72A02"/>
    <w:rsid w:val="00D72A3E"/>
    <w:rsid w:val="00D72A95"/>
    <w:rsid w:val="00D72AE0"/>
    <w:rsid w:val="00D72AFD"/>
    <w:rsid w:val="00D72B7E"/>
    <w:rsid w:val="00D72BD4"/>
    <w:rsid w:val="00D72C66"/>
    <w:rsid w:val="00D72CD9"/>
    <w:rsid w:val="00D72D4F"/>
    <w:rsid w:val="00D72D51"/>
    <w:rsid w:val="00D72E26"/>
    <w:rsid w:val="00D72E84"/>
    <w:rsid w:val="00D72EA3"/>
    <w:rsid w:val="00D72EE6"/>
    <w:rsid w:val="00D72F33"/>
    <w:rsid w:val="00D72F9F"/>
    <w:rsid w:val="00D72FFF"/>
    <w:rsid w:val="00D73006"/>
    <w:rsid w:val="00D7300C"/>
    <w:rsid w:val="00D73119"/>
    <w:rsid w:val="00D731AD"/>
    <w:rsid w:val="00D731F7"/>
    <w:rsid w:val="00D7329E"/>
    <w:rsid w:val="00D73314"/>
    <w:rsid w:val="00D7337C"/>
    <w:rsid w:val="00D734AB"/>
    <w:rsid w:val="00D734FB"/>
    <w:rsid w:val="00D7363B"/>
    <w:rsid w:val="00D7373F"/>
    <w:rsid w:val="00D737F5"/>
    <w:rsid w:val="00D73B03"/>
    <w:rsid w:val="00D73BF0"/>
    <w:rsid w:val="00D73D98"/>
    <w:rsid w:val="00D73DC9"/>
    <w:rsid w:val="00D73DE5"/>
    <w:rsid w:val="00D73F71"/>
    <w:rsid w:val="00D73F97"/>
    <w:rsid w:val="00D7417C"/>
    <w:rsid w:val="00D7422A"/>
    <w:rsid w:val="00D743DD"/>
    <w:rsid w:val="00D744A0"/>
    <w:rsid w:val="00D7456A"/>
    <w:rsid w:val="00D7459D"/>
    <w:rsid w:val="00D745D8"/>
    <w:rsid w:val="00D745F4"/>
    <w:rsid w:val="00D74622"/>
    <w:rsid w:val="00D74741"/>
    <w:rsid w:val="00D74756"/>
    <w:rsid w:val="00D7480C"/>
    <w:rsid w:val="00D7489D"/>
    <w:rsid w:val="00D74970"/>
    <w:rsid w:val="00D749A2"/>
    <w:rsid w:val="00D74B8C"/>
    <w:rsid w:val="00D74B90"/>
    <w:rsid w:val="00D74C62"/>
    <w:rsid w:val="00D74E76"/>
    <w:rsid w:val="00D74EDE"/>
    <w:rsid w:val="00D75062"/>
    <w:rsid w:val="00D75079"/>
    <w:rsid w:val="00D7507A"/>
    <w:rsid w:val="00D75117"/>
    <w:rsid w:val="00D751AB"/>
    <w:rsid w:val="00D7524C"/>
    <w:rsid w:val="00D753B0"/>
    <w:rsid w:val="00D75420"/>
    <w:rsid w:val="00D754E5"/>
    <w:rsid w:val="00D755EA"/>
    <w:rsid w:val="00D7564D"/>
    <w:rsid w:val="00D756F2"/>
    <w:rsid w:val="00D7573C"/>
    <w:rsid w:val="00D7582B"/>
    <w:rsid w:val="00D7587E"/>
    <w:rsid w:val="00D758CF"/>
    <w:rsid w:val="00D75975"/>
    <w:rsid w:val="00D7597F"/>
    <w:rsid w:val="00D75AAE"/>
    <w:rsid w:val="00D75ADB"/>
    <w:rsid w:val="00D75E51"/>
    <w:rsid w:val="00D75ED5"/>
    <w:rsid w:val="00D75F2C"/>
    <w:rsid w:val="00D75F75"/>
    <w:rsid w:val="00D75FC1"/>
    <w:rsid w:val="00D75FF2"/>
    <w:rsid w:val="00D76012"/>
    <w:rsid w:val="00D7609B"/>
    <w:rsid w:val="00D761A5"/>
    <w:rsid w:val="00D76296"/>
    <w:rsid w:val="00D762E3"/>
    <w:rsid w:val="00D763A3"/>
    <w:rsid w:val="00D764BC"/>
    <w:rsid w:val="00D764D8"/>
    <w:rsid w:val="00D76528"/>
    <w:rsid w:val="00D765ED"/>
    <w:rsid w:val="00D76821"/>
    <w:rsid w:val="00D7689F"/>
    <w:rsid w:val="00D769CA"/>
    <w:rsid w:val="00D769CB"/>
    <w:rsid w:val="00D76A51"/>
    <w:rsid w:val="00D76B16"/>
    <w:rsid w:val="00D76C0E"/>
    <w:rsid w:val="00D76C26"/>
    <w:rsid w:val="00D76CF4"/>
    <w:rsid w:val="00D76D5D"/>
    <w:rsid w:val="00D76E67"/>
    <w:rsid w:val="00D76E92"/>
    <w:rsid w:val="00D76F1B"/>
    <w:rsid w:val="00D77013"/>
    <w:rsid w:val="00D7702E"/>
    <w:rsid w:val="00D77090"/>
    <w:rsid w:val="00D770E5"/>
    <w:rsid w:val="00D771A9"/>
    <w:rsid w:val="00D77270"/>
    <w:rsid w:val="00D77335"/>
    <w:rsid w:val="00D7734E"/>
    <w:rsid w:val="00D773BE"/>
    <w:rsid w:val="00D77419"/>
    <w:rsid w:val="00D77477"/>
    <w:rsid w:val="00D774F6"/>
    <w:rsid w:val="00D7758A"/>
    <w:rsid w:val="00D775B4"/>
    <w:rsid w:val="00D77760"/>
    <w:rsid w:val="00D77792"/>
    <w:rsid w:val="00D777A5"/>
    <w:rsid w:val="00D777AD"/>
    <w:rsid w:val="00D777F5"/>
    <w:rsid w:val="00D7793B"/>
    <w:rsid w:val="00D7795E"/>
    <w:rsid w:val="00D77A22"/>
    <w:rsid w:val="00D77B84"/>
    <w:rsid w:val="00D77BEA"/>
    <w:rsid w:val="00D77CE2"/>
    <w:rsid w:val="00D77DC1"/>
    <w:rsid w:val="00D77DE0"/>
    <w:rsid w:val="00D77E49"/>
    <w:rsid w:val="00D77F6F"/>
    <w:rsid w:val="00D77F90"/>
    <w:rsid w:val="00D8005A"/>
    <w:rsid w:val="00D80086"/>
    <w:rsid w:val="00D801D5"/>
    <w:rsid w:val="00D8020E"/>
    <w:rsid w:val="00D802EC"/>
    <w:rsid w:val="00D80355"/>
    <w:rsid w:val="00D803E1"/>
    <w:rsid w:val="00D80479"/>
    <w:rsid w:val="00D80497"/>
    <w:rsid w:val="00D805D9"/>
    <w:rsid w:val="00D80703"/>
    <w:rsid w:val="00D80713"/>
    <w:rsid w:val="00D808CF"/>
    <w:rsid w:val="00D8094D"/>
    <w:rsid w:val="00D80AB1"/>
    <w:rsid w:val="00D80B29"/>
    <w:rsid w:val="00D80B32"/>
    <w:rsid w:val="00D80B6F"/>
    <w:rsid w:val="00D80BD3"/>
    <w:rsid w:val="00D80C30"/>
    <w:rsid w:val="00D80C48"/>
    <w:rsid w:val="00D80CDC"/>
    <w:rsid w:val="00D80CE3"/>
    <w:rsid w:val="00D80D8E"/>
    <w:rsid w:val="00D80E33"/>
    <w:rsid w:val="00D80E80"/>
    <w:rsid w:val="00D80EC7"/>
    <w:rsid w:val="00D80EC9"/>
    <w:rsid w:val="00D80F7B"/>
    <w:rsid w:val="00D81032"/>
    <w:rsid w:val="00D81042"/>
    <w:rsid w:val="00D811A5"/>
    <w:rsid w:val="00D81246"/>
    <w:rsid w:val="00D81305"/>
    <w:rsid w:val="00D81366"/>
    <w:rsid w:val="00D813C3"/>
    <w:rsid w:val="00D813E6"/>
    <w:rsid w:val="00D8142C"/>
    <w:rsid w:val="00D814B5"/>
    <w:rsid w:val="00D81555"/>
    <w:rsid w:val="00D8160E"/>
    <w:rsid w:val="00D81756"/>
    <w:rsid w:val="00D81931"/>
    <w:rsid w:val="00D8193D"/>
    <w:rsid w:val="00D81A63"/>
    <w:rsid w:val="00D81A73"/>
    <w:rsid w:val="00D81AA7"/>
    <w:rsid w:val="00D81B44"/>
    <w:rsid w:val="00D81D1B"/>
    <w:rsid w:val="00D81E8D"/>
    <w:rsid w:val="00D81F0C"/>
    <w:rsid w:val="00D81F25"/>
    <w:rsid w:val="00D81FC8"/>
    <w:rsid w:val="00D81FE6"/>
    <w:rsid w:val="00D8201F"/>
    <w:rsid w:val="00D820B8"/>
    <w:rsid w:val="00D822C8"/>
    <w:rsid w:val="00D823E9"/>
    <w:rsid w:val="00D8249F"/>
    <w:rsid w:val="00D82522"/>
    <w:rsid w:val="00D82528"/>
    <w:rsid w:val="00D82648"/>
    <w:rsid w:val="00D8266E"/>
    <w:rsid w:val="00D827D5"/>
    <w:rsid w:val="00D828EA"/>
    <w:rsid w:val="00D8293A"/>
    <w:rsid w:val="00D82952"/>
    <w:rsid w:val="00D82C5D"/>
    <w:rsid w:val="00D82D35"/>
    <w:rsid w:val="00D82EB9"/>
    <w:rsid w:val="00D82F81"/>
    <w:rsid w:val="00D8303B"/>
    <w:rsid w:val="00D83077"/>
    <w:rsid w:val="00D83080"/>
    <w:rsid w:val="00D830AD"/>
    <w:rsid w:val="00D8317C"/>
    <w:rsid w:val="00D83286"/>
    <w:rsid w:val="00D832E8"/>
    <w:rsid w:val="00D8338D"/>
    <w:rsid w:val="00D83429"/>
    <w:rsid w:val="00D834EE"/>
    <w:rsid w:val="00D83501"/>
    <w:rsid w:val="00D83512"/>
    <w:rsid w:val="00D83604"/>
    <w:rsid w:val="00D8374C"/>
    <w:rsid w:val="00D83871"/>
    <w:rsid w:val="00D8387D"/>
    <w:rsid w:val="00D8390C"/>
    <w:rsid w:val="00D839A1"/>
    <w:rsid w:val="00D83AF9"/>
    <w:rsid w:val="00D83B83"/>
    <w:rsid w:val="00D83B93"/>
    <w:rsid w:val="00D83E20"/>
    <w:rsid w:val="00D83E57"/>
    <w:rsid w:val="00D83E67"/>
    <w:rsid w:val="00D83E68"/>
    <w:rsid w:val="00D83EAB"/>
    <w:rsid w:val="00D83F93"/>
    <w:rsid w:val="00D84049"/>
    <w:rsid w:val="00D84143"/>
    <w:rsid w:val="00D84318"/>
    <w:rsid w:val="00D84470"/>
    <w:rsid w:val="00D84553"/>
    <w:rsid w:val="00D8467E"/>
    <w:rsid w:val="00D846A3"/>
    <w:rsid w:val="00D846EB"/>
    <w:rsid w:val="00D84885"/>
    <w:rsid w:val="00D84911"/>
    <w:rsid w:val="00D84990"/>
    <w:rsid w:val="00D84CB8"/>
    <w:rsid w:val="00D84DA0"/>
    <w:rsid w:val="00D84F84"/>
    <w:rsid w:val="00D8517E"/>
    <w:rsid w:val="00D85205"/>
    <w:rsid w:val="00D85221"/>
    <w:rsid w:val="00D85272"/>
    <w:rsid w:val="00D85351"/>
    <w:rsid w:val="00D8542A"/>
    <w:rsid w:val="00D8545F"/>
    <w:rsid w:val="00D85506"/>
    <w:rsid w:val="00D8560C"/>
    <w:rsid w:val="00D85686"/>
    <w:rsid w:val="00D8569A"/>
    <w:rsid w:val="00D8571A"/>
    <w:rsid w:val="00D85758"/>
    <w:rsid w:val="00D8585B"/>
    <w:rsid w:val="00D85ABF"/>
    <w:rsid w:val="00D85ADF"/>
    <w:rsid w:val="00D85B0E"/>
    <w:rsid w:val="00D85B2B"/>
    <w:rsid w:val="00D85BE3"/>
    <w:rsid w:val="00D85BF4"/>
    <w:rsid w:val="00D85CED"/>
    <w:rsid w:val="00D85F33"/>
    <w:rsid w:val="00D85F40"/>
    <w:rsid w:val="00D85F98"/>
    <w:rsid w:val="00D8601C"/>
    <w:rsid w:val="00D86038"/>
    <w:rsid w:val="00D860F6"/>
    <w:rsid w:val="00D861DF"/>
    <w:rsid w:val="00D861E7"/>
    <w:rsid w:val="00D86245"/>
    <w:rsid w:val="00D862C6"/>
    <w:rsid w:val="00D8635A"/>
    <w:rsid w:val="00D8640A"/>
    <w:rsid w:val="00D864D0"/>
    <w:rsid w:val="00D86517"/>
    <w:rsid w:val="00D8653D"/>
    <w:rsid w:val="00D866AD"/>
    <w:rsid w:val="00D8670D"/>
    <w:rsid w:val="00D8675D"/>
    <w:rsid w:val="00D86796"/>
    <w:rsid w:val="00D867BE"/>
    <w:rsid w:val="00D86839"/>
    <w:rsid w:val="00D868BA"/>
    <w:rsid w:val="00D86A1F"/>
    <w:rsid w:val="00D86A48"/>
    <w:rsid w:val="00D86ACA"/>
    <w:rsid w:val="00D86AFD"/>
    <w:rsid w:val="00D86CA4"/>
    <w:rsid w:val="00D86DB7"/>
    <w:rsid w:val="00D86E0C"/>
    <w:rsid w:val="00D86E18"/>
    <w:rsid w:val="00D86E80"/>
    <w:rsid w:val="00D86F8D"/>
    <w:rsid w:val="00D86FD3"/>
    <w:rsid w:val="00D870B6"/>
    <w:rsid w:val="00D870C8"/>
    <w:rsid w:val="00D87145"/>
    <w:rsid w:val="00D87184"/>
    <w:rsid w:val="00D872CD"/>
    <w:rsid w:val="00D872D5"/>
    <w:rsid w:val="00D872E6"/>
    <w:rsid w:val="00D8735F"/>
    <w:rsid w:val="00D87474"/>
    <w:rsid w:val="00D87613"/>
    <w:rsid w:val="00D87771"/>
    <w:rsid w:val="00D8778A"/>
    <w:rsid w:val="00D8790D"/>
    <w:rsid w:val="00D87BE2"/>
    <w:rsid w:val="00D87C06"/>
    <w:rsid w:val="00D87C19"/>
    <w:rsid w:val="00D87D52"/>
    <w:rsid w:val="00D87DCE"/>
    <w:rsid w:val="00D87EB5"/>
    <w:rsid w:val="00D87FB6"/>
    <w:rsid w:val="00D90067"/>
    <w:rsid w:val="00D90073"/>
    <w:rsid w:val="00D900E6"/>
    <w:rsid w:val="00D901B2"/>
    <w:rsid w:val="00D9024E"/>
    <w:rsid w:val="00D902DD"/>
    <w:rsid w:val="00D9048C"/>
    <w:rsid w:val="00D9055F"/>
    <w:rsid w:val="00D9067C"/>
    <w:rsid w:val="00D906B6"/>
    <w:rsid w:val="00D90750"/>
    <w:rsid w:val="00D90779"/>
    <w:rsid w:val="00D90793"/>
    <w:rsid w:val="00D909FB"/>
    <w:rsid w:val="00D90BEE"/>
    <w:rsid w:val="00D90C01"/>
    <w:rsid w:val="00D90C17"/>
    <w:rsid w:val="00D90D68"/>
    <w:rsid w:val="00D90DB7"/>
    <w:rsid w:val="00D90DDF"/>
    <w:rsid w:val="00D90E95"/>
    <w:rsid w:val="00D90F33"/>
    <w:rsid w:val="00D91057"/>
    <w:rsid w:val="00D9110F"/>
    <w:rsid w:val="00D9121F"/>
    <w:rsid w:val="00D912FA"/>
    <w:rsid w:val="00D91381"/>
    <w:rsid w:val="00D91393"/>
    <w:rsid w:val="00D913D7"/>
    <w:rsid w:val="00D91428"/>
    <w:rsid w:val="00D91453"/>
    <w:rsid w:val="00D91454"/>
    <w:rsid w:val="00D91523"/>
    <w:rsid w:val="00D9182F"/>
    <w:rsid w:val="00D91833"/>
    <w:rsid w:val="00D9185B"/>
    <w:rsid w:val="00D9189C"/>
    <w:rsid w:val="00D91923"/>
    <w:rsid w:val="00D919D1"/>
    <w:rsid w:val="00D91ADF"/>
    <w:rsid w:val="00D91B34"/>
    <w:rsid w:val="00D91C2C"/>
    <w:rsid w:val="00D91C84"/>
    <w:rsid w:val="00D91F63"/>
    <w:rsid w:val="00D91FBD"/>
    <w:rsid w:val="00D92110"/>
    <w:rsid w:val="00D92116"/>
    <w:rsid w:val="00D921F9"/>
    <w:rsid w:val="00D92243"/>
    <w:rsid w:val="00D922F5"/>
    <w:rsid w:val="00D9248B"/>
    <w:rsid w:val="00D9249E"/>
    <w:rsid w:val="00D924CE"/>
    <w:rsid w:val="00D92613"/>
    <w:rsid w:val="00D92720"/>
    <w:rsid w:val="00D92759"/>
    <w:rsid w:val="00D9281A"/>
    <w:rsid w:val="00D9287A"/>
    <w:rsid w:val="00D9293D"/>
    <w:rsid w:val="00D929F4"/>
    <w:rsid w:val="00D92A75"/>
    <w:rsid w:val="00D92AF3"/>
    <w:rsid w:val="00D92B0E"/>
    <w:rsid w:val="00D92E08"/>
    <w:rsid w:val="00D92E0C"/>
    <w:rsid w:val="00D92EA4"/>
    <w:rsid w:val="00D93016"/>
    <w:rsid w:val="00D93023"/>
    <w:rsid w:val="00D930DE"/>
    <w:rsid w:val="00D93148"/>
    <w:rsid w:val="00D9314D"/>
    <w:rsid w:val="00D931EB"/>
    <w:rsid w:val="00D9324A"/>
    <w:rsid w:val="00D93255"/>
    <w:rsid w:val="00D93309"/>
    <w:rsid w:val="00D9357A"/>
    <w:rsid w:val="00D936B1"/>
    <w:rsid w:val="00D93711"/>
    <w:rsid w:val="00D9375A"/>
    <w:rsid w:val="00D93851"/>
    <w:rsid w:val="00D93855"/>
    <w:rsid w:val="00D93898"/>
    <w:rsid w:val="00D9390F"/>
    <w:rsid w:val="00D93AB3"/>
    <w:rsid w:val="00D93C16"/>
    <w:rsid w:val="00D93CFB"/>
    <w:rsid w:val="00D93DDE"/>
    <w:rsid w:val="00D93EEC"/>
    <w:rsid w:val="00D93F2E"/>
    <w:rsid w:val="00D94000"/>
    <w:rsid w:val="00D940C3"/>
    <w:rsid w:val="00D94117"/>
    <w:rsid w:val="00D942AF"/>
    <w:rsid w:val="00D9430D"/>
    <w:rsid w:val="00D9442C"/>
    <w:rsid w:val="00D944D8"/>
    <w:rsid w:val="00D94663"/>
    <w:rsid w:val="00D9474F"/>
    <w:rsid w:val="00D947CD"/>
    <w:rsid w:val="00D9489E"/>
    <w:rsid w:val="00D94907"/>
    <w:rsid w:val="00D94915"/>
    <w:rsid w:val="00D94A1E"/>
    <w:rsid w:val="00D94B42"/>
    <w:rsid w:val="00D94C30"/>
    <w:rsid w:val="00D94D91"/>
    <w:rsid w:val="00D94E23"/>
    <w:rsid w:val="00D94E73"/>
    <w:rsid w:val="00D94EE3"/>
    <w:rsid w:val="00D94FA4"/>
    <w:rsid w:val="00D95043"/>
    <w:rsid w:val="00D95071"/>
    <w:rsid w:val="00D950D2"/>
    <w:rsid w:val="00D951DD"/>
    <w:rsid w:val="00D952C2"/>
    <w:rsid w:val="00D9534C"/>
    <w:rsid w:val="00D953F9"/>
    <w:rsid w:val="00D9551B"/>
    <w:rsid w:val="00D955B8"/>
    <w:rsid w:val="00D956A1"/>
    <w:rsid w:val="00D956FB"/>
    <w:rsid w:val="00D958E5"/>
    <w:rsid w:val="00D9597E"/>
    <w:rsid w:val="00D95AF4"/>
    <w:rsid w:val="00D95C55"/>
    <w:rsid w:val="00D95CA0"/>
    <w:rsid w:val="00D95CF8"/>
    <w:rsid w:val="00D95D3A"/>
    <w:rsid w:val="00D95D88"/>
    <w:rsid w:val="00D95DFD"/>
    <w:rsid w:val="00D95E06"/>
    <w:rsid w:val="00D960E5"/>
    <w:rsid w:val="00D96129"/>
    <w:rsid w:val="00D96131"/>
    <w:rsid w:val="00D961EF"/>
    <w:rsid w:val="00D96209"/>
    <w:rsid w:val="00D96250"/>
    <w:rsid w:val="00D9625E"/>
    <w:rsid w:val="00D962C7"/>
    <w:rsid w:val="00D9632C"/>
    <w:rsid w:val="00D96356"/>
    <w:rsid w:val="00D96435"/>
    <w:rsid w:val="00D96443"/>
    <w:rsid w:val="00D964DB"/>
    <w:rsid w:val="00D965DE"/>
    <w:rsid w:val="00D965F7"/>
    <w:rsid w:val="00D96620"/>
    <w:rsid w:val="00D9663B"/>
    <w:rsid w:val="00D96652"/>
    <w:rsid w:val="00D967FF"/>
    <w:rsid w:val="00D96923"/>
    <w:rsid w:val="00D969D6"/>
    <w:rsid w:val="00D96A49"/>
    <w:rsid w:val="00D96AC6"/>
    <w:rsid w:val="00D96AE0"/>
    <w:rsid w:val="00D96CC3"/>
    <w:rsid w:val="00D96CDB"/>
    <w:rsid w:val="00D96CFD"/>
    <w:rsid w:val="00D96DF0"/>
    <w:rsid w:val="00D96DFF"/>
    <w:rsid w:val="00D96EB2"/>
    <w:rsid w:val="00D96F8A"/>
    <w:rsid w:val="00D96FC3"/>
    <w:rsid w:val="00D9702B"/>
    <w:rsid w:val="00D97127"/>
    <w:rsid w:val="00D97151"/>
    <w:rsid w:val="00D9717A"/>
    <w:rsid w:val="00D9727B"/>
    <w:rsid w:val="00D97298"/>
    <w:rsid w:val="00D972EF"/>
    <w:rsid w:val="00D97356"/>
    <w:rsid w:val="00D9735F"/>
    <w:rsid w:val="00D974E5"/>
    <w:rsid w:val="00D974E7"/>
    <w:rsid w:val="00D97510"/>
    <w:rsid w:val="00D9763E"/>
    <w:rsid w:val="00D97680"/>
    <w:rsid w:val="00D97683"/>
    <w:rsid w:val="00D976A8"/>
    <w:rsid w:val="00D97725"/>
    <w:rsid w:val="00D97775"/>
    <w:rsid w:val="00D9777A"/>
    <w:rsid w:val="00D97923"/>
    <w:rsid w:val="00D97996"/>
    <w:rsid w:val="00D97A85"/>
    <w:rsid w:val="00D97A86"/>
    <w:rsid w:val="00D97B6F"/>
    <w:rsid w:val="00D97C12"/>
    <w:rsid w:val="00D97C37"/>
    <w:rsid w:val="00D97C3A"/>
    <w:rsid w:val="00D97CCF"/>
    <w:rsid w:val="00D97DCF"/>
    <w:rsid w:val="00D97E11"/>
    <w:rsid w:val="00D97EAE"/>
    <w:rsid w:val="00D97F3F"/>
    <w:rsid w:val="00D97FC8"/>
    <w:rsid w:val="00DA025C"/>
    <w:rsid w:val="00DA02E1"/>
    <w:rsid w:val="00DA0348"/>
    <w:rsid w:val="00DA035E"/>
    <w:rsid w:val="00DA0480"/>
    <w:rsid w:val="00DA05C5"/>
    <w:rsid w:val="00DA0628"/>
    <w:rsid w:val="00DA0644"/>
    <w:rsid w:val="00DA07CB"/>
    <w:rsid w:val="00DA0809"/>
    <w:rsid w:val="00DA0810"/>
    <w:rsid w:val="00DA0886"/>
    <w:rsid w:val="00DA0895"/>
    <w:rsid w:val="00DA089A"/>
    <w:rsid w:val="00DA08C0"/>
    <w:rsid w:val="00DA09DE"/>
    <w:rsid w:val="00DA0A97"/>
    <w:rsid w:val="00DA0AB5"/>
    <w:rsid w:val="00DA0B44"/>
    <w:rsid w:val="00DA0B51"/>
    <w:rsid w:val="00DA0BBA"/>
    <w:rsid w:val="00DA0C56"/>
    <w:rsid w:val="00DA0CC5"/>
    <w:rsid w:val="00DA0D9E"/>
    <w:rsid w:val="00DA0E84"/>
    <w:rsid w:val="00DA0E85"/>
    <w:rsid w:val="00DA0E9D"/>
    <w:rsid w:val="00DA12C4"/>
    <w:rsid w:val="00DA1346"/>
    <w:rsid w:val="00DA136D"/>
    <w:rsid w:val="00DA137F"/>
    <w:rsid w:val="00DA13F2"/>
    <w:rsid w:val="00DA1438"/>
    <w:rsid w:val="00DA1507"/>
    <w:rsid w:val="00DA17A5"/>
    <w:rsid w:val="00DA17D3"/>
    <w:rsid w:val="00DA1838"/>
    <w:rsid w:val="00DA18B1"/>
    <w:rsid w:val="00DA1956"/>
    <w:rsid w:val="00DA1960"/>
    <w:rsid w:val="00DA1978"/>
    <w:rsid w:val="00DA1ADA"/>
    <w:rsid w:val="00DA1AFA"/>
    <w:rsid w:val="00DA1BC8"/>
    <w:rsid w:val="00DA1C69"/>
    <w:rsid w:val="00DA1CB8"/>
    <w:rsid w:val="00DA1D0E"/>
    <w:rsid w:val="00DA1D67"/>
    <w:rsid w:val="00DA1DDF"/>
    <w:rsid w:val="00DA1E3F"/>
    <w:rsid w:val="00DA1EDE"/>
    <w:rsid w:val="00DA1F0C"/>
    <w:rsid w:val="00DA1F4D"/>
    <w:rsid w:val="00DA1FD1"/>
    <w:rsid w:val="00DA20A2"/>
    <w:rsid w:val="00DA2171"/>
    <w:rsid w:val="00DA2253"/>
    <w:rsid w:val="00DA2301"/>
    <w:rsid w:val="00DA2440"/>
    <w:rsid w:val="00DA249D"/>
    <w:rsid w:val="00DA257D"/>
    <w:rsid w:val="00DA2673"/>
    <w:rsid w:val="00DA26C5"/>
    <w:rsid w:val="00DA2710"/>
    <w:rsid w:val="00DA2728"/>
    <w:rsid w:val="00DA2729"/>
    <w:rsid w:val="00DA2801"/>
    <w:rsid w:val="00DA2858"/>
    <w:rsid w:val="00DA2951"/>
    <w:rsid w:val="00DA2A5A"/>
    <w:rsid w:val="00DA2B09"/>
    <w:rsid w:val="00DA2BB9"/>
    <w:rsid w:val="00DA2D26"/>
    <w:rsid w:val="00DA2DAA"/>
    <w:rsid w:val="00DA2EDD"/>
    <w:rsid w:val="00DA2F8D"/>
    <w:rsid w:val="00DA3087"/>
    <w:rsid w:val="00DA30B9"/>
    <w:rsid w:val="00DA31EF"/>
    <w:rsid w:val="00DA32AC"/>
    <w:rsid w:val="00DA3472"/>
    <w:rsid w:val="00DA34E0"/>
    <w:rsid w:val="00DA3536"/>
    <w:rsid w:val="00DA3559"/>
    <w:rsid w:val="00DA35AA"/>
    <w:rsid w:val="00DA36DE"/>
    <w:rsid w:val="00DA3721"/>
    <w:rsid w:val="00DA37A8"/>
    <w:rsid w:val="00DA3817"/>
    <w:rsid w:val="00DA392D"/>
    <w:rsid w:val="00DA393C"/>
    <w:rsid w:val="00DA3AA9"/>
    <w:rsid w:val="00DA3AE0"/>
    <w:rsid w:val="00DA3B8A"/>
    <w:rsid w:val="00DA3BAE"/>
    <w:rsid w:val="00DA3D18"/>
    <w:rsid w:val="00DA3DA5"/>
    <w:rsid w:val="00DA3E08"/>
    <w:rsid w:val="00DA3E23"/>
    <w:rsid w:val="00DA3EB2"/>
    <w:rsid w:val="00DA3F0F"/>
    <w:rsid w:val="00DA3FB2"/>
    <w:rsid w:val="00DA4001"/>
    <w:rsid w:val="00DA40E3"/>
    <w:rsid w:val="00DA4197"/>
    <w:rsid w:val="00DA41D8"/>
    <w:rsid w:val="00DA4246"/>
    <w:rsid w:val="00DA42FC"/>
    <w:rsid w:val="00DA43B7"/>
    <w:rsid w:val="00DA43BD"/>
    <w:rsid w:val="00DA4452"/>
    <w:rsid w:val="00DA446A"/>
    <w:rsid w:val="00DA4522"/>
    <w:rsid w:val="00DA45E3"/>
    <w:rsid w:val="00DA463D"/>
    <w:rsid w:val="00DA4703"/>
    <w:rsid w:val="00DA474C"/>
    <w:rsid w:val="00DA4792"/>
    <w:rsid w:val="00DA47C1"/>
    <w:rsid w:val="00DA488E"/>
    <w:rsid w:val="00DA491B"/>
    <w:rsid w:val="00DA49D3"/>
    <w:rsid w:val="00DA49D8"/>
    <w:rsid w:val="00DA4AE9"/>
    <w:rsid w:val="00DA4BFF"/>
    <w:rsid w:val="00DA4C44"/>
    <w:rsid w:val="00DA4D18"/>
    <w:rsid w:val="00DA4D22"/>
    <w:rsid w:val="00DA4D2F"/>
    <w:rsid w:val="00DA4DAF"/>
    <w:rsid w:val="00DA4DDE"/>
    <w:rsid w:val="00DA4E24"/>
    <w:rsid w:val="00DA4F59"/>
    <w:rsid w:val="00DA4FF7"/>
    <w:rsid w:val="00DA5061"/>
    <w:rsid w:val="00DA5081"/>
    <w:rsid w:val="00DA50F5"/>
    <w:rsid w:val="00DA514F"/>
    <w:rsid w:val="00DA5173"/>
    <w:rsid w:val="00DA51D5"/>
    <w:rsid w:val="00DA537C"/>
    <w:rsid w:val="00DA53EF"/>
    <w:rsid w:val="00DA5404"/>
    <w:rsid w:val="00DA5420"/>
    <w:rsid w:val="00DA58BE"/>
    <w:rsid w:val="00DA5941"/>
    <w:rsid w:val="00DA59A2"/>
    <w:rsid w:val="00DA59C0"/>
    <w:rsid w:val="00DA5A0B"/>
    <w:rsid w:val="00DA5BFA"/>
    <w:rsid w:val="00DA5C7E"/>
    <w:rsid w:val="00DA5C8D"/>
    <w:rsid w:val="00DA5CC1"/>
    <w:rsid w:val="00DA5CCA"/>
    <w:rsid w:val="00DA5E05"/>
    <w:rsid w:val="00DA5E11"/>
    <w:rsid w:val="00DA5F38"/>
    <w:rsid w:val="00DA5FBF"/>
    <w:rsid w:val="00DA5FF2"/>
    <w:rsid w:val="00DA60FA"/>
    <w:rsid w:val="00DA61A9"/>
    <w:rsid w:val="00DA635A"/>
    <w:rsid w:val="00DA6491"/>
    <w:rsid w:val="00DA64E6"/>
    <w:rsid w:val="00DA6530"/>
    <w:rsid w:val="00DA65C8"/>
    <w:rsid w:val="00DA65F7"/>
    <w:rsid w:val="00DA660A"/>
    <w:rsid w:val="00DA6620"/>
    <w:rsid w:val="00DA670E"/>
    <w:rsid w:val="00DA6753"/>
    <w:rsid w:val="00DA682D"/>
    <w:rsid w:val="00DA6855"/>
    <w:rsid w:val="00DA6905"/>
    <w:rsid w:val="00DA6930"/>
    <w:rsid w:val="00DA6A0E"/>
    <w:rsid w:val="00DA6A64"/>
    <w:rsid w:val="00DA6A8D"/>
    <w:rsid w:val="00DA6BEC"/>
    <w:rsid w:val="00DA6C4B"/>
    <w:rsid w:val="00DA6C50"/>
    <w:rsid w:val="00DA6CC1"/>
    <w:rsid w:val="00DA6CD8"/>
    <w:rsid w:val="00DA6DD8"/>
    <w:rsid w:val="00DA6E85"/>
    <w:rsid w:val="00DA6EC9"/>
    <w:rsid w:val="00DA6F34"/>
    <w:rsid w:val="00DA6F50"/>
    <w:rsid w:val="00DA7063"/>
    <w:rsid w:val="00DA7190"/>
    <w:rsid w:val="00DA7191"/>
    <w:rsid w:val="00DA7246"/>
    <w:rsid w:val="00DA730B"/>
    <w:rsid w:val="00DA734F"/>
    <w:rsid w:val="00DA7396"/>
    <w:rsid w:val="00DA73EC"/>
    <w:rsid w:val="00DA746C"/>
    <w:rsid w:val="00DA74AB"/>
    <w:rsid w:val="00DA7598"/>
    <w:rsid w:val="00DA762F"/>
    <w:rsid w:val="00DA7715"/>
    <w:rsid w:val="00DA77D0"/>
    <w:rsid w:val="00DA7817"/>
    <w:rsid w:val="00DA7841"/>
    <w:rsid w:val="00DA7853"/>
    <w:rsid w:val="00DA78F7"/>
    <w:rsid w:val="00DA7A94"/>
    <w:rsid w:val="00DA7AB4"/>
    <w:rsid w:val="00DA7C7E"/>
    <w:rsid w:val="00DA7DF3"/>
    <w:rsid w:val="00DA7E0F"/>
    <w:rsid w:val="00DA7E6A"/>
    <w:rsid w:val="00DA7E81"/>
    <w:rsid w:val="00DA7F49"/>
    <w:rsid w:val="00DB01A2"/>
    <w:rsid w:val="00DB01C4"/>
    <w:rsid w:val="00DB01E3"/>
    <w:rsid w:val="00DB01E7"/>
    <w:rsid w:val="00DB0214"/>
    <w:rsid w:val="00DB023D"/>
    <w:rsid w:val="00DB0304"/>
    <w:rsid w:val="00DB0392"/>
    <w:rsid w:val="00DB04BC"/>
    <w:rsid w:val="00DB05D4"/>
    <w:rsid w:val="00DB0674"/>
    <w:rsid w:val="00DB06A9"/>
    <w:rsid w:val="00DB06F0"/>
    <w:rsid w:val="00DB07CA"/>
    <w:rsid w:val="00DB086D"/>
    <w:rsid w:val="00DB0B06"/>
    <w:rsid w:val="00DB0CF6"/>
    <w:rsid w:val="00DB0D49"/>
    <w:rsid w:val="00DB0D55"/>
    <w:rsid w:val="00DB0E03"/>
    <w:rsid w:val="00DB0E35"/>
    <w:rsid w:val="00DB0EBB"/>
    <w:rsid w:val="00DB0F71"/>
    <w:rsid w:val="00DB0F84"/>
    <w:rsid w:val="00DB110F"/>
    <w:rsid w:val="00DB12BE"/>
    <w:rsid w:val="00DB131D"/>
    <w:rsid w:val="00DB1337"/>
    <w:rsid w:val="00DB13E3"/>
    <w:rsid w:val="00DB153D"/>
    <w:rsid w:val="00DB1558"/>
    <w:rsid w:val="00DB15A4"/>
    <w:rsid w:val="00DB16C6"/>
    <w:rsid w:val="00DB17F5"/>
    <w:rsid w:val="00DB18DB"/>
    <w:rsid w:val="00DB1A31"/>
    <w:rsid w:val="00DB1A5E"/>
    <w:rsid w:val="00DB1AE9"/>
    <w:rsid w:val="00DB1BF0"/>
    <w:rsid w:val="00DB1E43"/>
    <w:rsid w:val="00DB1F76"/>
    <w:rsid w:val="00DB1F7C"/>
    <w:rsid w:val="00DB202E"/>
    <w:rsid w:val="00DB214E"/>
    <w:rsid w:val="00DB218F"/>
    <w:rsid w:val="00DB220D"/>
    <w:rsid w:val="00DB223A"/>
    <w:rsid w:val="00DB22BC"/>
    <w:rsid w:val="00DB22CA"/>
    <w:rsid w:val="00DB23CA"/>
    <w:rsid w:val="00DB23D2"/>
    <w:rsid w:val="00DB23DA"/>
    <w:rsid w:val="00DB2408"/>
    <w:rsid w:val="00DB2763"/>
    <w:rsid w:val="00DB27C0"/>
    <w:rsid w:val="00DB27EF"/>
    <w:rsid w:val="00DB282E"/>
    <w:rsid w:val="00DB2969"/>
    <w:rsid w:val="00DB29AD"/>
    <w:rsid w:val="00DB29D0"/>
    <w:rsid w:val="00DB2A2D"/>
    <w:rsid w:val="00DB2A81"/>
    <w:rsid w:val="00DB2B60"/>
    <w:rsid w:val="00DB2B92"/>
    <w:rsid w:val="00DB2C2F"/>
    <w:rsid w:val="00DB2C4A"/>
    <w:rsid w:val="00DB2D39"/>
    <w:rsid w:val="00DB2D5A"/>
    <w:rsid w:val="00DB2D83"/>
    <w:rsid w:val="00DB2F7D"/>
    <w:rsid w:val="00DB30DE"/>
    <w:rsid w:val="00DB31C5"/>
    <w:rsid w:val="00DB323E"/>
    <w:rsid w:val="00DB331B"/>
    <w:rsid w:val="00DB333A"/>
    <w:rsid w:val="00DB333E"/>
    <w:rsid w:val="00DB33C3"/>
    <w:rsid w:val="00DB3490"/>
    <w:rsid w:val="00DB3516"/>
    <w:rsid w:val="00DB363B"/>
    <w:rsid w:val="00DB36E3"/>
    <w:rsid w:val="00DB3713"/>
    <w:rsid w:val="00DB373D"/>
    <w:rsid w:val="00DB385C"/>
    <w:rsid w:val="00DB3900"/>
    <w:rsid w:val="00DB395F"/>
    <w:rsid w:val="00DB39D0"/>
    <w:rsid w:val="00DB39E0"/>
    <w:rsid w:val="00DB39E2"/>
    <w:rsid w:val="00DB39E4"/>
    <w:rsid w:val="00DB39F2"/>
    <w:rsid w:val="00DB3A66"/>
    <w:rsid w:val="00DB3AB3"/>
    <w:rsid w:val="00DB3AD6"/>
    <w:rsid w:val="00DB3CCE"/>
    <w:rsid w:val="00DB3F0E"/>
    <w:rsid w:val="00DB3F22"/>
    <w:rsid w:val="00DB3F3B"/>
    <w:rsid w:val="00DB3F75"/>
    <w:rsid w:val="00DB41F6"/>
    <w:rsid w:val="00DB4243"/>
    <w:rsid w:val="00DB428A"/>
    <w:rsid w:val="00DB438B"/>
    <w:rsid w:val="00DB43C6"/>
    <w:rsid w:val="00DB4584"/>
    <w:rsid w:val="00DB4614"/>
    <w:rsid w:val="00DB4671"/>
    <w:rsid w:val="00DB469F"/>
    <w:rsid w:val="00DB4760"/>
    <w:rsid w:val="00DB47B1"/>
    <w:rsid w:val="00DB4843"/>
    <w:rsid w:val="00DB48A1"/>
    <w:rsid w:val="00DB4931"/>
    <w:rsid w:val="00DB4BD8"/>
    <w:rsid w:val="00DB4CA4"/>
    <w:rsid w:val="00DB4CFD"/>
    <w:rsid w:val="00DB4E81"/>
    <w:rsid w:val="00DB4FA5"/>
    <w:rsid w:val="00DB4FBE"/>
    <w:rsid w:val="00DB51CA"/>
    <w:rsid w:val="00DB5382"/>
    <w:rsid w:val="00DB54AF"/>
    <w:rsid w:val="00DB54CC"/>
    <w:rsid w:val="00DB556B"/>
    <w:rsid w:val="00DB557E"/>
    <w:rsid w:val="00DB558F"/>
    <w:rsid w:val="00DB55B4"/>
    <w:rsid w:val="00DB56AD"/>
    <w:rsid w:val="00DB56E1"/>
    <w:rsid w:val="00DB5771"/>
    <w:rsid w:val="00DB578C"/>
    <w:rsid w:val="00DB57CA"/>
    <w:rsid w:val="00DB586C"/>
    <w:rsid w:val="00DB58C3"/>
    <w:rsid w:val="00DB5B0A"/>
    <w:rsid w:val="00DB5B28"/>
    <w:rsid w:val="00DB5B87"/>
    <w:rsid w:val="00DB5BD9"/>
    <w:rsid w:val="00DB5C51"/>
    <w:rsid w:val="00DB5CA9"/>
    <w:rsid w:val="00DB5DC2"/>
    <w:rsid w:val="00DB5E8A"/>
    <w:rsid w:val="00DB5E9A"/>
    <w:rsid w:val="00DB5F38"/>
    <w:rsid w:val="00DB5FD0"/>
    <w:rsid w:val="00DB5FFE"/>
    <w:rsid w:val="00DB601F"/>
    <w:rsid w:val="00DB6098"/>
    <w:rsid w:val="00DB609A"/>
    <w:rsid w:val="00DB6100"/>
    <w:rsid w:val="00DB6120"/>
    <w:rsid w:val="00DB6202"/>
    <w:rsid w:val="00DB6212"/>
    <w:rsid w:val="00DB62ED"/>
    <w:rsid w:val="00DB6318"/>
    <w:rsid w:val="00DB6334"/>
    <w:rsid w:val="00DB6341"/>
    <w:rsid w:val="00DB6383"/>
    <w:rsid w:val="00DB63D4"/>
    <w:rsid w:val="00DB63D5"/>
    <w:rsid w:val="00DB6464"/>
    <w:rsid w:val="00DB64AE"/>
    <w:rsid w:val="00DB65BF"/>
    <w:rsid w:val="00DB65E6"/>
    <w:rsid w:val="00DB672A"/>
    <w:rsid w:val="00DB67B6"/>
    <w:rsid w:val="00DB690F"/>
    <w:rsid w:val="00DB6964"/>
    <w:rsid w:val="00DB69E5"/>
    <w:rsid w:val="00DB69EA"/>
    <w:rsid w:val="00DB6A2B"/>
    <w:rsid w:val="00DB6AC8"/>
    <w:rsid w:val="00DB6C79"/>
    <w:rsid w:val="00DB6D0A"/>
    <w:rsid w:val="00DB6DDC"/>
    <w:rsid w:val="00DB6F6A"/>
    <w:rsid w:val="00DB6FCD"/>
    <w:rsid w:val="00DB6FDD"/>
    <w:rsid w:val="00DB7073"/>
    <w:rsid w:val="00DB718B"/>
    <w:rsid w:val="00DB72AB"/>
    <w:rsid w:val="00DB7310"/>
    <w:rsid w:val="00DB7476"/>
    <w:rsid w:val="00DB7617"/>
    <w:rsid w:val="00DB77F1"/>
    <w:rsid w:val="00DB785A"/>
    <w:rsid w:val="00DB78F4"/>
    <w:rsid w:val="00DB792F"/>
    <w:rsid w:val="00DB7944"/>
    <w:rsid w:val="00DB7975"/>
    <w:rsid w:val="00DB7984"/>
    <w:rsid w:val="00DB79C8"/>
    <w:rsid w:val="00DB7BBC"/>
    <w:rsid w:val="00DB7BBE"/>
    <w:rsid w:val="00DB7C56"/>
    <w:rsid w:val="00DB7DC5"/>
    <w:rsid w:val="00DB7E67"/>
    <w:rsid w:val="00DB7E7B"/>
    <w:rsid w:val="00DB7F18"/>
    <w:rsid w:val="00DB7FD8"/>
    <w:rsid w:val="00DC0038"/>
    <w:rsid w:val="00DC00FA"/>
    <w:rsid w:val="00DC0343"/>
    <w:rsid w:val="00DC03A3"/>
    <w:rsid w:val="00DC03B0"/>
    <w:rsid w:val="00DC048A"/>
    <w:rsid w:val="00DC04D0"/>
    <w:rsid w:val="00DC04FD"/>
    <w:rsid w:val="00DC0553"/>
    <w:rsid w:val="00DC05F1"/>
    <w:rsid w:val="00DC083B"/>
    <w:rsid w:val="00DC08B6"/>
    <w:rsid w:val="00DC0966"/>
    <w:rsid w:val="00DC0989"/>
    <w:rsid w:val="00DC0A03"/>
    <w:rsid w:val="00DC0AEE"/>
    <w:rsid w:val="00DC0B07"/>
    <w:rsid w:val="00DC0B27"/>
    <w:rsid w:val="00DC0C91"/>
    <w:rsid w:val="00DC0D2C"/>
    <w:rsid w:val="00DC0D66"/>
    <w:rsid w:val="00DC0DB7"/>
    <w:rsid w:val="00DC0DF0"/>
    <w:rsid w:val="00DC0E3B"/>
    <w:rsid w:val="00DC0ED2"/>
    <w:rsid w:val="00DC0FC0"/>
    <w:rsid w:val="00DC1068"/>
    <w:rsid w:val="00DC11C6"/>
    <w:rsid w:val="00DC11CA"/>
    <w:rsid w:val="00DC12BA"/>
    <w:rsid w:val="00DC1371"/>
    <w:rsid w:val="00DC1458"/>
    <w:rsid w:val="00DC1558"/>
    <w:rsid w:val="00DC1575"/>
    <w:rsid w:val="00DC1636"/>
    <w:rsid w:val="00DC1637"/>
    <w:rsid w:val="00DC16A6"/>
    <w:rsid w:val="00DC1766"/>
    <w:rsid w:val="00DC19E3"/>
    <w:rsid w:val="00DC1A35"/>
    <w:rsid w:val="00DC1B11"/>
    <w:rsid w:val="00DC1B21"/>
    <w:rsid w:val="00DC1D39"/>
    <w:rsid w:val="00DC1F64"/>
    <w:rsid w:val="00DC1F9C"/>
    <w:rsid w:val="00DC21DB"/>
    <w:rsid w:val="00DC224A"/>
    <w:rsid w:val="00DC2299"/>
    <w:rsid w:val="00DC248F"/>
    <w:rsid w:val="00DC2514"/>
    <w:rsid w:val="00DC25F7"/>
    <w:rsid w:val="00DC26B8"/>
    <w:rsid w:val="00DC26FA"/>
    <w:rsid w:val="00DC26FE"/>
    <w:rsid w:val="00DC275C"/>
    <w:rsid w:val="00DC2763"/>
    <w:rsid w:val="00DC276B"/>
    <w:rsid w:val="00DC2799"/>
    <w:rsid w:val="00DC2835"/>
    <w:rsid w:val="00DC2839"/>
    <w:rsid w:val="00DC289D"/>
    <w:rsid w:val="00DC2946"/>
    <w:rsid w:val="00DC2A08"/>
    <w:rsid w:val="00DC2A64"/>
    <w:rsid w:val="00DC2A93"/>
    <w:rsid w:val="00DC2B10"/>
    <w:rsid w:val="00DC2B22"/>
    <w:rsid w:val="00DC2C3A"/>
    <w:rsid w:val="00DC2C44"/>
    <w:rsid w:val="00DC2C64"/>
    <w:rsid w:val="00DC2CD1"/>
    <w:rsid w:val="00DC2DA6"/>
    <w:rsid w:val="00DC2EBF"/>
    <w:rsid w:val="00DC2F2E"/>
    <w:rsid w:val="00DC2FE9"/>
    <w:rsid w:val="00DC3075"/>
    <w:rsid w:val="00DC30BE"/>
    <w:rsid w:val="00DC30FE"/>
    <w:rsid w:val="00DC321F"/>
    <w:rsid w:val="00DC3287"/>
    <w:rsid w:val="00DC32E1"/>
    <w:rsid w:val="00DC334E"/>
    <w:rsid w:val="00DC3462"/>
    <w:rsid w:val="00DC34CA"/>
    <w:rsid w:val="00DC353C"/>
    <w:rsid w:val="00DC35D6"/>
    <w:rsid w:val="00DC35E7"/>
    <w:rsid w:val="00DC3628"/>
    <w:rsid w:val="00DC36AE"/>
    <w:rsid w:val="00DC3723"/>
    <w:rsid w:val="00DC3754"/>
    <w:rsid w:val="00DC3814"/>
    <w:rsid w:val="00DC3866"/>
    <w:rsid w:val="00DC393F"/>
    <w:rsid w:val="00DC397D"/>
    <w:rsid w:val="00DC3999"/>
    <w:rsid w:val="00DC3A35"/>
    <w:rsid w:val="00DC3AE1"/>
    <w:rsid w:val="00DC3BC8"/>
    <w:rsid w:val="00DC3EA8"/>
    <w:rsid w:val="00DC3ED1"/>
    <w:rsid w:val="00DC3ED2"/>
    <w:rsid w:val="00DC3F68"/>
    <w:rsid w:val="00DC3F90"/>
    <w:rsid w:val="00DC4164"/>
    <w:rsid w:val="00DC41CA"/>
    <w:rsid w:val="00DC4205"/>
    <w:rsid w:val="00DC425A"/>
    <w:rsid w:val="00DC430D"/>
    <w:rsid w:val="00DC4359"/>
    <w:rsid w:val="00DC4448"/>
    <w:rsid w:val="00DC448D"/>
    <w:rsid w:val="00DC449A"/>
    <w:rsid w:val="00DC44A7"/>
    <w:rsid w:val="00DC44C4"/>
    <w:rsid w:val="00DC458E"/>
    <w:rsid w:val="00DC45CA"/>
    <w:rsid w:val="00DC480C"/>
    <w:rsid w:val="00DC493F"/>
    <w:rsid w:val="00DC49A7"/>
    <w:rsid w:val="00DC49F7"/>
    <w:rsid w:val="00DC4A1D"/>
    <w:rsid w:val="00DC4C7A"/>
    <w:rsid w:val="00DC4C98"/>
    <w:rsid w:val="00DC4CB6"/>
    <w:rsid w:val="00DC4DCD"/>
    <w:rsid w:val="00DC4DFA"/>
    <w:rsid w:val="00DC4FB7"/>
    <w:rsid w:val="00DC506E"/>
    <w:rsid w:val="00DC509F"/>
    <w:rsid w:val="00DC50E9"/>
    <w:rsid w:val="00DC5128"/>
    <w:rsid w:val="00DC521A"/>
    <w:rsid w:val="00DC53D8"/>
    <w:rsid w:val="00DC542A"/>
    <w:rsid w:val="00DC54A1"/>
    <w:rsid w:val="00DC553E"/>
    <w:rsid w:val="00DC559A"/>
    <w:rsid w:val="00DC55D0"/>
    <w:rsid w:val="00DC5612"/>
    <w:rsid w:val="00DC56CD"/>
    <w:rsid w:val="00DC56DD"/>
    <w:rsid w:val="00DC577B"/>
    <w:rsid w:val="00DC5838"/>
    <w:rsid w:val="00DC58A6"/>
    <w:rsid w:val="00DC59A8"/>
    <w:rsid w:val="00DC5A05"/>
    <w:rsid w:val="00DC5A52"/>
    <w:rsid w:val="00DC5B43"/>
    <w:rsid w:val="00DC5CF9"/>
    <w:rsid w:val="00DC5D4B"/>
    <w:rsid w:val="00DC5DD4"/>
    <w:rsid w:val="00DC5E05"/>
    <w:rsid w:val="00DC5EDF"/>
    <w:rsid w:val="00DC6064"/>
    <w:rsid w:val="00DC60D6"/>
    <w:rsid w:val="00DC61FB"/>
    <w:rsid w:val="00DC624E"/>
    <w:rsid w:val="00DC62AF"/>
    <w:rsid w:val="00DC62BE"/>
    <w:rsid w:val="00DC6580"/>
    <w:rsid w:val="00DC6731"/>
    <w:rsid w:val="00DC6851"/>
    <w:rsid w:val="00DC69BC"/>
    <w:rsid w:val="00DC69FB"/>
    <w:rsid w:val="00DC6AA6"/>
    <w:rsid w:val="00DC6ABC"/>
    <w:rsid w:val="00DC6B21"/>
    <w:rsid w:val="00DC6BA9"/>
    <w:rsid w:val="00DC6C90"/>
    <w:rsid w:val="00DC6D4B"/>
    <w:rsid w:val="00DC6D7E"/>
    <w:rsid w:val="00DC6F49"/>
    <w:rsid w:val="00DC6FF5"/>
    <w:rsid w:val="00DC701A"/>
    <w:rsid w:val="00DC71B8"/>
    <w:rsid w:val="00DC72E3"/>
    <w:rsid w:val="00DC733A"/>
    <w:rsid w:val="00DC74BD"/>
    <w:rsid w:val="00DC74D0"/>
    <w:rsid w:val="00DC7588"/>
    <w:rsid w:val="00DC7672"/>
    <w:rsid w:val="00DC7798"/>
    <w:rsid w:val="00DC77ED"/>
    <w:rsid w:val="00DC7856"/>
    <w:rsid w:val="00DC78AA"/>
    <w:rsid w:val="00DC7936"/>
    <w:rsid w:val="00DC79C0"/>
    <w:rsid w:val="00DC7A1A"/>
    <w:rsid w:val="00DC7A80"/>
    <w:rsid w:val="00DC7B02"/>
    <w:rsid w:val="00DC7B2A"/>
    <w:rsid w:val="00DC7BBE"/>
    <w:rsid w:val="00DC7CEE"/>
    <w:rsid w:val="00DC7CF8"/>
    <w:rsid w:val="00DC7D17"/>
    <w:rsid w:val="00DC7F17"/>
    <w:rsid w:val="00DC7FC7"/>
    <w:rsid w:val="00DC7FF5"/>
    <w:rsid w:val="00DD002C"/>
    <w:rsid w:val="00DD002D"/>
    <w:rsid w:val="00DD018E"/>
    <w:rsid w:val="00DD021D"/>
    <w:rsid w:val="00DD0221"/>
    <w:rsid w:val="00DD02AF"/>
    <w:rsid w:val="00DD02DB"/>
    <w:rsid w:val="00DD02E9"/>
    <w:rsid w:val="00DD03DD"/>
    <w:rsid w:val="00DD0427"/>
    <w:rsid w:val="00DD046D"/>
    <w:rsid w:val="00DD0712"/>
    <w:rsid w:val="00DD072F"/>
    <w:rsid w:val="00DD075A"/>
    <w:rsid w:val="00DD07C5"/>
    <w:rsid w:val="00DD0812"/>
    <w:rsid w:val="00DD08CA"/>
    <w:rsid w:val="00DD08D5"/>
    <w:rsid w:val="00DD08FB"/>
    <w:rsid w:val="00DD0B4B"/>
    <w:rsid w:val="00DD0B66"/>
    <w:rsid w:val="00DD0B94"/>
    <w:rsid w:val="00DD0BA4"/>
    <w:rsid w:val="00DD0CBF"/>
    <w:rsid w:val="00DD0CC2"/>
    <w:rsid w:val="00DD0D31"/>
    <w:rsid w:val="00DD0D3D"/>
    <w:rsid w:val="00DD0E12"/>
    <w:rsid w:val="00DD0F3A"/>
    <w:rsid w:val="00DD10C7"/>
    <w:rsid w:val="00DD10E8"/>
    <w:rsid w:val="00DD12C5"/>
    <w:rsid w:val="00DD12CF"/>
    <w:rsid w:val="00DD13E0"/>
    <w:rsid w:val="00DD147D"/>
    <w:rsid w:val="00DD1543"/>
    <w:rsid w:val="00DD1607"/>
    <w:rsid w:val="00DD165D"/>
    <w:rsid w:val="00DD1711"/>
    <w:rsid w:val="00DD1790"/>
    <w:rsid w:val="00DD182B"/>
    <w:rsid w:val="00DD1840"/>
    <w:rsid w:val="00DD1979"/>
    <w:rsid w:val="00DD1AB3"/>
    <w:rsid w:val="00DD1AB5"/>
    <w:rsid w:val="00DD1B38"/>
    <w:rsid w:val="00DD1CCD"/>
    <w:rsid w:val="00DD1CF0"/>
    <w:rsid w:val="00DD1CFD"/>
    <w:rsid w:val="00DD1D3A"/>
    <w:rsid w:val="00DD1D99"/>
    <w:rsid w:val="00DD1DC5"/>
    <w:rsid w:val="00DD1E85"/>
    <w:rsid w:val="00DD1F15"/>
    <w:rsid w:val="00DD2083"/>
    <w:rsid w:val="00DD217C"/>
    <w:rsid w:val="00DD2460"/>
    <w:rsid w:val="00DD2503"/>
    <w:rsid w:val="00DD256C"/>
    <w:rsid w:val="00DD2604"/>
    <w:rsid w:val="00DD2661"/>
    <w:rsid w:val="00DD26EA"/>
    <w:rsid w:val="00DD27F2"/>
    <w:rsid w:val="00DD287B"/>
    <w:rsid w:val="00DD2911"/>
    <w:rsid w:val="00DD298E"/>
    <w:rsid w:val="00DD2A7E"/>
    <w:rsid w:val="00DD2ADF"/>
    <w:rsid w:val="00DD2BC9"/>
    <w:rsid w:val="00DD2C24"/>
    <w:rsid w:val="00DD2CDD"/>
    <w:rsid w:val="00DD2DEE"/>
    <w:rsid w:val="00DD2EAD"/>
    <w:rsid w:val="00DD2ED3"/>
    <w:rsid w:val="00DD2FC4"/>
    <w:rsid w:val="00DD2FC9"/>
    <w:rsid w:val="00DD2FE5"/>
    <w:rsid w:val="00DD3077"/>
    <w:rsid w:val="00DD30F9"/>
    <w:rsid w:val="00DD3173"/>
    <w:rsid w:val="00DD318A"/>
    <w:rsid w:val="00DD32CD"/>
    <w:rsid w:val="00DD3381"/>
    <w:rsid w:val="00DD351F"/>
    <w:rsid w:val="00DD3525"/>
    <w:rsid w:val="00DD3561"/>
    <w:rsid w:val="00DD356A"/>
    <w:rsid w:val="00DD35CE"/>
    <w:rsid w:val="00DD3622"/>
    <w:rsid w:val="00DD3748"/>
    <w:rsid w:val="00DD377E"/>
    <w:rsid w:val="00DD390C"/>
    <w:rsid w:val="00DD3913"/>
    <w:rsid w:val="00DD3916"/>
    <w:rsid w:val="00DD3A03"/>
    <w:rsid w:val="00DD3A8F"/>
    <w:rsid w:val="00DD3AEA"/>
    <w:rsid w:val="00DD3B11"/>
    <w:rsid w:val="00DD3B2D"/>
    <w:rsid w:val="00DD3BD3"/>
    <w:rsid w:val="00DD3D64"/>
    <w:rsid w:val="00DD3D6C"/>
    <w:rsid w:val="00DD41D0"/>
    <w:rsid w:val="00DD42CC"/>
    <w:rsid w:val="00DD4378"/>
    <w:rsid w:val="00DD43E0"/>
    <w:rsid w:val="00DD47E5"/>
    <w:rsid w:val="00DD4892"/>
    <w:rsid w:val="00DD49A7"/>
    <w:rsid w:val="00DD4A98"/>
    <w:rsid w:val="00DD4AA2"/>
    <w:rsid w:val="00DD4AEE"/>
    <w:rsid w:val="00DD4B3E"/>
    <w:rsid w:val="00DD4B48"/>
    <w:rsid w:val="00DD4D27"/>
    <w:rsid w:val="00DD4E73"/>
    <w:rsid w:val="00DD4E89"/>
    <w:rsid w:val="00DD4EB4"/>
    <w:rsid w:val="00DD4EB9"/>
    <w:rsid w:val="00DD4EEC"/>
    <w:rsid w:val="00DD4F1F"/>
    <w:rsid w:val="00DD4FE9"/>
    <w:rsid w:val="00DD4FF2"/>
    <w:rsid w:val="00DD501A"/>
    <w:rsid w:val="00DD514B"/>
    <w:rsid w:val="00DD520E"/>
    <w:rsid w:val="00DD526B"/>
    <w:rsid w:val="00DD5316"/>
    <w:rsid w:val="00DD54D5"/>
    <w:rsid w:val="00DD5690"/>
    <w:rsid w:val="00DD5793"/>
    <w:rsid w:val="00DD59F3"/>
    <w:rsid w:val="00DD5B00"/>
    <w:rsid w:val="00DD5BA2"/>
    <w:rsid w:val="00DD5C1F"/>
    <w:rsid w:val="00DD5C9D"/>
    <w:rsid w:val="00DD5D29"/>
    <w:rsid w:val="00DD5D69"/>
    <w:rsid w:val="00DD5DCA"/>
    <w:rsid w:val="00DD5DE2"/>
    <w:rsid w:val="00DD5E96"/>
    <w:rsid w:val="00DD60F6"/>
    <w:rsid w:val="00DD61A9"/>
    <w:rsid w:val="00DD629E"/>
    <w:rsid w:val="00DD62C8"/>
    <w:rsid w:val="00DD62DB"/>
    <w:rsid w:val="00DD6334"/>
    <w:rsid w:val="00DD6336"/>
    <w:rsid w:val="00DD6441"/>
    <w:rsid w:val="00DD6690"/>
    <w:rsid w:val="00DD66E6"/>
    <w:rsid w:val="00DD6727"/>
    <w:rsid w:val="00DD67D3"/>
    <w:rsid w:val="00DD68BF"/>
    <w:rsid w:val="00DD69BC"/>
    <w:rsid w:val="00DD6A1E"/>
    <w:rsid w:val="00DD6BC9"/>
    <w:rsid w:val="00DD6BE2"/>
    <w:rsid w:val="00DD6C8D"/>
    <w:rsid w:val="00DD6D3D"/>
    <w:rsid w:val="00DD6EF3"/>
    <w:rsid w:val="00DD6F68"/>
    <w:rsid w:val="00DD704C"/>
    <w:rsid w:val="00DD70B3"/>
    <w:rsid w:val="00DD70C5"/>
    <w:rsid w:val="00DD71DB"/>
    <w:rsid w:val="00DD71FD"/>
    <w:rsid w:val="00DD7226"/>
    <w:rsid w:val="00DD72AE"/>
    <w:rsid w:val="00DD72F5"/>
    <w:rsid w:val="00DD72F8"/>
    <w:rsid w:val="00DD738D"/>
    <w:rsid w:val="00DD73B5"/>
    <w:rsid w:val="00DD742D"/>
    <w:rsid w:val="00DD749B"/>
    <w:rsid w:val="00DD74DC"/>
    <w:rsid w:val="00DD7518"/>
    <w:rsid w:val="00DD77AF"/>
    <w:rsid w:val="00DD780B"/>
    <w:rsid w:val="00DD787F"/>
    <w:rsid w:val="00DD78E7"/>
    <w:rsid w:val="00DD79A9"/>
    <w:rsid w:val="00DD7A30"/>
    <w:rsid w:val="00DD7B1B"/>
    <w:rsid w:val="00DD7B69"/>
    <w:rsid w:val="00DD7CF3"/>
    <w:rsid w:val="00DD7D6F"/>
    <w:rsid w:val="00DD7D97"/>
    <w:rsid w:val="00DD7DD3"/>
    <w:rsid w:val="00DD7E7B"/>
    <w:rsid w:val="00DD7F28"/>
    <w:rsid w:val="00DE01D3"/>
    <w:rsid w:val="00DE0270"/>
    <w:rsid w:val="00DE027A"/>
    <w:rsid w:val="00DE02A8"/>
    <w:rsid w:val="00DE02FF"/>
    <w:rsid w:val="00DE0468"/>
    <w:rsid w:val="00DE0549"/>
    <w:rsid w:val="00DE06BD"/>
    <w:rsid w:val="00DE06C1"/>
    <w:rsid w:val="00DE06FE"/>
    <w:rsid w:val="00DE070A"/>
    <w:rsid w:val="00DE0730"/>
    <w:rsid w:val="00DE0764"/>
    <w:rsid w:val="00DE07AC"/>
    <w:rsid w:val="00DE0829"/>
    <w:rsid w:val="00DE095E"/>
    <w:rsid w:val="00DE0963"/>
    <w:rsid w:val="00DE0973"/>
    <w:rsid w:val="00DE09AD"/>
    <w:rsid w:val="00DE09E8"/>
    <w:rsid w:val="00DE09FB"/>
    <w:rsid w:val="00DE0A55"/>
    <w:rsid w:val="00DE0B7A"/>
    <w:rsid w:val="00DE0BD7"/>
    <w:rsid w:val="00DE0C1A"/>
    <w:rsid w:val="00DE0CE8"/>
    <w:rsid w:val="00DE0D41"/>
    <w:rsid w:val="00DE0EB9"/>
    <w:rsid w:val="00DE0F41"/>
    <w:rsid w:val="00DE1033"/>
    <w:rsid w:val="00DE10CB"/>
    <w:rsid w:val="00DE1109"/>
    <w:rsid w:val="00DE1158"/>
    <w:rsid w:val="00DE117E"/>
    <w:rsid w:val="00DE119A"/>
    <w:rsid w:val="00DE123D"/>
    <w:rsid w:val="00DE131E"/>
    <w:rsid w:val="00DE14F4"/>
    <w:rsid w:val="00DE1587"/>
    <w:rsid w:val="00DE1614"/>
    <w:rsid w:val="00DE1627"/>
    <w:rsid w:val="00DE1645"/>
    <w:rsid w:val="00DE1695"/>
    <w:rsid w:val="00DE16BE"/>
    <w:rsid w:val="00DE16CA"/>
    <w:rsid w:val="00DE17A4"/>
    <w:rsid w:val="00DE17C2"/>
    <w:rsid w:val="00DE1810"/>
    <w:rsid w:val="00DE18F9"/>
    <w:rsid w:val="00DE1981"/>
    <w:rsid w:val="00DE19EB"/>
    <w:rsid w:val="00DE1A43"/>
    <w:rsid w:val="00DE1C7A"/>
    <w:rsid w:val="00DE1D1F"/>
    <w:rsid w:val="00DE1D2A"/>
    <w:rsid w:val="00DE1D3E"/>
    <w:rsid w:val="00DE1D8C"/>
    <w:rsid w:val="00DE1DB6"/>
    <w:rsid w:val="00DE1DF1"/>
    <w:rsid w:val="00DE1E03"/>
    <w:rsid w:val="00DE1E29"/>
    <w:rsid w:val="00DE1ECC"/>
    <w:rsid w:val="00DE1EF7"/>
    <w:rsid w:val="00DE1F63"/>
    <w:rsid w:val="00DE2009"/>
    <w:rsid w:val="00DE205A"/>
    <w:rsid w:val="00DE20A7"/>
    <w:rsid w:val="00DE20B7"/>
    <w:rsid w:val="00DE20D8"/>
    <w:rsid w:val="00DE20EB"/>
    <w:rsid w:val="00DE225D"/>
    <w:rsid w:val="00DE22FB"/>
    <w:rsid w:val="00DE231E"/>
    <w:rsid w:val="00DE234A"/>
    <w:rsid w:val="00DE24BF"/>
    <w:rsid w:val="00DE2507"/>
    <w:rsid w:val="00DE254E"/>
    <w:rsid w:val="00DE25AB"/>
    <w:rsid w:val="00DE266C"/>
    <w:rsid w:val="00DE2678"/>
    <w:rsid w:val="00DE268C"/>
    <w:rsid w:val="00DE27DD"/>
    <w:rsid w:val="00DE2986"/>
    <w:rsid w:val="00DE2A15"/>
    <w:rsid w:val="00DE2C3E"/>
    <w:rsid w:val="00DE2C9D"/>
    <w:rsid w:val="00DE2CD3"/>
    <w:rsid w:val="00DE2CF5"/>
    <w:rsid w:val="00DE2DC4"/>
    <w:rsid w:val="00DE2E5F"/>
    <w:rsid w:val="00DE2EA0"/>
    <w:rsid w:val="00DE30B5"/>
    <w:rsid w:val="00DE311A"/>
    <w:rsid w:val="00DE314B"/>
    <w:rsid w:val="00DE3162"/>
    <w:rsid w:val="00DE31EE"/>
    <w:rsid w:val="00DE3228"/>
    <w:rsid w:val="00DE3271"/>
    <w:rsid w:val="00DE329B"/>
    <w:rsid w:val="00DE32D2"/>
    <w:rsid w:val="00DE32F6"/>
    <w:rsid w:val="00DE332E"/>
    <w:rsid w:val="00DE3335"/>
    <w:rsid w:val="00DE34AF"/>
    <w:rsid w:val="00DE352A"/>
    <w:rsid w:val="00DE35A1"/>
    <w:rsid w:val="00DE365D"/>
    <w:rsid w:val="00DE3672"/>
    <w:rsid w:val="00DE377D"/>
    <w:rsid w:val="00DE3796"/>
    <w:rsid w:val="00DE37C9"/>
    <w:rsid w:val="00DE39EA"/>
    <w:rsid w:val="00DE3AC1"/>
    <w:rsid w:val="00DE3C12"/>
    <w:rsid w:val="00DE3C35"/>
    <w:rsid w:val="00DE3C3C"/>
    <w:rsid w:val="00DE3CB9"/>
    <w:rsid w:val="00DE3D65"/>
    <w:rsid w:val="00DE3EE6"/>
    <w:rsid w:val="00DE3EEE"/>
    <w:rsid w:val="00DE3F3E"/>
    <w:rsid w:val="00DE3F9A"/>
    <w:rsid w:val="00DE403F"/>
    <w:rsid w:val="00DE40A5"/>
    <w:rsid w:val="00DE41B1"/>
    <w:rsid w:val="00DE424A"/>
    <w:rsid w:val="00DE4297"/>
    <w:rsid w:val="00DE4299"/>
    <w:rsid w:val="00DE42E6"/>
    <w:rsid w:val="00DE42FB"/>
    <w:rsid w:val="00DE4303"/>
    <w:rsid w:val="00DE445C"/>
    <w:rsid w:val="00DE46D6"/>
    <w:rsid w:val="00DE47FA"/>
    <w:rsid w:val="00DE4809"/>
    <w:rsid w:val="00DE48D1"/>
    <w:rsid w:val="00DE49AB"/>
    <w:rsid w:val="00DE4A12"/>
    <w:rsid w:val="00DE4A1E"/>
    <w:rsid w:val="00DE4A95"/>
    <w:rsid w:val="00DE4B65"/>
    <w:rsid w:val="00DE4C3F"/>
    <w:rsid w:val="00DE4C9D"/>
    <w:rsid w:val="00DE4E63"/>
    <w:rsid w:val="00DE4EFC"/>
    <w:rsid w:val="00DE4FFF"/>
    <w:rsid w:val="00DE5195"/>
    <w:rsid w:val="00DE521A"/>
    <w:rsid w:val="00DE5367"/>
    <w:rsid w:val="00DE53D8"/>
    <w:rsid w:val="00DE5442"/>
    <w:rsid w:val="00DE5541"/>
    <w:rsid w:val="00DE55D8"/>
    <w:rsid w:val="00DE55E7"/>
    <w:rsid w:val="00DE5779"/>
    <w:rsid w:val="00DE589A"/>
    <w:rsid w:val="00DE58CB"/>
    <w:rsid w:val="00DE59FA"/>
    <w:rsid w:val="00DE5AEF"/>
    <w:rsid w:val="00DE5B1A"/>
    <w:rsid w:val="00DE5B40"/>
    <w:rsid w:val="00DE5BAA"/>
    <w:rsid w:val="00DE5C5A"/>
    <w:rsid w:val="00DE5ED7"/>
    <w:rsid w:val="00DE5EEF"/>
    <w:rsid w:val="00DE5F13"/>
    <w:rsid w:val="00DE6165"/>
    <w:rsid w:val="00DE61E4"/>
    <w:rsid w:val="00DE6218"/>
    <w:rsid w:val="00DE629D"/>
    <w:rsid w:val="00DE62BB"/>
    <w:rsid w:val="00DE630F"/>
    <w:rsid w:val="00DE64D7"/>
    <w:rsid w:val="00DE65EB"/>
    <w:rsid w:val="00DE667F"/>
    <w:rsid w:val="00DE682A"/>
    <w:rsid w:val="00DE6870"/>
    <w:rsid w:val="00DE693E"/>
    <w:rsid w:val="00DE6AAD"/>
    <w:rsid w:val="00DE6B70"/>
    <w:rsid w:val="00DE6BDE"/>
    <w:rsid w:val="00DE6D7D"/>
    <w:rsid w:val="00DE6D84"/>
    <w:rsid w:val="00DE6D9C"/>
    <w:rsid w:val="00DE6DD0"/>
    <w:rsid w:val="00DE6E4C"/>
    <w:rsid w:val="00DE6E4E"/>
    <w:rsid w:val="00DE6E84"/>
    <w:rsid w:val="00DE6F78"/>
    <w:rsid w:val="00DE6FF2"/>
    <w:rsid w:val="00DE70F6"/>
    <w:rsid w:val="00DE71A3"/>
    <w:rsid w:val="00DE71C0"/>
    <w:rsid w:val="00DE7264"/>
    <w:rsid w:val="00DE7272"/>
    <w:rsid w:val="00DE72CF"/>
    <w:rsid w:val="00DE735C"/>
    <w:rsid w:val="00DE74AC"/>
    <w:rsid w:val="00DE74F7"/>
    <w:rsid w:val="00DE752A"/>
    <w:rsid w:val="00DE75F0"/>
    <w:rsid w:val="00DE7673"/>
    <w:rsid w:val="00DE778E"/>
    <w:rsid w:val="00DE77D9"/>
    <w:rsid w:val="00DE77EB"/>
    <w:rsid w:val="00DE7870"/>
    <w:rsid w:val="00DE78C8"/>
    <w:rsid w:val="00DE793E"/>
    <w:rsid w:val="00DE7963"/>
    <w:rsid w:val="00DE7BD1"/>
    <w:rsid w:val="00DE7C06"/>
    <w:rsid w:val="00DE7C89"/>
    <w:rsid w:val="00DE7CE4"/>
    <w:rsid w:val="00DE7D2D"/>
    <w:rsid w:val="00DE7E83"/>
    <w:rsid w:val="00DE7E9B"/>
    <w:rsid w:val="00DE7FC8"/>
    <w:rsid w:val="00DF0084"/>
    <w:rsid w:val="00DF0129"/>
    <w:rsid w:val="00DF0251"/>
    <w:rsid w:val="00DF02FF"/>
    <w:rsid w:val="00DF031E"/>
    <w:rsid w:val="00DF048B"/>
    <w:rsid w:val="00DF053D"/>
    <w:rsid w:val="00DF0577"/>
    <w:rsid w:val="00DF0602"/>
    <w:rsid w:val="00DF0610"/>
    <w:rsid w:val="00DF06E7"/>
    <w:rsid w:val="00DF07DD"/>
    <w:rsid w:val="00DF0802"/>
    <w:rsid w:val="00DF0840"/>
    <w:rsid w:val="00DF087C"/>
    <w:rsid w:val="00DF0908"/>
    <w:rsid w:val="00DF0AD8"/>
    <w:rsid w:val="00DF0B45"/>
    <w:rsid w:val="00DF0BBB"/>
    <w:rsid w:val="00DF0BF6"/>
    <w:rsid w:val="00DF0C99"/>
    <w:rsid w:val="00DF0CD9"/>
    <w:rsid w:val="00DF0D35"/>
    <w:rsid w:val="00DF0D59"/>
    <w:rsid w:val="00DF0E6F"/>
    <w:rsid w:val="00DF0EFA"/>
    <w:rsid w:val="00DF0FF5"/>
    <w:rsid w:val="00DF101B"/>
    <w:rsid w:val="00DF10DB"/>
    <w:rsid w:val="00DF120B"/>
    <w:rsid w:val="00DF121B"/>
    <w:rsid w:val="00DF129D"/>
    <w:rsid w:val="00DF1305"/>
    <w:rsid w:val="00DF137A"/>
    <w:rsid w:val="00DF13D6"/>
    <w:rsid w:val="00DF1519"/>
    <w:rsid w:val="00DF15B5"/>
    <w:rsid w:val="00DF15EF"/>
    <w:rsid w:val="00DF162A"/>
    <w:rsid w:val="00DF1655"/>
    <w:rsid w:val="00DF16A9"/>
    <w:rsid w:val="00DF17C8"/>
    <w:rsid w:val="00DF183C"/>
    <w:rsid w:val="00DF18CA"/>
    <w:rsid w:val="00DF1934"/>
    <w:rsid w:val="00DF19AE"/>
    <w:rsid w:val="00DF1A4A"/>
    <w:rsid w:val="00DF1A7F"/>
    <w:rsid w:val="00DF1B60"/>
    <w:rsid w:val="00DF1CAD"/>
    <w:rsid w:val="00DF1D1C"/>
    <w:rsid w:val="00DF1D70"/>
    <w:rsid w:val="00DF2041"/>
    <w:rsid w:val="00DF2102"/>
    <w:rsid w:val="00DF21D8"/>
    <w:rsid w:val="00DF2204"/>
    <w:rsid w:val="00DF2236"/>
    <w:rsid w:val="00DF22CB"/>
    <w:rsid w:val="00DF2338"/>
    <w:rsid w:val="00DF2404"/>
    <w:rsid w:val="00DF2453"/>
    <w:rsid w:val="00DF2480"/>
    <w:rsid w:val="00DF257B"/>
    <w:rsid w:val="00DF2594"/>
    <w:rsid w:val="00DF2699"/>
    <w:rsid w:val="00DF272F"/>
    <w:rsid w:val="00DF27E8"/>
    <w:rsid w:val="00DF2837"/>
    <w:rsid w:val="00DF2A09"/>
    <w:rsid w:val="00DF2A94"/>
    <w:rsid w:val="00DF2AFA"/>
    <w:rsid w:val="00DF2C9A"/>
    <w:rsid w:val="00DF2D40"/>
    <w:rsid w:val="00DF2D5F"/>
    <w:rsid w:val="00DF2D87"/>
    <w:rsid w:val="00DF2D8C"/>
    <w:rsid w:val="00DF2F77"/>
    <w:rsid w:val="00DF3115"/>
    <w:rsid w:val="00DF3123"/>
    <w:rsid w:val="00DF3138"/>
    <w:rsid w:val="00DF31A2"/>
    <w:rsid w:val="00DF3319"/>
    <w:rsid w:val="00DF3362"/>
    <w:rsid w:val="00DF3490"/>
    <w:rsid w:val="00DF3558"/>
    <w:rsid w:val="00DF3652"/>
    <w:rsid w:val="00DF3696"/>
    <w:rsid w:val="00DF371B"/>
    <w:rsid w:val="00DF371E"/>
    <w:rsid w:val="00DF37BF"/>
    <w:rsid w:val="00DF3862"/>
    <w:rsid w:val="00DF3873"/>
    <w:rsid w:val="00DF39AC"/>
    <w:rsid w:val="00DF39EB"/>
    <w:rsid w:val="00DF3A31"/>
    <w:rsid w:val="00DF3A65"/>
    <w:rsid w:val="00DF3AB9"/>
    <w:rsid w:val="00DF3B9F"/>
    <w:rsid w:val="00DF3BD3"/>
    <w:rsid w:val="00DF3D12"/>
    <w:rsid w:val="00DF3D5E"/>
    <w:rsid w:val="00DF3E2B"/>
    <w:rsid w:val="00DF3FF2"/>
    <w:rsid w:val="00DF4097"/>
    <w:rsid w:val="00DF419F"/>
    <w:rsid w:val="00DF4207"/>
    <w:rsid w:val="00DF4316"/>
    <w:rsid w:val="00DF4509"/>
    <w:rsid w:val="00DF462A"/>
    <w:rsid w:val="00DF465A"/>
    <w:rsid w:val="00DF47D9"/>
    <w:rsid w:val="00DF48E6"/>
    <w:rsid w:val="00DF4909"/>
    <w:rsid w:val="00DF4A79"/>
    <w:rsid w:val="00DF4DA0"/>
    <w:rsid w:val="00DF4F12"/>
    <w:rsid w:val="00DF4F2E"/>
    <w:rsid w:val="00DF4F31"/>
    <w:rsid w:val="00DF4F6D"/>
    <w:rsid w:val="00DF5013"/>
    <w:rsid w:val="00DF507C"/>
    <w:rsid w:val="00DF50FD"/>
    <w:rsid w:val="00DF5368"/>
    <w:rsid w:val="00DF5633"/>
    <w:rsid w:val="00DF564B"/>
    <w:rsid w:val="00DF565F"/>
    <w:rsid w:val="00DF56AF"/>
    <w:rsid w:val="00DF57FC"/>
    <w:rsid w:val="00DF5814"/>
    <w:rsid w:val="00DF585F"/>
    <w:rsid w:val="00DF58FF"/>
    <w:rsid w:val="00DF59D1"/>
    <w:rsid w:val="00DF5A76"/>
    <w:rsid w:val="00DF5A91"/>
    <w:rsid w:val="00DF5ACF"/>
    <w:rsid w:val="00DF5B31"/>
    <w:rsid w:val="00DF5B7F"/>
    <w:rsid w:val="00DF5CB3"/>
    <w:rsid w:val="00DF5DFA"/>
    <w:rsid w:val="00DF5E7D"/>
    <w:rsid w:val="00DF5EC8"/>
    <w:rsid w:val="00DF5ED4"/>
    <w:rsid w:val="00DF5FF0"/>
    <w:rsid w:val="00DF5FFB"/>
    <w:rsid w:val="00DF60C2"/>
    <w:rsid w:val="00DF614E"/>
    <w:rsid w:val="00DF619C"/>
    <w:rsid w:val="00DF61AC"/>
    <w:rsid w:val="00DF61C5"/>
    <w:rsid w:val="00DF61F8"/>
    <w:rsid w:val="00DF635A"/>
    <w:rsid w:val="00DF6448"/>
    <w:rsid w:val="00DF64DB"/>
    <w:rsid w:val="00DF658B"/>
    <w:rsid w:val="00DF6597"/>
    <w:rsid w:val="00DF65EB"/>
    <w:rsid w:val="00DF688A"/>
    <w:rsid w:val="00DF68AA"/>
    <w:rsid w:val="00DF68EA"/>
    <w:rsid w:val="00DF6973"/>
    <w:rsid w:val="00DF6B3A"/>
    <w:rsid w:val="00DF6C07"/>
    <w:rsid w:val="00DF6D08"/>
    <w:rsid w:val="00DF6D3F"/>
    <w:rsid w:val="00DF6D5E"/>
    <w:rsid w:val="00DF6E79"/>
    <w:rsid w:val="00DF6F90"/>
    <w:rsid w:val="00DF707C"/>
    <w:rsid w:val="00DF7218"/>
    <w:rsid w:val="00DF72C8"/>
    <w:rsid w:val="00DF736F"/>
    <w:rsid w:val="00DF73DC"/>
    <w:rsid w:val="00DF7474"/>
    <w:rsid w:val="00DF749E"/>
    <w:rsid w:val="00DF7569"/>
    <w:rsid w:val="00DF756D"/>
    <w:rsid w:val="00DF764C"/>
    <w:rsid w:val="00DF7657"/>
    <w:rsid w:val="00DF768E"/>
    <w:rsid w:val="00DF7764"/>
    <w:rsid w:val="00DF7893"/>
    <w:rsid w:val="00DF78F2"/>
    <w:rsid w:val="00DF7978"/>
    <w:rsid w:val="00DF7999"/>
    <w:rsid w:val="00DF7A2D"/>
    <w:rsid w:val="00DF7AD9"/>
    <w:rsid w:val="00DF7B06"/>
    <w:rsid w:val="00DF7B62"/>
    <w:rsid w:val="00DF7C25"/>
    <w:rsid w:val="00DF7C28"/>
    <w:rsid w:val="00DF7E6B"/>
    <w:rsid w:val="00DF7F81"/>
    <w:rsid w:val="00E00052"/>
    <w:rsid w:val="00E000CB"/>
    <w:rsid w:val="00E000EF"/>
    <w:rsid w:val="00E0013A"/>
    <w:rsid w:val="00E00293"/>
    <w:rsid w:val="00E0042D"/>
    <w:rsid w:val="00E004AB"/>
    <w:rsid w:val="00E004C0"/>
    <w:rsid w:val="00E00513"/>
    <w:rsid w:val="00E00709"/>
    <w:rsid w:val="00E0081D"/>
    <w:rsid w:val="00E008A5"/>
    <w:rsid w:val="00E0092B"/>
    <w:rsid w:val="00E00AD5"/>
    <w:rsid w:val="00E00CA2"/>
    <w:rsid w:val="00E00DFF"/>
    <w:rsid w:val="00E00E41"/>
    <w:rsid w:val="00E00E89"/>
    <w:rsid w:val="00E00EA8"/>
    <w:rsid w:val="00E00F69"/>
    <w:rsid w:val="00E0105F"/>
    <w:rsid w:val="00E0107E"/>
    <w:rsid w:val="00E01271"/>
    <w:rsid w:val="00E012AC"/>
    <w:rsid w:val="00E012FE"/>
    <w:rsid w:val="00E01444"/>
    <w:rsid w:val="00E014D8"/>
    <w:rsid w:val="00E01510"/>
    <w:rsid w:val="00E015C3"/>
    <w:rsid w:val="00E015F1"/>
    <w:rsid w:val="00E016D8"/>
    <w:rsid w:val="00E018BE"/>
    <w:rsid w:val="00E01965"/>
    <w:rsid w:val="00E0198E"/>
    <w:rsid w:val="00E0198F"/>
    <w:rsid w:val="00E01B2B"/>
    <w:rsid w:val="00E01C41"/>
    <w:rsid w:val="00E01D94"/>
    <w:rsid w:val="00E01E29"/>
    <w:rsid w:val="00E01E59"/>
    <w:rsid w:val="00E01EFE"/>
    <w:rsid w:val="00E01FEA"/>
    <w:rsid w:val="00E020C0"/>
    <w:rsid w:val="00E0219D"/>
    <w:rsid w:val="00E02262"/>
    <w:rsid w:val="00E023D6"/>
    <w:rsid w:val="00E02525"/>
    <w:rsid w:val="00E02964"/>
    <w:rsid w:val="00E0299C"/>
    <w:rsid w:val="00E029C9"/>
    <w:rsid w:val="00E02ADF"/>
    <w:rsid w:val="00E02B68"/>
    <w:rsid w:val="00E02B6D"/>
    <w:rsid w:val="00E02B86"/>
    <w:rsid w:val="00E02BA7"/>
    <w:rsid w:val="00E02BF4"/>
    <w:rsid w:val="00E02C89"/>
    <w:rsid w:val="00E02CF7"/>
    <w:rsid w:val="00E02D48"/>
    <w:rsid w:val="00E02D4D"/>
    <w:rsid w:val="00E02E6C"/>
    <w:rsid w:val="00E02EEB"/>
    <w:rsid w:val="00E02F8F"/>
    <w:rsid w:val="00E02FAC"/>
    <w:rsid w:val="00E030A8"/>
    <w:rsid w:val="00E03151"/>
    <w:rsid w:val="00E032A5"/>
    <w:rsid w:val="00E03360"/>
    <w:rsid w:val="00E03365"/>
    <w:rsid w:val="00E0336A"/>
    <w:rsid w:val="00E034D5"/>
    <w:rsid w:val="00E03534"/>
    <w:rsid w:val="00E035D7"/>
    <w:rsid w:val="00E035F6"/>
    <w:rsid w:val="00E03614"/>
    <w:rsid w:val="00E0365D"/>
    <w:rsid w:val="00E036FF"/>
    <w:rsid w:val="00E0383F"/>
    <w:rsid w:val="00E0386E"/>
    <w:rsid w:val="00E038C4"/>
    <w:rsid w:val="00E038E7"/>
    <w:rsid w:val="00E039C4"/>
    <w:rsid w:val="00E039FA"/>
    <w:rsid w:val="00E03A09"/>
    <w:rsid w:val="00E03AF1"/>
    <w:rsid w:val="00E03BEE"/>
    <w:rsid w:val="00E03CA3"/>
    <w:rsid w:val="00E03D43"/>
    <w:rsid w:val="00E03DA7"/>
    <w:rsid w:val="00E03F2A"/>
    <w:rsid w:val="00E03F4D"/>
    <w:rsid w:val="00E041EB"/>
    <w:rsid w:val="00E0461E"/>
    <w:rsid w:val="00E046CF"/>
    <w:rsid w:val="00E046E5"/>
    <w:rsid w:val="00E04720"/>
    <w:rsid w:val="00E04726"/>
    <w:rsid w:val="00E04734"/>
    <w:rsid w:val="00E048AC"/>
    <w:rsid w:val="00E04936"/>
    <w:rsid w:val="00E04947"/>
    <w:rsid w:val="00E04B22"/>
    <w:rsid w:val="00E04B2A"/>
    <w:rsid w:val="00E04B36"/>
    <w:rsid w:val="00E04BDA"/>
    <w:rsid w:val="00E04BF2"/>
    <w:rsid w:val="00E04BF3"/>
    <w:rsid w:val="00E04C3C"/>
    <w:rsid w:val="00E04C42"/>
    <w:rsid w:val="00E04C8C"/>
    <w:rsid w:val="00E04D7C"/>
    <w:rsid w:val="00E04E4E"/>
    <w:rsid w:val="00E04E80"/>
    <w:rsid w:val="00E04F56"/>
    <w:rsid w:val="00E04F61"/>
    <w:rsid w:val="00E051A1"/>
    <w:rsid w:val="00E051DB"/>
    <w:rsid w:val="00E051FC"/>
    <w:rsid w:val="00E052AF"/>
    <w:rsid w:val="00E052F2"/>
    <w:rsid w:val="00E05322"/>
    <w:rsid w:val="00E0546D"/>
    <w:rsid w:val="00E0564A"/>
    <w:rsid w:val="00E05664"/>
    <w:rsid w:val="00E056AE"/>
    <w:rsid w:val="00E056D2"/>
    <w:rsid w:val="00E056F3"/>
    <w:rsid w:val="00E056F8"/>
    <w:rsid w:val="00E05721"/>
    <w:rsid w:val="00E05814"/>
    <w:rsid w:val="00E058BB"/>
    <w:rsid w:val="00E0597C"/>
    <w:rsid w:val="00E05A29"/>
    <w:rsid w:val="00E05A90"/>
    <w:rsid w:val="00E05AA8"/>
    <w:rsid w:val="00E05B8B"/>
    <w:rsid w:val="00E05C76"/>
    <w:rsid w:val="00E05CDD"/>
    <w:rsid w:val="00E05D44"/>
    <w:rsid w:val="00E05D89"/>
    <w:rsid w:val="00E05DDB"/>
    <w:rsid w:val="00E05E99"/>
    <w:rsid w:val="00E05F01"/>
    <w:rsid w:val="00E05FCD"/>
    <w:rsid w:val="00E060D7"/>
    <w:rsid w:val="00E0613A"/>
    <w:rsid w:val="00E0617E"/>
    <w:rsid w:val="00E061FB"/>
    <w:rsid w:val="00E06306"/>
    <w:rsid w:val="00E06408"/>
    <w:rsid w:val="00E0655E"/>
    <w:rsid w:val="00E0686D"/>
    <w:rsid w:val="00E069C2"/>
    <w:rsid w:val="00E06A3A"/>
    <w:rsid w:val="00E06AB0"/>
    <w:rsid w:val="00E06C64"/>
    <w:rsid w:val="00E06E1D"/>
    <w:rsid w:val="00E06EBF"/>
    <w:rsid w:val="00E06F18"/>
    <w:rsid w:val="00E06F99"/>
    <w:rsid w:val="00E07082"/>
    <w:rsid w:val="00E0714F"/>
    <w:rsid w:val="00E07151"/>
    <w:rsid w:val="00E0719B"/>
    <w:rsid w:val="00E071BE"/>
    <w:rsid w:val="00E0739A"/>
    <w:rsid w:val="00E074A2"/>
    <w:rsid w:val="00E074C7"/>
    <w:rsid w:val="00E07530"/>
    <w:rsid w:val="00E076CD"/>
    <w:rsid w:val="00E0787F"/>
    <w:rsid w:val="00E078D3"/>
    <w:rsid w:val="00E078D8"/>
    <w:rsid w:val="00E07A09"/>
    <w:rsid w:val="00E07A0A"/>
    <w:rsid w:val="00E07AFE"/>
    <w:rsid w:val="00E07C00"/>
    <w:rsid w:val="00E07C2E"/>
    <w:rsid w:val="00E07E69"/>
    <w:rsid w:val="00E07F30"/>
    <w:rsid w:val="00E07F45"/>
    <w:rsid w:val="00E07F4F"/>
    <w:rsid w:val="00E07F5B"/>
    <w:rsid w:val="00E07FD6"/>
    <w:rsid w:val="00E10010"/>
    <w:rsid w:val="00E1009A"/>
    <w:rsid w:val="00E102AF"/>
    <w:rsid w:val="00E102EC"/>
    <w:rsid w:val="00E10365"/>
    <w:rsid w:val="00E1047B"/>
    <w:rsid w:val="00E10708"/>
    <w:rsid w:val="00E10788"/>
    <w:rsid w:val="00E108C8"/>
    <w:rsid w:val="00E10991"/>
    <w:rsid w:val="00E109B8"/>
    <w:rsid w:val="00E10A34"/>
    <w:rsid w:val="00E10B53"/>
    <w:rsid w:val="00E10C0F"/>
    <w:rsid w:val="00E10CC8"/>
    <w:rsid w:val="00E10CDE"/>
    <w:rsid w:val="00E10DA7"/>
    <w:rsid w:val="00E10DCB"/>
    <w:rsid w:val="00E10DEE"/>
    <w:rsid w:val="00E10E51"/>
    <w:rsid w:val="00E10F23"/>
    <w:rsid w:val="00E1114C"/>
    <w:rsid w:val="00E111BA"/>
    <w:rsid w:val="00E11243"/>
    <w:rsid w:val="00E11253"/>
    <w:rsid w:val="00E112AF"/>
    <w:rsid w:val="00E1130F"/>
    <w:rsid w:val="00E1131E"/>
    <w:rsid w:val="00E11502"/>
    <w:rsid w:val="00E11561"/>
    <w:rsid w:val="00E116E9"/>
    <w:rsid w:val="00E11743"/>
    <w:rsid w:val="00E1187B"/>
    <w:rsid w:val="00E1187E"/>
    <w:rsid w:val="00E118E6"/>
    <w:rsid w:val="00E119E8"/>
    <w:rsid w:val="00E119E9"/>
    <w:rsid w:val="00E11B7E"/>
    <w:rsid w:val="00E11D17"/>
    <w:rsid w:val="00E11E6C"/>
    <w:rsid w:val="00E11EE2"/>
    <w:rsid w:val="00E11EE5"/>
    <w:rsid w:val="00E11F6B"/>
    <w:rsid w:val="00E12016"/>
    <w:rsid w:val="00E120B1"/>
    <w:rsid w:val="00E120F3"/>
    <w:rsid w:val="00E122CE"/>
    <w:rsid w:val="00E122F2"/>
    <w:rsid w:val="00E125F4"/>
    <w:rsid w:val="00E128A6"/>
    <w:rsid w:val="00E128DD"/>
    <w:rsid w:val="00E1296B"/>
    <w:rsid w:val="00E12A5A"/>
    <w:rsid w:val="00E12B86"/>
    <w:rsid w:val="00E12B94"/>
    <w:rsid w:val="00E12BF5"/>
    <w:rsid w:val="00E12C7D"/>
    <w:rsid w:val="00E12CA9"/>
    <w:rsid w:val="00E12CC7"/>
    <w:rsid w:val="00E12CD8"/>
    <w:rsid w:val="00E12D27"/>
    <w:rsid w:val="00E12DB5"/>
    <w:rsid w:val="00E12DC8"/>
    <w:rsid w:val="00E12E47"/>
    <w:rsid w:val="00E12EA4"/>
    <w:rsid w:val="00E12F60"/>
    <w:rsid w:val="00E13045"/>
    <w:rsid w:val="00E1308C"/>
    <w:rsid w:val="00E13191"/>
    <w:rsid w:val="00E132CD"/>
    <w:rsid w:val="00E13464"/>
    <w:rsid w:val="00E134EF"/>
    <w:rsid w:val="00E135BE"/>
    <w:rsid w:val="00E13686"/>
    <w:rsid w:val="00E13749"/>
    <w:rsid w:val="00E13810"/>
    <w:rsid w:val="00E13860"/>
    <w:rsid w:val="00E138CD"/>
    <w:rsid w:val="00E13929"/>
    <w:rsid w:val="00E13AC1"/>
    <w:rsid w:val="00E13AEB"/>
    <w:rsid w:val="00E13C1F"/>
    <w:rsid w:val="00E13CB6"/>
    <w:rsid w:val="00E13CD6"/>
    <w:rsid w:val="00E13D1D"/>
    <w:rsid w:val="00E13E1E"/>
    <w:rsid w:val="00E13E6F"/>
    <w:rsid w:val="00E13EA0"/>
    <w:rsid w:val="00E13F0C"/>
    <w:rsid w:val="00E13FF5"/>
    <w:rsid w:val="00E141B1"/>
    <w:rsid w:val="00E14522"/>
    <w:rsid w:val="00E146AC"/>
    <w:rsid w:val="00E147D4"/>
    <w:rsid w:val="00E14841"/>
    <w:rsid w:val="00E149D8"/>
    <w:rsid w:val="00E14B0F"/>
    <w:rsid w:val="00E14BAA"/>
    <w:rsid w:val="00E14BDE"/>
    <w:rsid w:val="00E14C5D"/>
    <w:rsid w:val="00E14D03"/>
    <w:rsid w:val="00E14D20"/>
    <w:rsid w:val="00E14DC3"/>
    <w:rsid w:val="00E14E49"/>
    <w:rsid w:val="00E14E51"/>
    <w:rsid w:val="00E1512D"/>
    <w:rsid w:val="00E15131"/>
    <w:rsid w:val="00E15132"/>
    <w:rsid w:val="00E1528A"/>
    <w:rsid w:val="00E152DE"/>
    <w:rsid w:val="00E1530A"/>
    <w:rsid w:val="00E153E3"/>
    <w:rsid w:val="00E153EB"/>
    <w:rsid w:val="00E15412"/>
    <w:rsid w:val="00E15513"/>
    <w:rsid w:val="00E15557"/>
    <w:rsid w:val="00E15591"/>
    <w:rsid w:val="00E1599E"/>
    <w:rsid w:val="00E15ADA"/>
    <w:rsid w:val="00E15B59"/>
    <w:rsid w:val="00E15C05"/>
    <w:rsid w:val="00E15C6B"/>
    <w:rsid w:val="00E15C6C"/>
    <w:rsid w:val="00E15C7E"/>
    <w:rsid w:val="00E15C9E"/>
    <w:rsid w:val="00E15CBF"/>
    <w:rsid w:val="00E15D08"/>
    <w:rsid w:val="00E15D58"/>
    <w:rsid w:val="00E15D9E"/>
    <w:rsid w:val="00E15EAD"/>
    <w:rsid w:val="00E15EF7"/>
    <w:rsid w:val="00E15F92"/>
    <w:rsid w:val="00E15FD2"/>
    <w:rsid w:val="00E15FD8"/>
    <w:rsid w:val="00E161D8"/>
    <w:rsid w:val="00E1621F"/>
    <w:rsid w:val="00E16240"/>
    <w:rsid w:val="00E16281"/>
    <w:rsid w:val="00E162D4"/>
    <w:rsid w:val="00E1647D"/>
    <w:rsid w:val="00E164E3"/>
    <w:rsid w:val="00E1651F"/>
    <w:rsid w:val="00E16538"/>
    <w:rsid w:val="00E16687"/>
    <w:rsid w:val="00E166BD"/>
    <w:rsid w:val="00E166E6"/>
    <w:rsid w:val="00E167A6"/>
    <w:rsid w:val="00E167E2"/>
    <w:rsid w:val="00E16817"/>
    <w:rsid w:val="00E1687A"/>
    <w:rsid w:val="00E1690B"/>
    <w:rsid w:val="00E16967"/>
    <w:rsid w:val="00E1696B"/>
    <w:rsid w:val="00E16AD8"/>
    <w:rsid w:val="00E16B83"/>
    <w:rsid w:val="00E16C98"/>
    <w:rsid w:val="00E16E47"/>
    <w:rsid w:val="00E1701B"/>
    <w:rsid w:val="00E17055"/>
    <w:rsid w:val="00E170BE"/>
    <w:rsid w:val="00E17130"/>
    <w:rsid w:val="00E17207"/>
    <w:rsid w:val="00E17211"/>
    <w:rsid w:val="00E172E1"/>
    <w:rsid w:val="00E172F3"/>
    <w:rsid w:val="00E17334"/>
    <w:rsid w:val="00E17384"/>
    <w:rsid w:val="00E174B4"/>
    <w:rsid w:val="00E175B8"/>
    <w:rsid w:val="00E17727"/>
    <w:rsid w:val="00E17792"/>
    <w:rsid w:val="00E17879"/>
    <w:rsid w:val="00E17889"/>
    <w:rsid w:val="00E178B2"/>
    <w:rsid w:val="00E178C7"/>
    <w:rsid w:val="00E17913"/>
    <w:rsid w:val="00E1794B"/>
    <w:rsid w:val="00E17953"/>
    <w:rsid w:val="00E179B4"/>
    <w:rsid w:val="00E17AD7"/>
    <w:rsid w:val="00E17B0E"/>
    <w:rsid w:val="00E17C95"/>
    <w:rsid w:val="00E17F32"/>
    <w:rsid w:val="00E17F71"/>
    <w:rsid w:val="00E17FB4"/>
    <w:rsid w:val="00E17FEE"/>
    <w:rsid w:val="00E200B6"/>
    <w:rsid w:val="00E20174"/>
    <w:rsid w:val="00E201DF"/>
    <w:rsid w:val="00E201F7"/>
    <w:rsid w:val="00E2024F"/>
    <w:rsid w:val="00E20252"/>
    <w:rsid w:val="00E202E0"/>
    <w:rsid w:val="00E203E7"/>
    <w:rsid w:val="00E204AD"/>
    <w:rsid w:val="00E204F9"/>
    <w:rsid w:val="00E20600"/>
    <w:rsid w:val="00E2075A"/>
    <w:rsid w:val="00E20875"/>
    <w:rsid w:val="00E208E8"/>
    <w:rsid w:val="00E2092D"/>
    <w:rsid w:val="00E2099C"/>
    <w:rsid w:val="00E209B9"/>
    <w:rsid w:val="00E20A87"/>
    <w:rsid w:val="00E20CA3"/>
    <w:rsid w:val="00E20D30"/>
    <w:rsid w:val="00E20D6C"/>
    <w:rsid w:val="00E20E4F"/>
    <w:rsid w:val="00E20FA7"/>
    <w:rsid w:val="00E20FCB"/>
    <w:rsid w:val="00E21045"/>
    <w:rsid w:val="00E210E4"/>
    <w:rsid w:val="00E210EB"/>
    <w:rsid w:val="00E210F5"/>
    <w:rsid w:val="00E2110D"/>
    <w:rsid w:val="00E21243"/>
    <w:rsid w:val="00E212BE"/>
    <w:rsid w:val="00E21300"/>
    <w:rsid w:val="00E2130F"/>
    <w:rsid w:val="00E2136C"/>
    <w:rsid w:val="00E21406"/>
    <w:rsid w:val="00E2142B"/>
    <w:rsid w:val="00E21450"/>
    <w:rsid w:val="00E214E7"/>
    <w:rsid w:val="00E2152B"/>
    <w:rsid w:val="00E2152D"/>
    <w:rsid w:val="00E215FD"/>
    <w:rsid w:val="00E216BF"/>
    <w:rsid w:val="00E216F1"/>
    <w:rsid w:val="00E21795"/>
    <w:rsid w:val="00E217B3"/>
    <w:rsid w:val="00E21882"/>
    <w:rsid w:val="00E218E5"/>
    <w:rsid w:val="00E219D7"/>
    <w:rsid w:val="00E219DD"/>
    <w:rsid w:val="00E21BAF"/>
    <w:rsid w:val="00E21BE1"/>
    <w:rsid w:val="00E21C93"/>
    <w:rsid w:val="00E21D4E"/>
    <w:rsid w:val="00E21E1B"/>
    <w:rsid w:val="00E21EC3"/>
    <w:rsid w:val="00E21F22"/>
    <w:rsid w:val="00E21F3C"/>
    <w:rsid w:val="00E21F9A"/>
    <w:rsid w:val="00E2202A"/>
    <w:rsid w:val="00E22052"/>
    <w:rsid w:val="00E2207D"/>
    <w:rsid w:val="00E22178"/>
    <w:rsid w:val="00E22209"/>
    <w:rsid w:val="00E22350"/>
    <w:rsid w:val="00E22425"/>
    <w:rsid w:val="00E22447"/>
    <w:rsid w:val="00E22461"/>
    <w:rsid w:val="00E2256E"/>
    <w:rsid w:val="00E22599"/>
    <w:rsid w:val="00E22968"/>
    <w:rsid w:val="00E22AD7"/>
    <w:rsid w:val="00E22B23"/>
    <w:rsid w:val="00E22B80"/>
    <w:rsid w:val="00E22B81"/>
    <w:rsid w:val="00E22B96"/>
    <w:rsid w:val="00E22C21"/>
    <w:rsid w:val="00E22CC1"/>
    <w:rsid w:val="00E22DF2"/>
    <w:rsid w:val="00E22DFC"/>
    <w:rsid w:val="00E22E3A"/>
    <w:rsid w:val="00E22E50"/>
    <w:rsid w:val="00E22E61"/>
    <w:rsid w:val="00E22F63"/>
    <w:rsid w:val="00E2316F"/>
    <w:rsid w:val="00E231AB"/>
    <w:rsid w:val="00E231CF"/>
    <w:rsid w:val="00E231DA"/>
    <w:rsid w:val="00E232DC"/>
    <w:rsid w:val="00E233B9"/>
    <w:rsid w:val="00E23432"/>
    <w:rsid w:val="00E2345D"/>
    <w:rsid w:val="00E234ED"/>
    <w:rsid w:val="00E2350A"/>
    <w:rsid w:val="00E2358B"/>
    <w:rsid w:val="00E236A4"/>
    <w:rsid w:val="00E2373B"/>
    <w:rsid w:val="00E238E9"/>
    <w:rsid w:val="00E23943"/>
    <w:rsid w:val="00E239AB"/>
    <w:rsid w:val="00E23AA4"/>
    <w:rsid w:val="00E23B02"/>
    <w:rsid w:val="00E23D18"/>
    <w:rsid w:val="00E23E7F"/>
    <w:rsid w:val="00E23F34"/>
    <w:rsid w:val="00E23F62"/>
    <w:rsid w:val="00E23FDB"/>
    <w:rsid w:val="00E24005"/>
    <w:rsid w:val="00E240AA"/>
    <w:rsid w:val="00E240B7"/>
    <w:rsid w:val="00E240D7"/>
    <w:rsid w:val="00E24143"/>
    <w:rsid w:val="00E24216"/>
    <w:rsid w:val="00E242E2"/>
    <w:rsid w:val="00E2435E"/>
    <w:rsid w:val="00E24464"/>
    <w:rsid w:val="00E2452D"/>
    <w:rsid w:val="00E245C4"/>
    <w:rsid w:val="00E24646"/>
    <w:rsid w:val="00E246BD"/>
    <w:rsid w:val="00E24723"/>
    <w:rsid w:val="00E24757"/>
    <w:rsid w:val="00E2482D"/>
    <w:rsid w:val="00E24841"/>
    <w:rsid w:val="00E2485F"/>
    <w:rsid w:val="00E248C1"/>
    <w:rsid w:val="00E24972"/>
    <w:rsid w:val="00E249D3"/>
    <w:rsid w:val="00E24A15"/>
    <w:rsid w:val="00E24A30"/>
    <w:rsid w:val="00E24B42"/>
    <w:rsid w:val="00E24BE6"/>
    <w:rsid w:val="00E24C4E"/>
    <w:rsid w:val="00E24C91"/>
    <w:rsid w:val="00E24D19"/>
    <w:rsid w:val="00E24E2E"/>
    <w:rsid w:val="00E24EC5"/>
    <w:rsid w:val="00E24ED0"/>
    <w:rsid w:val="00E24FE3"/>
    <w:rsid w:val="00E25008"/>
    <w:rsid w:val="00E2509D"/>
    <w:rsid w:val="00E250F8"/>
    <w:rsid w:val="00E251AB"/>
    <w:rsid w:val="00E251BF"/>
    <w:rsid w:val="00E25302"/>
    <w:rsid w:val="00E25431"/>
    <w:rsid w:val="00E25490"/>
    <w:rsid w:val="00E255B3"/>
    <w:rsid w:val="00E25627"/>
    <w:rsid w:val="00E25736"/>
    <w:rsid w:val="00E257A8"/>
    <w:rsid w:val="00E2589A"/>
    <w:rsid w:val="00E25901"/>
    <w:rsid w:val="00E259A0"/>
    <w:rsid w:val="00E259FA"/>
    <w:rsid w:val="00E25B48"/>
    <w:rsid w:val="00E25B50"/>
    <w:rsid w:val="00E25BCC"/>
    <w:rsid w:val="00E25BE8"/>
    <w:rsid w:val="00E25C3F"/>
    <w:rsid w:val="00E25C6B"/>
    <w:rsid w:val="00E25D50"/>
    <w:rsid w:val="00E25DAE"/>
    <w:rsid w:val="00E25DB1"/>
    <w:rsid w:val="00E25E5D"/>
    <w:rsid w:val="00E261EA"/>
    <w:rsid w:val="00E261ED"/>
    <w:rsid w:val="00E2625F"/>
    <w:rsid w:val="00E2626C"/>
    <w:rsid w:val="00E262C8"/>
    <w:rsid w:val="00E26427"/>
    <w:rsid w:val="00E264B7"/>
    <w:rsid w:val="00E264E5"/>
    <w:rsid w:val="00E2650C"/>
    <w:rsid w:val="00E2657A"/>
    <w:rsid w:val="00E2657F"/>
    <w:rsid w:val="00E26599"/>
    <w:rsid w:val="00E265E6"/>
    <w:rsid w:val="00E2661B"/>
    <w:rsid w:val="00E2675C"/>
    <w:rsid w:val="00E2681E"/>
    <w:rsid w:val="00E26866"/>
    <w:rsid w:val="00E26A4D"/>
    <w:rsid w:val="00E26B9D"/>
    <w:rsid w:val="00E26BB2"/>
    <w:rsid w:val="00E26C7F"/>
    <w:rsid w:val="00E26CEE"/>
    <w:rsid w:val="00E26D3D"/>
    <w:rsid w:val="00E26E14"/>
    <w:rsid w:val="00E26F2A"/>
    <w:rsid w:val="00E26F88"/>
    <w:rsid w:val="00E27060"/>
    <w:rsid w:val="00E2706F"/>
    <w:rsid w:val="00E270E8"/>
    <w:rsid w:val="00E2710C"/>
    <w:rsid w:val="00E27321"/>
    <w:rsid w:val="00E273EF"/>
    <w:rsid w:val="00E274A8"/>
    <w:rsid w:val="00E274B2"/>
    <w:rsid w:val="00E275CE"/>
    <w:rsid w:val="00E275E3"/>
    <w:rsid w:val="00E2760A"/>
    <w:rsid w:val="00E27638"/>
    <w:rsid w:val="00E27690"/>
    <w:rsid w:val="00E276AE"/>
    <w:rsid w:val="00E276D9"/>
    <w:rsid w:val="00E276FF"/>
    <w:rsid w:val="00E27756"/>
    <w:rsid w:val="00E27892"/>
    <w:rsid w:val="00E278F0"/>
    <w:rsid w:val="00E279DE"/>
    <w:rsid w:val="00E27A24"/>
    <w:rsid w:val="00E27A93"/>
    <w:rsid w:val="00E27ABC"/>
    <w:rsid w:val="00E27B42"/>
    <w:rsid w:val="00E27BBD"/>
    <w:rsid w:val="00E27BF9"/>
    <w:rsid w:val="00E27C5F"/>
    <w:rsid w:val="00E27C6A"/>
    <w:rsid w:val="00E27D33"/>
    <w:rsid w:val="00E27DC0"/>
    <w:rsid w:val="00E27E8F"/>
    <w:rsid w:val="00E27FA6"/>
    <w:rsid w:val="00E3006D"/>
    <w:rsid w:val="00E301DF"/>
    <w:rsid w:val="00E30243"/>
    <w:rsid w:val="00E302B8"/>
    <w:rsid w:val="00E30408"/>
    <w:rsid w:val="00E3048C"/>
    <w:rsid w:val="00E304D5"/>
    <w:rsid w:val="00E3067C"/>
    <w:rsid w:val="00E306A9"/>
    <w:rsid w:val="00E308F7"/>
    <w:rsid w:val="00E30A67"/>
    <w:rsid w:val="00E30AB4"/>
    <w:rsid w:val="00E30C27"/>
    <w:rsid w:val="00E30D3D"/>
    <w:rsid w:val="00E30D9D"/>
    <w:rsid w:val="00E30EB6"/>
    <w:rsid w:val="00E30EF9"/>
    <w:rsid w:val="00E30F75"/>
    <w:rsid w:val="00E3106B"/>
    <w:rsid w:val="00E31086"/>
    <w:rsid w:val="00E310CB"/>
    <w:rsid w:val="00E3121B"/>
    <w:rsid w:val="00E3123A"/>
    <w:rsid w:val="00E3126A"/>
    <w:rsid w:val="00E3128B"/>
    <w:rsid w:val="00E31372"/>
    <w:rsid w:val="00E313A2"/>
    <w:rsid w:val="00E313B2"/>
    <w:rsid w:val="00E3150D"/>
    <w:rsid w:val="00E315BE"/>
    <w:rsid w:val="00E316FA"/>
    <w:rsid w:val="00E31724"/>
    <w:rsid w:val="00E31775"/>
    <w:rsid w:val="00E3197B"/>
    <w:rsid w:val="00E31A32"/>
    <w:rsid w:val="00E31B41"/>
    <w:rsid w:val="00E31BD3"/>
    <w:rsid w:val="00E31CFD"/>
    <w:rsid w:val="00E31D9A"/>
    <w:rsid w:val="00E31E1F"/>
    <w:rsid w:val="00E31E20"/>
    <w:rsid w:val="00E31E5C"/>
    <w:rsid w:val="00E31F72"/>
    <w:rsid w:val="00E31FA1"/>
    <w:rsid w:val="00E31FAD"/>
    <w:rsid w:val="00E3205C"/>
    <w:rsid w:val="00E320C9"/>
    <w:rsid w:val="00E320EB"/>
    <w:rsid w:val="00E32245"/>
    <w:rsid w:val="00E322FA"/>
    <w:rsid w:val="00E3240E"/>
    <w:rsid w:val="00E3245A"/>
    <w:rsid w:val="00E3256F"/>
    <w:rsid w:val="00E325D8"/>
    <w:rsid w:val="00E32977"/>
    <w:rsid w:val="00E329B3"/>
    <w:rsid w:val="00E32AED"/>
    <w:rsid w:val="00E32AF1"/>
    <w:rsid w:val="00E32B16"/>
    <w:rsid w:val="00E32B89"/>
    <w:rsid w:val="00E32BDF"/>
    <w:rsid w:val="00E32C24"/>
    <w:rsid w:val="00E32D05"/>
    <w:rsid w:val="00E32D82"/>
    <w:rsid w:val="00E32D87"/>
    <w:rsid w:val="00E32EA7"/>
    <w:rsid w:val="00E32F42"/>
    <w:rsid w:val="00E330A0"/>
    <w:rsid w:val="00E330BB"/>
    <w:rsid w:val="00E33187"/>
    <w:rsid w:val="00E33225"/>
    <w:rsid w:val="00E33287"/>
    <w:rsid w:val="00E3329D"/>
    <w:rsid w:val="00E3330D"/>
    <w:rsid w:val="00E33320"/>
    <w:rsid w:val="00E333FA"/>
    <w:rsid w:val="00E33418"/>
    <w:rsid w:val="00E3346D"/>
    <w:rsid w:val="00E3351A"/>
    <w:rsid w:val="00E3354B"/>
    <w:rsid w:val="00E335CD"/>
    <w:rsid w:val="00E3361D"/>
    <w:rsid w:val="00E336AE"/>
    <w:rsid w:val="00E336B2"/>
    <w:rsid w:val="00E336E7"/>
    <w:rsid w:val="00E33835"/>
    <w:rsid w:val="00E338EB"/>
    <w:rsid w:val="00E3392E"/>
    <w:rsid w:val="00E33972"/>
    <w:rsid w:val="00E33B6E"/>
    <w:rsid w:val="00E33BC8"/>
    <w:rsid w:val="00E33C31"/>
    <w:rsid w:val="00E33C7F"/>
    <w:rsid w:val="00E33CEF"/>
    <w:rsid w:val="00E33D8F"/>
    <w:rsid w:val="00E33EAA"/>
    <w:rsid w:val="00E33F02"/>
    <w:rsid w:val="00E33F1F"/>
    <w:rsid w:val="00E33F4D"/>
    <w:rsid w:val="00E33F84"/>
    <w:rsid w:val="00E33FCF"/>
    <w:rsid w:val="00E34043"/>
    <w:rsid w:val="00E3410C"/>
    <w:rsid w:val="00E341AD"/>
    <w:rsid w:val="00E3427C"/>
    <w:rsid w:val="00E34377"/>
    <w:rsid w:val="00E343AC"/>
    <w:rsid w:val="00E34439"/>
    <w:rsid w:val="00E3449F"/>
    <w:rsid w:val="00E34555"/>
    <w:rsid w:val="00E34571"/>
    <w:rsid w:val="00E34615"/>
    <w:rsid w:val="00E34780"/>
    <w:rsid w:val="00E349DB"/>
    <w:rsid w:val="00E34C0E"/>
    <w:rsid w:val="00E34C80"/>
    <w:rsid w:val="00E34D55"/>
    <w:rsid w:val="00E34EAC"/>
    <w:rsid w:val="00E34F9E"/>
    <w:rsid w:val="00E34FC9"/>
    <w:rsid w:val="00E3502B"/>
    <w:rsid w:val="00E35116"/>
    <w:rsid w:val="00E351A1"/>
    <w:rsid w:val="00E351F6"/>
    <w:rsid w:val="00E35206"/>
    <w:rsid w:val="00E35219"/>
    <w:rsid w:val="00E35334"/>
    <w:rsid w:val="00E35392"/>
    <w:rsid w:val="00E353D3"/>
    <w:rsid w:val="00E35419"/>
    <w:rsid w:val="00E35434"/>
    <w:rsid w:val="00E35447"/>
    <w:rsid w:val="00E3550D"/>
    <w:rsid w:val="00E355F3"/>
    <w:rsid w:val="00E35640"/>
    <w:rsid w:val="00E35641"/>
    <w:rsid w:val="00E356CF"/>
    <w:rsid w:val="00E356FD"/>
    <w:rsid w:val="00E357E8"/>
    <w:rsid w:val="00E35947"/>
    <w:rsid w:val="00E35990"/>
    <w:rsid w:val="00E3599F"/>
    <w:rsid w:val="00E35A9D"/>
    <w:rsid w:val="00E35B18"/>
    <w:rsid w:val="00E35B1A"/>
    <w:rsid w:val="00E35B65"/>
    <w:rsid w:val="00E35B93"/>
    <w:rsid w:val="00E35BD5"/>
    <w:rsid w:val="00E35C68"/>
    <w:rsid w:val="00E35D5E"/>
    <w:rsid w:val="00E35E0A"/>
    <w:rsid w:val="00E35EA5"/>
    <w:rsid w:val="00E35EF3"/>
    <w:rsid w:val="00E35F4E"/>
    <w:rsid w:val="00E3604B"/>
    <w:rsid w:val="00E361F5"/>
    <w:rsid w:val="00E36209"/>
    <w:rsid w:val="00E36238"/>
    <w:rsid w:val="00E36315"/>
    <w:rsid w:val="00E363F5"/>
    <w:rsid w:val="00E364C9"/>
    <w:rsid w:val="00E365C4"/>
    <w:rsid w:val="00E367C1"/>
    <w:rsid w:val="00E367D2"/>
    <w:rsid w:val="00E36879"/>
    <w:rsid w:val="00E3691C"/>
    <w:rsid w:val="00E369DB"/>
    <w:rsid w:val="00E36B9A"/>
    <w:rsid w:val="00E36E0B"/>
    <w:rsid w:val="00E36E0E"/>
    <w:rsid w:val="00E37043"/>
    <w:rsid w:val="00E37273"/>
    <w:rsid w:val="00E3739D"/>
    <w:rsid w:val="00E373DF"/>
    <w:rsid w:val="00E3755E"/>
    <w:rsid w:val="00E375AC"/>
    <w:rsid w:val="00E3762C"/>
    <w:rsid w:val="00E37687"/>
    <w:rsid w:val="00E37722"/>
    <w:rsid w:val="00E3779A"/>
    <w:rsid w:val="00E377AF"/>
    <w:rsid w:val="00E377D6"/>
    <w:rsid w:val="00E378DA"/>
    <w:rsid w:val="00E378F2"/>
    <w:rsid w:val="00E37944"/>
    <w:rsid w:val="00E37ACE"/>
    <w:rsid w:val="00E37ACF"/>
    <w:rsid w:val="00E37B1A"/>
    <w:rsid w:val="00E37B45"/>
    <w:rsid w:val="00E37C38"/>
    <w:rsid w:val="00E37CE2"/>
    <w:rsid w:val="00E37D32"/>
    <w:rsid w:val="00E37DC5"/>
    <w:rsid w:val="00E37E8A"/>
    <w:rsid w:val="00E37EE0"/>
    <w:rsid w:val="00E37EED"/>
    <w:rsid w:val="00E37F44"/>
    <w:rsid w:val="00E37F49"/>
    <w:rsid w:val="00E37FEC"/>
    <w:rsid w:val="00E401F9"/>
    <w:rsid w:val="00E40299"/>
    <w:rsid w:val="00E40351"/>
    <w:rsid w:val="00E403BA"/>
    <w:rsid w:val="00E40468"/>
    <w:rsid w:val="00E404DF"/>
    <w:rsid w:val="00E40530"/>
    <w:rsid w:val="00E4056A"/>
    <w:rsid w:val="00E40633"/>
    <w:rsid w:val="00E406AA"/>
    <w:rsid w:val="00E40814"/>
    <w:rsid w:val="00E40883"/>
    <w:rsid w:val="00E4091B"/>
    <w:rsid w:val="00E409AE"/>
    <w:rsid w:val="00E409CE"/>
    <w:rsid w:val="00E40A70"/>
    <w:rsid w:val="00E40AA7"/>
    <w:rsid w:val="00E40BD2"/>
    <w:rsid w:val="00E40CC5"/>
    <w:rsid w:val="00E40DEA"/>
    <w:rsid w:val="00E40E03"/>
    <w:rsid w:val="00E40E73"/>
    <w:rsid w:val="00E41047"/>
    <w:rsid w:val="00E41067"/>
    <w:rsid w:val="00E410DC"/>
    <w:rsid w:val="00E410F6"/>
    <w:rsid w:val="00E4117C"/>
    <w:rsid w:val="00E411F3"/>
    <w:rsid w:val="00E4129A"/>
    <w:rsid w:val="00E41546"/>
    <w:rsid w:val="00E415A1"/>
    <w:rsid w:val="00E416FB"/>
    <w:rsid w:val="00E41700"/>
    <w:rsid w:val="00E41802"/>
    <w:rsid w:val="00E41898"/>
    <w:rsid w:val="00E418AB"/>
    <w:rsid w:val="00E418B9"/>
    <w:rsid w:val="00E418BE"/>
    <w:rsid w:val="00E418ED"/>
    <w:rsid w:val="00E41910"/>
    <w:rsid w:val="00E41B73"/>
    <w:rsid w:val="00E41DC4"/>
    <w:rsid w:val="00E41ED6"/>
    <w:rsid w:val="00E41F09"/>
    <w:rsid w:val="00E41F48"/>
    <w:rsid w:val="00E42102"/>
    <w:rsid w:val="00E421B0"/>
    <w:rsid w:val="00E4222B"/>
    <w:rsid w:val="00E42356"/>
    <w:rsid w:val="00E4237B"/>
    <w:rsid w:val="00E423BA"/>
    <w:rsid w:val="00E42473"/>
    <w:rsid w:val="00E424D0"/>
    <w:rsid w:val="00E42568"/>
    <w:rsid w:val="00E425B8"/>
    <w:rsid w:val="00E4277C"/>
    <w:rsid w:val="00E427BB"/>
    <w:rsid w:val="00E42823"/>
    <w:rsid w:val="00E42832"/>
    <w:rsid w:val="00E4284D"/>
    <w:rsid w:val="00E42C24"/>
    <w:rsid w:val="00E42CA3"/>
    <w:rsid w:val="00E42D64"/>
    <w:rsid w:val="00E42DC4"/>
    <w:rsid w:val="00E42DCB"/>
    <w:rsid w:val="00E42DE0"/>
    <w:rsid w:val="00E42E54"/>
    <w:rsid w:val="00E42E8F"/>
    <w:rsid w:val="00E42FFB"/>
    <w:rsid w:val="00E430D3"/>
    <w:rsid w:val="00E43285"/>
    <w:rsid w:val="00E4330B"/>
    <w:rsid w:val="00E4332F"/>
    <w:rsid w:val="00E434F7"/>
    <w:rsid w:val="00E4350C"/>
    <w:rsid w:val="00E435AC"/>
    <w:rsid w:val="00E435EE"/>
    <w:rsid w:val="00E436D3"/>
    <w:rsid w:val="00E43820"/>
    <w:rsid w:val="00E43846"/>
    <w:rsid w:val="00E438CD"/>
    <w:rsid w:val="00E43A48"/>
    <w:rsid w:val="00E43B32"/>
    <w:rsid w:val="00E43BAC"/>
    <w:rsid w:val="00E43C2B"/>
    <w:rsid w:val="00E43C71"/>
    <w:rsid w:val="00E43CAB"/>
    <w:rsid w:val="00E43CD3"/>
    <w:rsid w:val="00E43D32"/>
    <w:rsid w:val="00E43DAD"/>
    <w:rsid w:val="00E43DDC"/>
    <w:rsid w:val="00E43E8D"/>
    <w:rsid w:val="00E43EDB"/>
    <w:rsid w:val="00E43F19"/>
    <w:rsid w:val="00E43F73"/>
    <w:rsid w:val="00E44032"/>
    <w:rsid w:val="00E44035"/>
    <w:rsid w:val="00E44080"/>
    <w:rsid w:val="00E440CD"/>
    <w:rsid w:val="00E440D4"/>
    <w:rsid w:val="00E44231"/>
    <w:rsid w:val="00E44311"/>
    <w:rsid w:val="00E44338"/>
    <w:rsid w:val="00E44339"/>
    <w:rsid w:val="00E44447"/>
    <w:rsid w:val="00E4444F"/>
    <w:rsid w:val="00E4462D"/>
    <w:rsid w:val="00E44660"/>
    <w:rsid w:val="00E4469E"/>
    <w:rsid w:val="00E447A1"/>
    <w:rsid w:val="00E44842"/>
    <w:rsid w:val="00E449DA"/>
    <w:rsid w:val="00E44A26"/>
    <w:rsid w:val="00E44A36"/>
    <w:rsid w:val="00E44AB7"/>
    <w:rsid w:val="00E44D74"/>
    <w:rsid w:val="00E44D78"/>
    <w:rsid w:val="00E44F14"/>
    <w:rsid w:val="00E44F90"/>
    <w:rsid w:val="00E44F92"/>
    <w:rsid w:val="00E44FDE"/>
    <w:rsid w:val="00E45056"/>
    <w:rsid w:val="00E451C9"/>
    <w:rsid w:val="00E453F1"/>
    <w:rsid w:val="00E45479"/>
    <w:rsid w:val="00E4548F"/>
    <w:rsid w:val="00E45553"/>
    <w:rsid w:val="00E4567C"/>
    <w:rsid w:val="00E4568B"/>
    <w:rsid w:val="00E4588D"/>
    <w:rsid w:val="00E45895"/>
    <w:rsid w:val="00E459D7"/>
    <w:rsid w:val="00E45C5E"/>
    <w:rsid w:val="00E45CE6"/>
    <w:rsid w:val="00E45DC8"/>
    <w:rsid w:val="00E45E44"/>
    <w:rsid w:val="00E45EA6"/>
    <w:rsid w:val="00E45F4A"/>
    <w:rsid w:val="00E4600E"/>
    <w:rsid w:val="00E460BD"/>
    <w:rsid w:val="00E460D7"/>
    <w:rsid w:val="00E461BF"/>
    <w:rsid w:val="00E46270"/>
    <w:rsid w:val="00E46277"/>
    <w:rsid w:val="00E462C8"/>
    <w:rsid w:val="00E46337"/>
    <w:rsid w:val="00E46338"/>
    <w:rsid w:val="00E46363"/>
    <w:rsid w:val="00E463A0"/>
    <w:rsid w:val="00E463F9"/>
    <w:rsid w:val="00E46472"/>
    <w:rsid w:val="00E46888"/>
    <w:rsid w:val="00E468F8"/>
    <w:rsid w:val="00E46986"/>
    <w:rsid w:val="00E46AD6"/>
    <w:rsid w:val="00E46ADE"/>
    <w:rsid w:val="00E46B52"/>
    <w:rsid w:val="00E46BE2"/>
    <w:rsid w:val="00E47030"/>
    <w:rsid w:val="00E47196"/>
    <w:rsid w:val="00E47285"/>
    <w:rsid w:val="00E472D6"/>
    <w:rsid w:val="00E47304"/>
    <w:rsid w:val="00E4741D"/>
    <w:rsid w:val="00E474A6"/>
    <w:rsid w:val="00E474B1"/>
    <w:rsid w:val="00E4752B"/>
    <w:rsid w:val="00E475A1"/>
    <w:rsid w:val="00E4772D"/>
    <w:rsid w:val="00E47830"/>
    <w:rsid w:val="00E478BE"/>
    <w:rsid w:val="00E47909"/>
    <w:rsid w:val="00E4790E"/>
    <w:rsid w:val="00E479C8"/>
    <w:rsid w:val="00E47B58"/>
    <w:rsid w:val="00E47C6A"/>
    <w:rsid w:val="00E47C6C"/>
    <w:rsid w:val="00E47D2B"/>
    <w:rsid w:val="00E47F05"/>
    <w:rsid w:val="00E500E4"/>
    <w:rsid w:val="00E50155"/>
    <w:rsid w:val="00E5029C"/>
    <w:rsid w:val="00E50341"/>
    <w:rsid w:val="00E5036A"/>
    <w:rsid w:val="00E5036F"/>
    <w:rsid w:val="00E503C6"/>
    <w:rsid w:val="00E503F7"/>
    <w:rsid w:val="00E50426"/>
    <w:rsid w:val="00E506F2"/>
    <w:rsid w:val="00E50730"/>
    <w:rsid w:val="00E50735"/>
    <w:rsid w:val="00E507A3"/>
    <w:rsid w:val="00E5083D"/>
    <w:rsid w:val="00E50968"/>
    <w:rsid w:val="00E509BC"/>
    <w:rsid w:val="00E50BA5"/>
    <w:rsid w:val="00E50EA6"/>
    <w:rsid w:val="00E50F11"/>
    <w:rsid w:val="00E50F62"/>
    <w:rsid w:val="00E5106D"/>
    <w:rsid w:val="00E510C9"/>
    <w:rsid w:val="00E51168"/>
    <w:rsid w:val="00E511C5"/>
    <w:rsid w:val="00E51343"/>
    <w:rsid w:val="00E51412"/>
    <w:rsid w:val="00E51481"/>
    <w:rsid w:val="00E51483"/>
    <w:rsid w:val="00E514C7"/>
    <w:rsid w:val="00E514CB"/>
    <w:rsid w:val="00E514D1"/>
    <w:rsid w:val="00E515C8"/>
    <w:rsid w:val="00E51651"/>
    <w:rsid w:val="00E516B0"/>
    <w:rsid w:val="00E518AE"/>
    <w:rsid w:val="00E5197D"/>
    <w:rsid w:val="00E51BD2"/>
    <w:rsid w:val="00E51CA7"/>
    <w:rsid w:val="00E51CFF"/>
    <w:rsid w:val="00E51D2D"/>
    <w:rsid w:val="00E51D97"/>
    <w:rsid w:val="00E51D99"/>
    <w:rsid w:val="00E51E30"/>
    <w:rsid w:val="00E51EBA"/>
    <w:rsid w:val="00E5207D"/>
    <w:rsid w:val="00E52081"/>
    <w:rsid w:val="00E521E4"/>
    <w:rsid w:val="00E522A8"/>
    <w:rsid w:val="00E523D3"/>
    <w:rsid w:val="00E5261A"/>
    <w:rsid w:val="00E526BB"/>
    <w:rsid w:val="00E5271B"/>
    <w:rsid w:val="00E5281B"/>
    <w:rsid w:val="00E52828"/>
    <w:rsid w:val="00E52864"/>
    <w:rsid w:val="00E528D6"/>
    <w:rsid w:val="00E528E6"/>
    <w:rsid w:val="00E52943"/>
    <w:rsid w:val="00E52954"/>
    <w:rsid w:val="00E52A80"/>
    <w:rsid w:val="00E52A9D"/>
    <w:rsid w:val="00E52AE2"/>
    <w:rsid w:val="00E52BE0"/>
    <w:rsid w:val="00E52C08"/>
    <w:rsid w:val="00E52C66"/>
    <w:rsid w:val="00E52D10"/>
    <w:rsid w:val="00E52E21"/>
    <w:rsid w:val="00E52E36"/>
    <w:rsid w:val="00E52E6B"/>
    <w:rsid w:val="00E52FC7"/>
    <w:rsid w:val="00E5311D"/>
    <w:rsid w:val="00E5323E"/>
    <w:rsid w:val="00E53349"/>
    <w:rsid w:val="00E5345B"/>
    <w:rsid w:val="00E53558"/>
    <w:rsid w:val="00E53624"/>
    <w:rsid w:val="00E53673"/>
    <w:rsid w:val="00E536A5"/>
    <w:rsid w:val="00E536CD"/>
    <w:rsid w:val="00E53735"/>
    <w:rsid w:val="00E53987"/>
    <w:rsid w:val="00E53996"/>
    <w:rsid w:val="00E53A48"/>
    <w:rsid w:val="00E53B34"/>
    <w:rsid w:val="00E53B76"/>
    <w:rsid w:val="00E53BAA"/>
    <w:rsid w:val="00E53C21"/>
    <w:rsid w:val="00E53D27"/>
    <w:rsid w:val="00E53D41"/>
    <w:rsid w:val="00E53F69"/>
    <w:rsid w:val="00E53FE2"/>
    <w:rsid w:val="00E5400B"/>
    <w:rsid w:val="00E54063"/>
    <w:rsid w:val="00E54095"/>
    <w:rsid w:val="00E5413B"/>
    <w:rsid w:val="00E541EB"/>
    <w:rsid w:val="00E5421A"/>
    <w:rsid w:val="00E5424F"/>
    <w:rsid w:val="00E54308"/>
    <w:rsid w:val="00E54323"/>
    <w:rsid w:val="00E54336"/>
    <w:rsid w:val="00E54364"/>
    <w:rsid w:val="00E544E1"/>
    <w:rsid w:val="00E544FC"/>
    <w:rsid w:val="00E545BD"/>
    <w:rsid w:val="00E545F5"/>
    <w:rsid w:val="00E54631"/>
    <w:rsid w:val="00E5467E"/>
    <w:rsid w:val="00E546DD"/>
    <w:rsid w:val="00E547B9"/>
    <w:rsid w:val="00E54801"/>
    <w:rsid w:val="00E5481D"/>
    <w:rsid w:val="00E5486B"/>
    <w:rsid w:val="00E548BA"/>
    <w:rsid w:val="00E548C1"/>
    <w:rsid w:val="00E548D1"/>
    <w:rsid w:val="00E548EA"/>
    <w:rsid w:val="00E54971"/>
    <w:rsid w:val="00E549A2"/>
    <w:rsid w:val="00E549C9"/>
    <w:rsid w:val="00E54B08"/>
    <w:rsid w:val="00E54B52"/>
    <w:rsid w:val="00E54B60"/>
    <w:rsid w:val="00E54BBC"/>
    <w:rsid w:val="00E54C47"/>
    <w:rsid w:val="00E54D4E"/>
    <w:rsid w:val="00E54DE8"/>
    <w:rsid w:val="00E54EB2"/>
    <w:rsid w:val="00E54EF6"/>
    <w:rsid w:val="00E54F08"/>
    <w:rsid w:val="00E54F7D"/>
    <w:rsid w:val="00E54F9D"/>
    <w:rsid w:val="00E55062"/>
    <w:rsid w:val="00E55070"/>
    <w:rsid w:val="00E5507F"/>
    <w:rsid w:val="00E55112"/>
    <w:rsid w:val="00E551C0"/>
    <w:rsid w:val="00E551D2"/>
    <w:rsid w:val="00E551D9"/>
    <w:rsid w:val="00E5528D"/>
    <w:rsid w:val="00E552E3"/>
    <w:rsid w:val="00E5533A"/>
    <w:rsid w:val="00E553A3"/>
    <w:rsid w:val="00E553D6"/>
    <w:rsid w:val="00E554E8"/>
    <w:rsid w:val="00E55521"/>
    <w:rsid w:val="00E555BB"/>
    <w:rsid w:val="00E55610"/>
    <w:rsid w:val="00E55656"/>
    <w:rsid w:val="00E556C6"/>
    <w:rsid w:val="00E557B4"/>
    <w:rsid w:val="00E559D5"/>
    <w:rsid w:val="00E55A16"/>
    <w:rsid w:val="00E55A46"/>
    <w:rsid w:val="00E55B8B"/>
    <w:rsid w:val="00E55BAF"/>
    <w:rsid w:val="00E55BD3"/>
    <w:rsid w:val="00E55CA9"/>
    <w:rsid w:val="00E55CAB"/>
    <w:rsid w:val="00E55D1B"/>
    <w:rsid w:val="00E55E3C"/>
    <w:rsid w:val="00E55E60"/>
    <w:rsid w:val="00E55EFB"/>
    <w:rsid w:val="00E55F95"/>
    <w:rsid w:val="00E55FB3"/>
    <w:rsid w:val="00E55FC5"/>
    <w:rsid w:val="00E5616D"/>
    <w:rsid w:val="00E561AC"/>
    <w:rsid w:val="00E561E2"/>
    <w:rsid w:val="00E5625F"/>
    <w:rsid w:val="00E562C0"/>
    <w:rsid w:val="00E563CB"/>
    <w:rsid w:val="00E564D5"/>
    <w:rsid w:val="00E564E8"/>
    <w:rsid w:val="00E565F7"/>
    <w:rsid w:val="00E565FA"/>
    <w:rsid w:val="00E5668A"/>
    <w:rsid w:val="00E567AF"/>
    <w:rsid w:val="00E5693B"/>
    <w:rsid w:val="00E569E4"/>
    <w:rsid w:val="00E56B2F"/>
    <w:rsid w:val="00E56B9E"/>
    <w:rsid w:val="00E56D02"/>
    <w:rsid w:val="00E56DD4"/>
    <w:rsid w:val="00E56E3C"/>
    <w:rsid w:val="00E56EAA"/>
    <w:rsid w:val="00E56FCA"/>
    <w:rsid w:val="00E57045"/>
    <w:rsid w:val="00E57159"/>
    <w:rsid w:val="00E571E4"/>
    <w:rsid w:val="00E572A2"/>
    <w:rsid w:val="00E57332"/>
    <w:rsid w:val="00E5735E"/>
    <w:rsid w:val="00E57410"/>
    <w:rsid w:val="00E574FE"/>
    <w:rsid w:val="00E5767C"/>
    <w:rsid w:val="00E5785B"/>
    <w:rsid w:val="00E57866"/>
    <w:rsid w:val="00E5787C"/>
    <w:rsid w:val="00E578FA"/>
    <w:rsid w:val="00E5792B"/>
    <w:rsid w:val="00E57952"/>
    <w:rsid w:val="00E57AB9"/>
    <w:rsid w:val="00E57B70"/>
    <w:rsid w:val="00E57BF0"/>
    <w:rsid w:val="00E57BF5"/>
    <w:rsid w:val="00E57C82"/>
    <w:rsid w:val="00E57D1E"/>
    <w:rsid w:val="00E57EF8"/>
    <w:rsid w:val="00E57FDE"/>
    <w:rsid w:val="00E57FE8"/>
    <w:rsid w:val="00E60012"/>
    <w:rsid w:val="00E60052"/>
    <w:rsid w:val="00E600EE"/>
    <w:rsid w:val="00E60235"/>
    <w:rsid w:val="00E60504"/>
    <w:rsid w:val="00E605B6"/>
    <w:rsid w:val="00E60634"/>
    <w:rsid w:val="00E6063B"/>
    <w:rsid w:val="00E60687"/>
    <w:rsid w:val="00E609BC"/>
    <w:rsid w:val="00E60B76"/>
    <w:rsid w:val="00E60C06"/>
    <w:rsid w:val="00E60CE9"/>
    <w:rsid w:val="00E60D41"/>
    <w:rsid w:val="00E60D64"/>
    <w:rsid w:val="00E60DFE"/>
    <w:rsid w:val="00E60F3A"/>
    <w:rsid w:val="00E6100B"/>
    <w:rsid w:val="00E610A7"/>
    <w:rsid w:val="00E610C3"/>
    <w:rsid w:val="00E6112D"/>
    <w:rsid w:val="00E61146"/>
    <w:rsid w:val="00E611C2"/>
    <w:rsid w:val="00E6124E"/>
    <w:rsid w:val="00E612A3"/>
    <w:rsid w:val="00E6135F"/>
    <w:rsid w:val="00E61391"/>
    <w:rsid w:val="00E613B8"/>
    <w:rsid w:val="00E6144A"/>
    <w:rsid w:val="00E614A2"/>
    <w:rsid w:val="00E61695"/>
    <w:rsid w:val="00E616B7"/>
    <w:rsid w:val="00E61748"/>
    <w:rsid w:val="00E617AC"/>
    <w:rsid w:val="00E61924"/>
    <w:rsid w:val="00E61AEB"/>
    <w:rsid w:val="00E61B71"/>
    <w:rsid w:val="00E61BF0"/>
    <w:rsid w:val="00E61CF5"/>
    <w:rsid w:val="00E61D85"/>
    <w:rsid w:val="00E61E13"/>
    <w:rsid w:val="00E61F7D"/>
    <w:rsid w:val="00E62008"/>
    <w:rsid w:val="00E62037"/>
    <w:rsid w:val="00E621DA"/>
    <w:rsid w:val="00E621EB"/>
    <w:rsid w:val="00E62295"/>
    <w:rsid w:val="00E623BC"/>
    <w:rsid w:val="00E62432"/>
    <w:rsid w:val="00E624A4"/>
    <w:rsid w:val="00E6250A"/>
    <w:rsid w:val="00E62576"/>
    <w:rsid w:val="00E625C3"/>
    <w:rsid w:val="00E625CB"/>
    <w:rsid w:val="00E6275A"/>
    <w:rsid w:val="00E627AE"/>
    <w:rsid w:val="00E628C3"/>
    <w:rsid w:val="00E6292A"/>
    <w:rsid w:val="00E62952"/>
    <w:rsid w:val="00E62A4E"/>
    <w:rsid w:val="00E62AA0"/>
    <w:rsid w:val="00E62AAB"/>
    <w:rsid w:val="00E62AD5"/>
    <w:rsid w:val="00E62C07"/>
    <w:rsid w:val="00E62C83"/>
    <w:rsid w:val="00E62E9C"/>
    <w:rsid w:val="00E62F18"/>
    <w:rsid w:val="00E6308E"/>
    <w:rsid w:val="00E63196"/>
    <w:rsid w:val="00E6323A"/>
    <w:rsid w:val="00E63282"/>
    <w:rsid w:val="00E632ED"/>
    <w:rsid w:val="00E63302"/>
    <w:rsid w:val="00E6335C"/>
    <w:rsid w:val="00E63471"/>
    <w:rsid w:val="00E63479"/>
    <w:rsid w:val="00E63494"/>
    <w:rsid w:val="00E634BC"/>
    <w:rsid w:val="00E634CB"/>
    <w:rsid w:val="00E634CF"/>
    <w:rsid w:val="00E634F4"/>
    <w:rsid w:val="00E635EE"/>
    <w:rsid w:val="00E63684"/>
    <w:rsid w:val="00E636CF"/>
    <w:rsid w:val="00E6375B"/>
    <w:rsid w:val="00E63CA6"/>
    <w:rsid w:val="00E63E7D"/>
    <w:rsid w:val="00E63E8B"/>
    <w:rsid w:val="00E63F65"/>
    <w:rsid w:val="00E6402B"/>
    <w:rsid w:val="00E6418D"/>
    <w:rsid w:val="00E641ED"/>
    <w:rsid w:val="00E64294"/>
    <w:rsid w:val="00E64298"/>
    <w:rsid w:val="00E642B8"/>
    <w:rsid w:val="00E6431C"/>
    <w:rsid w:val="00E64334"/>
    <w:rsid w:val="00E64398"/>
    <w:rsid w:val="00E6444C"/>
    <w:rsid w:val="00E644B7"/>
    <w:rsid w:val="00E64595"/>
    <w:rsid w:val="00E64605"/>
    <w:rsid w:val="00E6461B"/>
    <w:rsid w:val="00E647B1"/>
    <w:rsid w:val="00E6485E"/>
    <w:rsid w:val="00E648C0"/>
    <w:rsid w:val="00E648DA"/>
    <w:rsid w:val="00E64926"/>
    <w:rsid w:val="00E64B31"/>
    <w:rsid w:val="00E64B7F"/>
    <w:rsid w:val="00E64BDB"/>
    <w:rsid w:val="00E64BFF"/>
    <w:rsid w:val="00E64DC7"/>
    <w:rsid w:val="00E64E30"/>
    <w:rsid w:val="00E64E86"/>
    <w:rsid w:val="00E64EE5"/>
    <w:rsid w:val="00E64F9A"/>
    <w:rsid w:val="00E64FD9"/>
    <w:rsid w:val="00E65051"/>
    <w:rsid w:val="00E650BD"/>
    <w:rsid w:val="00E6517A"/>
    <w:rsid w:val="00E65181"/>
    <w:rsid w:val="00E6541E"/>
    <w:rsid w:val="00E6542F"/>
    <w:rsid w:val="00E655B6"/>
    <w:rsid w:val="00E65638"/>
    <w:rsid w:val="00E65659"/>
    <w:rsid w:val="00E658C9"/>
    <w:rsid w:val="00E65BF4"/>
    <w:rsid w:val="00E65D5B"/>
    <w:rsid w:val="00E65DA9"/>
    <w:rsid w:val="00E65E13"/>
    <w:rsid w:val="00E65F51"/>
    <w:rsid w:val="00E65F60"/>
    <w:rsid w:val="00E65FA4"/>
    <w:rsid w:val="00E66008"/>
    <w:rsid w:val="00E660A5"/>
    <w:rsid w:val="00E660D6"/>
    <w:rsid w:val="00E660F2"/>
    <w:rsid w:val="00E66132"/>
    <w:rsid w:val="00E6619E"/>
    <w:rsid w:val="00E66308"/>
    <w:rsid w:val="00E66348"/>
    <w:rsid w:val="00E66391"/>
    <w:rsid w:val="00E6652A"/>
    <w:rsid w:val="00E665D0"/>
    <w:rsid w:val="00E66790"/>
    <w:rsid w:val="00E66841"/>
    <w:rsid w:val="00E668BE"/>
    <w:rsid w:val="00E668EB"/>
    <w:rsid w:val="00E66900"/>
    <w:rsid w:val="00E66A55"/>
    <w:rsid w:val="00E66ACE"/>
    <w:rsid w:val="00E66B4B"/>
    <w:rsid w:val="00E66B5A"/>
    <w:rsid w:val="00E66B89"/>
    <w:rsid w:val="00E66C1B"/>
    <w:rsid w:val="00E66D5D"/>
    <w:rsid w:val="00E66D62"/>
    <w:rsid w:val="00E66DBF"/>
    <w:rsid w:val="00E66DF2"/>
    <w:rsid w:val="00E66EA2"/>
    <w:rsid w:val="00E66EC4"/>
    <w:rsid w:val="00E66FAA"/>
    <w:rsid w:val="00E66FB8"/>
    <w:rsid w:val="00E66FB9"/>
    <w:rsid w:val="00E67040"/>
    <w:rsid w:val="00E671E3"/>
    <w:rsid w:val="00E67327"/>
    <w:rsid w:val="00E673E7"/>
    <w:rsid w:val="00E673F6"/>
    <w:rsid w:val="00E6743D"/>
    <w:rsid w:val="00E674CC"/>
    <w:rsid w:val="00E674E2"/>
    <w:rsid w:val="00E6751F"/>
    <w:rsid w:val="00E6752E"/>
    <w:rsid w:val="00E6756E"/>
    <w:rsid w:val="00E6762D"/>
    <w:rsid w:val="00E6767A"/>
    <w:rsid w:val="00E676D0"/>
    <w:rsid w:val="00E67777"/>
    <w:rsid w:val="00E678C9"/>
    <w:rsid w:val="00E67976"/>
    <w:rsid w:val="00E67A83"/>
    <w:rsid w:val="00E67C29"/>
    <w:rsid w:val="00E67C2B"/>
    <w:rsid w:val="00E67C49"/>
    <w:rsid w:val="00E67C93"/>
    <w:rsid w:val="00E67C9D"/>
    <w:rsid w:val="00E67D07"/>
    <w:rsid w:val="00E67D52"/>
    <w:rsid w:val="00E67DEE"/>
    <w:rsid w:val="00E67DFB"/>
    <w:rsid w:val="00E67F6B"/>
    <w:rsid w:val="00E70097"/>
    <w:rsid w:val="00E70114"/>
    <w:rsid w:val="00E70147"/>
    <w:rsid w:val="00E70174"/>
    <w:rsid w:val="00E7029D"/>
    <w:rsid w:val="00E702F9"/>
    <w:rsid w:val="00E7030A"/>
    <w:rsid w:val="00E70586"/>
    <w:rsid w:val="00E707A2"/>
    <w:rsid w:val="00E707FC"/>
    <w:rsid w:val="00E70A20"/>
    <w:rsid w:val="00E70A6B"/>
    <w:rsid w:val="00E70B93"/>
    <w:rsid w:val="00E70CAB"/>
    <w:rsid w:val="00E70D8C"/>
    <w:rsid w:val="00E70D9E"/>
    <w:rsid w:val="00E70E67"/>
    <w:rsid w:val="00E70E7F"/>
    <w:rsid w:val="00E70F10"/>
    <w:rsid w:val="00E7102C"/>
    <w:rsid w:val="00E71050"/>
    <w:rsid w:val="00E71096"/>
    <w:rsid w:val="00E71114"/>
    <w:rsid w:val="00E7114B"/>
    <w:rsid w:val="00E711A7"/>
    <w:rsid w:val="00E7131C"/>
    <w:rsid w:val="00E71414"/>
    <w:rsid w:val="00E71419"/>
    <w:rsid w:val="00E714C0"/>
    <w:rsid w:val="00E7159E"/>
    <w:rsid w:val="00E7176C"/>
    <w:rsid w:val="00E717DC"/>
    <w:rsid w:val="00E71837"/>
    <w:rsid w:val="00E71897"/>
    <w:rsid w:val="00E718D8"/>
    <w:rsid w:val="00E71B25"/>
    <w:rsid w:val="00E71B39"/>
    <w:rsid w:val="00E71B48"/>
    <w:rsid w:val="00E71C56"/>
    <w:rsid w:val="00E71CAE"/>
    <w:rsid w:val="00E71CEB"/>
    <w:rsid w:val="00E71D2D"/>
    <w:rsid w:val="00E71D62"/>
    <w:rsid w:val="00E71DE6"/>
    <w:rsid w:val="00E71E50"/>
    <w:rsid w:val="00E71FA8"/>
    <w:rsid w:val="00E71FBE"/>
    <w:rsid w:val="00E72066"/>
    <w:rsid w:val="00E720DE"/>
    <w:rsid w:val="00E721A9"/>
    <w:rsid w:val="00E72265"/>
    <w:rsid w:val="00E72318"/>
    <w:rsid w:val="00E7232E"/>
    <w:rsid w:val="00E724CE"/>
    <w:rsid w:val="00E72536"/>
    <w:rsid w:val="00E725C2"/>
    <w:rsid w:val="00E7264A"/>
    <w:rsid w:val="00E72655"/>
    <w:rsid w:val="00E726C7"/>
    <w:rsid w:val="00E726CA"/>
    <w:rsid w:val="00E7283F"/>
    <w:rsid w:val="00E72905"/>
    <w:rsid w:val="00E729FC"/>
    <w:rsid w:val="00E72A33"/>
    <w:rsid w:val="00E72A8A"/>
    <w:rsid w:val="00E72AA1"/>
    <w:rsid w:val="00E72AEA"/>
    <w:rsid w:val="00E72B02"/>
    <w:rsid w:val="00E72CA7"/>
    <w:rsid w:val="00E72D03"/>
    <w:rsid w:val="00E72D04"/>
    <w:rsid w:val="00E72E58"/>
    <w:rsid w:val="00E72EB0"/>
    <w:rsid w:val="00E72F64"/>
    <w:rsid w:val="00E72F78"/>
    <w:rsid w:val="00E72FA4"/>
    <w:rsid w:val="00E73034"/>
    <w:rsid w:val="00E73047"/>
    <w:rsid w:val="00E731B8"/>
    <w:rsid w:val="00E732E4"/>
    <w:rsid w:val="00E7334A"/>
    <w:rsid w:val="00E733AC"/>
    <w:rsid w:val="00E733E4"/>
    <w:rsid w:val="00E734E1"/>
    <w:rsid w:val="00E73510"/>
    <w:rsid w:val="00E737A2"/>
    <w:rsid w:val="00E73987"/>
    <w:rsid w:val="00E739A0"/>
    <w:rsid w:val="00E73A0C"/>
    <w:rsid w:val="00E73A98"/>
    <w:rsid w:val="00E73ABD"/>
    <w:rsid w:val="00E73BEE"/>
    <w:rsid w:val="00E73C96"/>
    <w:rsid w:val="00E73DCA"/>
    <w:rsid w:val="00E73ED9"/>
    <w:rsid w:val="00E73F07"/>
    <w:rsid w:val="00E73F10"/>
    <w:rsid w:val="00E74025"/>
    <w:rsid w:val="00E7407B"/>
    <w:rsid w:val="00E740B8"/>
    <w:rsid w:val="00E74127"/>
    <w:rsid w:val="00E74128"/>
    <w:rsid w:val="00E7416D"/>
    <w:rsid w:val="00E7418F"/>
    <w:rsid w:val="00E74202"/>
    <w:rsid w:val="00E742F5"/>
    <w:rsid w:val="00E7431E"/>
    <w:rsid w:val="00E745CC"/>
    <w:rsid w:val="00E748B3"/>
    <w:rsid w:val="00E7490E"/>
    <w:rsid w:val="00E749E3"/>
    <w:rsid w:val="00E74A4E"/>
    <w:rsid w:val="00E74AE0"/>
    <w:rsid w:val="00E74B12"/>
    <w:rsid w:val="00E74BB5"/>
    <w:rsid w:val="00E74C60"/>
    <w:rsid w:val="00E74C63"/>
    <w:rsid w:val="00E74CD1"/>
    <w:rsid w:val="00E74CFC"/>
    <w:rsid w:val="00E74D84"/>
    <w:rsid w:val="00E74DEB"/>
    <w:rsid w:val="00E74E68"/>
    <w:rsid w:val="00E74E81"/>
    <w:rsid w:val="00E74EB5"/>
    <w:rsid w:val="00E74F6A"/>
    <w:rsid w:val="00E74F8F"/>
    <w:rsid w:val="00E74F94"/>
    <w:rsid w:val="00E74FE5"/>
    <w:rsid w:val="00E75046"/>
    <w:rsid w:val="00E75111"/>
    <w:rsid w:val="00E751C3"/>
    <w:rsid w:val="00E752B8"/>
    <w:rsid w:val="00E75336"/>
    <w:rsid w:val="00E75357"/>
    <w:rsid w:val="00E75386"/>
    <w:rsid w:val="00E753CF"/>
    <w:rsid w:val="00E753E8"/>
    <w:rsid w:val="00E755BE"/>
    <w:rsid w:val="00E75631"/>
    <w:rsid w:val="00E756AC"/>
    <w:rsid w:val="00E7575E"/>
    <w:rsid w:val="00E758B3"/>
    <w:rsid w:val="00E758E7"/>
    <w:rsid w:val="00E7596B"/>
    <w:rsid w:val="00E75AAD"/>
    <w:rsid w:val="00E75B3C"/>
    <w:rsid w:val="00E75BF9"/>
    <w:rsid w:val="00E75D01"/>
    <w:rsid w:val="00E75EEE"/>
    <w:rsid w:val="00E75F71"/>
    <w:rsid w:val="00E75FFA"/>
    <w:rsid w:val="00E760E1"/>
    <w:rsid w:val="00E7619F"/>
    <w:rsid w:val="00E761C3"/>
    <w:rsid w:val="00E76269"/>
    <w:rsid w:val="00E7637B"/>
    <w:rsid w:val="00E764A8"/>
    <w:rsid w:val="00E764D1"/>
    <w:rsid w:val="00E76553"/>
    <w:rsid w:val="00E76572"/>
    <w:rsid w:val="00E76625"/>
    <w:rsid w:val="00E76792"/>
    <w:rsid w:val="00E7699C"/>
    <w:rsid w:val="00E769EB"/>
    <w:rsid w:val="00E76A61"/>
    <w:rsid w:val="00E76A8B"/>
    <w:rsid w:val="00E76BAC"/>
    <w:rsid w:val="00E76BC6"/>
    <w:rsid w:val="00E76BE2"/>
    <w:rsid w:val="00E76BFD"/>
    <w:rsid w:val="00E76C4C"/>
    <w:rsid w:val="00E76CD6"/>
    <w:rsid w:val="00E76DF8"/>
    <w:rsid w:val="00E76E7F"/>
    <w:rsid w:val="00E76F7B"/>
    <w:rsid w:val="00E7703A"/>
    <w:rsid w:val="00E77156"/>
    <w:rsid w:val="00E77315"/>
    <w:rsid w:val="00E773C0"/>
    <w:rsid w:val="00E773FA"/>
    <w:rsid w:val="00E774E0"/>
    <w:rsid w:val="00E776DA"/>
    <w:rsid w:val="00E776F1"/>
    <w:rsid w:val="00E77774"/>
    <w:rsid w:val="00E77779"/>
    <w:rsid w:val="00E77857"/>
    <w:rsid w:val="00E77913"/>
    <w:rsid w:val="00E77948"/>
    <w:rsid w:val="00E77A17"/>
    <w:rsid w:val="00E77B29"/>
    <w:rsid w:val="00E77B91"/>
    <w:rsid w:val="00E77BA4"/>
    <w:rsid w:val="00E77CF1"/>
    <w:rsid w:val="00E77DA2"/>
    <w:rsid w:val="00E77DFD"/>
    <w:rsid w:val="00E77E18"/>
    <w:rsid w:val="00E77F16"/>
    <w:rsid w:val="00E8002B"/>
    <w:rsid w:val="00E80052"/>
    <w:rsid w:val="00E80131"/>
    <w:rsid w:val="00E80377"/>
    <w:rsid w:val="00E803B0"/>
    <w:rsid w:val="00E80496"/>
    <w:rsid w:val="00E8050E"/>
    <w:rsid w:val="00E805F3"/>
    <w:rsid w:val="00E80632"/>
    <w:rsid w:val="00E806C2"/>
    <w:rsid w:val="00E80999"/>
    <w:rsid w:val="00E809C9"/>
    <w:rsid w:val="00E80AA9"/>
    <w:rsid w:val="00E80ADF"/>
    <w:rsid w:val="00E80BD4"/>
    <w:rsid w:val="00E80BE7"/>
    <w:rsid w:val="00E80C0E"/>
    <w:rsid w:val="00E80CB2"/>
    <w:rsid w:val="00E80D63"/>
    <w:rsid w:val="00E80F1F"/>
    <w:rsid w:val="00E81105"/>
    <w:rsid w:val="00E8122D"/>
    <w:rsid w:val="00E8126A"/>
    <w:rsid w:val="00E81336"/>
    <w:rsid w:val="00E81385"/>
    <w:rsid w:val="00E813F4"/>
    <w:rsid w:val="00E81411"/>
    <w:rsid w:val="00E8143F"/>
    <w:rsid w:val="00E81500"/>
    <w:rsid w:val="00E8155E"/>
    <w:rsid w:val="00E81566"/>
    <w:rsid w:val="00E815C0"/>
    <w:rsid w:val="00E815FD"/>
    <w:rsid w:val="00E8163D"/>
    <w:rsid w:val="00E816F5"/>
    <w:rsid w:val="00E8170D"/>
    <w:rsid w:val="00E81760"/>
    <w:rsid w:val="00E81846"/>
    <w:rsid w:val="00E81906"/>
    <w:rsid w:val="00E819ED"/>
    <w:rsid w:val="00E819FE"/>
    <w:rsid w:val="00E81A4B"/>
    <w:rsid w:val="00E81E35"/>
    <w:rsid w:val="00E81E96"/>
    <w:rsid w:val="00E81F69"/>
    <w:rsid w:val="00E82023"/>
    <w:rsid w:val="00E820B6"/>
    <w:rsid w:val="00E82105"/>
    <w:rsid w:val="00E8212C"/>
    <w:rsid w:val="00E82208"/>
    <w:rsid w:val="00E823E4"/>
    <w:rsid w:val="00E82439"/>
    <w:rsid w:val="00E8255E"/>
    <w:rsid w:val="00E82616"/>
    <w:rsid w:val="00E8263C"/>
    <w:rsid w:val="00E8267C"/>
    <w:rsid w:val="00E826CE"/>
    <w:rsid w:val="00E82768"/>
    <w:rsid w:val="00E82777"/>
    <w:rsid w:val="00E82848"/>
    <w:rsid w:val="00E82874"/>
    <w:rsid w:val="00E828F1"/>
    <w:rsid w:val="00E82A33"/>
    <w:rsid w:val="00E82A4D"/>
    <w:rsid w:val="00E82BF5"/>
    <w:rsid w:val="00E82D5B"/>
    <w:rsid w:val="00E82DB2"/>
    <w:rsid w:val="00E82E0D"/>
    <w:rsid w:val="00E82E43"/>
    <w:rsid w:val="00E82E7F"/>
    <w:rsid w:val="00E82F05"/>
    <w:rsid w:val="00E82F4D"/>
    <w:rsid w:val="00E82F66"/>
    <w:rsid w:val="00E82FE2"/>
    <w:rsid w:val="00E8306E"/>
    <w:rsid w:val="00E832A4"/>
    <w:rsid w:val="00E8333F"/>
    <w:rsid w:val="00E833BA"/>
    <w:rsid w:val="00E833F4"/>
    <w:rsid w:val="00E834AC"/>
    <w:rsid w:val="00E835E6"/>
    <w:rsid w:val="00E835F2"/>
    <w:rsid w:val="00E8369B"/>
    <w:rsid w:val="00E836C6"/>
    <w:rsid w:val="00E837A4"/>
    <w:rsid w:val="00E837B7"/>
    <w:rsid w:val="00E8384B"/>
    <w:rsid w:val="00E83888"/>
    <w:rsid w:val="00E83945"/>
    <w:rsid w:val="00E839A9"/>
    <w:rsid w:val="00E83A73"/>
    <w:rsid w:val="00E83BB2"/>
    <w:rsid w:val="00E83C97"/>
    <w:rsid w:val="00E83D07"/>
    <w:rsid w:val="00E83D13"/>
    <w:rsid w:val="00E83D9A"/>
    <w:rsid w:val="00E83ED2"/>
    <w:rsid w:val="00E83EE3"/>
    <w:rsid w:val="00E83F83"/>
    <w:rsid w:val="00E83F85"/>
    <w:rsid w:val="00E8407D"/>
    <w:rsid w:val="00E84087"/>
    <w:rsid w:val="00E840A0"/>
    <w:rsid w:val="00E840F8"/>
    <w:rsid w:val="00E841E5"/>
    <w:rsid w:val="00E8442F"/>
    <w:rsid w:val="00E8444D"/>
    <w:rsid w:val="00E844D2"/>
    <w:rsid w:val="00E844D3"/>
    <w:rsid w:val="00E844D4"/>
    <w:rsid w:val="00E84613"/>
    <w:rsid w:val="00E846C2"/>
    <w:rsid w:val="00E847F3"/>
    <w:rsid w:val="00E84943"/>
    <w:rsid w:val="00E8496C"/>
    <w:rsid w:val="00E8499E"/>
    <w:rsid w:val="00E849CE"/>
    <w:rsid w:val="00E84B5A"/>
    <w:rsid w:val="00E84BBB"/>
    <w:rsid w:val="00E84BD0"/>
    <w:rsid w:val="00E84C34"/>
    <w:rsid w:val="00E84D0A"/>
    <w:rsid w:val="00E84DB8"/>
    <w:rsid w:val="00E84DEE"/>
    <w:rsid w:val="00E84E0C"/>
    <w:rsid w:val="00E84E4B"/>
    <w:rsid w:val="00E84FC3"/>
    <w:rsid w:val="00E8504E"/>
    <w:rsid w:val="00E850D9"/>
    <w:rsid w:val="00E85190"/>
    <w:rsid w:val="00E851B7"/>
    <w:rsid w:val="00E852FE"/>
    <w:rsid w:val="00E85348"/>
    <w:rsid w:val="00E85368"/>
    <w:rsid w:val="00E85477"/>
    <w:rsid w:val="00E854BA"/>
    <w:rsid w:val="00E855D4"/>
    <w:rsid w:val="00E85704"/>
    <w:rsid w:val="00E8581B"/>
    <w:rsid w:val="00E85863"/>
    <w:rsid w:val="00E858E9"/>
    <w:rsid w:val="00E85A5E"/>
    <w:rsid w:val="00E85A6D"/>
    <w:rsid w:val="00E85A8B"/>
    <w:rsid w:val="00E85B4B"/>
    <w:rsid w:val="00E85B74"/>
    <w:rsid w:val="00E85D89"/>
    <w:rsid w:val="00E85D9B"/>
    <w:rsid w:val="00E85DE3"/>
    <w:rsid w:val="00E85DF5"/>
    <w:rsid w:val="00E860E7"/>
    <w:rsid w:val="00E8613A"/>
    <w:rsid w:val="00E8618F"/>
    <w:rsid w:val="00E86279"/>
    <w:rsid w:val="00E86293"/>
    <w:rsid w:val="00E86483"/>
    <w:rsid w:val="00E864D6"/>
    <w:rsid w:val="00E864DB"/>
    <w:rsid w:val="00E865FF"/>
    <w:rsid w:val="00E86687"/>
    <w:rsid w:val="00E86694"/>
    <w:rsid w:val="00E866BB"/>
    <w:rsid w:val="00E86903"/>
    <w:rsid w:val="00E8697D"/>
    <w:rsid w:val="00E86B99"/>
    <w:rsid w:val="00E86BCA"/>
    <w:rsid w:val="00E86BE4"/>
    <w:rsid w:val="00E86C14"/>
    <w:rsid w:val="00E86C1F"/>
    <w:rsid w:val="00E86C4A"/>
    <w:rsid w:val="00E86C8F"/>
    <w:rsid w:val="00E86E56"/>
    <w:rsid w:val="00E86E57"/>
    <w:rsid w:val="00E86E87"/>
    <w:rsid w:val="00E8701A"/>
    <w:rsid w:val="00E8705B"/>
    <w:rsid w:val="00E870D9"/>
    <w:rsid w:val="00E871DA"/>
    <w:rsid w:val="00E87431"/>
    <w:rsid w:val="00E874A0"/>
    <w:rsid w:val="00E8759B"/>
    <w:rsid w:val="00E875DB"/>
    <w:rsid w:val="00E876A9"/>
    <w:rsid w:val="00E87735"/>
    <w:rsid w:val="00E8775D"/>
    <w:rsid w:val="00E87890"/>
    <w:rsid w:val="00E878FD"/>
    <w:rsid w:val="00E87947"/>
    <w:rsid w:val="00E87B09"/>
    <w:rsid w:val="00E87B32"/>
    <w:rsid w:val="00E87BAD"/>
    <w:rsid w:val="00E87CAF"/>
    <w:rsid w:val="00E87D06"/>
    <w:rsid w:val="00E87D4B"/>
    <w:rsid w:val="00E87E19"/>
    <w:rsid w:val="00E87E80"/>
    <w:rsid w:val="00E87ED0"/>
    <w:rsid w:val="00E87F21"/>
    <w:rsid w:val="00E87F80"/>
    <w:rsid w:val="00E87F9F"/>
    <w:rsid w:val="00E900B8"/>
    <w:rsid w:val="00E90228"/>
    <w:rsid w:val="00E9027A"/>
    <w:rsid w:val="00E90284"/>
    <w:rsid w:val="00E9028F"/>
    <w:rsid w:val="00E903F1"/>
    <w:rsid w:val="00E905D1"/>
    <w:rsid w:val="00E905E2"/>
    <w:rsid w:val="00E906A2"/>
    <w:rsid w:val="00E906D9"/>
    <w:rsid w:val="00E90742"/>
    <w:rsid w:val="00E9088A"/>
    <w:rsid w:val="00E9088C"/>
    <w:rsid w:val="00E909F9"/>
    <w:rsid w:val="00E90A76"/>
    <w:rsid w:val="00E90C18"/>
    <w:rsid w:val="00E90CE1"/>
    <w:rsid w:val="00E90D05"/>
    <w:rsid w:val="00E90D77"/>
    <w:rsid w:val="00E90E5E"/>
    <w:rsid w:val="00E90E6E"/>
    <w:rsid w:val="00E90E96"/>
    <w:rsid w:val="00E90FC5"/>
    <w:rsid w:val="00E91218"/>
    <w:rsid w:val="00E9124B"/>
    <w:rsid w:val="00E912AF"/>
    <w:rsid w:val="00E912E7"/>
    <w:rsid w:val="00E913E7"/>
    <w:rsid w:val="00E913F8"/>
    <w:rsid w:val="00E91410"/>
    <w:rsid w:val="00E914CB"/>
    <w:rsid w:val="00E91642"/>
    <w:rsid w:val="00E91673"/>
    <w:rsid w:val="00E916B4"/>
    <w:rsid w:val="00E916DB"/>
    <w:rsid w:val="00E9171D"/>
    <w:rsid w:val="00E91784"/>
    <w:rsid w:val="00E917CE"/>
    <w:rsid w:val="00E91996"/>
    <w:rsid w:val="00E91A7D"/>
    <w:rsid w:val="00E91AA2"/>
    <w:rsid w:val="00E91B63"/>
    <w:rsid w:val="00E91B79"/>
    <w:rsid w:val="00E91BBD"/>
    <w:rsid w:val="00E91C09"/>
    <w:rsid w:val="00E91C2F"/>
    <w:rsid w:val="00E91C3D"/>
    <w:rsid w:val="00E91DBC"/>
    <w:rsid w:val="00E91F71"/>
    <w:rsid w:val="00E92048"/>
    <w:rsid w:val="00E92068"/>
    <w:rsid w:val="00E92260"/>
    <w:rsid w:val="00E9234C"/>
    <w:rsid w:val="00E923D7"/>
    <w:rsid w:val="00E923E4"/>
    <w:rsid w:val="00E92404"/>
    <w:rsid w:val="00E92592"/>
    <w:rsid w:val="00E925A4"/>
    <w:rsid w:val="00E925AB"/>
    <w:rsid w:val="00E9285B"/>
    <w:rsid w:val="00E92901"/>
    <w:rsid w:val="00E92916"/>
    <w:rsid w:val="00E92923"/>
    <w:rsid w:val="00E929DB"/>
    <w:rsid w:val="00E92A52"/>
    <w:rsid w:val="00E92B62"/>
    <w:rsid w:val="00E92B77"/>
    <w:rsid w:val="00E92BC9"/>
    <w:rsid w:val="00E92C96"/>
    <w:rsid w:val="00E92DC0"/>
    <w:rsid w:val="00E92E2C"/>
    <w:rsid w:val="00E92E9B"/>
    <w:rsid w:val="00E92F22"/>
    <w:rsid w:val="00E92F60"/>
    <w:rsid w:val="00E92FFD"/>
    <w:rsid w:val="00E931A4"/>
    <w:rsid w:val="00E931D5"/>
    <w:rsid w:val="00E93219"/>
    <w:rsid w:val="00E932A9"/>
    <w:rsid w:val="00E93344"/>
    <w:rsid w:val="00E9338D"/>
    <w:rsid w:val="00E934C2"/>
    <w:rsid w:val="00E93720"/>
    <w:rsid w:val="00E9372F"/>
    <w:rsid w:val="00E9377E"/>
    <w:rsid w:val="00E938E9"/>
    <w:rsid w:val="00E9391E"/>
    <w:rsid w:val="00E93929"/>
    <w:rsid w:val="00E93934"/>
    <w:rsid w:val="00E939CA"/>
    <w:rsid w:val="00E93A31"/>
    <w:rsid w:val="00E93B13"/>
    <w:rsid w:val="00E93C02"/>
    <w:rsid w:val="00E93C1B"/>
    <w:rsid w:val="00E93CC0"/>
    <w:rsid w:val="00E93E43"/>
    <w:rsid w:val="00E93E85"/>
    <w:rsid w:val="00E93F80"/>
    <w:rsid w:val="00E94028"/>
    <w:rsid w:val="00E9413E"/>
    <w:rsid w:val="00E941A7"/>
    <w:rsid w:val="00E941B4"/>
    <w:rsid w:val="00E941CE"/>
    <w:rsid w:val="00E94234"/>
    <w:rsid w:val="00E94236"/>
    <w:rsid w:val="00E942F9"/>
    <w:rsid w:val="00E9434C"/>
    <w:rsid w:val="00E943EF"/>
    <w:rsid w:val="00E94423"/>
    <w:rsid w:val="00E944DF"/>
    <w:rsid w:val="00E94631"/>
    <w:rsid w:val="00E946E9"/>
    <w:rsid w:val="00E9478D"/>
    <w:rsid w:val="00E94A07"/>
    <w:rsid w:val="00E94A7B"/>
    <w:rsid w:val="00E94AD5"/>
    <w:rsid w:val="00E94AFA"/>
    <w:rsid w:val="00E94B2F"/>
    <w:rsid w:val="00E94B9F"/>
    <w:rsid w:val="00E94BDC"/>
    <w:rsid w:val="00E94C63"/>
    <w:rsid w:val="00E94C7F"/>
    <w:rsid w:val="00E94F69"/>
    <w:rsid w:val="00E94FF8"/>
    <w:rsid w:val="00E9519F"/>
    <w:rsid w:val="00E951E2"/>
    <w:rsid w:val="00E95228"/>
    <w:rsid w:val="00E95460"/>
    <w:rsid w:val="00E954CE"/>
    <w:rsid w:val="00E95501"/>
    <w:rsid w:val="00E9556B"/>
    <w:rsid w:val="00E95618"/>
    <w:rsid w:val="00E956AF"/>
    <w:rsid w:val="00E9589A"/>
    <w:rsid w:val="00E95920"/>
    <w:rsid w:val="00E95983"/>
    <w:rsid w:val="00E959A5"/>
    <w:rsid w:val="00E959BA"/>
    <w:rsid w:val="00E95A86"/>
    <w:rsid w:val="00E95AC3"/>
    <w:rsid w:val="00E95AEA"/>
    <w:rsid w:val="00E95B42"/>
    <w:rsid w:val="00E95B67"/>
    <w:rsid w:val="00E95C29"/>
    <w:rsid w:val="00E95C62"/>
    <w:rsid w:val="00E95C93"/>
    <w:rsid w:val="00E95CA2"/>
    <w:rsid w:val="00E95CFE"/>
    <w:rsid w:val="00E95E20"/>
    <w:rsid w:val="00E95E99"/>
    <w:rsid w:val="00E95F6D"/>
    <w:rsid w:val="00E95FBD"/>
    <w:rsid w:val="00E960FC"/>
    <w:rsid w:val="00E96123"/>
    <w:rsid w:val="00E96165"/>
    <w:rsid w:val="00E961DB"/>
    <w:rsid w:val="00E96232"/>
    <w:rsid w:val="00E9635B"/>
    <w:rsid w:val="00E963B8"/>
    <w:rsid w:val="00E963DE"/>
    <w:rsid w:val="00E963ED"/>
    <w:rsid w:val="00E96416"/>
    <w:rsid w:val="00E9642D"/>
    <w:rsid w:val="00E964D9"/>
    <w:rsid w:val="00E96650"/>
    <w:rsid w:val="00E96674"/>
    <w:rsid w:val="00E96751"/>
    <w:rsid w:val="00E967C3"/>
    <w:rsid w:val="00E96856"/>
    <w:rsid w:val="00E9690C"/>
    <w:rsid w:val="00E969DB"/>
    <w:rsid w:val="00E96A29"/>
    <w:rsid w:val="00E96A4D"/>
    <w:rsid w:val="00E96B72"/>
    <w:rsid w:val="00E96CDB"/>
    <w:rsid w:val="00E96CEB"/>
    <w:rsid w:val="00E96D18"/>
    <w:rsid w:val="00E96D7B"/>
    <w:rsid w:val="00E96DC6"/>
    <w:rsid w:val="00E96EAE"/>
    <w:rsid w:val="00E96F80"/>
    <w:rsid w:val="00E97017"/>
    <w:rsid w:val="00E97154"/>
    <w:rsid w:val="00E9719D"/>
    <w:rsid w:val="00E971FB"/>
    <w:rsid w:val="00E9724F"/>
    <w:rsid w:val="00E9735F"/>
    <w:rsid w:val="00E9736A"/>
    <w:rsid w:val="00E97398"/>
    <w:rsid w:val="00E973ED"/>
    <w:rsid w:val="00E974A1"/>
    <w:rsid w:val="00E97576"/>
    <w:rsid w:val="00E97650"/>
    <w:rsid w:val="00E97701"/>
    <w:rsid w:val="00E97717"/>
    <w:rsid w:val="00E977DD"/>
    <w:rsid w:val="00E97849"/>
    <w:rsid w:val="00E97976"/>
    <w:rsid w:val="00E97A7A"/>
    <w:rsid w:val="00E97C04"/>
    <w:rsid w:val="00E97C18"/>
    <w:rsid w:val="00E97C37"/>
    <w:rsid w:val="00E97C6D"/>
    <w:rsid w:val="00E97C77"/>
    <w:rsid w:val="00E97E3D"/>
    <w:rsid w:val="00E97E63"/>
    <w:rsid w:val="00E97E67"/>
    <w:rsid w:val="00E97F2F"/>
    <w:rsid w:val="00E97F67"/>
    <w:rsid w:val="00E97F90"/>
    <w:rsid w:val="00EA0048"/>
    <w:rsid w:val="00EA01BB"/>
    <w:rsid w:val="00EA0346"/>
    <w:rsid w:val="00EA03EB"/>
    <w:rsid w:val="00EA0436"/>
    <w:rsid w:val="00EA06E6"/>
    <w:rsid w:val="00EA06F6"/>
    <w:rsid w:val="00EA077D"/>
    <w:rsid w:val="00EA0896"/>
    <w:rsid w:val="00EA08F5"/>
    <w:rsid w:val="00EA0954"/>
    <w:rsid w:val="00EA095B"/>
    <w:rsid w:val="00EA0A08"/>
    <w:rsid w:val="00EA0AA1"/>
    <w:rsid w:val="00EA0BCB"/>
    <w:rsid w:val="00EA0EF3"/>
    <w:rsid w:val="00EA1026"/>
    <w:rsid w:val="00EA10E5"/>
    <w:rsid w:val="00EA11C7"/>
    <w:rsid w:val="00EA1256"/>
    <w:rsid w:val="00EA125A"/>
    <w:rsid w:val="00EA13CA"/>
    <w:rsid w:val="00EA13E4"/>
    <w:rsid w:val="00EA13FE"/>
    <w:rsid w:val="00EA1454"/>
    <w:rsid w:val="00EA1481"/>
    <w:rsid w:val="00EA159B"/>
    <w:rsid w:val="00EA15EA"/>
    <w:rsid w:val="00EA15F6"/>
    <w:rsid w:val="00EA1600"/>
    <w:rsid w:val="00EA16A9"/>
    <w:rsid w:val="00EA17C0"/>
    <w:rsid w:val="00EA1833"/>
    <w:rsid w:val="00EA191C"/>
    <w:rsid w:val="00EA19FD"/>
    <w:rsid w:val="00EA1A6E"/>
    <w:rsid w:val="00EA1A9B"/>
    <w:rsid w:val="00EA1B04"/>
    <w:rsid w:val="00EA1B7E"/>
    <w:rsid w:val="00EA1BDB"/>
    <w:rsid w:val="00EA1C03"/>
    <w:rsid w:val="00EA1C46"/>
    <w:rsid w:val="00EA1D50"/>
    <w:rsid w:val="00EA1DEA"/>
    <w:rsid w:val="00EA1DF9"/>
    <w:rsid w:val="00EA1E70"/>
    <w:rsid w:val="00EA1F62"/>
    <w:rsid w:val="00EA1FA9"/>
    <w:rsid w:val="00EA20FF"/>
    <w:rsid w:val="00EA215B"/>
    <w:rsid w:val="00EA21B5"/>
    <w:rsid w:val="00EA230E"/>
    <w:rsid w:val="00EA236F"/>
    <w:rsid w:val="00EA23EB"/>
    <w:rsid w:val="00EA25D9"/>
    <w:rsid w:val="00EA271B"/>
    <w:rsid w:val="00EA2758"/>
    <w:rsid w:val="00EA27ED"/>
    <w:rsid w:val="00EA281E"/>
    <w:rsid w:val="00EA2866"/>
    <w:rsid w:val="00EA286D"/>
    <w:rsid w:val="00EA2895"/>
    <w:rsid w:val="00EA289E"/>
    <w:rsid w:val="00EA2B05"/>
    <w:rsid w:val="00EA2B3A"/>
    <w:rsid w:val="00EA2BAC"/>
    <w:rsid w:val="00EA2BB7"/>
    <w:rsid w:val="00EA2BFA"/>
    <w:rsid w:val="00EA2CBF"/>
    <w:rsid w:val="00EA2CFE"/>
    <w:rsid w:val="00EA2E0C"/>
    <w:rsid w:val="00EA2E13"/>
    <w:rsid w:val="00EA2F3E"/>
    <w:rsid w:val="00EA2F42"/>
    <w:rsid w:val="00EA3151"/>
    <w:rsid w:val="00EA3154"/>
    <w:rsid w:val="00EA3197"/>
    <w:rsid w:val="00EA320E"/>
    <w:rsid w:val="00EA3251"/>
    <w:rsid w:val="00EA325B"/>
    <w:rsid w:val="00EA33E2"/>
    <w:rsid w:val="00EA34E7"/>
    <w:rsid w:val="00EA3506"/>
    <w:rsid w:val="00EA352B"/>
    <w:rsid w:val="00EA354D"/>
    <w:rsid w:val="00EA3577"/>
    <w:rsid w:val="00EA357D"/>
    <w:rsid w:val="00EA3644"/>
    <w:rsid w:val="00EA3664"/>
    <w:rsid w:val="00EA3705"/>
    <w:rsid w:val="00EA37DB"/>
    <w:rsid w:val="00EA3879"/>
    <w:rsid w:val="00EA38A4"/>
    <w:rsid w:val="00EA3912"/>
    <w:rsid w:val="00EA3948"/>
    <w:rsid w:val="00EA3AA3"/>
    <w:rsid w:val="00EA3AC1"/>
    <w:rsid w:val="00EA3BB9"/>
    <w:rsid w:val="00EA3C92"/>
    <w:rsid w:val="00EA3D0C"/>
    <w:rsid w:val="00EA3D13"/>
    <w:rsid w:val="00EA3D73"/>
    <w:rsid w:val="00EA3D89"/>
    <w:rsid w:val="00EA3EAB"/>
    <w:rsid w:val="00EA3EE0"/>
    <w:rsid w:val="00EA3F23"/>
    <w:rsid w:val="00EA3F2A"/>
    <w:rsid w:val="00EA3F53"/>
    <w:rsid w:val="00EA3FFC"/>
    <w:rsid w:val="00EA401F"/>
    <w:rsid w:val="00EA4261"/>
    <w:rsid w:val="00EA447E"/>
    <w:rsid w:val="00EA45A2"/>
    <w:rsid w:val="00EA467A"/>
    <w:rsid w:val="00EA468A"/>
    <w:rsid w:val="00EA470B"/>
    <w:rsid w:val="00EA47A4"/>
    <w:rsid w:val="00EA484A"/>
    <w:rsid w:val="00EA485C"/>
    <w:rsid w:val="00EA48EF"/>
    <w:rsid w:val="00EA4929"/>
    <w:rsid w:val="00EA4951"/>
    <w:rsid w:val="00EA49A9"/>
    <w:rsid w:val="00EA49DB"/>
    <w:rsid w:val="00EA4A04"/>
    <w:rsid w:val="00EA4A0B"/>
    <w:rsid w:val="00EA4AC6"/>
    <w:rsid w:val="00EA4BEF"/>
    <w:rsid w:val="00EA4CFE"/>
    <w:rsid w:val="00EA4CFF"/>
    <w:rsid w:val="00EA4D0A"/>
    <w:rsid w:val="00EA4E43"/>
    <w:rsid w:val="00EA4EF0"/>
    <w:rsid w:val="00EA4F07"/>
    <w:rsid w:val="00EA516A"/>
    <w:rsid w:val="00EA525A"/>
    <w:rsid w:val="00EA52B0"/>
    <w:rsid w:val="00EA5301"/>
    <w:rsid w:val="00EA5331"/>
    <w:rsid w:val="00EA5364"/>
    <w:rsid w:val="00EA554A"/>
    <w:rsid w:val="00EA55A6"/>
    <w:rsid w:val="00EA5619"/>
    <w:rsid w:val="00EA5697"/>
    <w:rsid w:val="00EA5698"/>
    <w:rsid w:val="00EA580D"/>
    <w:rsid w:val="00EA5A06"/>
    <w:rsid w:val="00EA5BE5"/>
    <w:rsid w:val="00EA5D25"/>
    <w:rsid w:val="00EA5DB5"/>
    <w:rsid w:val="00EA5DC7"/>
    <w:rsid w:val="00EA5E3F"/>
    <w:rsid w:val="00EA5FCC"/>
    <w:rsid w:val="00EA606A"/>
    <w:rsid w:val="00EA6200"/>
    <w:rsid w:val="00EA6284"/>
    <w:rsid w:val="00EA62AE"/>
    <w:rsid w:val="00EA62B3"/>
    <w:rsid w:val="00EA63CF"/>
    <w:rsid w:val="00EA6413"/>
    <w:rsid w:val="00EA6467"/>
    <w:rsid w:val="00EA649E"/>
    <w:rsid w:val="00EA654F"/>
    <w:rsid w:val="00EA658A"/>
    <w:rsid w:val="00EA660F"/>
    <w:rsid w:val="00EA6627"/>
    <w:rsid w:val="00EA6712"/>
    <w:rsid w:val="00EA6941"/>
    <w:rsid w:val="00EA6A3D"/>
    <w:rsid w:val="00EA6B5B"/>
    <w:rsid w:val="00EA6BD4"/>
    <w:rsid w:val="00EA6C8D"/>
    <w:rsid w:val="00EA6CA7"/>
    <w:rsid w:val="00EA6CD8"/>
    <w:rsid w:val="00EA6CF6"/>
    <w:rsid w:val="00EA6D71"/>
    <w:rsid w:val="00EA6EBE"/>
    <w:rsid w:val="00EA6EF4"/>
    <w:rsid w:val="00EA6F80"/>
    <w:rsid w:val="00EA7014"/>
    <w:rsid w:val="00EA7141"/>
    <w:rsid w:val="00EA714D"/>
    <w:rsid w:val="00EA71A6"/>
    <w:rsid w:val="00EA71D5"/>
    <w:rsid w:val="00EA71F0"/>
    <w:rsid w:val="00EA72D4"/>
    <w:rsid w:val="00EA7300"/>
    <w:rsid w:val="00EA7318"/>
    <w:rsid w:val="00EA742E"/>
    <w:rsid w:val="00EA74E9"/>
    <w:rsid w:val="00EA7511"/>
    <w:rsid w:val="00EA752B"/>
    <w:rsid w:val="00EA7554"/>
    <w:rsid w:val="00EA7570"/>
    <w:rsid w:val="00EA75BC"/>
    <w:rsid w:val="00EA763C"/>
    <w:rsid w:val="00EA773B"/>
    <w:rsid w:val="00EA778C"/>
    <w:rsid w:val="00EA77A1"/>
    <w:rsid w:val="00EA77D4"/>
    <w:rsid w:val="00EA7839"/>
    <w:rsid w:val="00EA79C1"/>
    <w:rsid w:val="00EA7AE0"/>
    <w:rsid w:val="00EA7AFC"/>
    <w:rsid w:val="00EA7B98"/>
    <w:rsid w:val="00EA7CAF"/>
    <w:rsid w:val="00EA7D53"/>
    <w:rsid w:val="00EA7D7C"/>
    <w:rsid w:val="00EA7F1A"/>
    <w:rsid w:val="00EA7FCC"/>
    <w:rsid w:val="00EA7FDE"/>
    <w:rsid w:val="00EA7FFB"/>
    <w:rsid w:val="00EB0082"/>
    <w:rsid w:val="00EB0162"/>
    <w:rsid w:val="00EB023A"/>
    <w:rsid w:val="00EB036B"/>
    <w:rsid w:val="00EB052C"/>
    <w:rsid w:val="00EB05AC"/>
    <w:rsid w:val="00EB0745"/>
    <w:rsid w:val="00EB0897"/>
    <w:rsid w:val="00EB0ACD"/>
    <w:rsid w:val="00EB0AD5"/>
    <w:rsid w:val="00EB0B15"/>
    <w:rsid w:val="00EB0B3B"/>
    <w:rsid w:val="00EB0B3D"/>
    <w:rsid w:val="00EB0BA1"/>
    <w:rsid w:val="00EB0C08"/>
    <w:rsid w:val="00EB0CD7"/>
    <w:rsid w:val="00EB0D20"/>
    <w:rsid w:val="00EB0D41"/>
    <w:rsid w:val="00EB0F14"/>
    <w:rsid w:val="00EB0F57"/>
    <w:rsid w:val="00EB0F6C"/>
    <w:rsid w:val="00EB11A1"/>
    <w:rsid w:val="00EB11AF"/>
    <w:rsid w:val="00EB11ED"/>
    <w:rsid w:val="00EB1247"/>
    <w:rsid w:val="00EB124D"/>
    <w:rsid w:val="00EB12BF"/>
    <w:rsid w:val="00EB13EF"/>
    <w:rsid w:val="00EB1598"/>
    <w:rsid w:val="00EB160F"/>
    <w:rsid w:val="00EB1672"/>
    <w:rsid w:val="00EB18FA"/>
    <w:rsid w:val="00EB192A"/>
    <w:rsid w:val="00EB1979"/>
    <w:rsid w:val="00EB19B7"/>
    <w:rsid w:val="00EB1C39"/>
    <w:rsid w:val="00EB1C5B"/>
    <w:rsid w:val="00EB1CCC"/>
    <w:rsid w:val="00EB1EF0"/>
    <w:rsid w:val="00EB1F0F"/>
    <w:rsid w:val="00EB1FDC"/>
    <w:rsid w:val="00EB2013"/>
    <w:rsid w:val="00EB2022"/>
    <w:rsid w:val="00EB20CD"/>
    <w:rsid w:val="00EB2210"/>
    <w:rsid w:val="00EB2220"/>
    <w:rsid w:val="00EB222B"/>
    <w:rsid w:val="00EB2388"/>
    <w:rsid w:val="00EB24EB"/>
    <w:rsid w:val="00EB2514"/>
    <w:rsid w:val="00EB2595"/>
    <w:rsid w:val="00EB2635"/>
    <w:rsid w:val="00EB269C"/>
    <w:rsid w:val="00EB26DE"/>
    <w:rsid w:val="00EB26EC"/>
    <w:rsid w:val="00EB275F"/>
    <w:rsid w:val="00EB2802"/>
    <w:rsid w:val="00EB2893"/>
    <w:rsid w:val="00EB2997"/>
    <w:rsid w:val="00EB29B1"/>
    <w:rsid w:val="00EB29CB"/>
    <w:rsid w:val="00EB2A53"/>
    <w:rsid w:val="00EB2ABA"/>
    <w:rsid w:val="00EB2C16"/>
    <w:rsid w:val="00EB2C5D"/>
    <w:rsid w:val="00EB2C76"/>
    <w:rsid w:val="00EB2D43"/>
    <w:rsid w:val="00EB2DBB"/>
    <w:rsid w:val="00EB2E13"/>
    <w:rsid w:val="00EB2E6F"/>
    <w:rsid w:val="00EB2EF1"/>
    <w:rsid w:val="00EB2EFB"/>
    <w:rsid w:val="00EB2FA8"/>
    <w:rsid w:val="00EB2FC4"/>
    <w:rsid w:val="00EB3012"/>
    <w:rsid w:val="00EB306A"/>
    <w:rsid w:val="00EB31E3"/>
    <w:rsid w:val="00EB31E8"/>
    <w:rsid w:val="00EB3235"/>
    <w:rsid w:val="00EB3252"/>
    <w:rsid w:val="00EB3302"/>
    <w:rsid w:val="00EB3389"/>
    <w:rsid w:val="00EB33D6"/>
    <w:rsid w:val="00EB34A8"/>
    <w:rsid w:val="00EB3732"/>
    <w:rsid w:val="00EB378D"/>
    <w:rsid w:val="00EB383A"/>
    <w:rsid w:val="00EB38E1"/>
    <w:rsid w:val="00EB3992"/>
    <w:rsid w:val="00EB39FA"/>
    <w:rsid w:val="00EB3ABC"/>
    <w:rsid w:val="00EB3AED"/>
    <w:rsid w:val="00EB3AF4"/>
    <w:rsid w:val="00EB3B12"/>
    <w:rsid w:val="00EB3BEC"/>
    <w:rsid w:val="00EB3D3A"/>
    <w:rsid w:val="00EB3D52"/>
    <w:rsid w:val="00EB3D6E"/>
    <w:rsid w:val="00EB3DB4"/>
    <w:rsid w:val="00EB3DFE"/>
    <w:rsid w:val="00EB3E94"/>
    <w:rsid w:val="00EB3EA1"/>
    <w:rsid w:val="00EB3F3A"/>
    <w:rsid w:val="00EB4007"/>
    <w:rsid w:val="00EB4070"/>
    <w:rsid w:val="00EB40A3"/>
    <w:rsid w:val="00EB40AD"/>
    <w:rsid w:val="00EB40E1"/>
    <w:rsid w:val="00EB415A"/>
    <w:rsid w:val="00EB433E"/>
    <w:rsid w:val="00EB4353"/>
    <w:rsid w:val="00EB4381"/>
    <w:rsid w:val="00EB4530"/>
    <w:rsid w:val="00EB4553"/>
    <w:rsid w:val="00EB4554"/>
    <w:rsid w:val="00EB456D"/>
    <w:rsid w:val="00EB4589"/>
    <w:rsid w:val="00EB459D"/>
    <w:rsid w:val="00EB4636"/>
    <w:rsid w:val="00EB46AF"/>
    <w:rsid w:val="00EB46D1"/>
    <w:rsid w:val="00EB4742"/>
    <w:rsid w:val="00EB4AE7"/>
    <w:rsid w:val="00EB4CCC"/>
    <w:rsid w:val="00EB4CDB"/>
    <w:rsid w:val="00EB4CF6"/>
    <w:rsid w:val="00EB4D8C"/>
    <w:rsid w:val="00EB4E59"/>
    <w:rsid w:val="00EB4E8B"/>
    <w:rsid w:val="00EB4FCE"/>
    <w:rsid w:val="00EB5135"/>
    <w:rsid w:val="00EB535C"/>
    <w:rsid w:val="00EB5480"/>
    <w:rsid w:val="00EB5506"/>
    <w:rsid w:val="00EB57A1"/>
    <w:rsid w:val="00EB593C"/>
    <w:rsid w:val="00EB5AED"/>
    <w:rsid w:val="00EB5B2C"/>
    <w:rsid w:val="00EB5C3D"/>
    <w:rsid w:val="00EB5C78"/>
    <w:rsid w:val="00EB5C7A"/>
    <w:rsid w:val="00EB5DAC"/>
    <w:rsid w:val="00EB5DBC"/>
    <w:rsid w:val="00EB5F1F"/>
    <w:rsid w:val="00EB6050"/>
    <w:rsid w:val="00EB60B7"/>
    <w:rsid w:val="00EB60B8"/>
    <w:rsid w:val="00EB60C0"/>
    <w:rsid w:val="00EB61E7"/>
    <w:rsid w:val="00EB61F0"/>
    <w:rsid w:val="00EB6333"/>
    <w:rsid w:val="00EB63FE"/>
    <w:rsid w:val="00EB6415"/>
    <w:rsid w:val="00EB649C"/>
    <w:rsid w:val="00EB656F"/>
    <w:rsid w:val="00EB6636"/>
    <w:rsid w:val="00EB6724"/>
    <w:rsid w:val="00EB68C5"/>
    <w:rsid w:val="00EB6933"/>
    <w:rsid w:val="00EB6990"/>
    <w:rsid w:val="00EB69FA"/>
    <w:rsid w:val="00EB6A6C"/>
    <w:rsid w:val="00EB6A85"/>
    <w:rsid w:val="00EB6A9A"/>
    <w:rsid w:val="00EB6BC7"/>
    <w:rsid w:val="00EB6BCF"/>
    <w:rsid w:val="00EB6BFB"/>
    <w:rsid w:val="00EB6C3D"/>
    <w:rsid w:val="00EB6C56"/>
    <w:rsid w:val="00EB6E3C"/>
    <w:rsid w:val="00EB6FF0"/>
    <w:rsid w:val="00EB7074"/>
    <w:rsid w:val="00EB7075"/>
    <w:rsid w:val="00EB7134"/>
    <w:rsid w:val="00EB7191"/>
    <w:rsid w:val="00EB7255"/>
    <w:rsid w:val="00EB73E5"/>
    <w:rsid w:val="00EB75A1"/>
    <w:rsid w:val="00EB75CC"/>
    <w:rsid w:val="00EB763A"/>
    <w:rsid w:val="00EB76B6"/>
    <w:rsid w:val="00EB76D1"/>
    <w:rsid w:val="00EB77C9"/>
    <w:rsid w:val="00EB78D4"/>
    <w:rsid w:val="00EB7A59"/>
    <w:rsid w:val="00EB7ABC"/>
    <w:rsid w:val="00EB7B31"/>
    <w:rsid w:val="00EB7BAF"/>
    <w:rsid w:val="00EB7C5C"/>
    <w:rsid w:val="00EB7CB0"/>
    <w:rsid w:val="00EB7CB2"/>
    <w:rsid w:val="00EB7E98"/>
    <w:rsid w:val="00EB7F18"/>
    <w:rsid w:val="00EB7F3D"/>
    <w:rsid w:val="00EB7F91"/>
    <w:rsid w:val="00EC011E"/>
    <w:rsid w:val="00EC019D"/>
    <w:rsid w:val="00EC021B"/>
    <w:rsid w:val="00EC028E"/>
    <w:rsid w:val="00EC02F2"/>
    <w:rsid w:val="00EC04E9"/>
    <w:rsid w:val="00EC05F4"/>
    <w:rsid w:val="00EC0780"/>
    <w:rsid w:val="00EC083F"/>
    <w:rsid w:val="00EC097F"/>
    <w:rsid w:val="00EC09C1"/>
    <w:rsid w:val="00EC09C7"/>
    <w:rsid w:val="00EC0A7F"/>
    <w:rsid w:val="00EC0A89"/>
    <w:rsid w:val="00EC0C49"/>
    <w:rsid w:val="00EC0C74"/>
    <w:rsid w:val="00EC0CA6"/>
    <w:rsid w:val="00EC0DF8"/>
    <w:rsid w:val="00EC0DFA"/>
    <w:rsid w:val="00EC0E1E"/>
    <w:rsid w:val="00EC0EC9"/>
    <w:rsid w:val="00EC0F32"/>
    <w:rsid w:val="00EC0FA6"/>
    <w:rsid w:val="00EC107B"/>
    <w:rsid w:val="00EC1133"/>
    <w:rsid w:val="00EC126F"/>
    <w:rsid w:val="00EC14C6"/>
    <w:rsid w:val="00EC151A"/>
    <w:rsid w:val="00EC15FC"/>
    <w:rsid w:val="00EC164C"/>
    <w:rsid w:val="00EC17C2"/>
    <w:rsid w:val="00EC1873"/>
    <w:rsid w:val="00EC1A82"/>
    <w:rsid w:val="00EC1AE8"/>
    <w:rsid w:val="00EC1BB4"/>
    <w:rsid w:val="00EC1C45"/>
    <w:rsid w:val="00EC1D4C"/>
    <w:rsid w:val="00EC1DD4"/>
    <w:rsid w:val="00EC1E0B"/>
    <w:rsid w:val="00EC1FE4"/>
    <w:rsid w:val="00EC2053"/>
    <w:rsid w:val="00EC21E3"/>
    <w:rsid w:val="00EC21E9"/>
    <w:rsid w:val="00EC2378"/>
    <w:rsid w:val="00EC23A7"/>
    <w:rsid w:val="00EC23B7"/>
    <w:rsid w:val="00EC24E2"/>
    <w:rsid w:val="00EC2553"/>
    <w:rsid w:val="00EC274C"/>
    <w:rsid w:val="00EC2839"/>
    <w:rsid w:val="00EC2861"/>
    <w:rsid w:val="00EC286E"/>
    <w:rsid w:val="00EC2A04"/>
    <w:rsid w:val="00EC2A8E"/>
    <w:rsid w:val="00EC2A94"/>
    <w:rsid w:val="00EC2AB3"/>
    <w:rsid w:val="00EC2B91"/>
    <w:rsid w:val="00EC2B98"/>
    <w:rsid w:val="00EC2C4E"/>
    <w:rsid w:val="00EC2C5E"/>
    <w:rsid w:val="00EC2D3E"/>
    <w:rsid w:val="00EC2F11"/>
    <w:rsid w:val="00EC2F41"/>
    <w:rsid w:val="00EC3036"/>
    <w:rsid w:val="00EC31F0"/>
    <w:rsid w:val="00EC3231"/>
    <w:rsid w:val="00EC326C"/>
    <w:rsid w:val="00EC3274"/>
    <w:rsid w:val="00EC34C1"/>
    <w:rsid w:val="00EC35FD"/>
    <w:rsid w:val="00EC3652"/>
    <w:rsid w:val="00EC3745"/>
    <w:rsid w:val="00EC38CC"/>
    <w:rsid w:val="00EC38F0"/>
    <w:rsid w:val="00EC3956"/>
    <w:rsid w:val="00EC39E0"/>
    <w:rsid w:val="00EC3A76"/>
    <w:rsid w:val="00EC3A83"/>
    <w:rsid w:val="00EC3B92"/>
    <w:rsid w:val="00EC3D9F"/>
    <w:rsid w:val="00EC3DD1"/>
    <w:rsid w:val="00EC3DD9"/>
    <w:rsid w:val="00EC3E03"/>
    <w:rsid w:val="00EC3E1D"/>
    <w:rsid w:val="00EC3E45"/>
    <w:rsid w:val="00EC3EAC"/>
    <w:rsid w:val="00EC3F87"/>
    <w:rsid w:val="00EC4037"/>
    <w:rsid w:val="00EC40D7"/>
    <w:rsid w:val="00EC4188"/>
    <w:rsid w:val="00EC4289"/>
    <w:rsid w:val="00EC42A2"/>
    <w:rsid w:val="00EC43D4"/>
    <w:rsid w:val="00EC4474"/>
    <w:rsid w:val="00EC44EF"/>
    <w:rsid w:val="00EC459E"/>
    <w:rsid w:val="00EC45E4"/>
    <w:rsid w:val="00EC4667"/>
    <w:rsid w:val="00EC4699"/>
    <w:rsid w:val="00EC46FF"/>
    <w:rsid w:val="00EC4746"/>
    <w:rsid w:val="00EC47AB"/>
    <w:rsid w:val="00EC47B6"/>
    <w:rsid w:val="00EC47C1"/>
    <w:rsid w:val="00EC483E"/>
    <w:rsid w:val="00EC4880"/>
    <w:rsid w:val="00EC499D"/>
    <w:rsid w:val="00EC4A45"/>
    <w:rsid w:val="00EC4A46"/>
    <w:rsid w:val="00EC4A70"/>
    <w:rsid w:val="00EC4AA0"/>
    <w:rsid w:val="00EC4AB0"/>
    <w:rsid w:val="00EC4AEE"/>
    <w:rsid w:val="00EC4B46"/>
    <w:rsid w:val="00EC4BD0"/>
    <w:rsid w:val="00EC4CFA"/>
    <w:rsid w:val="00EC4DAE"/>
    <w:rsid w:val="00EC4DCE"/>
    <w:rsid w:val="00EC4F2B"/>
    <w:rsid w:val="00EC4FDC"/>
    <w:rsid w:val="00EC507E"/>
    <w:rsid w:val="00EC513E"/>
    <w:rsid w:val="00EC51BC"/>
    <w:rsid w:val="00EC51EE"/>
    <w:rsid w:val="00EC5223"/>
    <w:rsid w:val="00EC5402"/>
    <w:rsid w:val="00EC54AE"/>
    <w:rsid w:val="00EC55D6"/>
    <w:rsid w:val="00EC55DC"/>
    <w:rsid w:val="00EC5650"/>
    <w:rsid w:val="00EC56A3"/>
    <w:rsid w:val="00EC5742"/>
    <w:rsid w:val="00EC57C0"/>
    <w:rsid w:val="00EC57DA"/>
    <w:rsid w:val="00EC5821"/>
    <w:rsid w:val="00EC5957"/>
    <w:rsid w:val="00EC5996"/>
    <w:rsid w:val="00EC5B47"/>
    <w:rsid w:val="00EC5C93"/>
    <w:rsid w:val="00EC5CB5"/>
    <w:rsid w:val="00EC5D53"/>
    <w:rsid w:val="00EC5D60"/>
    <w:rsid w:val="00EC5E17"/>
    <w:rsid w:val="00EC5FCB"/>
    <w:rsid w:val="00EC60B9"/>
    <w:rsid w:val="00EC6161"/>
    <w:rsid w:val="00EC6248"/>
    <w:rsid w:val="00EC63ED"/>
    <w:rsid w:val="00EC65F5"/>
    <w:rsid w:val="00EC666B"/>
    <w:rsid w:val="00EC66D8"/>
    <w:rsid w:val="00EC66F1"/>
    <w:rsid w:val="00EC68B4"/>
    <w:rsid w:val="00EC6911"/>
    <w:rsid w:val="00EC6938"/>
    <w:rsid w:val="00EC6A6E"/>
    <w:rsid w:val="00EC6AB7"/>
    <w:rsid w:val="00EC6B2C"/>
    <w:rsid w:val="00EC6B96"/>
    <w:rsid w:val="00EC6C0A"/>
    <w:rsid w:val="00EC6D2F"/>
    <w:rsid w:val="00EC6DDA"/>
    <w:rsid w:val="00EC6E47"/>
    <w:rsid w:val="00EC6E9F"/>
    <w:rsid w:val="00EC7014"/>
    <w:rsid w:val="00EC707E"/>
    <w:rsid w:val="00EC71BF"/>
    <w:rsid w:val="00EC7272"/>
    <w:rsid w:val="00EC731B"/>
    <w:rsid w:val="00EC7326"/>
    <w:rsid w:val="00EC7445"/>
    <w:rsid w:val="00EC74C2"/>
    <w:rsid w:val="00EC765E"/>
    <w:rsid w:val="00EC7792"/>
    <w:rsid w:val="00EC7801"/>
    <w:rsid w:val="00EC78FD"/>
    <w:rsid w:val="00EC7909"/>
    <w:rsid w:val="00EC7987"/>
    <w:rsid w:val="00EC798D"/>
    <w:rsid w:val="00EC7BF9"/>
    <w:rsid w:val="00EC7C86"/>
    <w:rsid w:val="00EC7D98"/>
    <w:rsid w:val="00EC7E2D"/>
    <w:rsid w:val="00EC7EEA"/>
    <w:rsid w:val="00EC7F78"/>
    <w:rsid w:val="00ED013F"/>
    <w:rsid w:val="00ED0197"/>
    <w:rsid w:val="00ED01C4"/>
    <w:rsid w:val="00ED02ED"/>
    <w:rsid w:val="00ED0381"/>
    <w:rsid w:val="00ED0430"/>
    <w:rsid w:val="00ED04B7"/>
    <w:rsid w:val="00ED05C5"/>
    <w:rsid w:val="00ED080D"/>
    <w:rsid w:val="00ED0860"/>
    <w:rsid w:val="00ED0925"/>
    <w:rsid w:val="00ED09A3"/>
    <w:rsid w:val="00ED09D3"/>
    <w:rsid w:val="00ED0AE9"/>
    <w:rsid w:val="00ED0B81"/>
    <w:rsid w:val="00ED0BC5"/>
    <w:rsid w:val="00ED0BD3"/>
    <w:rsid w:val="00ED0C0E"/>
    <w:rsid w:val="00ED0C84"/>
    <w:rsid w:val="00ED0C99"/>
    <w:rsid w:val="00ED0CEF"/>
    <w:rsid w:val="00ED0D40"/>
    <w:rsid w:val="00ED0D59"/>
    <w:rsid w:val="00ED0EAB"/>
    <w:rsid w:val="00ED0F8B"/>
    <w:rsid w:val="00ED1064"/>
    <w:rsid w:val="00ED1125"/>
    <w:rsid w:val="00ED11B2"/>
    <w:rsid w:val="00ED11D3"/>
    <w:rsid w:val="00ED11FB"/>
    <w:rsid w:val="00ED1276"/>
    <w:rsid w:val="00ED1326"/>
    <w:rsid w:val="00ED1591"/>
    <w:rsid w:val="00ED169A"/>
    <w:rsid w:val="00ED16FB"/>
    <w:rsid w:val="00ED175E"/>
    <w:rsid w:val="00ED1853"/>
    <w:rsid w:val="00ED1891"/>
    <w:rsid w:val="00ED18F1"/>
    <w:rsid w:val="00ED1903"/>
    <w:rsid w:val="00ED197F"/>
    <w:rsid w:val="00ED1A77"/>
    <w:rsid w:val="00ED1ABB"/>
    <w:rsid w:val="00ED1CD8"/>
    <w:rsid w:val="00ED1CF2"/>
    <w:rsid w:val="00ED1D05"/>
    <w:rsid w:val="00ED1D52"/>
    <w:rsid w:val="00ED1DBF"/>
    <w:rsid w:val="00ED1EE6"/>
    <w:rsid w:val="00ED1F60"/>
    <w:rsid w:val="00ED1FA2"/>
    <w:rsid w:val="00ED1FE1"/>
    <w:rsid w:val="00ED212C"/>
    <w:rsid w:val="00ED2291"/>
    <w:rsid w:val="00ED22D8"/>
    <w:rsid w:val="00ED230D"/>
    <w:rsid w:val="00ED241B"/>
    <w:rsid w:val="00ED242F"/>
    <w:rsid w:val="00ED24AB"/>
    <w:rsid w:val="00ED264A"/>
    <w:rsid w:val="00ED2813"/>
    <w:rsid w:val="00ED2858"/>
    <w:rsid w:val="00ED289E"/>
    <w:rsid w:val="00ED2911"/>
    <w:rsid w:val="00ED2963"/>
    <w:rsid w:val="00ED2A62"/>
    <w:rsid w:val="00ED2A7E"/>
    <w:rsid w:val="00ED2BB8"/>
    <w:rsid w:val="00ED2BCB"/>
    <w:rsid w:val="00ED2D48"/>
    <w:rsid w:val="00ED2DF6"/>
    <w:rsid w:val="00ED2ECC"/>
    <w:rsid w:val="00ED2F6B"/>
    <w:rsid w:val="00ED3256"/>
    <w:rsid w:val="00ED32AD"/>
    <w:rsid w:val="00ED3364"/>
    <w:rsid w:val="00ED33C0"/>
    <w:rsid w:val="00ED33DC"/>
    <w:rsid w:val="00ED35B7"/>
    <w:rsid w:val="00ED363D"/>
    <w:rsid w:val="00ED3693"/>
    <w:rsid w:val="00ED36BE"/>
    <w:rsid w:val="00ED3772"/>
    <w:rsid w:val="00ED384E"/>
    <w:rsid w:val="00ED3879"/>
    <w:rsid w:val="00ED38C5"/>
    <w:rsid w:val="00ED3973"/>
    <w:rsid w:val="00ED3996"/>
    <w:rsid w:val="00ED3998"/>
    <w:rsid w:val="00ED39FE"/>
    <w:rsid w:val="00ED3A2C"/>
    <w:rsid w:val="00ED3A56"/>
    <w:rsid w:val="00ED3A5D"/>
    <w:rsid w:val="00ED3AB6"/>
    <w:rsid w:val="00ED3BF0"/>
    <w:rsid w:val="00ED3C70"/>
    <w:rsid w:val="00ED3C89"/>
    <w:rsid w:val="00ED3CB1"/>
    <w:rsid w:val="00ED3CF5"/>
    <w:rsid w:val="00ED3D03"/>
    <w:rsid w:val="00ED3F2B"/>
    <w:rsid w:val="00ED4077"/>
    <w:rsid w:val="00ED4162"/>
    <w:rsid w:val="00ED429A"/>
    <w:rsid w:val="00ED4496"/>
    <w:rsid w:val="00ED46DA"/>
    <w:rsid w:val="00ED47A1"/>
    <w:rsid w:val="00ED4825"/>
    <w:rsid w:val="00ED4851"/>
    <w:rsid w:val="00ED4963"/>
    <w:rsid w:val="00ED49B9"/>
    <w:rsid w:val="00ED49ED"/>
    <w:rsid w:val="00ED49FE"/>
    <w:rsid w:val="00ED4B26"/>
    <w:rsid w:val="00ED4BC5"/>
    <w:rsid w:val="00ED4E17"/>
    <w:rsid w:val="00ED4E49"/>
    <w:rsid w:val="00ED4ED6"/>
    <w:rsid w:val="00ED5080"/>
    <w:rsid w:val="00ED5178"/>
    <w:rsid w:val="00ED51ED"/>
    <w:rsid w:val="00ED52C5"/>
    <w:rsid w:val="00ED5383"/>
    <w:rsid w:val="00ED53A8"/>
    <w:rsid w:val="00ED5471"/>
    <w:rsid w:val="00ED5516"/>
    <w:rsid w:val="00ED5524"/>
    <w:rsid w:val="00ED5554"/>
    <w:rsid w:val="00ED5691"/>
    <w:rsid w:val="00ED56EF"/>
    <w:rsid w:val="00ED5765"/>
    <w:rsid w:val="00ED577F"/>
    <w:rsid w:val="00ED57B7"/>
    <w:rsid w:val="00ED5864"/>
    <w:rsid w:val="00ED5910"/>
    <w:rsid w:val="00ED5A23"/>
    <w:rsid w:val="00ED5A45"/>
    <w:rsid w:val="00ED5BDE"/>
    <w:rsid w:val="00ED5BFF"/>
    <w:rsid w:val="00ED5CAF"/>
    <w:rsid w:val="00ED5D1A"/>
    <w:rsid w:val="00ED5DEC"/>
    <w:rsid w:val="00ED5E03"/>
    <w:rsid w:val="00ED5E2E"/>
    <w:rsid w:val="00ED5EBD"/>
    <w:rsid w:val="00ED5F1E"/>
    <w:rsid w:val="00ED601A"/>
    <w:rsid w:val="00ED6074"/>
    <w:rsid w:val="00ED6189"/>
    <w:rsid w:val="00ED6463"/>
    <w:rsid w:val="00ED6533"/>
    <w:rsid w:val="00ED655A"/>
    <w:rsid w:val="00ED65BE"/>
    <w:rsid w:val="00ED65E9"/>
    <w:rsid w:val="00ED6615"/>
    <w:rsid w:val="00ED66A8"/>
    <w:rsid w:val="00ED698E"/>
    <w:rsid w:val="00ED69B5"/>
    <w:rsid w:val="00ED6A71"/>
    <w:rsid w:val="00ED6AB0"/>
    <w:rsid w:val="00ED6AB8"/>
    <w:rsid w:val="00ED6AE8"/>
    <w:rsid w:val="00ED6AEF"/>
    <w:rsid w:val="00ED6BE8"/>
    <w:rsid w:val="00ED6DBF"/>
    <w:rsid w:val="00ED6DEA"/>
    <w:rsid w:val="00ED6F8D"/>
    <w:rsid w:val="00ED7036"/>
    <w:rsid w:val="00ED7083"/>
    <w:rsid w:val="00ED7158"/>
    <w:rsid w:val="00ED7187"/>
    <w:rsid w:val="00ED7253"/>
    <w:rsid w:val="00ED72F7"/>
    <w:rsid w:val="00ED7327"/>
    <w:rsid w:val="00ED732B"/>
    <w:rsid w:val="00ED7467"/>
    <w:rsid w:val="00ED7490"/>
    <w:rsid w:val="00ED74D4"/>
    <w:rsid w:val="00ED74E0"/>
    <w:rsid w:val="00ED75E4"/>
    <w:rsid w:val="00ED75EC"/>
    <w:rsid w:val="00ED76C4"/>
    <w:rsid w:val="00ED76EB"/>
    <w:rsid w:val="00ED7705"/>
    <w:rsid w:val="00ED7738"/>
    <w:rsid w:val="00ED7760"/>
    <w:rsid w:val="00ED782E"/>
    <w:rsid w:val="00ED785E"/>
    <w:rsid w:val="00ED789F"/>
    <w:rsid w:val="00ED78D7"/>
    <w:rsid w:val="00ED7A42"/>
    <w:rsid w:val="00ED7A57"/>
    <w:rsid w:val="00ED7AB2"/>
    <w:rsid w:val="00ED7AB3"/>
    <w:rsid w:val="00ED7AEE"/>
    <w:rsid w:val="00ED7B40"/>
    <w:rsid w:val="00ED7C12"/>
    <w:rsid w:val="00ED7C75"/>
    <w:rsid w:val="00ED7CBD"/>
    <w:rsid w:val="00ED7CE7"/>
    <w:rsid w:val="00ED7D08"/>
    <w:rsid w:val="00ED7EBB"/>
    <w:rsid w:val="00ED7F95"/>
    <w:rsid w:val="00EE005A"/>
    <w:rsid w:val="00EE0149"/>
    <w:rsid w:val="00EE01B7"/>
    <w:rsid w:val="00EE0229"/>
    <w:rsid w:val="00EE022E"/>
    <w:rsid w:val="00EE0335"/>
    <w:rsid w:val="00EE0384"/>
    <w:rsid w:val="00EE044C"/>
    <w:rsid w:val="00EE052F"/>
    <w:rsid w:val="00EE054F"/>
    <w:rsid w:val="00EE0585"/>
    <w:rsid w:val="00EE05AE"/>
    <w:rsid w:val="00EE061A"/>
    <w:rsid w:val="00EE06AA"/>
    <w:rsid w:val="00EE073B"/>
    <w:rsid w:val="00EE07E4"/>
    <w:rsid w:val="00EE0908"/>
    <w:rsid w:val="00EE0A14"/>
    <w:rsid w:val="00EE0A20"/>
    <w:rsid w:val="00EE0A71"/>
    <w:rsid w:val="00EE0A7A"/>
    <w:rsid w:val="00EE0AD7"/>
    <w:rsid w:val="00EE0ADC"/>
    <w:rsid w:val="00EE0B6C"/>
    <w:rsid w:val="00EE0CD6"/>
    <w:rsid w:val="00EE0DBD"/>
    <w:rsid w:val="00EE0DF2"/>
    <w:rsid w:val="00EE0ED1"/>
    <w:rsid w:val="00EE1114"/>
    <w:rsid w:val="00EE1129"/>
    <w:rsid w:val="00EE1192"/>
    <w:rsid w:val="00EE11C3"/>
    <w:rsid w:val="00EE11FE"/>
    <w:rsid w:val="00EE1209"/>
    <w:rsid w:val="00EE1218"/>
    <w:rsid w:val="00EE129D"/>
    <w:rsid w:val="00EE12E9"/>
    <w:rsid w:val="00EE131F"/>
    <w:rsid w:val="00EE141B"/>
    <w:rsid w:val="00EE15B5"/>
    <w:rsid w:val="00EE15E9"/>
    <w:rsid w:val="00EE160D"/>
    <w:rsid w:val="00EE16DF"/>
    <w:rsid w:val="00EE1732"/>
    <w:rsid w:val="00EE17F3"/>
    <w:rsid w:val="00EE1814"/>
    <w:rsid w:val="00EE198C"/>
    <w:rsid w:val="00EE1A01"/>
    <w:rsid w:val="00EE1A80"/>
    <w:rsid w:val="00EE1AEC"/>
    <w:rsid w:val="00EE1D57"/>
    <w:rsid w:val="00EE1D94"/>
    <w:rsid w:val="00EE1DA2"/>
    <w:rsid w:val="00EE1DBE"/>
    <w:rsid w:val="00EE1E8B"/>
    <w:rsid w:val="00EE1F03"/>
    <w:rsid w:val="00EE1F8A"/>
    <w:rsid w:val="00EE1F9B"/>
    <w:rsid w:val="00EE204E"/>
    <w:rsid w:val="00EE212D"/>
    <w:rsid w:val="00EE242A"/>
    <w:rsid w:val="00EE24E2"/>
    <w:rsid w:val="00EE2529"/>
    <w:rsid w:val="00EE2576"/>
    <w:rsid w:val="00EE2621"/>
    <w:rsid w:val="00EE273A"/>
    <w:rsid w:val="00EE273E"/>
    <w:rsid w:val="00EE277F"/>
    <w:rsid w:val="00EE2794"/>
    <w:rsid w:val="00EE27CC"/>
    <w:rsid w:val="00EE287B"/>
    <w:rsid w:val="00EE28B7"/>
    <w:rsid w:val="00EE29A1"/>
    <w:rsid w:val="00EE29B5"/>
    <w:rsid w:val="00EE2A03"/>
    <w:rsid w:val="00EE2C0E"/>
    <w:rsid w:val="00EE2D08"/>
    <w:rsid w:val="00EE2D9E"/>
    <w:rsid w:val="00EE2F74"/>
    <w:rsid w:val="00EE3104"/>
    <w:rsid w:val="00EE3194"/>
    <w:rsid w:val="00EE3244"/>
    <w:rsid w:val="00EE32A4"/>
    <w:rsid w:val="00EE32ED"/>
    <w:rsid w:val="00EE332F"/>
    <w:rsid w:val="00EE3409"/>
    <w:rsid w:val="00EE35F9"/>
    <w:rsid w:val="00EE3617"/>
    <w:rsid w:val="00EE365B"/>
    <w:rsid w:val="00EE36A5"/>
    <w:rsid w:val="00EE39F4"/>
    <w:rsid w:val="00EE3A37"/>
    <w:rsid w:val="00EE3A93"/>
    <w:rsid w:val="00EE3B32"/>
    <w:rsid w:val="00EE3BB2"/>
    <w:rsid w:val="00EE3D55"/>
    <w:rsid w:val="00EE3DBD"/>
    <w:rsid w:val="00EE3DD2"/>
    <w:rsid w:val="00EE3E34"/>
    <w:rsid w:val="00EE3EB4"/>
    <w:rsid w:val="00EE3EE4"/>
    <w:rsid w:val="00EE3F11"/>
    <w:rsid w:val="00EE3FF5"/>
    <w:rsid w:val="00EE405F"/>
    <w:rsid w:val="00EE41A5"/>
    <w:rsid w:val="00EE420D"/>
    <w:rsid w:val="00EE4334"/>
    <w:rsid w:val="00EE4404"/>
    <w:rsid w:val="00EE440F"/>
    <w:rsid w:val="00EE4428"/>
    <w:rsid w:val="00EE4438"/>
    <w:rsid w:val="00EE4458"/>
    <w:rsid w:val="00EE44AA"/>
    <w:rsid w:val="00EE44B0"/>
    <w:rsid w:val="00EE4662"/>
    <w:rsid w:val="00EE4743"/>
    <w:rsid w:val="00EE47C6"/>
    <w:rsid w:val="00EE483D"/>
    <w:rsid w:val="00EE483E"/>
    <w:rsid w:val="00EE4849"/>
    <w:rsid w:val="00EE4896"/>
    <w:rsid w:val="00EE48FE"/>
    <w:rsid w:val="00EE4A5F"/>
    <w:rsid w:val="00EE4B11"/>
    <w:rsid w:val="00EE4D15"/>
    <w:rsid w:val="00EE4E26"/>
    <w:rsid w:val="00EE4E3A"/>
    <w:rsid w:val="00EE4E4D"/>
    <w:rsid w:val="00EE4FA1"/>
    <w:rsid w:val="00EE5114"/>
    <w:rsid w:val="00EE522C"/>
    <w:rsid w:val="00EE5241"/>
    <w:rsid w:val="00EE52E7"/>
    <w:rsid w:val="00EE53C8"/>
    <w:rsid w:val="00EE5467"/>
    <w:rsid w:val="00EE5509"/>
    <w:rsid w:val="00EE554F"/>
    <w:rsid w:val="00EE5690"/>
    <w:rsid w:val="00EE574E"/>
    <w:rsid w:val="00EE58E1"/>
    <w:rsid w:val="00EE590B"/>
    <w:rsid w:val="00EE592D"/>
    <w:rsid w:val="00EE5949"/>
    <w:rsid w:val="00EE5A28"/>
    <w:rsid w:val="00EE5AAC"/>
    <w:rsid w:val="00EE5B44"/>
    <w:rsid w:val="00EE5C28"/>
    <w:rsid w:val="00EE5D17"/>
    <w:rsid w:val="00EE5DED"/>
    <w:rsid w:val="00EE5E03"/>
    <w:rsid w:val="00EE5E9E"/>
    <w:rsid w:val="00EE5EC1"/>
    <w:rsid w:val="00EE5F08"/>
    <w:rsid w:val="00EE5FD4"/>
    <w:rsid w:val="00EE6062"/>
    <w:rsid w:val="00EE60B3"/>
    <w:rsid w:val="00EE61E7"/>
    <w:rsid w:val="00EE6207"/>
    <w:rsid w:val="00EE621F"/>
    <w:rsid w:val="00EE6299"/>
    <w:rsid w:val="00EE62D9"/>
    <w:rsid w:val="00EE639D"/>
    <w:rsid w:val="00EE63B6"/>
    <w:rsid w:val="00EE63ED"/>
    <w:rsid w:val="00EE6559"/>
    <w:rsid w:val="00EE6591"/>
    <w:rsid w:val="00EE65E9"/>
    <w:rsid w:val="00EE65F2"/>
    <w:rsid w:val="00EE6632"/>
    <w:rsid w:val="00EE677E"/>
    <w:rsid w:val="00EE67BE"/>
    <w:rsid w:val="00EE684E"/>
    <w:rsid w:val="00EE685F"/>
    <w:rsid w:val="00EE68B0"/>
    <w:rsid w:val="00EE68B6"/>
    <w:rsid w:val="00EE68CA"/>
    <w:rsid w:val="00EE692D"/>
    <w:rsid w:val="00EE6969"/>
    <w:rsid w:val="00EE6A51"/>
    <w:rsid w:val="00EE6BA2"/>
    <w:rsid w:val="00EE6CCE"/>
    <w:rsid w:val="00EE6D82"/>
    <w:rsid w:val="00EE6E6C"/>
    <w:rsid w:val="00EE6E99"/>
    <w:rsid w:val="00EE6EF0"/>
    <w:rsid w:val="00EE6F74"/>
    <w:rsid w:val="00EE7069"/>
    <w:rsid w:val="00EE7115"/>
    <w:rsid w:val="00EE7166"/>
    <w:rsid w:val="00EE71AB"/>
    <w:rsid w:val="00EE7265"/>
    <w:rsid w:val="00EE72D5"/>
    <w:rsid w:val="00EE73D6"/>
    <w:rsid w:val="00EE742D"/>
    <w:rsid w:val="00EE743E"/>
    <w:rsid w:val="00EE74EC"/>
    <w:rsid w:val="00EE7556"/>
    <w:rsid w:val="00EE761A"/>
    <w:rsid w:val="00EE76B3"/>
    <w:rsid w:val="00EE76DA"/>
    <w:rsid w:val="00EE77E8"/>
    <w:rsid w:val="00EE78F2"/>
    <w:rsid w:val="00EE790E"/>
    <w:rsid w:val="00EE7922"/>
    <w:rsid w:val="00EE7924"/>
    <w:rsid w:val="00EE79DD"/>
    <w:rsid w:val="00EE7A1E"/>
    <w:rsid w:val="00EE7B20"/>
    <w:rsid w:val="00EE7B2D"/>
    <w:rsid w:val="00EE7CE5"/>
    <w:rsid w:val="00EE7D53"/>
    <w:rsid w:val="00EE7E4E"/>
    <w:rsid w:val="00EF00F8"/>
    <w:rsid w:val="00EF018C"/>
    <w:rsid w:val="00EF02F6"/>
    <w:rsid w:val="00EF0573"/>
    <w:rsid w:val="00EF0589"/>
    <w:rsid w:val="00EF0600"/>
    <w:rsid w:val="00EF0650"/>
    <w:rsid w:val="00EF0664"/>
    <w:rsid w:val="00EF0695"/>
    <w:rsid w:val="00EF06DA"/>
    <w:rsid w:val="00EF0771"/>
    <w:rsid w:val="00EF08C6"/>
    <w:rsid w:val="00EF095B"/>
    <w:rsid w:val="00EF0AC1"/>
    <w:rsid w:val="00EF0AD2"/>
    <w:rsid w:val="00EF0B33"/>
    <w:rsid w:val="00EF0B71"/>
    <w:rsid w:val="00EF0BCE"/>
    <w:rsid w:val="00EF0C4B"/>
    <w:rsid w:val="00EF0CBA"/>
    <w:rsid w:val="00EF0CC9"/>
    <w:rsid w:val="00EF0D6D"/>
    <w:rsid w:val="00EF0E44"/>
    <w:rsid w:val="00EF1034"/>
    <w:rsid w:val="00EF10C9"/>
    <w:rsid w:val="00EF1100"/>
    <w:rsid w:val="00EF120E"/>
    <w:rsid w:val="00EF126E"/>
    <w:rsid w:val="00EF12EC"/>
    <w:rsid w:val="00EF137F"/>
    <w:rsid w:val="00EF13A9"/>
    <w:rsid w:val="00EF1438"/>
    <w:rsid w:val="00EF1575"/>
    <w:rsid w:val="00EF164A"/>
    <w:rsid w:val="00EF1736"/>
    <w:rsid w:val="00EF1763"/>
    <w:rsid w:val="00EF176A"/>
    <w:rsid w:val="00EF18E2"/>
    <w:rsid w:val="00EF18F9"/>
    <w:rsid w:val="00EF19E5"/>
    <w:rsid w:val="00EF1A47"/>
    <w:rsid w:val="00EF1A64"/>
    <w:rsid w:val="00EF1AEF"/>
    <w:rsid w:val="00EF1B0E"/>
    <w:rsid w:val="00EF1B99"/>
    <w:rsid w:val="00EF1D61"/>
    <w:rsid w:val="00EF1DD3"/>
    <w:rsid w:val="00EF1F7E"/>
    <w:rsid w:val="00EF20D5"/>
    <w:rsid w:val="00EF21FB"/>
    <w:rsid w:val="00EF2347"/>
    <w:rsid w:val="00EF236B"/>
    <w:rsid w:val="00EF23DF"/>
    <w:rsid w:val="00EF240D"/>
    <w:rsid w:val="00EF2672"/>
    <w:rsid w:val="00EF27D6"/>
    <w:rsid w:val="00EF2826"/>
    <w:rsid w:val="00EF287E"/>
    <w:rsid w:val="00EF28C6"/>
    <w:rsid w:val="00EF29A7"/>
    <w:rsid w:val="00EF2A1D"/>
    <w:rsid w:val="00EF2A21"/>
    <w:rsid w:val="00EF2ACC"/>
    <w:rsid w:val="00EF2ADB"/>
    <w:rsid w:val="00EF2B65"/>
    <w:rsid w:val="00EF2B6B"/>
    <w:rsid w:val="00EF2CB5"/>
    <w:rsid w:val="00EF2D2E"/>
    <w:rsid w:val="00EF2D39"/>
    <w:rsid w:val="00EF2E54"/>
    <w:rsid w:val="00EF2F5A"/>
    <w:rsid w:val="00EF30A0"/>
    <w:rsid w:val="00EF30DE"/>
    <w:rsid w:val="00EF31A3"/>
    <w:rsid w:val="00EF3224"/>
    <w:rsid w:val="00EF3252"/>
    <w:rsid w:val="00EF32DD"/>
    <w:rsid w:val="00EF3353"/>
    <w:rsid w:val="00EF338E"/>
    <w:rsid w:val="00EF33BB"/>
    <w:rsid w:val="00EF33C3"/>
    <w:rsid w:val="00EF3555"/>
    <w:rsid w:val="00EF3562"/>
    <w:rsid w:val="00EF35D5"/>
    <w:rsid w:val="00EF3650"/>
    <w:rsid w:val="00EF3741"/>
    <w:rsid w:val="00EF37CD"/>
    <w:rsid w:val="00EF38C2"/>
    <w:rsid w:val="00EF38F0"/>
    <w:rsid w:val="00EF3928"/>
    <w:rsid w:val="00EF3934"/>
    <w:rsid w:val="00EF39F5"/>
    <w:rsid w:val="00EF3B3B"/>
    <w:rsid w:val="00EF3B3E"/>
    <w:rsid w:val="00EF3C38"/>
    <w:rsid w:val="00EF3C6E"/>
    <w:rsid w:val="00EF3CF2"/>
    <w:rsid w:val="00EF3D40"/>
    <w:rsid w:val="00EF3E59"/>
    <w:rsid w:val="00EF3F26"/>
    <w:rsid w:val="00EF410D"/>
    <w:rsid w:val="00EF4180"/>
    <w:rsid w:val="00EF41A0"/>
    <w:rsid w:val="00EF4222"/>
    <w:rsid w:val="00EF4266"/>
    <w:rsid w:val="00EF428B"/>
    <w:rsid w:val="00EF42C4"/>
    <w:rsid w:val="00EF4354"/>
    <w:rsid w:val="00EF43D5"/>
    <w:rsid w:val="00EF4489"/>
    <w:rsid w:val="00EF44B9"/>
    <w:rsid w:val="00EF4515"/>
    <w:rsid w:val="00EF4518"/>
    <w:rsid w:val="00EF453E"/>
    <w:rsid w:val="00EF4651"/>
    <w:rsid w:val="00EF46B3"/>
    <w:rsid w:val="00EF4825"/>
    <w:rsid w:val="00EF4903"/>
    <w:rsid w:val="00EF4908"/>
    <w:rsid w:val="00EF4ADE"/>
    <w:rsid w:val="00EF4B9B"/>
    <w:rsid w:val="00EF4C31"/>
    <w:rsid w:val="00EF4CE2"/>
    <w:rsid w:val="00EF4D46"/>
    <w:rsid w:val="00EF4E17"/>
    <w:rsid w:val="00EF4F1C"/>
    <w:rsid w:val="00EF4FC9"/>
    <w:rsid w:val="00EF5035"/>
    <w:rsid w:val="00EF511F"/>
    <w:rsid w:val="00EF513F"/>
    <w:rsid w:val="00EF5184"/>
    <w:rsid w:val="00EF5231"/>
    <w:rsid w:val="00EF52AF"/>
    <w:rsid w:val="00EF5433"/>
    <w:rsid w:val="00EF561A"/>
    <w:rsid w:val="00EF56B1"/>
    <w:rsid w:val="00EF56CA"/>
    <w:rsid w:val="00EF5921"/>
    <w:rsid w:val="00EF5932"/>
    <w:rsid w:val="00EF5971"/>
    <w:rsid w:val="00EF59BC"/>
    <w:rsid w:val="00EF5AE8"/>
    <w:rsid w:val="00EF5B45"/>
    <w:rsid w:val="00EF5BD2"/>
    <w:rsid w:val="00EF5CB0"/>
    <w:rsid w:val="00EF5CB1"/>
    <w:rsid w:val="00EF5CFE"/>
    <w:rsid w:val="00EF5D3E"/>
    <w:rsid w:val="00EF5E12"/>
    <w:rsid w:val="00EF5ED7"/>
    <w:rsid w:val="00EF601A"/>
    <w:rsid w:val="00EF6122"/>
    <w:rsid w:val="00EF61D7"/>
    <w:rsid w:val="00EF61DF"/>
    <w:rsid w:val="00EF632B"/>
    <w:rsid w:val="00EF63FE"/>
    <w:rsid w:val="00EF645A"/>
    <w:rsid w:val="00EF64D1"/>
    <w:rsid w:val="00EF64EA"/>
    <w:rsid w:val="00EF6587"/>
    <w:rsid w:val="00EF665F"/>
    <w:rsid w:val="00EF6811"/>
    <w:rsid w:val="00EF6848"/>
    <w:rsid w:val="00EF691B"/>
    <w:rsid w:val="00EF6962"/>
    <w:rsid w:val="00EF6AAC"/>
    <w:rsid w:val="00EF6B0A"/>
    <w:rsid w:val="00EF6B12"/>
    <w:rsid w:val="00EF6B58"/>
    <w:rsid w:val="00EF6BBE"/>
    <w:rsid w:val="00EF6C24"/>
    <w:rsid w:val="00EF6CFA"/>
    <w:rsid w:val="00EF6D71"/>
    <w:rsid w:val="00EF6E45"/>
    <w:rsid w:val="00EF6E5B"/>
    <w:rsid w:val="00EF6EAC"/>
    <w:rsid w:val="00EF6ECB"/>
    <w:rsid w:val="00EF6FED"/>
    <w:rsid w:val="00EF703E"/>
    <w:rsid w:val="00EF7169"/>
    <w:rsid w:val="00EF7374"/>
    <w:rsid w:val="00EF7388"/>
    <w:rsid w:val="00EF73FA"/>
    <w:rsid w:val="00EF74B3"/>
    <w:rsid w:val="00EF7525"/>
    <w:rsid w:val="00EF75EF"/>
    <w:rsid w:val="00EF7663"/>
    <w:rsid w:val="00EF7736"/>
    <w:rsid w:val="00EF7750"/>
    <w:rsid w:val="00EF7794"/>
    <w:rsid w:val="00EF77FA"/>
    <w:rsid w:val="00EF7852"/>
    <w:rsid w:val="00EF79D6"/>
    <w:rsid w:val="00EF7A56"/>
    <w:rsid w:val="00EF7B04"/>
    <w:rsid w:val="00EF7B6C"/>
    <w:rsid w:val="00EF7C72"/>
    <w:rsid w:val="00EF7DB5"/>
    <w:rsid w:val="00EF7DE6"/>
    <w:rsid w:val="00EF7E12"/>
    <w:rsid w:val="00EF7EC6"/>
    <w:rsid w:val="00EF7F60"/>
    <w:rsid w:val="00F00026"/>
    <w:rsid w:val="00F00066"/>
    <w:rsid w:val="00F00094"/>
    <w:rsid w:val="00F001BF"/>
    <w:rsid w:val="00F00226"/>
    <w:rsid w:val="00F0024A"/>
    <w:rsid w:val="00F002DA"/>
    <w:rsid w:val="00F0030B"/>
    <w:rsid w:val="00F00318"/>
    <w:rsid w:val="00F00381"/>
    <w:rsid w:val="00F00441"/>
    <w:rsid w:val="00F0044F"/>
    <w:rsid w:val="00F00461"/>
    <w:rsid w:val="00F0048A"/>
    <w:rsid w:val="00F005B2"/>
    <w:rsid w:val="00F005BE"/>
    <w:rsid w:val="00F0060D"/>
    <w:rsid w:val="00F006A1"/>
    <w:rsid w:val="00F006AF"/>
    <w:rsid w:val="00F006F3"/>
    <w:rsid w:val="00F00841"/>
    <w:rsid w:val="00F00889"/>
    <w:rsid w:val="00F009D3"/>
    <w:rsid w:val="00F009EF"/>
    <w:rsid w:val="00F00A94"/>
    <w:rsid w:val="00F00B59"/>
    <w:rsid w:val="00F00C7E"/>
    <w:rsid w:val="00F00CA7"/>
    <w:rsid w:val="00F00D04"/>
    <w:rsid w:val="00F00D9E"/>
    <w:rsid w:val="00F010A8"/>
    <w:rsid w:val="00F010D0"/>
    <w:rsid w:val="00F01146"/>
    <w:rsid w:val="00F01190"/>
    <w:rsid w:val="00F0120E"/>
    <w:rsid w:val="00F0121F"/>
    <w:rsid w:val="00F0123E"/>
    <w:rsid w:val="00F0124E"/>
    <w:rsid w:val="00F012C7"/>
    <w:rsid w:val="00F013BF"/>
    <w:rsid w:val="00F01454"/>
    <w:rsid w:val="00F0150D"/>
    <w:rsid w:val="00F01529"/>
    <w:rsid w:val="00F015AC"/>
    <w:rsid w:val="00F01616"/>
    <w:rsid w:val="00F016EE"/>
    <w:rsid w:val="00F017EC"/>
    <w:rsid w:val="00F017F2"/>
    <w:rsid w:val="00F01A25"/>
    <w:rsid w:val="00F01A65"/>
    <w:rsid w:val="00F01AB3"/>
    <w:rsid w:val="00F01B28"/>
    <w:rsid w:val="00F01B3D"/>
    <w:rsid w:val="00F01B9A"/>
    <w:rsid w:val="00F01C98"/>
    <w:rsid w:val="00F01E31"/>
    <w:rsid w:val="00F01ED5"/>
    <w:rsid w:val="00F01F0C"/>
    <w:rsid w:val="00F01F7A"/>
    <w:rsid w:val="00F01F93"/>
    <w:rsid w:val="00F01FCB"/>
    <w:rsid w:val="00F01FDE"/>
    <w:rsid w:val="00F01FF8"/>
    <w:rsid w:val="00F020B0"/>
    <w:rsid w:val="00F0215F"/>
    <w:rsid w:val="00F02183"/>
    <w:rsid w:val="00F0219A"/>
    <w:rsid w:val="00F02240"/>
    <w:rsid w:val="00F02310"/>
    <w:rsid w:val="00F02368"/>
    <w:rsid w:val="00F023C6"/>
    <w:rsid w:val="00F023D3"/>
    <w:rsid w:val="00F02414"/>
    <w:rsid w:val="00F0246D"/>
    <w:rsid w:val="00F02647"/>
    <w:rsid w:val="00F026B8"/>
    <w:rsid w:val="00F026EA"/>
    <w:rsid w:val="00F0271F"/>
    <w:rsid w:val="00F0277E"/>
    <w:rsid w:val="00F027E9"/>
    <w:rsid w:val="00F02847"/>
    <w:rsid w:val="00F02886"/>
    <w:rsid w:val="00F028B8"/>
    <w:rsid w:val="00F02919"/>
    <w:rsid w:val="00F029A9"/>
    <w:rsid w:val="00F02A36"/>
    <w:rsid w:val="00F02CB3"/>
    <w:rsid w:val="00F02D15"/>
    <w:rsid w:val="00F02E74"/>
    <w:rsid w:val="00F02E8D"/>
    <w:rsid w:val="00F02E9F"/>
    <w:rsid w:val="00F02EB7"/>
    <w:rsid w:val="00F02EF0"/>
    <w:rsid w:val="00F02F08"/>
    <w:rsid w:val="00F02F68"/>
    <w:rsid w:val="00F02FC5"/>
    <w:rsid w:val="00F0301E"/>
    <w:rsid w:val="00F03028"/>
    <w:rsid w:val="00F03081"/>
    <w:rsid w:val="00F03118"/>
    <w:rsid w:val="00F03389"/>
    <w:rsid w:val="00F033C9"/>
    <w:rsid w:val="00F033F5"/>
    <w:rsid w:val="00F03507"/>
    <w:rsid w:val="00F03588"/>
    <w:rsid w:val="00F03735"/>
    <w:rsid w:val="00F0373A"/>
    <w:rsid w:val="00F03771"/>
    <w:rsid w:val="00F037A7"/>
    <w:rsid w:val="00F03864"/>
    <w:rsid w:val="00F03891"/>
    <w:rsid w:val="00F038AB"/>
    <w:rsid w:val="00F038AE"/>
    <w:rsid w:val="00F038F7"/>
    <w:rsid w:val="00F03929"/>
    <w:rsid w:val="00F03972"/>
    <w:rsid w:val="00F03AD1"/>
    <w:rsid w:val="00F03BDB"/>
    <w:rsid w:val="00F03CB3"/>
    <w:rsid w:val="00F03CE9"/>
    <w:rsid w:val="00F03D31"/>
    <w:rsid w:val="00F03DC8"/>
    <w:rsid w:val="00F03DE7"/>
    <w:rsid w:val="00F03DF7"/>
    <w:rsid w:val="00F03EED"/>
    <w:rsid w:val="00F03F20"/>
    <w:rsid w:val="00F0403C"/>
    <w:rsid w:val="00F040DD"/>
    <w:rsid w:val="00F04151"/>
    <w:rsid w:val="00F04242"/>
    <w:rsid w:val="00F042B7"/>
    <w:rsid w:val="00F0436E"/>
    <w:rsid w:val="00F04400"/>
    <w:rsid w:val="00F0461D"/>
    <w:rsid w:val="00F046F6"/>
    <w:rsid w:val="00F04757"/>
    <w:rsid w:val="00F04779"/>
    <w:rsid w:val="00F047C8"/>
    <w:rsid w:val="00F04916"/>
    <w:rsid w:val="00F0492F"/>
    <w:rsid w:val="00F0495B"/>
    <w:rsid w:val="00F04C1F"/>
    <w:rsid w:val="00F04CD7"/>
    <w:rsid w:val="00F04E66"/>
    <w:rsid w:val="00F04F70"/>
    <w:rsid w:val="00F050AA"/>
    <w:rsid w:val="00F0520A"/>
    <w:rsid w:val="00F05248"/>
    <w:rsid w:val="00F052EB"/>
    <w:rsid w:val="00F05311"/>
    <w:rsid w:val="00F053BE"/>
    <w:rsid w:val="00F053BF"/>
    <w:rsid w:val="00F05428"/>
    <w:rsid w:val="00F0552F"/>
    <w:rsid w:val="00F056A9"/>
    <w:rsid w:val="00F05711"/>
    <w:rsid w:val="00F057F8"/>
    <w:rsid w:val="00F0580B"/>
    <w:rsid w:val="00F05867"/>
    <w:rsid w:val="00F05928"/>
    <w:rsid w:val="00F05B1D"/>
    <w:rsid w:val="00F05B8D"/>
    <w:rsid w:val="00F05C70"/>
    <w:rsid w:val="00F05CE7"/>
    <w:rsid w:val="00F05D3F"/>
    <w:rsid w:val="00F05D40"/>
    <w:rsid w:val="00F05E29"/>
    <w:rsid w:val="00F05FC9"/>
    <w:rsid w:val="00F06091"/>
    <w:rsid w:val="00F06118"/>
    <w:rsid w:val="00F06189"/>
    <w:rsid w:val="00F062C4"/>
    <w:rsid w:val="00F063B0"/>
    <w:rsid w:val="00F0652E"/>
    <w:rsid w:val="00F06557"/>
    <w:rsid w:val="00F06575"/>
    <w:rsid w:val="00F0659F"/>
    <w:rsid w:val="00F0663F"/>
    <w:rsid w:val="00F06687"/>
    <w:rsid w:val="00F066A0"/>
    <w:rsid w:val="00F06749"/>
    <w:rsid w:val="00F0675E"/>
    <w:rsid w:val="00F067C9"/>
    <w:rsid w:val="00F06D36"/>
    <w:rsid w:val="00F06D7F"/>
    <w:rsid w:val="00F06DE7"/>
    <w:rsid w:val="00F06DF9"/>
    <w:rsid w:val="00F06E4E"/>
    <w:rsid w:val="00F06E52"/>
    <w:rsid w:val="00F06F5B"/>
    <w:rsid w:val="00F071C1"/>
    <w:rsid w:val="00F07575"/>
    <w:rsid w:val="00F0757E"/>
    <w:rsid w:val="00F07580"/>
    <w:rsid w:val="00F07583"/>
    <w:rsid w:val="00F07608"/>
    <w:rsid w:val="00F07633"/>
    <w:rsid w:val="00F076AA"/>
    <w:rsid w:val="00F076F6"/>
    <w:rsid w:val="00F077F5"/>
    <w:rsid w:val="00F07826"/>
    <w:rsid w:val="00F07874"/>
    <w:rsid w:val="00F078D6"/>
    <w:rsid w:val="00F079A9"/>
    <w:rsid w:val="00F07AD8"/>
    <w:rsid w:val="00F07B7B"/>
    <w:rsid w:val="00F07BFF"/>
    <w:rsid w:val="00F07C59"/>
    <w:rsid w:val="00F07CE0"/>
    <w:rsid w:val="00F07CEE"/>
    <w:rsid w:val="00F07D9F"/>
    <w:rsid w:val="00F07DB5"/>
    <w:rsid w:val="00F07E2D"/>
    <w:rsid w:val="00F07E63"/>
    <w:rsid w:val="00F07E73"/>
    <w:rsid w:val="00F07EB6"/>
    <w:rsid w:val="00F07F77"/>
    <w:rsid w:val="00F100D1"/>
    <w:rsid w:val="00F1012C"/>
    <w:rsid w:val="00F10148"/>
    <w:rsid w:val="00F10268"/>
    <w:rsid w:val="00F10339"/>
    <w:rsid w:val="00F103AE"/>
    <w:rsid w:val="00F103C2"/>
    <w:rsid w:val="00F10413"/>
    <w:rsid w:val="00F105FF"/>
    <w:rsid w:val="00F106E5"/>
    <w:rsid w:val="00F106F7"/>
    <w:rsid w:val="00F1093A"/>
    <w:rsid w:val="00F10948"/>
    <w:rsid w:val="00F10B87"/>
    <w:rsid w:val="00F10BB1"/>
    <w:rsid w:val="00F10BC3"/>
    <w:rsid w:val="00F10D1C"/>
    <w:rsid w:val="00F10DF9"/>
    <w:rsid w:val="00F10EBF"/>
    <w:rsid w:val="00F10EEF"/>
    <w:rsid w:val="00F10F10"/>
    <w:rsid w:val="00F10F27"/>
    <w:rsid w:val="00F11087"/>
    <w:rsid w:val="00F11117"/>
    <w:rsid w:val="00F1121E"/>
    <w:rsid w:val="00F112FD"/>
    <w:rsid w:val="00F1132C"/>
    <w:rsid w:val="00F11396"/>
    <w:rsid w:val="00F11660"/>
    <w:rsid w:val="00F116CA"/>
    <w:rsid w:val="00F11768"/>
    <w:rsid w:val="00F117A4"/>
    <w:rsid w:val="00F117C7"/>
    <w:rsid w:val="00F1188C"/>
    <w:rsid w:val="00F11894"/>
    <w:rsid w:val="00F1192B"/>
    <w:rsid w:val="00F1196E"/>
    <w:rsid w:val="00F119EF"/>
    <w:rsid w:val="00F11A7A"/>
    <w:rsid w:val="00F11BF4"/>
    <w:rsid w:val="00F11CAF"/>
    <w:rsid w:val="00F11CFE"/>
    <w:rsid w:val="00F12110"/>
    <w:rsid w:val="00F121A2"/>
    <w:rsid w:val="00F1235D"/>
    <w:rsid w:val="00F12390"/>
    <w:rsid w:val="00F12423"/>
    <w:rsid w:val="00F124D7"/>
    <w:rsid w:val="00F124FF"/>
    <w:rsid w:val="00F1268F"/>
    <w:rsid w:val="00F1270E"/>
    <w:rsid w:val="00F12777"/>
    <w:rsid w:val="00F12835"/>
    <w:rsid w:val="00F12839"/>
    <w:rsid w:val="00F128A3"/>
    <w:rsid w:val="00F12A1C"/>
    <w:rsid w:val="00F12A44"/>
    <w:rsid w:val="00F12A59"/>
    <w:rsid w:val="00F12D25"/>
    <w:rsid w:val="00F12DCA"/>
    <w:rsid w:val="00F12EA9"/>
    <w:rsid w:val="00F12F31"/>
    <w:rsid w:val="00F1306F"/>
    <w:rsid w:val="00F13234"/>
    <w:rsid w:val="00F1328F"/>
    <w:rsid w:val="00F1349D"/>
    <w:rsid w:val="00F134CE"/>
    <w:rsid w:val="00F1355F"/>
    <w:rsid w:val="00F13575"/>
    <w:rsid w:val="00F13617"/>
    <w:rsid w:val="00F13639"/>
    <w:rsid w:val="00F1364C"/>
    <w:rsid w:val="00F13742"/>
    <w:rsid w:val="00F137E4"/>
    <w:rsid w:val="00F137E5"/>
    <w:rsid w:val="00F13893"/>
    <w:rsid w:val="00F139A0"/>
    <w:rsid w:val="00F139AB"/>
    <w:rsid w:val="00F139F7"/>
    <w:rsid w:val="00F13A1E"/>
    <w:rsid w:val="00F13A50"/>
    <w:rsid w:val="00F13A90"/>
    <w:rsid w:val="00F13AC7"/>
    <w:rsid w:val="00F13ACF"/>
    <w:rsid w:val="00F13C01"/>
    <w:rsid w:val="00F13D47"/>
    <w:rsid w:val="00F13DE9"/>
    <w:rsid w:val="00F13E38"/>
    <w:rsid w:val="00F13E3C"/>
    <w:rsid w:val="00F13FFF"/>
    <w:rsid w:val="00F14000"/>
    <w:rsid w:val="00F14019"/>
    <w:rsid w:val="00F14068"/>
    <w:rsid w:val="00F14161"/>
    <w:rsid w:val="00F1417A"/>
    <w:rsid w:val="00F141A4"/>
    <w:rsid w:val="00F14205"/>
    <w:rsid w:val="00F1428B"/>
    <w:rsid w:val="00F142A5"/>
    <w:rsid w:val="00F142C5"/>
    <w:rsid w:val="00F142F6"/>
    <w:rsid w:val="00F1430C"/>
    <w:rsid w:val="00F14345"/>
    <w:rsid w:val="00F143A6"/>
    <w:rsid w:val="00F14454"/>
    <w:rsid w:val="00F145A8"/>
    <w:rsid w:val="00F14606"/>
    <w:rsid w:val="00F1463E"/>
    <w:rsid w:val="00F14671"/>
    <w:rsid w:val="00F146C0"/>
    <w:rsid w:val="00F147A0"/>
    <w:rsid w:val="00F14814"/>
    <w:rsid w:val="00F14827"/>
    <w:rsid w:val="00F14879"/>
    <w:rsid w:val="00F148DC"/>
    <w:rsid w:val="00F14974"/>
    <w:rsid w:val="00F14A06"/>
    <w:rsid w:val="00F14AB6"/>
    <w:rsid w:val="00F14D78"/>
    <w:rsid w:val="00F14DA7"/>
    <w:rsid w:val="00F14DD9"/>
    <w:rsid w:val="00F14E46"/>
    <w:rsid w:val="00F14E4A"/>
    <w:rsid w:val="00F15049"/>
    <w:rsid w:val="00F1509F"/>
    <w:rsid w:val="00F15115"/>
    <w:rsid w:val="00F15220"/>
    <w:rsid w:val="00F152BB"/>
    <w:rsid w:val="00F152F9"/>
    <w:rsid w:val="00F1538F"/>
    <w:rsid w:val="00F153AF"/>
    <w:rsid w:val="00F15418"/>
    <w:rsid w:val="00F15449"/>
    <w:rsid w:val="00F154B3"/>
    <w:rsid w:val="00F15565"/>
    <w:rsid w:val="00F155D0"/>
    <w:rsid w:val="00F15726"/>
    <w:rsid w:val="00F158A0"/>
    <w:rsid w:val="00F158EE"/>
    <w:rsid w:val="00F15911"/>
    <w:rsid w:val="00F159B6"/>
    <w:rsid w:val="00F15A0A"/>
    <w:rsid w:val="00F15C72"/>
    <w:rsid w:val="00F15D6E"/>
    <w:rsid w:val="00F15DDB"/>
    <w:rsid w:val="00F15DFB"/>
    <w:rsid w:val="00F15E64"/>
    <w:rsid w:val="00F15F14"/>
    <w:rsid w:val="00F15FB8"/>
    <w:rsid w:val="00F15FD4"/>
    <w:rsid w:val="00F16151"/>
    <w:rsid w:val="00F16178"/>
    <w:rsid w:val="00F161A2"/>
    <w:rsid w:val="00F1632C"/>
    <w:rsid w:val="00F165C7"/>
    <w:rsid w:val="00F165CC"/>
    <w:rsid w:val="00F165FB"/>
    <w:rsid w:val="00F1662B"/>
    <w:rsid w:val="00F1665C"/>
    <w:rsid w:val="00F166A7"/>
    <w:rsid w:val="00F166C5"/>
    <w:rsid w:val="00F1670C"/>
    <w:rsid w:val="00F1674C"/>
    <w:rsid w:val="00F167AB"/>
    <w:rsid w:val="00F168B8"/>
    <w:rsid w:val="00F168BD"/>
    <w:rsid w:val="00F16BC5"/>
    <w:rsid w:val="00F16C16"/>
    <w:rsid w:val="00F16C66"/>
    <w:rsid w:val="00F16D77"/>
    <w:rsid w:val="00F16DD6"/>
    <w:rsid w:val="00F16E77"/>
    <w:rsid w:val="00F16E7B"/>
    <w:rsid w:val="00F16F51"/>
    <w:rsid w:val="00F16F8A"/>
    <w:rsid w:val="00F17022"/>
    <w:rsid w:val="00F17095"/>
    <w:rsid w:val="00F170E0"/>
    <w:rsid w:val="00F17195"/>
    <w:rsid w:val="00F17213"/>
    <w:rsid w:val="00F172FE"/>
    <w:rsid w:val="00F1758E"/>
    <w:rsid w:val="00F175AA"/>
    <w:rsid w:val="00F175DB"/>
    <w:rsid w:val="00F1762F"/>
    <w:rsid w:val="00F1776E"/>
    <w:rsid w:val="00F17912"/>
    <w:rsid w:val="00F1798A"/>
    <w:rsid w:val="00F179B4"/>
    <w:rsid w:val="00F179E2"/>
    <w:rsid w:val="00F17A84"/>
    <w:rsid w:val="00F17AB1"/>
    <w:rsid w:val="00F17AE8"/>
    <w:rsid w:val="00F17B32"/>
    <w:rsid w:val="00F17C2D"/>
    <w:rsid w:val="00F17C70"/>
    <w:rsid w:val="00F17D30"/>
    <w:rsid w:val="00F17ED4"/>
    <w:rsid w:val="00F17EF4"/>
    <w:rsid w:val="00F17FBB"/>
    <w:rsid w:val="00F20185"/>
    <w:rsid w:val="00F201EB"/>
    <w:rsid w:val="00F2037F"/>
    <w:rsid w:val="00F20416"/>
    <w:rsid w:val="00F204D9"/>
    <w:rsid w:val="00F206FF"/>
    <w:rsid w:val="00F2074D"/>
    <w:rsid w:val="00F20754"/>
    <w:rsid w:val="00F207CB"/>
    <w:rsid w:val="00F20982"/>
    <w:rsid w:val="00F2098A"/>
    <w:rsid w:val="00F2098B"/>
    <w:rsid w:val="00F20A10"/>
    <w:rsid w:val="00F20A7D"/>
    <w:rsid w:val="00F20B25"/>
    <w:rsid w:val="00F20BDA"/>
    <w:rsid w:val="00F20C25"/>
    <w:rsid w:val="00F20C4A"/>
    <w:rsid w:val="00F20CE4"/>
    <w:rsid w:val="00F20CF6"/>
    <w:rsid w:val="00F20EDD"/>
    <w:rsid w:val="00F20F90"/>
    <w:rsid w:val="00F21028"/>
    <w:rsid w:val="00F21063"/>
    <w:rsid w:val="00F21106"/>
    <w:rsid w:val="00F2118A"/>
    <w:rsid w:val="00F211A5"/>
    <w:rsid w:val="00F211DC"/>
    <w:rsid w:val="00F212EC"/>
    <w:rsid w:val="00F21338"/>
    <w:rsid w:val="00F213EF"/>
    <w:rsid w:val="00F21474"/>
    <w:rsid w:val="00F21582"/>
    <w:rsid w:val="00F21596"/>
    <w:rsid w:val="00F21693"/>
    <w:rsid w:val="00F21728"/>
    <w:rsid w:val="00F2174A"/>
    <w:rsid w:val="00F21A68"/>
    <w:rsid w:val="00F21B1D"/>
    <w:rsid w:val="00F21B6D"/>
    <w:rsid w:val="00F21C0C"/>
    <w:rsid w:val="00F21C10"/>
    <w:rsid w:val="00F21C46"/>
    <w:rsid w:val="00F21C5F"/>
    <w:rsid w:val="00F21CC1"/>
    <w:rsid w:val="00F21CE4"/>
    <w:rsid w:val="00F21D15"/>
    <w:rsid w:val="00F21D54"/>
    <w:rsid w:val="00F21D6D"/>
    <w:rsid w:val="00F21DB0"/>
    <w:rsid w:val="00F21ED3"/>
    <w:rsid w:val="00F21FDE"/>
    <w:rsid w:val="00F22064"/>
    <w:rsid w:val="00F221A6"/>
    <w:rsid w:val="00F2224D"/>
    <w:rsid w:val="00F2232C"/>
    <w:rsid w:val="00F22408"/>
    <w:rsid w:val="00F224AF"/>
    <w:rsid w:val="00F224F9"/>
    <w:rsid w:val="00F22506"/>
    <w:rsid w:val="00F2259B"/>
    <w:rsid w:val="00F22811"/>
    <w:rsid w:val="00F22A0D"/>
    <w:rsid w:val="00F22A59"/>
    <w:rsid w:val="00F22B37"/>
    <w:rsid w:val="00F22B9A"/>
    <w:rsid w:val="00F22BE9"/>
    <w:rsid w:val="00F22C23"/>
    <w:rsid w:val="00F22D5A"/>
    <w:rsid w:val="00F22F02"/>
    <w:rsid w:val="00F22F63"/>
    <w:rsid w:val="00F22F67"/>
    <w:rsid w:val="00F22FCC"/>
    <w:rsid w:val="00F230E0"/>
    <w:rsid w:val="00F23154"/>
    <w:rsid w:val="00F232B2"/>
    <w:rsid w:val="00F232DC"/>
    <w:rsid w:val="00F23696"/>
    <w:rsid w:val="00F236D2"/>
    <w:rsid w:val="00F237D2"/>
    <w:rsid w:val="00F23C97"/>
    <w:rsid w:val="00F23CDA"/>
    <w:rsid w:val="00F23DCA"/>
    <w:rsid w:val="00F23DCD"/>
    <w:rsid w:val="00F23DD5"/>
    <w:rsid w:val="00F24017"/>
    <w:rsid w:val="00F2409E"/>
    <w:rsid w:val="00F241DA"/>
    <w:rsid w:val="00F24258"/>
    <w:rsid w:val="00F243C7"/>
    <w:rsid w:val="00F243FB"/>
    <w:rsid w:val="00F244F5"/>
    <w:rsid w:val="00F245B3"/>
    <w:rsid w:val="00F246A7"/>
    <w:rsid w:val="00F24738"/>
    <w:rsid w:val="00F24760"/>
    <w:rsid w:val="00F2477C"/>
    <w:rsid w:val="00F2478B"/>
    <w:rsid w:val="00F24799"/>
    <w:rsid w:val="00F24803"/>
    <w:rsid w:val="00F249D8"/>
    <w:rsid w:val="00F249E4"/>
    <w:rsid w:val="00F249F3"/>
    <w:rsid w:val="00F24A40"/>
    <w:rsid w:val="00F24AA6"/>
    <w:rsid w:val="00F24B23"/>
    <w:rsid w:val="00F24B36"/>
    <w:rsid w:val="00F24DE4"/>
    <w:rsid w:val="00F24E01"/>
    <w:rsid w:val="00F24E2B"/>
    <w:rsid w:val="00F24E94"/>
    <w:rsid w:val="00F24EC4"/>
    <w:rsid w:val="00F24ECB"/>
    <w:rsid w:val="00F24F90"/>
    <w:rsid w:val="00F250CE"/>
    <w:rsid w:val="00F25224"/>
    <w:rsid w:val="00F25298"/>
    <w:rsid w:val="00F252C3"/>
    <w:rsid w:val="00F25358"/>
    <w:rsid w:val="00F25451"/>
    <w:rsid w:val="00F254B6"/>
    <w:rsid w:val="00F254DB"/>
    <w:rsid w:val="00F2553F"/>
    <w:rsid w:val="00F255FD"/>
    <w:rsid w:val="00F2560F"/>
    <w:rsid w:val="00F25623"/>
    <w:rsid w:val="00F25698"/>
    <w:rsid w:val="00F256CD"/>
    <w:rsid w:val="00F25784"/>
    <w:rsid w:val="00F257F7"/>
    <w:rsid w:val="00F25AAF"/>
    <w:rsid w:val="00F25B02"/>
    <w:rsid w:val="00F25B54"/>
    <w:rsid w:val="00F25D10"/>
    <w:rsid w:val="00F25E0F"/>
    <w:rsid w:val="00F25E6D"/>
    <w:rsid w:val="00F25EC3"/>
    <w:rsid w:val="00F25F2B"/>
    <w:rsid w:val="00F26014"/>
    <w:rsid w:val="00F26060"/>
    <w:rsid w:val="00F26091"/>
    <w:rsid w:val="00F260B7"/>
    <w:rsid w:val="00F260E7"/>
    <w:rsid w:val="00F260F5"/>
    <w:rsid w:val="00F26177"/>
    <w:rsid w:val="00F262ED"/>
    <w:rsid w:val="00F2636C"/>
    <w:rsid w:val="00F26448"/>
    <w:rsid w:val="00F26459"/>
    <w:rsid w:val="00F2647E"/>
    <w:rsid w:val="00F26596"/>
    <w:rsid w:val="00F266FB"/>
    <w:rsid w:val="00F26708"/>
    <w:rsid w:val="00F26748"/>
    <w:rsid w:val="00F26799"/>
    <w:rsid w:val="00F267E6"/>
    <w:rsid w:val="00F26AE4"/>
    <w:rsid w:val="00F26B69"/>
    <w:rsid w:val="00F26BA5"/>
    <w:rsid w:val="00F26BF5"/>
    <w:rsid w:val="00F26C2C"/>
    <w:rsid w:val="00F26D7A"/>
    <w:rsid w:val="00F26DC0"/>
    <w:rsid w:val="00F26F4E"/>
    <w:rsid w:val="00F2710B"/>
    <w:rsid w:val="00F2716F"/>
    <w:rsid w:val="00F271C2"/>
    <w:rsid w:val="00F27291"/>
    <w:rsid w:val="00F27326"/>
    <w:rsid w:val="00F273C8"/>
    <w:rsid w:val="00F273F1"/>
    <w:rsid w:val="00F27432"/>
    <w:rsid w:val="00F27538"/>
    <w:rsid w:val="00F27571"/>
    <w:rsid w:val="00F2759A"/>
    <w:rsid w:val="00F275C2"/>
    <w:rsid w:val="00F27642"/>
    <w:rsid w:val="00F2777C"/>
    <w:rsid w:val="00F27794"/>
    <w:rsid w:val="00F277FA"/>
    <w:rsid w:val="00F27809"/>
    <w:rsid w:val="00F2781C"/>
    <w:rsid w:val="00F27845"/>
    <w:rsid w:val="00F27969"/>
    <w:rsid w:val="00F27985"/>
    <w:rsid w:val="00F27A73"/>
    <w:rsid w:val="00F27AF1"/>
    <w:rsid w:val="00F27AF6"/>
    <w:rsid w:val="00F27C3D"/>
    <w:rsid w:val="00F27C4F"/>
    <w:rsid w:val="00F27E8A"/>
    <w:rsid w:val="00F30139"/>
    <w:rsid w:val="00F30287"/>
    <w:rsid w:val="00F3029E"/>
    <w:rsid w:val="00F302A7"/>
    <w:rsid w:val="00F3036B"/>
    <w:rsid w:val="00F3038D"/>
    <w:rsid w:val="00F303E4"/>
    <w:rsid w:val="00F304A3"/>
    <w:rsid w:val="00F3051F"/>
    <w:rsid w:val="00F30554"/>
    <w:rsid w:val="00F30568"/>
    <w:rsid w:val="00F305B3"/>
    <w:rsid w:val="00F30635"/>
    <w:rsid w:val="00F3066E"/>
    <w:rsid w:val="00F30743"/>
    <w:rsid w:val="00F30AAD"/>
    <w:rsid w:val="00F30B38"/>
    <w:rsid w:val="00F30B47"/>
    <w:rsid w:val="00F30BD0"/>
    <w:rsid w:val="00F30C5C"/>
    <w:rsid w:val="00F30CB4"/>
    <w:rsid w:val="00F30F12"/>
    <w:rsid w:val="00F30F16"/>
    <w:rsid w:val="00F3113C"/>
    <w:rsid w:val="00F3117C"/>
    <w:rsid w:val="00F31259"/>
    <w:rsid w:val="00F31345"/>
    <w:rsid w:val="00F314B4"/>
    <w:rsid w:val="00F31519"/>
    <w:rsid w:val="00F3153B"/>
    <w:rsid w:val="00F31611"/>
    <w:rsid w:val="00F31629"/>
    <w:rsid w:val="00F3173F"/>
    <w:rsid w:val="00F31765"/>
    <w:rsid w:val="00F317CB"/>
    <w:rsid w:val="00F317E4"/>
    <w:rsid w:val="00F31862"/>
    <w:rsid w:val="00F3193B"/>
    <w:rsid w:val="00F319A5"/>
    <w:rsid w:val="00F319D7"/>
    <w:rsid w:val="00F319F2"/>
    <w:rsid w:val="00F31B2D"/>
    <w:rsid w:val="00F31D3C"/>
    <w:rsid w:val="00F31D4F"/>
    <w:rsid w:val="00F31D6C"/>
    <w:rsid w:val="00F31D8D"/>
    <w:rsid w:val="00F31E6C"/>
    <w:rsid w:val="00F31FC2"/>
    <w:rsid w:val="00F320BF"/>
    <w:rsid w:val="00F321A1"/>
    <w:rsid w:val="00F32283"/>
    <w:rsid w:val="00F32296"/>
    <w:rsid w:val="00F3231C"/>
    <w:rsid w:val="00F32323"/>
    <w:rsid w:val="00F32347"/>
    <w:rsid w:val="00F323B8"/>
    <w:rsid w:val="00F32435"/>
    <w:rsid w:val="00F3245D"/>
    <w:rsid w:val="00F3251D"/>
    <w:rsid w:val="00F325D4"/>
    <w:rsid w:val="00F326B4"/>
    <w:rsid w:val="00F326FA"/>
    <w:rsid w:val="00F3279F"/>
    <w:rsid w:val="00F327A4"/>
    <w:rsid w:val="00F32808"/>
    <w:rsid w:val="00F32989"/>
    <w:rsid w:val="00F329DE"/>
    <w:rsid w:val="00F32A2D"/>
    <w:rsid w:val="00F32A84"/>
    <w:rsid w:val="00F32B4A"/>
    <w:rsid w:val="00F32B5B"/>
    <w:rsid w:val="00F32B61"/>
    <w:rsid w:val="00F32B90"/>
    <w:rsid w:val="00F32BCE"/>
    <w:rsid w:val="00F32D08"/>
    <w:rsid w:val="00F32D34"/>
    <w:rsid w:val="00F32D60"/>
    <w:rsid w:val="00F32DFA"/>
    <w:rsid w:val="00F32F24"/>
    <w:rsid w:val="00F32F29"/>
    <w:rsid w:val="00F32F89"/>
    <w:rsid w:val="00F33014"/>
    <w:rsid w:val="00F3308F"/>
    <w:rsid w:val="00F331EB"/>
    <w:rsid w:val="00F332BA"/>
    <w:rsid w:val="00F332C8"/>
    <w:rsid w:val="00F3335B"/>
    <w:rsid w:val="00F3337E"/>
    <w:rsid w:val="00F334A5"/>
    <w:rsid w:val="00F334BD"/>
    <w:rsid w:val="00F33553"/>
    <w:rsid w:val="00F33587"/>
    <w:rsid w:val="00F33633"/>
    <w:rsid w:val="00F336F1"/>
    <w:rsid w:val="00F33745"/>
    <w:rsid w:val="00F337E3"/>
    <w:rsid w:val="00F337FC"/>
    <w:rsid w:val="00F33842"/>
    <w:rsid w:val="00F3384D"/>
    <w:rsid w:val="00F33C78"/>
    <w:rsid w:val="00F33C7E"/>
    <w:rsid w:val="00F33C93"/>
    <w:rsid w:val="00F33CCB"/>
    <w:rsid w:val="00F33D36"/>
    <w:rsid w:val="00F33DEE"/>
    <w:rsid w:val="00F33F70"/>
    <w:rsid w:val="00F3404C"/>
    <w:rsid w:val="00F340D1"/>
    <w:rsid w:val="00F340D9"/>
    <w:rsid w:val="00F341AE"/>
    <w:rsid w:val="00F343AF"/>
    <w:rsid w:val="00F343CE"/>
    <w:rsid w:val="00F34458"/>
    <w:rsid w:val="00F3445F"/>
    <w:rsid w:val="00F3452D"/>
    <w:rsid w:val="00F3462A"/>
    <w:rsid w:val="00F34790"/>
    <w:rsid w:val="00F348A9"/>
    <w:rsid w:val="00F348B3"/>
    <w:rsid w:val="00F349BD"/>
    <w:rsid w:val="00F34A6E"/>
    <w:rsid w:val="00F34A73"/>
    <w:rsid w:val="00F34ABF"/>
    <w:rsid w:val="00F34B10"/>
    <w:rsid w:val="00F34B2F"/>
    <w:rsid w:val="00F34CEA"/>
    <w:rsid w:val="00F34CF9"/>
    <w:rsid w:val="00F34CFC"/>
    <w:rsid w:val="00F34D2D"/>
    <w:rsid w:val="00F34E27"/>
    <w:rsid w:val="00F34FA8"/>
    <w:rsid w:val="00F35022"/>
    <w:rsid w:val="00F352AB"/>
    <w:rsid w:val="00F35362"/>
    <w:rsid w:val="00F3536A"/>
    <w:rsid w:val="00F353DA"/>
    <w:rsid w:val="00F35529"/>
    <w:rsid w:val="00F3558C"/>
    <w:rsid w:val="00F35738"/>
    <w:rsid w:val="00F35856"/>
    <w:rsid w:val="00F359FC"/>
    <w:rsid w:val="00F35A3A"/>
    <w:rsid w:val="00F35A4A"/>
    <w:rsid w:val="00F35A6F"/>
    <w:rsid w:val="00F35AA9"/>
    <w:rsid w:val="00F35AC2"/>
    <w:rsid w:val="00F35BE3"/>
    <w:rsid w:val="00F35C9A"/>
    <w:rsid w:val="00F35CB3"/>
    <w:rsid w:val="00F35D5A"/>
    <w:rsid w:val="00F35E97"/>
    <w:rsid w:val="00F35FD3"/>
    <w:rsid w:val="00F35FDE"/>
    <w:rsid w:val="00F35FE6"/>
    <w:rsid w:val="00F36213"/>
    <w:rsid w:val="00F36242"/>
    <w:rsid w:val="00F36322"/>
    <w:rsid w:val="00F3633F"/>
    <w:rsid w:val="00F36356"/>
    <w:rsid w:val="00F36369"/>
    <w:rsid w:val="00F363CB"/>
    <w:rsid w:val="00F363EA"/>
    <w:rsid w:val="00F36412"/>
    <w:rsid w:val="00F36421"/>
    <w:rsid w:val="00F36447"/>
    <w:rsid w:val="00F364CB"/>
    <w:rsid w:val="00F364D3"/>
    <w:rsid w:val="00F36520"/>
    <w:rsid w:val="00F36521"/>
    <w:rsid w:val="00F365EC"/>
    <w:rsid w:val="00F36604"/>
    <w:rsid w:val="00F36782"/>
    <w:rsid w:val="00F367ED"/>
    <w:rsid w:val="00F3681A"/>
    <w:rsid w:val="00F36825"/>
    <w:rsid w:val="00F3682D"/>
    <w:rsid w:val="00F369D0"/>
    <w:rsid w:val="00F36A1D"/>
    <w:rsid w:val="00F36A2B"/>
    <w:rsid w:val="00F36B2C"/>
    <w:rsid w:val="00F36B7B"/>
    <w:rsid w:val="00F36B9F"/>
    <w:rsid w:val="00F36C79"/>
    <w:rsid w:val="00F36CF8"/>
    <w:rsid w:val="00F36D64"/>
    <w:rsid w:val="00F36DE1"/>
    <w:rsid w:val="00F37022"/>
    <w:rsid w:val="00F3704C"/>
    <w:rsid w:val="00F3705B"/>
    <w:rsid w:val="00F370EB"/>
    <w:rsid w:val="00F370F7"/>
    <w:rsid w:val="00F3711D"/>
    <w:rsid w:val="00F3711E"/>
    <w:rsid w:val="00F37156"/>
    <w:rsid w:val="00F37245"/>
    <w:rsid w:val="00F372A0"/>
    <w:rsid w:val="00F37326"/>
    <w:rsid w:val="00F373B9"/>
    <w:rsid w:val="00F37563"/>
    <w:rsid w:val="00F3760C"/>
    <w:rsid w:val="00F37669"/>
    <w:rsid w:val="00F37685"/>
    <w:rsid w:val="00F376AB"/>
    <w:rsid w:val="00F37715"/>
    <w:rsid w:val="00F37796"/>
    <w:rsid w:val="00F37876"/>
    <w:rsid w:val="00F3787B"/>
    <w:rsid w:val="00F378BB"/>
    <w:rsid w:val="00F378EF"/>
    <w:rsid w:val="00F3792E"/>
    <w:rsid w:val="00F379AE"/>
    <w:rsid w:val="00F37ADF"/>
    <w:rsid w:val="00F37BCE"/>
    <w:rsid w:val="00F37C33"/>
    <w:rsid w:val="00F37C4B"/>
    <w:rsid w:val="00F37C50"/>
    <w:rsid w:val="00F37C6A"/>
    <w:rsid w:val="00F37D6A"/>
    <w:rsid w:val="00F37D98"/>
    <w:rsid w:val="00F37DD4"/>
    <w:rsid w:val="00F40078"/>
    <w:rsid w:val="00F400E7"/>
    <w:rsid w:val="00F4015D"/>
    <w:rsid w:val="00F401D9"/>
    <w:rsid w:val="00F401E8"/>
    <w:rsid w:val="00F402AD"/>
    <w:rsid w:val="00F403FE"/>
    <w:rsid w:val="00F404EF"/>
    <w:rsid w:val="00F40718"/>
    <w:rsid w:val="00F4074B"/>
    <w:rsid w:val="00F40835"/>
    <w:rsid w:val="00F4092D"/>
    <w:rsid w:val="00F409DB"/>
    <w:rsid w:val="00F40AFD"/>
    <w:rsid w:val="00F40B3D"/>
    <w:rsid w:val="00F40B41"/>
    <w:rsid w:val="00F40B63"/>
    <w:rsid w:val="00F40BF3"/>
    <w:rsid w:val="00F40C57"/>
    <w:rsid w:val="00F40CA8"/>
    <w:rsid w:val="00F40CC0"/>
    <w:rsid w:val="00F40CE5"/>
    <w:rsid w:val="00F40D36"/>
    <w:rsid w:val="00F40E5F"/>
    <w:rsid w:val="00F40E7A"/>
    <w:rsid w:val="00F410D2"/>
    <w:rsid w:val="00F4112C"/>
    <w:rsid w:val="00F41153"/>
    <w:rsid w:val="00F411D0"/>
    <w:rsid w:val="00F41215"/>
    <w:rsid w:val="00F41271"/>
    <w:rsid w:val="00F412A8"/>
    <w:rsid w:val="00F412B1"/>
    <w:rsid w:val="00F41389"/>
    <w:rsid w:val="00F4142E"/>
    <w:rsid w:val="00F414EA"/>
    <w:rsid w:val="00F41541"/>
    <w:rsid w:val="00F415A4"/>
    <w:rsid w:val="00F415D0"/>
    <w:rsid w:val="00F416C2"/>
    <w:rsid w:val="00F417FD"/>
    <w:rsid w:val="00F41977"/>
    <w:rsid w:val="00F4198D"/>
    <w:rsid w:val="00F41A91"/>
    <w:rsid w:val="00F41AB5"/>
    <w:rsid w:val="00F41ACA"/>
    <w:rsid w:val="00F41B0E"/>
    <w:rsid w:val="00F41C3E"/>
    <w:rsid w:val="00F41D1E"/>
    <w:rsid w:val="00F41EFC"/>
    <w:rsid w:val="00F41FD5"/>
    <w:rsid w:val="00F42011"/>
    <w:rsid w:val="00F42048"/>
    <w:rsid w:val="00F420D3"/>
    <w:rsid w:val="00F42180"/>
    <w:rsid w:val="00F4235F"/>
    <w:rsid w:val="00F4237C"/>
    <w:rsid w:val="00F4239D"/>
    <w:rsid w:val="00F42483"/>
    <w:rsid w:val="00F424DC"/>
    <w:rsid w:val="00F42581"/>
    <w:rsid w:val="00F42620"/>
    <w:rsid w:val="00F42625"/>
    <w:rsid w:val="00F426A0"/>
    <w:rsid w:val="00F426D4"/>
    <w:rsid w:val="00F42718"/>
    <w:rsid w:val="00F42832"/>
    <w:rsid w:val="00F42868"/>
    <w:rsid w:val="00F4289D"/>
    <w:rsid w:val="00F4298B"/>
    <w:rsid w:val="00F429AB"/>
    <w:rsid w:val="00F42BCD"/>
    <w:rsid w:val="00F42BE0"/>
    <w:rsid w:val="00F42C9C"/>
    <w:rsid w:val="00F42CBA"/>
    <w:rsid w:val="00F42E97"/>
    <w:rsid w:val="00F42F98"/>
    <w:rsid w:val="00F42FBD"/>
    <w:rsid w:val="00F43022"/>
    <w:rsid w:val="00F4304E"/>
    <w:rsid w:val="00F430BA"/>
    <w:rsid w:val="00F4310C"/>
    <w:rsid w:val="00F43248"/>
    <w:rsid w:val="00F432ED"/>
    <w:rsid w:val="00F43339"/>
    <w:rsid w:val="00F4345C"/>
    <w:rsid w:val="00F4348D"/>
    <w:rsid w:val="00F43702"/>
    <w:rsid w:val="00F43736"/>
    <w:rsid w:val="00F43981"/>
    <w:rsid w:val="00F439D7"/>
    <w:rsid w:val="00F43A8A"/>
    <w:rsid w:val="00F43B0C"/>
    <w:rsid w:val="00F43B38"/>
    <w:rsid w:val="00F43B44"/>
    <w:rsid w:val="00F43B69"/>
    <w:rsid w:val="00F43BA8"/>
    <w:rsid w:val="00F43C76"/>
    <w:rsid w:val="00F43C8E"/>
    <w:rsid w:val="00F43D77"/>
    <w:rsid w:val="00F43DD7"/>
    <w:rsid w:val="00F43E64"/>
    <w:rsid w:val="00F43EE3"/>
    <w:rsid w:val="00F44059"/>
    <w:rsid w:val="00F44113"/>
    <w:rsid w:val="00F4415C"/>
    <w:rsid w:val="00F4423B"/>
    <w:rsid w:val="00F44347"/>
    <w:rsid w:val="00F443E2"/>
    <w:rsid w:val="00F44448"/>
    <w:rsid w:val="00F44640"/>
    <w:rsid w:val="00F448A3"/>
    <w:rsid w:val="00F449F2"/>
    <w:rsid w:val="00F44AAD"/>
    <w:rsid w:val="00F44BA6"/>
    <w:rsid w:val="00F44BC0"/>
    <w:rsid w:val="00F44BE9"/>
    <w:rsid w:val="00F44D78"/>
    <w:rsid w:val="00F44E0D"/>
    <w:rsid w:val="00F45132"/>
    <w:rsid w:val="00F45191"/>
    <w:rsid w:val="00F45219"/>
    <w:rsid w:val="00F4528F"/>
    <w:rsid w:val="00F4532D"/>
    <w:rsid w:val="00F453A1"/>
    <w:rsid w:val="00F4540A"/>
    <w:rsid w:val="00F455D6"/>
    <w:rsid w:val="00F4567D"/>
    <w:rsid w:val="00F456A8"/>
    <w:rsid w:val="00F45952"/>
    <w:rsid w:val="00F4597B"/>
    <w:rsid w:val="00F45A72"/>
    <w:rsid w:val="00F45B34"/>
    <w:rsid w:val="00F45B55"/>
    <w:rsid w:val="00F45B64"/>
    <w:rsid w:val="00F45B75"/>
    <w:rsid w:val="00F45B91"/>
    <w:rsid w:val="00F45BB0"/>
    <w:rsid w:val="00F45BE5"/>
    <w:rsid w:val="00F45CD4"/>
    <w:rsid w:val="00F45D34"/>
    <w:rsid w:val="00F45D69"/>
    <w:rsid w:val="00F45D9B"/>
    <w:rsid w:val="00F45E2B"/>
    <w:rsid w:val="00F45EA8"/>
    <w:rsid w:val="00F45EAE"/>
    <w:rsid w:val="00F45EBA"/>
    <w:rsid w:val="00F45EED"/>
    <w:rsid w:val="00F45F25"/>
    <w:rsid w:val="00F460C6"/>
    <w:rsid w:val="00F46179"/>
    <w:rsid w:val="00F4633F"/>
    <w:rsid w:val="00F463CF"/>
    <w:rsid w:val="00F463FB"/>
    <w:rsid w:val="00F46499"/>
    <w:rsid w:val="00F46510"/>
    <w:rsid w:val="00F46545"/>
    <w:rsid w:val="00F46557"/>
    <w:rsid w:val="00F46562"/>
    <w:rsid w:val="00F4662C"/>
    <w:rsid w:val="00F46640"/>
    <w:rsid w:val="00F4668A"/>
    <w:rsid w:val="00F466E0"/>
    <w:rsid w:val="00F467C3"/>
    <w:rsid w:val="00F4692B"/>
    <w:rsid w:val="00F469BF"/>
    <w:rsid w:val="00F469E5"/>
    <w:rsid w:val="00F46ABE"/>
    <w:rsid w:val="00F46B15"/>
    <w:rsid w:val="00F46D71"/>
    <w:rsid w:val="00F46DD2"/>
    <w:rsid w:val="00F46E03"/>
    <w:rsid w:val="00F46E0F"/>
    <w:rsid w:val="00F46E7E"/>
    <w:rsid w:val="00F46EED"/>
    <w:rsid w:val="00F46EEF"/>
    <w:rsid w:val="00F46F38"/>
    <w:rsid w:val="00F46FD1"/>
    <w:rsid w:val="00F46FE7"/>
    <w:rsid w:val="00F46FF1"/>
    <w:rsid w:val="00F47000"/>
    <w:rsid w:val="00F4701B"/>
    <w:rsid w:val="00F4703A"/>
    <w:rsid w:val="00F47144"/>
    <w:rsid w:val="00F47223"/>
    <w:rsid w:val="00F4725E"/>
    <w:rsid w:val="00F47291"/>
    <w:rsid w:val="00F472B4"/>
    <w:rsid w:val="00F4732B"/>
    <w:rsid w:val="00F473BB"/>
    <w:rsid w:val="00F47435"/>
    <w:rsid w:val="00F4764D"/>
    <w:rsid w:val="00F4775C"/>
    <w:rsid w:val="00F47892"/>
    <w:rsid w:val="00F4789A"/>
    <w:rsid w:val="00F4799D"/>
    <w:rsid w:val="00F479A6"/>
    <w:rsid w:val="00F47A5D"/>
    <w:rsid w:val="00F47AB4"/>
    <w:rsid w:val="00F47AD5"/>
    <w:rsid w:val="00F47AE1"/>
    <w:rsid w:val="00F47C21"/>
    <w:rsid w:val="00F47C40"/>
    <w:rsid w:val="00F47C88"/>
    <w:rsid w:val="00F47D0E"/>
    <w:rsid w:val="00F47D5C"/>
    <w:rsid w:val="00F47FFD"/>
    <w:rsid w:val="00F5004D"/>
    <w:rsid w:val="00F50075"/>
    <w:rsid w:val="00F50115"/>
    <w:rsid w:val="00F50141"/>
    <w:rsid w:val="00F5024F"/>
    <w:rsid w:val="00F50265"/>
    <w:rsid w:val="00F502B9"/>
    <w:rsid w:val="00F50511"/>
    <w:rsid w:val="00F50526"/>
    <w:rsid w:val="00F5089D"/>
    <w:rsid w:val="00F50922"/>
    <w:rsid w:val="00F50980"/>
    <w:rsid w:val="00F50A14"/>
    <w:rsid w:val="00F50A34"/>
    <w:rsid w:val="00F50B28"/>
    <w:rsid w:val="00F50BCE"/>
    <w:rsid w:val="00F50BD1"/>
    <w:rsid w:val="00F50C1D"/>
    <w:rsid w:val="00F50C77"/>
    <w:rsid w:val="00F50C7D"/>
    <w:rsid w:val="00F50D38"/>
    <w:rsid w:val="00F50D9E"/>
    <w:rsid w:val="00F51338"/>
    <w:rsid w:val="00F514B5"/>
    <w:rsid w:val="00F515A9"/>
    <w:rsid w:val="00F51632"/>
    <w:rsid w:val="00F516DD"/>
    <w:rsid w:val="00F51821"/>
    <w:rsid w:val="00F51950"/>
    <w:rsid w:val="00F51AD9"/>
    <w:rsid w:val="00F51AEA"/>
    <w:rsid w:val="00F51B1A"/>
    <w:rsid w:val="00F51CDF"/>
    <w:rsid w:val="00F51CFE"/>
    <w:rsid w:val="00F51D22"/>
    <w:rsid w:val="00F51D33"/>
    <w:rsid w:val="00F51DE1"/>
    <w:rsid w:val="00F51E17"/>
    <w:rsid w:val="00F51E9B"/>
    <w:rsid w:val="00F52018"/>
    <w:rsid w:val="00F52115"/>
    <w:rsid w:val="00F52215"/>
    <w:rsid w:val="00F5223C"/>
    <w:rsid w:val="00F522EE"/>
    <w:rsid w:val="00F523B7"/>
    <w:rsid w:val="00F52453"/>
    <w:rsid w:val="00F52460"/>
    <w:rsid w:val="00F526E4"/>
    <w:rsid w:val="00F52718"/>
    <w:rsid w:val="00F5273A"/>
    <w:rsid w:val="00F5287F"/>
    <w:rsid w:val="00F52926"/>
    <w:rsid w:val="00F52961"/>
    <w:rsid w:val="00F529B9"/>
    <w:rsid w:val="00F52ADF"/>
    <w:rsid w:val="00F52B6C"/>
    <w:rsid w:val="00F52CEC"/>
    <w:rsid w:val="00F52D86"/>
    <w:rsid w:val="00F52DA1"/>
    <w:rsid w:val="00F52DE2"/>
    <w:rsid w:val="00F52E13"/>
    <w:rsid w:val="00F52E5D"/>
    <w:rsid w:val="00F52F56"/>
    <w:rsid w:val="00F52FE7"/>
    <w:rsid w:val="00F53074"/>
    <w:rsid w:val="00F5316A"/>
    <w:rsid w:val="00F53190"/>
    <w:rsid w:val="00F531B9"/>
    <w:rsid w:val="00F531EA"/>
    <w:rsid w:val="00F532BD"/>
    <w:rsid w:val="00F53376"/>
    <w:rsid w:val="00F53538"/>
    <w:rsid w:val="00F53555"/>
    <w:rsid w:val="00F535B4"/>
    <w:rsid w:val="00F53639"/>
    <w:rsid w:val="00F5367D"/>
    <w:rsid w:val="00F536D8"/>
    <w:rsid w:val="00F53778"/>
    <w:rsid w:val="00F538EC"/>
    <w:rsid w:val="00F539F1"/>
    <w:rsid w:val="00F53A11"/>
    <w:rsid w:val="00F53C14"/>
    <w:rsid w:val="00F53D9D"/>
    <w:rsid w:val="00F53DFB"/>
    <w:rsid w:val="00F53EBC"/>
    <w:rsid w:val="00F53F36"/>
    <w:rsid w:val="00F54088"/>
    <w:rsid w:val="00F540A5"/>
    <w:rsid w:val="00F54142"/>
    <w:rsid w:val="00F54247"/>
    <w:rsid w:val="00F54360"/>
    <w:rsid w:val="00F544F0"/>
    <w:rsid w:val="00F54507"/>
    <w:rsid w:val="00F54582"/>
    <w:rsid w:val="00F545B7"/>
    <w:rsid w:val="00F545F2"/>
    <w:rsid w:val="00F545FB"/>
    <w:rsid w:val="00F546AD"/>
    <w:rsid w:val="00F546CB"/>
    <w:rsid w:val="00F546D6"/>
    <w:rsid w:val="00F546E5"/>
    <w:rsid w:val="00F54716"/>
    <w:rsid w:val="00F547B9"/>
    <w:rsid w:val="00F54948"/>
    <w:rsid w:val="00F54951"/>
    <w:rsid w:val="00F54A4E"/>
    <w:rsid w:val="00F54B81"/>
    <w:rsid w:val="00F54C74"/>
    <w:rsid w:val="00F54D71"/>
    <w:rsid w:val="00F54F8A"/>
    <w:rsid w:val="00F55195"/>
    <w:rsid w:val="00F551CB"/>
    <w:rsid w:val="00F553EF"/>
    <w:rsid w:val="00F55413"/>
    <w:rsid w:val="00F55421"/>
    <w:rsid w:val="00F55465"/>
    <w:rsid w:val="00F5549C"/>
    <w:rsid w:val="00F5555B"/>
    <w:rsid w:val="00F55570"/>
    <w:rsid w:val="00F555B1"/>
    <w:rsid w:val="00F555E4"/>
    <w:rsid w:val="00F55695"/>
    <w:rsid w:val="00F55858"/>
    <w:rsid w:val="00F55870"/>
    <w:rsid w:val="00F55875"/>
    <w:rsid w:val="00F559AA"/>
    <w:rsid w:val="00F559DF"/>
    <w:rsid w:val="00F55B1F"/>
    <w:rsid w:val="00F55D08"/>
    <w:rsid w:val="00F55D80"/>
    <w:rsid w:val="00F55E46"/>
    <w:rsid w:val="00F55E47"/>
    <w:rsid w:val="00F55E7A"/>
    <w:rsid w:val="00F55F60"/>
    <w:rsid w:val="00F55FFB"/>
    <w:rsid w:val="00F56007"/>
    <w:rsid w:val="00F5613B"/>
    <w:rsid w:val="00F5623C"/>
    <w:rsid w:val="00F56299"/>
    <w:rsid w:val="00F56320"/>
    <w:rsid w:val="00F563FC"/>
    <w:rsid w:val="00F56454"/>
    <w:rsid w:val="00F56470"/>
    <w:rsid w:val="00F564EF"/>
    <w:rsid w:val="00F56575"/>
    <w:rsid w:val="00F565F9"/>
    <w:rsid w:val="00F56669"/>
    <w:rsid w:val="00F567B6"/>
    <w:rsid w:val="00F5692A"/>
    <w:rsid w:val="00F56956"/>
    <w:rsid w:val="00F56A74"/>
    <w:rsid w:val="00F56AF4"/>
    <w:rsid w:val="00F56B7C"/>
    <w:rsid w:val="00F56C8B"/>
    <w:rsid w:val="00F56DD4"/>
    <w:rsid w:val="00F56E09"/>
    <w:rsid w:val="00F56E8E"/>
    <w:rsid w:val="00F56EC5"/>
    <w:rsid w:val="00F56F70"/>
    <w:rsid w:val="00F56FD7"/>
    <w:rsid w:val="00F5700C"/>
    <w:rsid w:val="00F5701E"/>
    <w:rsid w:val="00F570D5"/>
    <w:rsid w:val="00F57169"/>
    <w:rsid w:val="00F5721C"/>
    <w:rsid w:val="00F57284"/>
    <w:rsid w:val="00F57301"/>
    <w:rsid w:val="00F5732E"/>
    <w:rsid w:val="00F5736C"/>
    <w:rsid w:val="00F573C1"/>
    <w:rsid w:val="00F57496"/>
    <w:rsid w:val="00F574CF"/>
    <w:rsid w:val="00F575FE"/>
    <w:rsid w:val="00F57616"/>
    <w:rsid w:val="00F577BD"/>
    <w:rsid w:val="00F579E2"/>
    <w:rsid w:val="00F57C7B"/>
    <w:rsid w:val="00F57CA3"/>
    <w:rsid w:val="00F57D29"/>
    <w:rsid w:val="00F57E16"/>
    <w:rsid w:val="00F57F7E"/>
    <w:rsid w:val="00F6012E"/>
    <w:rsid w:val="00F60139"/>
    <w:rsid w:val="00F60141"/>
    <w:rsid w:val="00F601AD"/>
    <w:rsid w:val="00F60253"/>
    <w:rsid w:val="00F6027B"/>
    <w:rsid w:val="00F60367"/>
    <w:rsid w:val="00F6047A"/>
    <w:rsid w:val="00F604CC"/>
    <w:rsid w:val="00F60582"/>
    <w:rsid w:val="00F606A0"/>
    <w:rsid w:val="00F6081F"/>
    <w:rsid w:val="00F60891"/>
    <w:rsid w:val="00F608FC"/>
    <w:rsid w:val="00F60910"/>
    <w:rsid w:val="00F6092F"/>
    <w:rsid w:val="00F6093C"/>
    <w:rsid w:val="00F60A54"/>
    <w:rsid w:val="00F60A82"/>
    <w:rsid w:val="00F60AA7"/>
    <w:rsid w:val="00F60ACB"/>
    <w:rsid w:val="00F60B12"/>
    <w:rsid w:val="00F60B31"/>
    <w:rsid w:val="00F60DDB"/>
    <w:rsid w:val="00F60EA1"/>
    <w:rsid w:val="00F60FD6"/>
    <w:rsid w:val="00F61021"/>
    <w:rsid w:val="00F61094"/>
    <w:rsid w:val="00F610DD"/>
    <w:rsid w:val="00F61174"/>
    <w:rsid w:val="00F61190"/>
    <w:rsid w:val="00F6123D"/>
    <w:rsid w:val="00F6126F"/>
    <w:rsid w:val="00F6131A"/>
    <w:rsid w:val="00F6138A"/>
    <w:rsid w:val="00F61419"/>
    <w:rsid w:val="00F6147C"/>
    <w:rsid w:val="00F6148F"/>
    <w:rsid w:val="00F6149C"/>
    <w:rsid w:val="00F614E6"/>
    <w:rsid w:val="00F6152C"/>
    <w:rsid w:val="00F6159F"/>
    <w:rsid w:val="00F61667"/>
    <w:rsid w:val="00F616EA"/>
    <w:rsid w:val="00F61754"/>
    <w:rsid w:val="00F61794"/>
    <w:rsid w:val="00F619A3"/>
    <w:rsid w:val="00F619F2"/>
    <w:rsid w:val="00F61A57"/>
    <w:rsid w:val="00F61AD1"/>
    <w:rsid w:val="00F61B37"/>
    <w:rsid w:val="00F61D2F"/>
    <w:rsid w:val="00F61D65"/>
    <w:rsid w:val="00F61ED3"/>
    <w:rsid w:val="00F61F27"/>
    <w:rsid w:val="00F61F36"/>
    <w:rsid w:val="00F62012"/>
    <w:rsid w:val="00F6202C"/>
    <w:rsid w:val="00F620B9"/>
    <w:rsid w:val="00F620FC"/>
    <w:rsid w:val="00F6214E"/>
    <w:rsid w:val="00F6235E"/>
    <w:rsid w:val="00F62363"/>
    <w:rsid w:val="00F6244F"/>
    <w:rsid w:val="00F62479"/>
    <w:rsid w:val="00F62557"/>
    <w:rsid w:val="00F62569"/>
    <w:rsid w:val="00F62673"/>
    <w:rsid w:val="00F62701"/>
    <w:rsid w:val="00F62731"/>
    <w:rsid w:val="00F62737"/>
    <w:rsid w:val="00F6276F"/>
    <w:rsid w:val="00F62866"/>
    <w:rsid w:val="00F628B5"/>
    <w:rsid w:val="00F6293E"/>
    <w:rsid w:val="00F62965"/>
    <w:rsid w:val="00F62974"/>
    <w:rsid w:val="00F62AD4"/>
    <w:rsid w:val="00F62AE0"/>
    <w:rsid w:val="00F62B0B"/>
    <w:rsid w:val="00F62C99"/>
    <w:rsid w:val="00F62CA7"/>
    <w:rsid w:val="00F62CB3"/>
    <w:rsid w:val="00F62D05"/>
    <w:rsid w:val="00F62E18"/>
    <w:rsid w:val="00F62E34"/>
    <w:rsid w:val="00F62E3F"/>
    <w:rsid w:val="00F62E52"/>
    <w:rsid w:val="00F62EB1"/>
    <w:rsid w:val="00F6303F"/>
    <w:rsid w:val="00F63040"/>
    <w:rsid w:val="00F6307B"/>
    <w:rsid w:val="00F63125"/>
    <w:rsid w:val="00F6317E"/>
    <w:rsid w:val="00F6327F"/>
    <w:rsid w:val="00F63416"/>
    <w:rsid w:val="00F6357F"/>
    <w:rsid w:val="00F63607"/>
    <w:rsid w:val="00F636AF"/>
    <w:rsid w:val="00F636B4"/>
    <w:rsid w:val="00F637A7"/>
    <w:rsid w:val="00F637E2"/>
    <w:rsid w:val="00F637F1"/>
    <w:rsid w:val="00F63942"/>
    <w:rsid w:val="00F639A7"/>
    <w:rsid w:val="00F63AA4"/>
    <w:rsid w:val="00F63ABC"/>
    <w:rsid w:val="00F63B16"/>
    <w:rsid w:val="00F63B9C"/>
    <w:rsid w:val="00F63BEA"/>
    <w:rsid w:val="00F63C3E"/>
    <w:rsid w:val="00F63C5A"/>
    <w:rsid w:val="00F63D18"/>
    <w:rsid w:val="00F63D3E"/>
    <w:rsid w:val="00F63D98"/>
    <w:rsid w:val="00F63F48"/>
    <w:rsid w:val="00F64041"/>
    <w:rsid w:val="00F6405C"/>
    <w:rsid w:val="00F64076"/>
    <w:rsid w:val="00F6424B"/>
    <w:rsid w:val="00F64467"/>
    <w:rsid w:val="00F6446B"/>
    <w:rsid w:val="00F644E1"/>
    <w:rsid w:val="00F6451B"/>
    <w:rsid w:val="00F645BE"/>
    <w:rsid w:val="00F6466A"/>
    <w:rsid w:val="00F64811"/>
    <w:rsid w:val="00F6484C"/>
    <w:rsid w:val="00F64894"/>
    <w:rsid w:val="00F6494C"/>
    <w:rsid w:val="00F64A99"/>
    <w:rsid w:val="00F64B28"/>
    <w:rsid w:val="00F64D02"/>
    <w:rsid w:val="00F64EB5"/>
    <w:rsid w:val="00F64FC4"/>
    <w:rsid w:val="00F65000"/>
    <w:rsid w:val="00F650B8"/>
    <w:rsid w:val="00F650DF"/>
    <w:rsid w:val="00F65150"/>
    <w:rsid w:val="00F651E3"/>
    <w:rsid w:val="00F65433"/>
    <w:rsid w:val="00F655C0"/>
    <w:rsid w:val="00F65745"/>
    <w:rsid w:val="00F658BA"/>
    <w:rsid w:val="00F65979"/>
    <w:rsid w:val="00F65A50"/>
    <w:rsid w:val="00F65B05"/>
    <w:rsid w:val="00F65B20"/>
    <w:rsid w:val="00F65B66"/>
    <w:rsid w:val="00F65C49"/>
    <w:rsid w:val="00F65CAE"/>
    <w:rsid w:val="00F65CB1"/>
    <w:rsid w:val="00F65CBD"/>
    <w:rsid w:val="00F65D79"/>
    <w:rsid w:val="00F65D91"/>
    <w:rsid w:val="00F65E1E"/>
    <w:rsid w:val="00F65E22"/>
    <w:rsid w:val="00F65F0B"/>
    <w:rsid w:val="00F65F78"/>
    <w:rsid w:val="00F65F94"/>
    <w:rsid w:val="00F65FBD"/>
    <w:rsid w:val="00F66048"/>
    <w:rsid w:val="00F66142"/>
    <w:rsid w:val="00F6615C"/>
    <w:rsid w:val="00F66303"/>
    <w:rsid w:val="00F66367"/>
    <w:rsid w:val="00F664B5"/>
    <w:rsid w:val="00F664CD"/>
    <w:rsid w:val="00F665D1"/>
    <w:rsid w:val="00F6666F"/>
    <w:rsid w:val="00F66670"/>
    <w:rsid w:val="00F666B3"/>
    <w:rsid w:val="00F66987"/>
    <w:rsid w:val="00F66A3F"/>
    <w:rsid w:val="00F66AD1"/>
    <w:rsid w:val="00F66AEC"/>
    <w:rsid w:val="00F66B2C"/>
    <w:rsid w:val="00F66B5E"/>
    <w:rsid w:val="00F66B67"/>
    <w:rsid w:val="00F66DB2"/>
    <w:rsid w:val="00F66DF2"/>
    <w:rsid w:val="00F66E32"/>
    <w:rsid w:val="00F66E76"/>
    <w:rsid w:val="00F66F47"/>
    <w:rsid w:val="00F66F60"/>
    <w:rsid w:val="00F66FF6"/>
    <w:rsid w:val="00F67003"/>
    <w:rsid w:val="00F67082"/>
    <w:rsid w:val="00F67140"/>
    <w:rsid w:val="00F6714B"/>
    <w:rsid w:val="00F672D4"/>
    <w:rsid w:val="00F672D9"/>
    <w:rsid w:val="00F672E8"/>
    <w:rsid w:val="00F67304"/>
    <w:rsid w:val="00F6735E"/>
    <w:rsid w:val="00F67463"/>
    <w:rsid w:val="00F6748D"/>
    <w:rsid w:val="00F674F9"/>
    <w:rsid w:val="00F67660"/>
    <w:rsid w:val="00F6771C"/>
    <w:rsid w:val="00F67739"/>
    <w:rsid w:val="00F677C6"/>
    <w:rsid w:val="00F678E5"/>
    <w:rsid w:val="00F678F7"/>
    <w:rsid w:val="00F67952"/>
    <w:rsid w:val="00F67AB4"/>
    <w:rsid w:val="00F67B51"/>
    <w:rsid w:val="00F67B7D"/>
    <w:rsid w:val="00F67BC8"/>
    <w:rsid w:val="00F67C31"/>
    <w:rsid w:val="00F67CEE"/>
    <w:rsid w:val="00F67D76"/>
    <w:rsid w:val="00F67E2D"/>
    <w:rsid w:val="00F67F1E"/>
    <w:rsid w:val="00F67F41"/>
    <w:rsid w:val="00F70039"/>
    <w:rsid w:val="00F7004C"/>
    <w:rsid w:val="00F7004E"/>
    <w:rsid w:val="00F700C8"/>
    <w:rsid w:val="00F70217"/>
    <w:rsid w:val="00F7036C"/>
    <w:rsid w:val="00F70377"/>
    <w:rsid w:val="00F7051F"/>
    <w:rsid w:val="00F7052B"/>
    <w:rsid w:val="00F706DF"/>
    <w:rsid w:val="00F706EB"/>
    <w:rsid w:val="00F7075E"/>
    <w:rsid w:val="00F70A0C"/>
    <w:rsid w:val="00F70A31"/>
    <w:rsid w:val="00F70B09"/>
    <w:rsid w:val="00F70BD2"/>
    <w:rsid w:val="00F70D24"/>
    <w:rsid w:val="00F70D78"/>
    <w:rsid w:val="00F70E7E"/>
    <w:rsid w:val="00F70EF7"/>
    <w:rsid w:val="00F70F77"/>
    <w:rsid w:val="00F70F7B"/>
    <w:rsid w:val="00F70FC2"/>
    <w:rsid w:val="00F71045"/>
    <w:rsid w:val="00F7106E"/>
    <w:rsid w:val="00F71105"/>
    <w:rsid w:val="00F71148"/>
    <w:rsid w:val="00F71150"/>
    <w:rsid w:val="00F71171"/>
    <w:rsid w:val="00F71202"/>
    <w:rsid w:val="00F7133B"/>
    <w:rsid w:val="00F7134F"/>
    <w:rsid w:val="00F7150F"/>
    <w:rsid w:val="00F715AE"/>
    <w:rsid w:val="00F716F6"/>
    <w:rsid w:val="00F718A7"/>
    <w:rsid w:val="00F71973"/>
    <w:rsid w:val="00F719BD"/>
    <w:rsid w:val="00F71A1D"/>
    <w:rsid w:val="00F71CAF"/>
    <w:rsid w:val="00F71EE0"/>
    <w:rsid w:val="00F71EEC"/>
    <w:rsid w:val="00F71F7A"/>
    <w:rsid w:val="00F71FB3"/>
    <w:rsid w:val="00F71FD9"/>
    <w:rsid w:val="00F71FE3"/>
    <w:rsid w:val="00F72009"/>
    <w:rsid w:val="00F721F1"/>
    <w:rsid w:val="00F7229F"/>
    <w:rsid w:val="00F72301"/>
    <w:rsid w:val="00F72309"/>
    <w:rsid w:val="00F7242B"/>
    <w:rsid w:val="00F724A5"/>
    <w:rsid w:val="00F724DE"/>
    <w:rsid w:val="00F724FF"/>
    <w:rsid w:val="00F72530"/>
    <w:rsid w:val="00F7257F"/>
    <w:rsid w:val="00F725A8"/>
    <w:rsid w:val="00F725D2"/>
    <w:rsid w:val="00F726D1"/>
    <w:rsid w:val="00F726E3"/>
    <w:rsid w:val="00F72740"/>
    <w:rsid w:val="00F7278F"/>
    <w:rsid w:val="00F7280E"/>
    <w:rsid w:val="00F7284C"/>
    <w:rsid w:val="00F728A3"/>
    <w:rsid w:val="00F72A8B"/>
    <w:rsid w:val="00F72B1F"/>
    <w:rsid w:val="00F72B80"/>
    <w:rsid w:val="00F72C4C"/>
    <w:rsid w:val="00F72C94"/>
    <w:rsid w:val="00F72DB3"/>
    <w:rsid w:val="00F72ED1"/>
    <w:rsid w:val="00F72F89"/>
    <w:rsid w:val="00F72FDF"/>
    <w:rsid w:val="00F7304B"/>
    <w:rsid w:val="00F73123"/>
    <w:rsid w:val="00F7312D"/>
    <w:rsid w:val="00F731BF"/>
    <w:rsid w:val="00F731F4"/>
    <w:rsid w:val="00F732C2"/>
    <w:rsid w:val="00F7330D"/>
    <w:rsid w:val="00F7338B"/>
    <w:rsid w:val="00F733E0"/>
    <w:rsid w:val="00F73412"/>
    <w:rsid w:val="00F734B6"/>
    <w:rsid w:val="00F734BD"/>
    <w:rsid w:val="00F734D6"/>
    <w:rsid w:val="00F7358D"/>
    <w:rsid w:val="00F73604"/>
    <w:rsid w:val="00F73636"/>
    <w:rsid w:val="00F73638"/>
    <w:rsid w:val="00F73663"/>
    <w:rsid w:val="00F7369B"/>
    <w:rsid w:val="00F736D9"/>
    <w:rsid w:val="00F73707"/>
    <w:rsid w:val="00F73749"/>
    <w:rsid w:val="00F737FF"/>
    <w:rsid w:val="00F738A7"/>
    <w:rsid w:val="00F738E5"/>
    <w:rsid w:val="00F73A8D"/>
    <w:rsid w:val="00F73A96"/>
    <w:rsid w:val="00F73AD3"/>
    <w:rsid w:val="00F73AE3"/>
    <w:rsid w:val="00F73B66"/>
    <w:rsid w:val="00F73C94"/>
    <w:rsid w:val="00F73CC8"/>
    <w:rsid w:val="00F73E48"/>
    <w:rsid w:val="00F73EF9"/>
    <w:rsid w:val="00F73F7C"/>
    <w:rsid w:val="00F73FF2"/>
    <w:rsid w:val="00F7400D"/>
    <w:rsid w:val="00F74043"/>
    <w:rsid w:val="00F740DF"/>
    <w:rsid w:val="00F74134"/>
    <w:rsid w:val="00F741F1"/>
    <w:rsid w:val="00F74244"/>
    <w:rsid w:val="00F742D0"/>
    <w:rsid w:val="00F742E2"/>
    <w:rsid w:val="00F7435D"/>
    <w:rsid w:val="00F74387"/>
    <w:rsid w:val="00F74512"/>
    <w:rsid w:val="00F74564"/>
    <w:rsid w:val="00F745C2"/>
    <w:rsid w:val="00F745C5"/>
    <w:rsid w:val="00F745D8"/>
    <w:rsid w:val="00F74664"/>
    <w:rsid w:val="00F7467D"/>
    <w:rsid w:val="00F746FE"/>
    <w:rsid w:val="00F747ED"/>
    <w:rsid w:val="00F7497A"/>
    <w:rsid w:val="00F7499F"/>
    <w:rsid w:val="00F749D1"/>
    <w:rsid w:val="00F74A30"/>
    <w:rsid w:val="00F74BA4"/>
    <w:rsid w:val="00F74C1A"/>
    <w:rsid w:val="00F74C6D"/>
    <w:rsid w:val="00F74DCE"/>
    <w:rsid w:val="00F74F1E"/>
    <w:rsid w:val="00F74FD3"/>
    <w:rsid w:val="00F75035"/>
    <w:rsid w:val="00F75156"/>
    <w:rsid w:val="00F751A8"/>
    <w:rsid w:val="00F75259"/>
    <w:rsid w:val="00F752D9"/>
    <w:rsid w:val="00F75397"/>
    <w:rsid w:val="00F753C2"/>
    <w:rsid w:val="00F753D2"/>
    <w:rsid w:val="00F754CB"/>
    <w:rsid w:val="00F7551F"/>
    <w:rsid w:val="00F756A4"/>
    <w:rsid w:val="00F75745"/>
    <w:rsid w:val="00F75788"/>
    <w:rsid w:val="00F75885"/>
    <w:rsid w:val="00F758BA"/>
    <w:rsid w:val="00F75997"/>
    <w:rsid w:val="00F75B75"/>
    <w:rsid w:val="00F75D42"/>
    <w:rsid w:val="00F75DDC"/>
    <w:rsid w:val="00F75E71"/>
    <w:rsid w:val="00F75E8C"/>
    <w:rsid w:val="00F75EE1"/>
    <w:rsid w:val="00F75F3E"/>
    <w:rsid w:val="00F75F57"/>
    <w:rsid w:val="00F75F61"/>
    <w:rsid w:val="00F7606A"/>
    <w:rsid w:val="00F76111"/>
    <w:rsid w:val="00F76131"/>
    <w:rsid w:val="00F7638E"/>
    <w:rsid w:val="00F7639C"/>
    <w:rsid w:val="00F763DC"/>
    <w:rsid w:val="00F766EE"/>
    <w:rsid w:val="00F767D1"/>
    <w:rsid w:val="00F76946"/>
    <w:rsid w:val="00F769C9"/>
    <w:rsid w:val="00F769E3"/>
    <w:rsid w:val="00F76ADD"/>
    <w:rsid w:val="00F76BE7"/>
    <w:rsid w:val="00F76C68"/>
    <w:rsid w:val="00F76C91"/>
    <w:rsid w:val="00F76D3B"/>
    <w:rsid w:val="00F76E13"/>
    <w:rsid w:val="00F76E28"/>
    <w:rsid w:val="00F76E44"/>
    <w:rsid w:val="00F76EE4"/>
    <w:rsid w:val="00F76F53"/>
    <w:rsid w:val="00F770EC"/>
    <w:rsid w:val="00F770FB"/>
    <w:rsid w:val="00F77104"/>
    <w:rsid w:val="00F771BC"/>
    <w:rsid w:val="00F771ED"/>
    <w:rsid w:val="00F77313"/>
    <w:rsid w:val="00F77321"/>
    <w:rsid w:val="00F773BE"/>
    <w:rsid w:val="00F773FF"/>
    <w:rsid w:val="00F77455"/>
    <w:rsid w:val="00F77710"/>
    <w:rsid w:val="00F777E7"/>
    <w:rsid w:val="00F77845"/>
    <w:rsid w:val="00F778CF"/>
    <w:rsid w:val="00F779E0"/>
    <w:rsid w:val="00F77A71"/>
    <w:rsid w:val="00F77AED"/>
    <w:rsid w:val="00F77B11"/>
    <w:rsid w:val="00F77B7E"/>
    <w:rsid w:val="00F77C0C"/>
    <w:rsid w:val="00F77C19"/>
    <w:rsid w:val="00F77C2C"/>
    <w:rsid w:val="00F77CB1"/>
    <w:rsid w:val="00F77E69"/>
    <w:rsid w:val="00F77EB3"/>
    <w:rsid w:val="00F77ECC"/>
    <w:rsid w:val="00F77F18"/>
    <w:rsid w:val="00F77F30"/>
    <w:rsid w:val="00F8001C"/>
    <w:rsid w:val="00F800DB"/>
    <w:rsid w:val="00F8015D"/>
    <w:rsid w:val="00F80201"/>
    <w:rsid w:val="00F80207"/>
    <w:rsid w:val="00F8021C"/>
    <w:rsid w:val="00F8022A"/>
    <w:rsid w:val="00F8026E"/>
    <w:rsid w:val="00F80318"/>
    <w:rsid w:val="00F80475"/>
    <w:rsid w:val="00F80535"/>
    <w:rsid w:val="00F80543"/>
    <w:rsid w:val="00F80574"/>
    <w:rsid w:val="00F8068A"/>
    <w:rsid w:val="00F80692"/>
    <w:rsid w:val="00F806A5"/>
    <w:rsid w:val="00F80745"/>
    <w:rsid w:val="00F808E4"/>
    <w:rsid w:val="00F80951"/>
    <w:rsid w:val="00F809AF"/>
    <w:rsid w:val="00F80A06"/>
    <w:rsid w:val="00F80AE1"/>
    <w:rsid w:val="00F80AEF"/>
    <w:rsid w:val="00F80BE5"/>
    <w:rsid w:val="00F80C27"/>
    <w:rsid w:val="00F80C2E"/>
    <w:rsid w:val="00F80C4E"/>
    <w:rsid w:val="00F80D40"/>
    <w:rsid w:val="00F80D7A"/>
    <w:rsid w:val="00F80E2C"/>
    <w:rsid w:val="00F80E77"/>
    <w:rsid w:val="00F80F38"/>
    <w:rsid w:val="00F80F41"/>
    <w:rsid w:val="00F80F73"/>
    <w:rsid w:val="00F80F95"/>
    <w:rsid w:val="00F80F96"/>
    <w:rsid w:val="00F80FE0"/>
    <w:rsid w:val="00F8117F"/>
    <w:rsid w:val="00F81222"/>
    <w:rsid w:val="00F81290"/>
    <w:rsid w:val="00F8135D"/>
    <w:rsid w:val="00F81388"/>
    <w:rsid w:val="00F8158A"/>
    <w:rsid w:val="00F8158C"/>
    <w:rsid w:val="00F8167B"/>
    <w:rsid w:val="00F816C8"/>
    <w:rsid w:val="00F817EB"/>
    <w:rsid w:val="00F81860"/>
    <w:rsid w:val="00F81883"/>
    <w:rsid w:val="00F818F5"/>
    <w:rsid w:val="00F819BC"/>
    <w:rsid w:val="00F81B5E"/>
    <w:rsid w:val="00F81B99"/>
    <w:rsid w:val="00F81BDA"/>
    <w:rsid w:val="00F81C11"/>
    <w:rsid w:val="00F81C1D"/>
    <w:rsid w:val="00F81DDF"/>
    <w:rsid w:val="00F81E9B"/>
    <w:rsid w:val="00F81EAA"/>
    <w:rsid w:val="00F81ED2"/>
    <w:rsid w:val="00F81F1F"/>
    <w:rsid w:val="00F821DA"/>
    <w:rsid w:val="00F82232"/>
    <w:rsid w:val="00F82281"/>
    <w:rsid w:val="00F82398"/>
    <w:rsid w:val="00F8267E"/>
    <w:rsid w:val="00F8283E"/>
    <w:rsid w:val="00F829C1"/>
    <w:rsid w:val="00F82A50"/>
    <w:rsid w:val="00F82ACD"/>
    <w:rsid w:val="00F82AE9"/>
    <w:rsid w:val="00F82B89"/>
    <w:rsid w:val="00F82CE3"/>
    <w:rsid w:val="00F82F62"/>
    <w:rsid w:val="00F82F7C"/>
    <w:rsid w:val="00F8304E"/>
    <w:rsid w:val="00F8323C"/>
    <w:rsid w:val="00F83445"/>
    <w:rsid w:val="00F83493"/>
    <w:rsid w:val="00F834E4"/>
    <w:rsid w:val="00F834E5"/>
    <w:rsid w:val="00F83552"/>
    <w:rsid w:val="00F83666"/>
    <w:rsid w:val="00F8379C"/>
    <w:rsid w:val="00F83ABD"/>
    <w:rsid w:val="00F83B89"/>
    <w:rsid w:val="00F83BBE"/>
    <w:rsid w:val="00F83DA2"/>
    <w:rsid w:val="00F83EB5"/>
    <w:rsid w:val="00F83ECC"/>
    <w:rsid w:val="00F8434A"/>
    <w:rsid w:val="00F84358"/>
    <w:rsid w:val="00F8436B"/>
    <w:rsid w:val="00F84370"/>
    <w:rsid w:val="00F84438"/>
    <w:rsid w:val="00F844F1"/>
    <w:rsid w:val="00F84529"/>
    <w:rsid w:val="00F84549"/>
    <w:rsid w:val="00F84574"/>
    <w:rsid w:val="00F845B9"/>
    <w:rsid w:val="00F846BC"/>
    <w:rsid w:val="00F847A9"/>
    <w:rsid w:val="00F847C2"/>
    <w:rsid w:val="00F84855"/>
    <w:rsid w:val="00F848C6"/>
    <w:rsid w:val="00F849A8"/>
    <w:rsid w:val="00F849DF"/>
    <w:rsid w:val="00F84A68"/>
    <w:rsid w:val="00F84B21"/>
    <w:rsid w:val="00F84DB8"/>
    <w:rsid w:val="00F84F39"/>
    <w:rsid w:val="00F8514A"/>
    <w:rsid w:val="00F851A5"/>
    <w:rsid w:val="00F851F4"/>
    <w:rsid w:val="00F85244"/>
    <w:rsid w:val="00F85294"/>
    <w:rsid w:val="00F85330"/>
    <w:rsid w:val="00F85352"/>
    <w:rsid w:val="00F8541D"/>
    <w:rsid w:val="00F85480"/>
    <w:rsid w:val="00F854ED"/>
    <w:rsid w:val="00F85562"/>
    <w:rsid w:val="00F855CE"/>
    <w:rsid w:val="00F85673"/>
    <w:rsid w:val="00F8570B"/>
    <w:rsid w:val="00F85752"/>
    <w:rsid w:val="00F857D1"/>
    <w:rsid w:val="00F858EE"/>
    <w:rsid w:val="00F85A06"/>
    <w:rsid w:val="00F85A28"/>
    <w:rsid w:val="00F85A97"/>
    <w:rsid w:val="00F85AE7"/>
    <w:rsid w:val="00F85AF4"/>
    <w:rsid w:val="00F85B7A"/>
    <w:rsid w:val="00F85D18"/>
    <w:rsid w:val="00F85D2F"/>
    <w:rsid w:val="00F85E7F"/>
    <w:rsid w:val="00F85ED3"/>
    <w:rsid w:val="00F85F0C"/>
    <w:rsid w:val="00F85F10"/>
    <w:rsid w:val="00F85F6A"/>
    <w:rsid w:val="00F86062"/>
    <w:rsid w:val="00F86071"/>
    <w:rsid w:val="00F860A6"/>
    <w:rsid w:val="00F862D6"/>
    <w:rsid w:val="00F86356"/>
    <w:rsid w:val="00F86530"/>
    <w:rsid w:val="00F86602"/>
    <w:rsid w:val="00F86646"/>
    <w:rsid w:val="00F86732"/>
    <w:rsid w:val="00F8682C"/>
    <w:rsid w:val="00F8698B"/>
    <w:rsid w:val="00F86AA8"/>
    <w:rsid w:val="00F86BFB"/>
    <w:rsid w:val="00F86D04"/>
    <w:rsid w:val="00F86D84"/>
    <w:rsid w:val="00F86E36"/>
    <w:rsid w:val="00F86F7B"/>
    <w:rsid w:val="00F8703C"/>
    <w:rsid w:val="00F87078"/>
    <w:rsid w:val="00F87110"/>
    <w:rsid w:val="00F8721A"/>
    <w:rsid w:val="00F8724B"/>
    <w:rsid w:val="00F872BA"/>
    <w:rsid w:val="00F8731F"/>
    <w:rsid w:val="00F873FF"/>
    <w:rsid w:val="00F8746A"/>
    <w:rsid w:val="00F87488"/>
    <w:rsid w:val="00F874A0"/>
    <w:rsid w:val="00F87611"/>
    <w:rsid w:val="00F876DB"/>
    <w:rsid w:val="00F879AF"/>
    <w:rsid w:val="00F879BF"/>
    <w:rsid w:val="00F879FC"/>
    <w:rsid w:val="00F87BCC"/>
    <w:rsid w:val="00F87C34"/>
    <w:rsid w:val="00F87EB7"/>
    <w:rsid w:val="00F87F11"/>
    <w:rsid w:val="00F87FAA"/>
    <w:rsid w:val="00F900B7"/>
    <w:rsid w:val="00F9014F"/>
    <w:rsid w:val="00F9015D"/>
    <w:rsid w:val="00F9034C"/>
    <w:rsid w:val="00F9040B"/>
    <w:rsid w:val="00F90424"/>
    <w:rsid w:val="00F90427"/>
    <w:rsid w:val="00F90487"/>
    <w:rsid w:val="00F9058D"/>
    <w:rsid w:val="00F9062B"/>
    <w:rsid w:val="00F90683"/>
    <w:rsid w:val="00F9079D"/>
    <w:rsid w:val="00F90857"/>
    <w:rsid w:val="00F90869"/>
    <w:rsid w:val="00F908F8"/>
    <w:rsid w:val="00F90976"/>
    <w:rsid w:val="00F9097D"/>
    <w:rsid w:val="00F90A5C"/>
    <w:rsid w:val="00F90AE2"/>
    <w:rsid w:val="00F90B5D"/>
    <w:rsid w:val="00F90C90"/>
    <w:rsid w:val="00F90DC2"/>
    <w:rsid w:val="00F90F00"/>
    <w:rsid w:val="00F90FB5"/>
    <w:rsid w:val="00F9102A"/>
    <w:rsid w:val="00F9107A"/>
    <w:rsid w:val="00F910CC"/>
    <w:rsid w:val="00F910D2"/>
    <w:rsid w:val="00F9121D"/>
    <w:rsid w:val="00F9123B"/>
    <w:rsid w:val="00F912E7"/>
    <w:rsid w:val="00F9133E"/>
    <w:rsid w:val="00F9134E"/>
    <w:rsid w:val="00F91389"/>
    <w:rsid w:val="00F9138B"/>
    <w:rsid w:val="00F9148E"/>
    <w:rsid w:val="00F914EA"/>
    <w:rsid w:val="00F915F4"/>
    <w:rsid w:val="00F91620"/>
    <w:rsid w:val="00F916B8"/>
    <w:rsid w:val="00F916D7"/>
    <w:rsid w:val="00F91744"/>
    <w:rsid w:val="00F917CF"/>
    <w:rsid w:val="00F9188A"/>
    <w:rsid w:val="00F918F8"/>
    <w:rsid w:val="00F91995"/>
    <w:rsid w:val="00F919E8"/>
    <w:rsid w:val="00F91A32"/>
    <w:rsid w:val="00F91B7A"/>
    <w:rsid w:val="00F91C20"/>
    <w:rsid w:val="00F91C67"/>
    <w:rsid w:val="00F91D50"/>
    <w:rsid w:val="00F91EB4"/>
    <w:rsid w:val="00F91ED3"/>
    <w:rsid w:val="00F91F60"/>
    <w:rsid w:val="00F91F65"/>
    <w:rsid w:val="00F91FB5"/>
    <w:rsid w:val="00F91FC4"/>
    <w:rsid w:val="00F920BF"/>
    <w:rsid w:val="00F9224C"/>
    <w:rsid w:val="00F9227B"/>
    <w:rsid w:val="00F92356"/>
    <w:rsid w:val="00F923BB"/>
    <w:rsid w:val="00F923D9"/>
    <w:rsid w:val="00F924B0"/>
    <w:rsid w:val="00F925A4"/>
    <w:rsid w:val="00F925F7"/>
    <w:rsid w:val="00F92613"/>
    <w:rsid w:val="00F926D4"/>
    <w:rsid w:val="00F92737"/>
    <w:rsid w:val="00F92778"/>
    <w:rsid w:val="00F92784"/>
    <w:rsid w:val="00F927DB"/>
    <w:rsid w:val="00F92873"/>
    <w:rsid w:val="00F92993"/>
    <w:rsid w:val="00F92A0F"/>
    <w:rsid w:val="00F92AFD"/>
    <w:rsid w:val="00F92B21"/>
    <w:rsid w:val="00F92B72"/>
    <w:rsid w:val="00F92B96"/>
    <w:rsid w:val="00F92BC8"/>
    <w:rsid w:val="00F92CB0"/>
    <w:rsid w:val="00F92E2F"/>
    <w:rsid w:val="00F92E9F"/>
    <w:rsid w:val="00F92ED6"/>
    <w:rsid w:val="00F930CB"/>
    <w:rsid w:val="00F93111"/>
    <w:rsid w:val="00F93171"/>
    <w:rsid w:val="00F931F3"/>
    <w:rsid w:val="00F9333A"/>
    <w:rsid w:val="00F93450"/>
    <w:rsid w:val="00F93456"/>
    <w:rsid w:val="00F9353A"/>
    <w:rsid w:val="00F938B8"/>
    <w:rsid w:val="00F93930"/>
    <w:rsid w:val="00F93AA0"/>
    <w:rsid w:val="00F93AFC"/>
    <w:rsid w:val="00F93B10"/>
    <w:rsid w:val="00F93B67"/>
    <w:rsid w:val="00F93BE4"/>
    <w:rsid w:val="00F93BEE"/>
    <w:rsid w:val="00F93C05"/>
    <w:rsid w:val="00F93C17"/>
    <w:rsid w:val="00F93C33"/>
    <w:rsid w:val="00F93D12"/>
    <w:rsid w:val="00F93D9A"/>
    <w:rsid w:val="00F93EB5"/>
    <w:rsid w:val="00F93ED0"/>
    <w:rsid w:val="00F9409D"/>
    <w:rsid w:val="00F94261"/>
    <w:rsid w:val="00F942DA"/>
    <w:rsid w:val="00F94404"/>
    <w:rsid w:val="00F94458"/>
    <w:rsid w:val="00F944B9"/>
    <w:rsid w:val="00F9453F"/>
    <w:rsid w:val="00F9465C"/>
    <w:rsid w:val="00F946C3"/>
    <w:rsid w:val="00F94704"/>
    <w:rsid w:val="00F94892"/>
    <w:rsid w:val="00F94897"/>
    <w:rsid w:val="00F949A3"/>
    <w:rsid w:val="00F94ACC"/>
    <w:rsid w:val="00F94B0D"/>
    <w:rsid w:val="00F94B3A"/>
    <w:rsid w:val="00F94C8C"/>
    <w:rsid w:val="00F94D84"/>
    <w:rsid w:val="00F94E27"/>
    <w:rsid w:val="00F94E5A"/>
    <w:rsid w:val="00F94E72"/>
    <w:rsid w:val="00F94F02"/>
    <w:rsid w:val="00F94FE3"/>
    <w:rsid w:val="00F950B0"/>
    <w:rsid w:val="00F9529D"/>
    <w:rsid w:val="00F952BA"/>
    <w:rsid w:val="00F95330"/>
    <w:rsid w:val="00F953B5"/>
    <w:rsid w:val="00F9542E"/>
    <w:rsid w:val="00F9544E"/>
    <w:rsid w:val="00F956BF"/>
    <w:rsid w:val="00F9581F"/>
    <w:rsid w:val="00F9592C"/>
    <w:rsid w:val="00F95991"/>
    <w:rsid w:val="00F95A05"/>
    <w:rsid w:val="00F95A24"/>
    <w:rsid w:val="00F95AA1"/>
    <w:rsid w:val="00F95AA8"/>
    <w:rsid w:val="00F95C17"/>
    <w:rsid w:val="00F95CDC"/>
    <w:rsid w:val="00F95DD5"/>
    <w:rsid w:val="00F95DD9"/>
    <w:rsid w:val="00F95E3F"/>
    <w:rsid w:val="00F95F34"/>
    <w:rsid w:val="00F95FB6"/>
    <w:rsid w:val="00F9629E"/>
    <w:rsid w:val="00F9636C"/>
    <w:rsid w:val="00F963B4"/>
    <w:rsid w:val="00F963EB"/>
    <w:rsid w:val="00F965CC"/>
    <w:rsid w:val="00F9663E"/>
    <w:rsid w:val="00F96739"/>
    <w:rsid w:val="00F967FA"/>
    <w:rsid w:val="00F96885"/>
    <w:rsid w:val="00F968ED"/>
    <w:rsid w:val="00F9697B"/>
    <w:rsid w:val="00F969D1"/>
    <w:rsid w:val="00F96A55"/>
    <w:rsid w:val="00F96AE6"/>
    <w:rsid w:val="00F96BE0"/>
    <w:rsid w:val="00F96D63"/>
    <w:rsid w:val="00F96D66"/>
    <w:rsid w:val="00F96D69"/>
    <w:rsid w:val="00F96E90"/>
    <w:rsid w:val="00F96F4E"/>
    <w:rsid w:val="00F96F76"/>
    <w:rsid w:val="00F971B0"/>
    <w:rsid w:val="00F971DF"/>
    <w:rsid w:val="00F972B7"/>
    <w:rsid w:val="00F97337"/>
    <w:rsid w:val="00F973DA"/>
    <w:rsid w:val="00F973E5"/>
    <w:rsid w:val="00F97591"/>
    <w:rsid w:val="00F975B0"/>
    <w:rsid w:val="00F975F8"/>
    <w:rsid w:val="00F97681"/>
    <w:rsid w:val="00F9771E"/>
    <w:rsid w:val="00F97736"/>
    <w:rsid w:val="00F97765"/>
    <w:rsid w:val="00F977B0"/>
    <w:rsid w:val="00F977FE"/>
    <w:rsid w:val="00F97891"/>
    <w:rsid w:val="00F978FE"/>
    <w:rsid w:val="00F97957"/>
    <w:rsid w:val="00F97997"/>
    <w:rsid w:val="00F979D5"/>
    <w:rsid w:val="00F979DC"/>
    <w:rsid w:val="00F97B46"/>
    <w:rsid w:val="00F97C75"/>
    <w:rsid w:val="00F97CB6"/>
    <w:rsid w:val="00F97D67"/>
    <w:rsid w:val="00F97DDA"/>
    <w:rsid w:val="00F97FB6"/>
    <w:rsid w:val="00FA0051"/>
    <w:rsid w:val="00FA0059"/>
    <w:rsid w:val="00FA0095"/>
    <w:rsid w:val="00FA0196"/>
    <w:rsid w:val="00FA01B7"/>
    <w:rsid w:val="00FA02ED"/>
    <w:rsid w:val="00FA02F8"/>
    <w:rsid w:val="00FA0348"/>
    <w:rsid w:val="00FA03AB"/>
    <w:rsid w:val="00FA04D9"/>
    <w:rsid w:val="00FA0513"/>
    <w:rsid w:val="00FA0621"/>
    <w:rsid w:val="00FA062B"/>
    <w:rsid w:val="00FA0633"/>
    <w:rsid w:val="00FA067E"/>
    <w:rsid w:val="00FA069E"/>
    <w:rsid w:val="00FA07C5"/>
    <w:rsid w:val="00FA0A5C"/>
    <w:rsid w:val="00FA0A85"/>
    <w:rsid w:val="00FA0B20"/>
    <w:rsid w:val="00FA0B97"/>
    <w:rsid w:val="00FA0B9E"/>
    <w:rsid w:val="00FA0C7E"/>
    <w:rsid w:val="00FA0C99"/>
    <w:rsid w:val="00FA0CD6"/>
    <w:rsid w:val="00FA0D3E"/>
    <w:rsid w:val="00FA0D97"/>
    <w:rsid w:val="00FA0DC6"/>
    <w:rsid w:val="00FA0DCD"/>
    <w:rsid w:val="00FA0E08"/>
    <w:rsid w:val="00FA0E40"/>
    <w:rsid w:val="00FA0EBD"/>
    <w:rsid w:val="00FA1068"/>
    <w:rsid w:val="00FA1118"/>
    <w:rsid w:val="00FA1119"/>
    <w:rsid w:val="00FA11D5"/>
    <w:rsid w:val="00FA1268"/>
    <w:rsid w:val="00FA129B"/>
    <w:rsid w:val="00FA140B"/>
    <w:rsid w:val="00FA1452"/>
    <w:rsid w:val="00FA1530"/>
    <w:rsid w:val="00FA17BA"/>
    <w:rsid w:val="00FA17D0"/>
    <w:rsid w:val="00FA180E"/>
    <w:rsid w:val="00FA1994"/>
    <w:rsid w:val="00FA1A35"/>
    <w:rsid w:val="00FA1B98"/>
    <w:rsid w:val="00FA1BD6"/>
    <w:rsid w:val="00FA1BD8"/>
    <w:rsid w:val="00FA1C68"/>
    <w:rsid w:val="00FA1D30"/>
    <w:rsid w:val="00FA1DDB"/>
    <w:rsid w:val="00FA1E1A"/>
    <w:rsid w:val="00FA1FF0"/>
    <w:rsid w:val="00FA20C1"/>
    <w:rsid w:val="00FA211D"/>
    <w:rsid w:val="00FA22FD"/>
    <w:rsid w:val="00FA23C5"/>
    <w:rsid w:val="00FA24F7"/>
    <w:rsid w:val="00FA2727"/>
    <w:rsid w:val="00FA2731"/>
    <w:rsid w:val="00FA277F"/>
    <w:rsid w:val="00FA2892"/>
    <w:rsid w:val="00FA299F"/>
    <w:rsid w:val="00FA2A7F"/>
    <w:rsid w:val="00FA2A99"/>
    <w:rsid w:val="00FA2AD2"/>
    <w:rsid w:val="00FA2B14"/>
    <w:rsid w:val="00FA2CBF"/>
    <w:rsid w:val="00FA2DF6"/>
    <w:rsid w:val="00FA2E0E"/>
    <w:rsid w:val="00FA2E23"/>
    <w:rsid w:val="00FA2EAB"/>
    <w:rsid w:val="00FA2EB2"/>
    <w:rsid w:val="00FA3023"/>
    <w:rsid w:val="00FA30D0"/>
    <w:rsid w:val="00FA3137"/>
    <w:rsid w:val="00FA3157"/>
    <w:rsid w:val="00FA3194"/>
    <w:rsid w:val="00FA328E"/>
    <w:rsid w:val="00FA343C"/>
    <w:rsid w:val="00FA353F"/>
    <w:rsid w:val="00FA359D"/>
    <w:rsid w:val="00FA3651"/>
    <w:rsid w:val="00FA3776"/>
    <w:rsid w:val="00FA37D8"/>
    <w:rsid w:val="00FA381E"/>
    <w:rsid w:val="00FA3903"/>
    <w:rsid w:val="00FA3AA8"/>
    <w:rsid w:val="00FA3AB3"/>
    <w:rsid w:val="00FA3AE0"/>
    <w:rsid w:val="00FA3D7C"/>
    <w:rsid w:val="00FA3ED9"/>
    <w:rsid w:val="00FA3EE2"/>
    <w:rsid w:val="00FA3F11"/>
    <w:rsid w:val="00FA3FAA"/>
    <w:rsid w:val="00FA4059"/>
    <w:rsid w:val="00FA4090"/>
    <w:rsid w:val="00FA42A4"/>
    <w:rsid w:val="00FA42D3"/>
    <w:rsid w:val="00FA42EB"/>
    <w:rsid w:val="00FA4304"/>
    <w:rsid w:val="00FA443F"/>
    <w:rsid w:val="00FA44AD"/>
    <w:rsid w:val="00FA4529"/>
    <w:rsid w:val="00FA452F"/>
    <w:rsid w:val="00FA465A"/>
    <w:rsid w:val="00FA4693"/>
    <w:rsid w:val="00FA48D4"/>
    <w:rsid w:val="00FA49A1"/>
    <w:rsid w:val="00FA49D2"/>
    <w:rsid w:val="00FA4A0C"/>
    <w:rsid w:val="00FA4A2B"/>
    <w:rsid w:val="00FA4A84"/>
    <w:rsid w:val="00FA4A8C"/>
    <w:rsid w:val="00FA4AEA"/>
    <w:rsid w:val="00FA4B14"/>
    <w:rsid w:val="00FA4B48"/>
    <w:rsid w:val="00FA4B67"/>
    <w:rsid w:val="00FA4CC5"/>
    <w:rsid w:val="00FA4CF7"/>
    <w:rsid w:val="00FA4D05"/>
    <w:rsid w:val="00FA4DD5"/>
    <w:rsid w:val="00FA4E68"/>
    <w:rsid w:val="00FA4F57"/>
    <w:rsid w:val="00FA5066"/>
    <w:rsid w:val="00FA509E"/>
    <w:rsid w:val="00FA5281"/>
    <w:rsid w:val="00FA52B3"/>
    <w:rsid w:val="00FA539C"/>
    <w:rsid w:val="00FA53AB"/>
    <w:rsid w:val="00FA542F"/>
    <w:rsid w:val="00FA5583"/>
    <w:rsid w:val="00FA5631"/>
    <w:rsid w:val="00FA5715"/>
    <w:rsid w:val="00FA572A"/>
    <w:rsid w:val="00FA589E"/>
    <w:rsid w:val="00FA58EE"/>
    <w:rsid w:val="00FA595C"/>
    <w:rsid w:val="00FA5A4F"/>
    <w:rsid w:val="00FA5BD6"/>
    <w:rsid w:val="00FA5C18"/>
    <w:rsid w:val="00FA5CAB"/>
    <w:rsid w:val="00FA5DF2"/>
    <w:rsid w:val="00FA5EE2"/>
    <w:rsid w:val="00FA5F35"/>
    <w:rsid w:val="00FA5F59"/>
    <w:rsid w:val="00FA6011"/>
    <w:rsid w:val="00FA60E0"/>
    <w:rsid w:val="00FA60F8"/>
    <w:rsid w:val="00FA613F"/>
    <w:rsid w:val="00FA62C6"/>
    <w:rsid w:val="00FA635A"/>
    <w:rsid w:val="00FA63B1"/>
    <w:rsid w:val="00FA640D"/>
    <w:rsid w:val="00FA643C"/>
    <w:rsid w:val="00FA65B0"/>
    <w:rsid w:val="00FA66AC"/>
    <w:rsid w:val="00FA66FB"/>
    <w:rsid w:val="00FA670D"/>
    <w:rsid w:val="00FA68B9"/>
    <w:rsid w:val="00FA68E2"/>
    <w:rsid w:val="00FA68FB"/>
    <w:rsid w:val="00FA69B7"/>
    <w:rsid w:val="00FA6C7F"/>
    <w:rsid w:val="00FA6DB6"/>
    <w:rsid w:val="00FA6E16"/>
    <w:rsid w:val="00FA6E27"/>
    <w:rsid w:val="00FA6E6B"/>
    <w:rsid w:val="00FA6EC4"/>
    <w:rsid w:val="00FA6F6A"/>
    <w:rsid w:val="00FA7016"/>
    <w:rsid w:val="00FA714E"/>
    <w:rsid w:val="00FA717B"/>
    <w:rsid w:val="00FA71FD"/>
    <w:rsid w:val="00FA7335"/>
    <w:rsid w:val="00FA733F"/>
    <w:rsid w:val="00FA73DD"/>
    <w:rsid w:val="00FA73F3"/>
    <w:rsid w:val="00FA7497"/>
    <w:rsid w:val="00FA74E2"/>
    <w:rsid w:val="00FA74EA"/>
    <w:rsid w:val="00FA7514"/>
    <w:rsid w:val="00FA757B"/>
    <w:rsid w:val="00FA7588"/>
    <w:rsid w:val="00FA7606"/>
    <w:rsid w:val="00FA76C3"/>
    <w:rsid w:val="00FA7736"/>
    <w:rsid w:val="00FA77CD"/>
    <w:rsid w:val="00FA79BB"/>
    <w:rsid w:val="00FA7A54"/>
    <w:rsid w:val="00FA7AC1"/>
    <w:rsid w:val="00FA7C03"/>
    <w:rsid w:val="00FA7C10"/>
    <w:rsid w:val="00FA7CDF"/>
    <w:rsid w:val="00FA7D34"/>
    <w:rsid w:val="00FA7DB9"/>
    <w:rsid w:val="00FA7DD2"/>
    <w:rsid w:val="00FA7E28"/>
    <w:rsid w:val="00FA7E30"/>
    <w:rsid w:val="00FA7F3E"/>
    <w:rsid w:val="00FB000D"/>
    <w:rsid w:val="00FB0024"/>
    <w:rsid w:val="00FB0074"/>
    <w:rsid w:val="00FB00F6"/>
    <w:rsid w:val="00FB0127"/>
    <w:rsid w:val="00FB017E"/>
    <w:rsid w:val="00FB01F8"/>
    <w:rsid w:val="00FB052F"/>
    <w:rsid w:val="00FB06A2"/>
    <w:rsid w:val="00FB079D"/>
    <w:rsid w:val="00FB07BC"/>
    <w:rsid w:val="00FB0A3E"/>
    <w:rsid w:val="00FB0AE8"/>
    <w:rsid w:val="00FB0B06"/>
    <w:rsid w:val="00FB0F0A"/>
    <w:rsid w:val="00FB10D3"/>
    <w:rsid w:val="00FB1108"/>
    <w:rsid w:val="00FB111A"/>
    <w:rsid w:val="00FB1176"/>
    <w:rsid w:val="00FB127E"/>
    <w:rsid w:val="00FB1288"/>
    <w:rsid w:val="00FB13B2"/>
    <w:rsid w:val="00FB1588"/>
    <w:rsid w:val="00FB16A5"/>
    <w:rsid w:val="00FB1719"/>
    <w:rsid w:val="00FB176B"/>
    <w:rsid w:val="00FB1841"/>
    <w:rsid w:val="00FB18EB"/>
    <w:rsid w:val="00FB1958"/>
    <w:rsid w:val="00FB196E"/>
    <w:rsid w:val="00FB1BB0"/>
    <w:rsid w:val="00FB1C47"/>
    <w:rsid w:val="00FB1C84"/>
    <w:rsid w:val="00FB1CAE"/>
    <w:rsid w:val="00FB1D74"/>
    <w:rsid w:val="00FB1E8B"/>
    <w:rsid w:val="00FB205C"/>
    <w:rsid w:val="00FB2093"/>
    <w:rsid w:val="00FB211C"/>
    <w:rsid w:val="00FB21F0"/>
    <w:rsid w:val="00FB2355"/>
    <w:rsid w:val="00FB238A"/>
    <w:rsid w:val="00FB23AC"/>
    <w:rsid w:val="00FB23C2"/>
    <w:rsid w:val="00FB2424"/>
    <w:rsid w:val="00FB25F9"/>
    <w:rsid w:val="00FB2653"/>
    <w:rsid w:val="00FB2656"/>
    <w:rsid w:val="00FB266E"/>
    <w:rsid w:val="00FB2798"/>
    <w:rsid w:val="00FB2844"/>
    <w:rsid w:val="00FB2891"/>
    <w:rsid w:val="00FB2A12"/>
    <w:rsid w:val="00FB2A77"/>
    <w:rsid w:val="00FB2AA5"/>
    <w:rsid w:val="00FB2AFE"/>
    <w:rsid w:val="00FB2B4A"/>
    <w:rsid w:val="00FB2C9F"/>
    <w:rsid w:val="00FB2CAF"/>
    <w:rsid w:val="00FB2D52"/>
    <w:rsid w:val="00FB2DC9"/>
    <w:rsid w:val="00FB2DDD"/>
    <w:rsid w:val="00FB2E6A"/>
    <w:rsid w:val="00FB2EC5"/>
    <w:rsid w:val="00FB2F55"/>
    <w:rsid w:val="00FB2F68"/>
    <w:rsid w:val="00FB2FF9"/>
    <w:rsid w:val="00FB3022"/>
    <w:rsid w:val="00FB3027"/>
    <w:rsid w:val="00FB30CB"/>
    <w:rsid w:val="00FB3157"/>
    <w:rsid w:val="00FB3319"/>
    <w:rsid w:val="00FB33BF"/>
    <w:rsid w:val="00FB349B"/>
    <w:rsid w:val="00FB3543"/>
    <w:rsid w:val="00FB3555"/>
    <w:rsid w:val="00FB3567"/>
    <w:rsid w:val="00FB370F"/>
    <w:rsid w:val="00FB3746"/>
    <w:rsid w:val="00FB378A"/>
    <w:rsid w:val="00FB382B"/>
    <w:rsid w:val="00FB38A6"/>
    <w:rsid w:val="00FB39B4"/>
    <w:rsid w:val="00FB39D2"/>
    <w:rsid w:val="00FB3A73"/>
    <w:rsid w:val="00FB3AF5"/>
    <w:rsid w:val="00FB3BA4"/>
    <w:rsid w:val="00FB3BD0"/>
    <w:rsid w:val="00FB3CEE"/>
    <w:rsid w:val="00FB3E18"/>
    <w:rsid w:val="00FB3E54"/>
    <w:rsid w:val="00FB3E87"/>
    <w:rsid w:val="00FB3F41"/>
    <w:rsid w:val="00FB3F84"/>
    <w:rsid w:val="00FB3FE7"/>
    <w:rsid w:val="00FB42B7"/>
    <w:rsid w:val="00FB434F"/>
    <w:rsid w:val="00FB4361"/>
    <w:rsid w:val="00FB436D"/>
    <w:rsid w:val="00FB4609"/>
    <w:rsid w:val="00FB4663"/>
    <w:rsid w:val="00FB4694"/>
    <w:rsid w:val="00FB46AE"/>
    <w:rsid w:val="00FB473B"/>
    <w:rsid w:val="00FB4769"/>
    <w:rsid w:val="00FB47EC"/>
    <w:rsid w:val="00FB4865"/>
    <w:rsid w:val="00FB486C"/>
    <w:rsid w:val="00FB4911"/>
    <w:rsid w:val="00FB4C9C"/>
    <w:rsid w:val="00FB4CB5"/>
    <w:rsid w:val="00FB4CFB"/>
    <w:rsid w:val="00FB4D49"/>
    <w:rsid w:val="00FB4E57"/>
    <w:rsid w:val="00FB4EC7"/>
    <w:rsid w:val="00FB5027"/>
    <w:rsid w:val="00FB509B"/>
    <w:rsid w:val="00FB50A0"/>
    <w:rsid w:val="00FB50B1"/>
    <w:rsid w:val="00FB518F"/>
    <w:rsid w:val="00FB5234"/>
    <w:rsid w:val="00FB524D"/>
    <w:rsid w:val="00FB548A"/>
    <w:rsid w:val="00FB54C3"/>
    <w:rsid w:val="00FB5557"/>
    <w:rsid w:val="00FB55C2"/>
    <w:rsid w:val="00FB56A3"/>
    <w:rsid w:val="00FB5819"/>
    <w:rsid w:val="00FB591A"/>
    <w:rsid w:val="00FB5A6C"/>
    <w:rsid w:val="00FB5AD0"/>
    <w:rsid w:val="00FB5CCE"/>
    <w:rsid w:val="00FB5CE3"/>
    <w:rsid w:val="00FB5CEA"/>
    <w:rsid w:val="00FB5DA4"/>
    <w:rsid w:val="00FB5F6F"/>
    <w:rsid w:val="00FB5FA7"/>
    <w:rsid w:val="00FB6093"/>
    <w:rsid w:val="00FB61A3"/>
    <w:rsid w:val="00FB64B7"/>
    <w:rsid w:val="00FB6710"/>
    <w:rsid w:val="00FB6755"/>
    <w:rsid w:val="00FB6841"/>
    <w:rsid w:val="00FB684E"/>
    <w:rsid w:val="00FB68DD"/>
    <w:rsid w:val="00FB68DE"/>
    <w:rsid w:val="00FB690A"/>
    <w:rsid w:val="00FB697E"/>
    <w:rsid w:val="00FB6A56"/>
    <w:rsid w:val="00FB6A76"/>
    <w:rsid w:val="00FB6BD8"/>
    <w:rsid w:val="00FB6CCF"/>
    <w:rsid w:val="00FB6DD8"/>
    <w:rsid w:val="00FB6EEE"/>
    <w:rsid w:val="00FB6F0C"/>
    <w:rsid w:val="00FB6F49"/>
    <w:rsid w:val="00FB708B"/>
    <w:rsid w:val="00FB70AE"/>
    <w:rsid w:val="00FB71CA"/>
    <w:rsid w:val="00FB71EC"/>
    <w:rsid w:val="00FB7210"/>
    <w:rsid w:val="00FB7248"/>
    <w:rsid w:val="00FB7270"/>
    <w:rsid w:val="00FB72C0"/>
    <w:rsid w:val="00FB730B"/>
    <w:rsid w:val="00FB73D0"/>
    <w:rsid w:val="00FB7590"/>
    <w:rsid w:val="00FB75D1"/>
    <w:rsid w:val="00FB764E"/>
    <w:rsid w:val="00FB7652"/>
    <w:rsid w:val="00FB7694"/>
    <w:rsid w:val="00FB781E"/>
    <w:rsid w:val="00FB7850"/>
    <w:rsid w:val="00FB78DF"/>
    <w:rsid w:val="00FB7902"/>
    <w:rsid w:val="00FB7B24"/>
    <w:rsid w:val="00FB7B26"/>
    <w:rsid w:val="00FB7C43"/>
    <w:rsid w:val="00FB7C56"/>
    <w:rsid w:val="00FB7D01"/>
    <w:rsid w:val="00FB7D12"/>
    <w:rsid w:val="00FB7D78"/>
    <w:rsid w:val="00FB7E33"/>
    <w:rsid w:val="00FB7F01"/>
    <w:rsid w:val="00FC0065"/>
    <w:rsid w:val="00FC0069"/>
    <w:rsid w:val="00FC00D2"/>
    <w:rsid w:val="00FC0195"/>
    <w:rsid w:val="00FC021E"/>
    <w:rsid w:val="00FC0262"/>
    <w:rsid w:val="00FC032D"/>
    <w:rsid w:val="00FC0438"/>
    <w:rsid w:val="00FC04AF"/>
    <w:rsid w:val="00FC0547"/>
    <w:rsid w:val="00FC058F"/>
    <w:rsid w:val="00FC05D9"/>
    <w:rsid w:val="00FC05F0"/>
    <w:rsid w:val="00FC0625"/>
    <w:rsid w:val="00FC0889"/>
    <w:rsid w:val="00FC08E3"/>
    <w:rsid w:val="00FC0931"/>
    <w:rsid w:val="00FC0940"/>
    <w:rsid w:val="00FC096F"/>
    <w:rsid w:val="00FC0A43"/>
    <w:rsid w:val="00FC0BA0"/>
    <w:rsid w:val="00FC0BCC"/>
    <w:rsid w:val="00FC0CF6"/>
    <w:rsid w:val="00FC0D15"/>
    <w:rsid w:val="00FC0F3B"/>
    <w:rsid w:val="00FC0FC8"/>
    <w:rsid w:val="00FC1054"/>
    <w:rsid w:val="00FC10AD"/>
    <w:rsid w:val="00FC1124"/>
    <w:rsid w:val="00FC1193"/>
    <w:rsid w:val="00FC11D1"/>
    <w:rsid w:val="00FC1228"/>
    <w:rsid w:val="00FC126F"/>
    <w:rsid w:val="00FC1348"/>
    <w:rsid w:val="00FC1349"/>
    <w:rsid w:val="00FC13ED"/>
    <w:rsid w:val="00FC1506"/>
    <w:rsid w:val="00FC152F"/>
    <w:rsid w:val="00FC153C"/>
    <w:rsid w:val="00FC155A"/>
    <w:rsid w:val="00FC1585"/>
    <w:rsid w:val="00FC17CC"/>
    <w:rsid w:val="00FC17CE"/>
    <w:rsid w:val="00FC1922"/>
    <w:rsid w:val="00FC1969"/>
    <w:rsid w:val="00FC1A74"/>
    <w:rsid w:val="00FC1ABE"/>
    <w:rsid w:val="00FC1BB5"/>
    <w:rsid w:val="00FC1C1F"/>
    <w:rsid w:val="00FC1C54"/>
    <w:rsid w:val="00FC1CD2"/>
    <w:rsid w:val="00FC1D6D"/>
    <w:rsid w:val="00FC1E89"/>
    <w:rsid w:val="00FC1F03"/>
    <w:rsid w:val="00FC1F78"/>
    <w:rsid w:val="00FC2186"/>
    <w:rsid w:val="00FC2233"/>
    <w:rsid w:val="00FC2246"/>
    <w:rsid w:val="00FC2277"/>
    <w:rsid w:val="00FC23FC"/>
    <w:rsid w:val="00FC25AC"/>
    <w:rsid w:val="00FC26D3"/>
    <w:rsid w:val="00FC2708"/>
    <w:rsid w:val="00FC272A"/>
    <w:rsid w:val="00FC2837"/>
    <w:rsid w:val="00FC2867"/>
    <w:rsid w:val="00FC286C"/>
    <w:rsid w:val="00FC29C3"/>
    <w:rsid w:val="00FC2A1E"/>
    <w:rsid w:val="00FC2A56"/>
    <w:rsid w:val="00FC2ABF"/>
    <w:rsid w:val="00FC2AD1"/>
    <w:rsid w:val="00FC2B1C"/>
    <w:rsid w:val="00FC2C68"/>
    <w:rsid w:val="00FC2CDF"/>
    <w:rsid w:val="00FC2D9B"/>
    <w:rsid w:val="00FC2FEE"/>
    <w:rsid w:val="00FC3072"/>
    <w:rsid w:val="00FC30F1"/>
    <w:rsid w:val="00FC320D"/>
    <w:rsid w:val="00FC328A"/>
    <w:rsid w:val="00FC33FA"/>
    <w:rsid w:val="00FC351C"/>
    <w:rsid w:val="00FC3588"/>
    <w:rsid w:val="00FC35FB"/>
    <w:rsid w:val="00FC36D9"/>
    <w:rsid w:val="00FC38D0"/>
    <w:rsid w:val="00FC38E6"/>
    <w:rsid w:val="00FC3920"/>
    <w:rsid w:val="00FC3940"/>
    <w:rsid w:val="00FC3950"/>
    <w:rsid w:val="00FC3962"/>
    <w:rsid w:val="00FC39B1"/>
    <w:rsid w:val="00FC3A0C"/>
    <w:rsid w:val="00FC3A16"/>
    <w:rsid w:val="00FC3A1E"/>
    <w:rsid w:val="00FC3A8A"/>
    <w:rsid w:val="00FC3AA1"/>
    <w:rsid w:val="00FC3ABA"/>
    <w:rsid w:val="00FC3AE2"/>
    <w:rsid w:val="00FC3B04"/>
    <w:rsid w:val="00FC3B79"/>
    <w:rsid w:val="00FC3B8D"/>
    <w:rsid w:val="00FC3BF1"/>
    <w:rsid w:val="00FC3CCA"/>
    <w:rsid w:val="00FC3D7A"/>
    <w:rsid w:val="00FC3EE5"/>
    <w:rsid w:val="00FC3F6B"/>
    <w:rsid w:val="00FC3FE6"/>
    <w:rsid w:val="00FC4090"/>
    <w:rsid w:val="00FC40AA"/>
    <w:rsid w:val="00FC40E6"/>
    <w:rsid w:val="00FC4115"/>
    <w:rsid w:val="00FC419F"/>
    <w:rsid w:val="00FC4244"/>
    <w:rsid w:val="00FC428A"/>
    <w:rsid w:val="00FC4363"/>
    <w:rsid w:val="00FC4509"/>
    <w:rsid w:val="00FC4547"/>
    <w:rsid w:val="00FC45BD"/>
    <w:rsid w:val="00FC46DE"/>
    <w:rsid w:val="00FC473B"/>
    <w:rsid w:val="00FC4773"/>
    <w:rsid w:val="00FC4819"/>
    <w:rsid w:val="00FC48B8"/>
    <w:rsid w:val="00FC49CD"/>
    <w:rsid w:val="00FC4AE1"/>
    <w:rsid w:val="00FC4B06"/>
    <w:rsid w:val="00FC4C6E"/>
    <w:rsid w:val="00FC4CD9"/>
    <w:rsid w:val="00FC4D58"/>
    <w:rsid w:val="00FC4D9E"/>
    <w:rsid w:val="00FC4E4E"/>
    <w:rsid w:val="00FC4E9F"/>
    <w:rsid w:val="00FC4F3E"/>
    <w:rsid w:val="00FC4FDB"/>
    <w:rsid w:val="00FC517F"/>
    <w:rsid w:val="00FC51BC"/>
    <w:rsid w:val="00FC51E0"/>
    <w:rsid w:val="00FC51ED"/>
    <w:rsid w:val="00FC530D"/>
    <w:rsid w:val="00FC5415"/>
    <w:rsid w:val="00FC54F7"/>
    <w:rsid w:val="00FC5512"/>
    <w:rsid w:val="00FC5519"/>
    <w:rsid w:val="00FC56BC"/>
    <w:rsid w:val="00FC574F"/>
    <w:rsid w:val="00FC592B"/>
    <w:rsid w:val="00FC59F1"/>
    <w:rsid w:val="00FC5A45"/>
    <w:rsid w:val="00FC5ADD"/>
    <w:rsid w:val="00FC5B22"/>
    <w:rsid w:val="00FC5BE5"/>
    <w:rsid w:val="00FC5C84"/>
    <w:rsid w:val="00FC5CA8"/>
    <w:rsid w:val="00FC5D7A"/>
    <w:rsid w:val="00FC5F74"/>
    <w:rsid w:val="00FC5FE7"/>
    <w:rsid w:val="00FC6058"/>
    <w:rsid w:val="00FC605F"/>
    <w:rsid w:val="00FC60C7"/>
    <w:rsid w:val="00FC627B"/>
    <w:rsid w:val="00FC62F5"/>
    <w:rsid w:val="00FC640E"/>
    <w:rsid w:val="00FC6483"/>
    <w:rsid w:val="00FC64D3"/>
    <w:rsid w:val="00FC64E0"/>
    <w:rsid w:val="00FC658E"/>
    <w:rsid w:val="00FC6606"/>
    <w:rsid w:val="00FC6704"/>
    <w:rsid w:val="00FC67B3"/>
    <w:rsid w:val="00FC68C1"/>
    <w:rsid w:val="00FC6A63"/>
    <w:rsid w:val="00FC6ABC"/>
    <w:rsid w:val="00FC6B4D"/>
    <w:rsid w:val="00FC6B8C"/>
    <w:rsid w:val="00FC6B96"/>
    <w:rsid w:val="00FC6C74"/>
    <w:rsid w:val="00FC6CD5"/>
    <w:rsid w:val="00FC6CD7"/>
    <w:rsid w:val="00FC6D1C"/>
    <w:rsid w:val="00FC6F86"/>
    <w:rsid w:val="00FC6FB9"/>
    <w:rsid w:val="00FC7088"/>
    <w:rsid w:val="00FC708B"/>
    <w:rsid w:val="00FC70B2"/>
    <w:rsid w:val="00FC70BB"/>
    <w:rsid w:val="00FC70FD"/>
    <w:rsid w:val="00FC7123"/>
    <w:rsid w:val="00FC739C"/>
    <w:rsid w:val="00FC73C9"/>
    <w:rsid w:val="00FC742D"/>
    <w:rsid w:val="00FC7447"/>
    <w:rsid w:val="00FC745F"/>
    <w:rsid w:val="00FC74B4"/>
    <w:rsid w:val="00FC7656"/>
    <w:rsid w:val="00FC7694"/>
    <w:rsid w:val="00FC76F4"/>
    <w:rsid w:val="00FC7764"/>
    <w:rsid w:val="00FC7765"/>
    <w:rsid w:val="00FC776A"/>
    <w:rsid w:val="00FC78A0"/>
    <w:rsid w:val="00FC78DB"/>
    <w:rsid w:val="00FC78E4"/>
    <w:rsid w:val="00FC7B3F"/>
    <w:rsid w:val="00FC7B5B"/>
    <w:rsid w:val="00FC7B68"/>
    <w:rsid w:val="00FC7D42"/>
    <w:rsid w:val="00FC7F9E"/>
    <w:rsid w:val="00FC7FF8"/>
    <w:rsid w:val="00FD0289"/>
    <w:rsid w:val="00FD02D3"/>
    <w:rsid w:val="00FD034C"/>
    <w:rsid w:val="00FD03EF"/>
    <w:rsid w:val="00FD0438"/>
    <w:rsid w:val="00FD04CA"/>
    <w:rsid w:val="00FD04F8"/>
    <w:rsid w:val="00FD063D"/>
    <w:rsid w:val="00FD06BA"/>
    <w:rsid w:val="00FD06CF"/>
    <w:rsid w:val="00FD0703"/>
    <w:rsid w:val="00FD07CE"/>
    <w:rsid w:val="00FD0848"/>
    <w:rsid w:val="00FD09C1"/>
    <w:rsid w:val="00FD0B3D"/>
    <w:rsid w:val="00FD0BB5"/>
    <w:rsid w:val="00FD0C2F"/>
    <w:rsid w:val="00FD0CDC"/>
    <w:rsid w:val="00FD0DA3"/>
    <w:rsid w:val="00FD0F0A"/>
    <w:rsid w:val="00FD0F52"/>
    <w:rsid w:val="00FD1092"/>
    <w:rsid w:val="00FD112B"/>
    <w:rsid w:val="00FD11DF"/>
    <w:rsid w:val="00FD125A"/>
    <w:rsid w:val="00FD134C"/>
    <w:rsid w:val="00FD13AC"/>
    <w:rsid w:val="00FD1430"/>
    <w:rsid w:val="00FD1450"/>
    <w:rsid w:val="00FD152A"/>
    <w:rsid w:val="00FD158F"/>
    <w:rsid w:val="00FD15EB"/>
    <w:rsid w:val="00FD1651"/>
    <w:rsid w:val="00FD1690"/>
    <w:rsid w:val="00FD170E"/>
    <w:rsid w:val="00FD17C9"/>
    <w:rsid w:val="00FD19DD"/>
    <w:rsid w:val="00FD19EE"/>
    <w:rsid w:val="00FD1B71"/>
    <w:rsid w:val="00FD1CB2"/>
    <w:rsid w:val="00FD1D98"/>
    <w:rsid w:val="00FD1DC0"/>
    <w:rsid w:val="00FD1E67"/>
    <w:rsid w:val="00FD204B"/>
    <w:rsid w:val="00FD20AA"/>
    <w:rsid w:val="00FD2141"/>
    <w:rsid w:val="00FD2165"/>
    <w:rsid w:val="00FD21F5"/>
    <w:rsid w:val="00FD22AF"/>
    <w:rsid w:val="00FD2313"/>
    <w:rsid w:val="00FD2365"/>
    <w:rsid w:val="00FD2371"/>
    <w:rsid w:val="00FD241D"/>
    <w:rsid w:val="00FD2470"/>
    <w:rsid w:val="00FD2659"/>
    <w:rsid w:val="00FD2995"/>
    <w:rsid w:val="00FD29B6"/>
    <w:rsid w:val="00FD2A45"/>
    <w:rsid w:val="00FD2B18"/>
    <w:rsid w:val="00FD2C78"/>
    <w:rsid w:val="00FD2DA3"/>
    <w:rsid w:val="00FD30AE"/>
    <w:rsid w:val="00FD30D5"/>
    <w:rsid w:val="00FD312E"/>
    <w:rsid w:val="00FD3136"/>
    <w:rsid w:val="00FD3176"/>
    <w:rsid w:val="00FD3254"/>
    <w:rsid w:val="00FD32C7"/>
    <w:rsid w:val="00FD32DE"/>
    <w:rsid w:val="00FD34C9"/>
    <w:rsid w:val="00FD35D4"/>
    <w:rsid w:val="00FD3657"/>
    <w:rsid w:val="00FD388B"/>
    <w:rsid w:val="00FD39F8"/>
    <w:rsid w:val="00FD3A0D"/>
    <w:rsid w:val="00FD3AB7"/>
    <w:rsid w:val="00FD3CCA"/>
    <w:rsid w:val="00FD3EFD"/>
    <w:rsid w:val="00FD402E"/>
    <w:rsid w:val="00FD40B5"/>
    <w:rsid w:val="00FD411F"/>
    <w:rsid w:val="00FD432D"/>
    <w:rsid w:val="00FD43CF"/>
    <w:rsid w:val="00FD446B"/>
    <w:rsid w:val="00FD4486"/>
    <w:rsid w:val="00FD44E5"/>
    <w:rsid w:val="00FD460F"/>
    <w:rsid w:val="00FD46FE"/>
    <w:rsid w:val="00FD474D"/>
    <w:rsid w:val="00FD4854"/>
    <w:rsid w:val="00FD485E"/>
    <w:rsid w:val="00FD485F"/>
    <w:rsid w:val="00FD489B"/>
    <w:rsid w:val="00FD492C"/>
    <w:rsid w:val="00FD4A63"/>
    <w:rsid w:val="00FD4B97"/>
    <w:rsid w:val="00FD4BB2"/>
    <w:rsid w:val="00FD4D22"/>
    <w:rsid w:val="00FD4D35"/>
    <w:rsid w:val="00FD4DA7"/>
    <w:rsid w:val="00FD4E7C"/>
    <w:rsid w:val="00FD4E8A"/>
    <w:rsid w:val="00FD4ED7"/>
    <w:rsid w:val="00FD4EF1"/>
    <w:rsid w:val="00FD4F2F"/>
    <w:rsid w:val="00FD50D0"/>
    <w:rsid w:val="00FD5252"/>
    <w:rsid w:val="00FD52A1"/>
    <w:rsid w:val="00FD535A"/>
    <w:rsid w:val="00FD5396"/>
    <w:rsid w:val="00FD54C6"/>
    <w:rsid w:val="00FD54F2"/>
    <w:rsid w:val="00FD5712"/>
    <w:rsid w:val="00FD5767"/>
    <w:rsid w:val="00FD57C8"/>
    <w:rsid w:val="00FD57CB"/>
    <w:rsid w:val="00FD5866"/>
    <w:rsid w:val="00FD5896"/>
    <w:rsid w:val="00FD58B8"/>
    <w:rsid w:val="00FD58C5"/>
    <w:rsid w:val="00FD58F2"/>
    <w:rsid w:val="00FD5998"/>
    <w:rsid w:val="00FD59D3"/>
    <w:rsid w:val="00FD59FC"/>
    <w:rsid w:val="00FD5B37"/>
    <w:rsid w:val="00FD5B70"/>
    <w:rsid w:val="00FD5B85"/>
    <w:rsid w:val="00FD5CE1"/>
    <w:rsid w:val="00FD5CF1"/>
    <w:rsid w:val="00FD5E41"/>
    <w:rsid w:val="00FD5E72"/>
    <w:rsid w:val="00FD5F1F"/>
    <w:rsid w:val="00FD6006"/>
    <w:rsid w:val="00FD6017"/>
    <w:rsid w:val="00FD6036"/>
    <w:rsid w:val="00FD608C"/>
    <w:rsid w:val="00FD60DE"/>
    <w:rsid w:val="00FD61C5"/>
    <w:rsid w:val="00FD6206"/>
    <w:rsid w:val="00FD63C0"/>
    <w:rsid w:val="00FD640D"/>
    <w:rsid w:val="00FD6461"/>
    <w:rsid w:val="00FD64A0"/>
    <w:rsid w:val="00FD64D3"/>
    <w:rsid w:val="00FD6519"/>
    <w:rsid w:val="00FD652E"/>
    <w:rsid w:val="00FD65D0"/>
    <w:rsid w:val="00FD66B8"/>
    <w:rsid w:val="00FD66D0"/>
    <w:rsid w:val="00FD6728"/>
    <w:rsid w:val="00FD6745"/>
    <w:rsid w:val="00FD674A"/>
    <w:rsid w:val="00FD67D0"/>
    <w:rsid w:val="00FD68DE"/>
    <w:rsid w:val="00FD69D7"/>
    <w:rsid w:val="00FD6A16"/>
    <w:rsid w:val="00FD6A21"/>
    <w:rsid w:val="00FD6AF3"/>
    <w:rsid w:val="00FD6B1E"/>
    <w:rsid w:val="00FD6B24"/>
    <w:rsid w:val="00FD6C32"/>
    <w:rsid w:val="00FD6C8B"/>
    <w:rsid w:val="00FD6DA1"/>
    <w:rsid w:val="00FD6E70"/>
    <w:rsid w:val="00FD6FE1"/>
    <w:rsid w:val="00FD7164"/>
    <w:rsid w:val="00FD726C"/>
    <w:rsid w:val="00FD7270"/>
    <w:rsid w:val="00FD742C"/>
    <w:rsid w:val="00FD7457"/>
    <w:rsid w:val="00FD75C7"/>
    <w:rsid w:val="00FD75FA"/>
    <w:rsid w:val="00FD7633"/>
    <w:rsid w:val="00FD778E"/>
    <w:rsid w:val="00FD796F"/>
    <w:rsid w:val="00FD7A96"/>
    <w:rsid w:val="00FD7B0D"/>
    <w:rsid w:val="00FD7B50"/>
    <w:rsid w:val="00FD7BB0"/>
    <w:rsid w:val="00FD7D91"/>
    <w:rsid w:val="00FD7E12"/>
    <w:rsid w:val="00FD7E3A"/>
    <w:rsid w:val="00FD7E8A"/>
    <w:rsid w:val="00FD7EE3"/>
    <w:rsid w:val="00FD7FAB"/>
    <w:rsid w:val="00FD7FAE"/>
    <w:rsid w:val="00FE009E"/>
    <w:rsid w:val="00FE00C9"/>
    <w:rsid w:val="00FE0157"/>
    <w:rsid w:val="00FE01AD"/>
    <w:rsid w:val="00FE02A3"/>
    <w:rsid w:val="00FE0353"/>
    <w:rsid w:val="00FE0359"/>
    <w:rsid w:val="00FE03B9"/>
    <w:rsid w:val="00FE03E1"/>
    <w:rsid w:val="00FE043D"/>
    <w:rsid w:val="00FE0568"/>
    <w:rsid w:val="00FE057F"/>
    <w:rsid w:val="00FE0695"/>
    <w:rsid w:val="00FE06A7"/>
    <w:rsid w:val="00FE06D5"/>
    <w:rsid w:val="00FE084D"/>
    <w:rsid w:val="00FE0AB1"/>
    <w:rsid w:val="00FE0B24"/>
    <w:rsid w:val="00FE0C1F"/>
    <w:rsid w:val="00FE0C5E"/>
    <w:rsid w:val="00FE0C74"/>
    <w:rsid w:val="00FE0D13"/>
    <w:rsid w:val="00FE0DA8"/>
    <w:rsid w:val="00FE0DBC"/>
    <w:rsid w:val="00FE0E6B"/>
    <w:rsid w:val="00FE0EB0"/>
    <w:rsid w:val="00FE103A"/>
    <w:rsid w:val="00FE1062"/>
    <w:rsid w:val="00FE10F9"/>
    <w:rsid w:val="00FE117E"/>
    <w:rsid w:val="00FE1229"/>
    <w:rsid w:val="00FE12AB"/>
    <w:rsid w:val="00FE1421"/>
    <w:rsid w:val="00FE146B"/>
    <w:rsid w:val="00FE146C"/>
    <w:rsid w:val="00FE1495"/>
    <w:rsid w:val="00FE15CA"/>
    <w:rsid w:val="00FE17F3"/>
    <w:rsid w:val="00FE1865"/>
    <w:rsid w:val="00FE1882"/>
    <w:rsid w:val="00FE18D2"/>
    <w:rsid w:val="00FE18E7"/>
    <w:rsid w:val="00FE1957"/>
    <w:rsid w:val="00FE1A04"/>
    <w:rsid w:val="00FE1AF3"/>
    <w:rsid w:val="00FE1AFC"/>
    <w:rsid w:val="00FE1AFF"/>
    <w:rsid w:val="00FE1B39"/>
    <w:rsid w:val="00FE1B76"/>
    <w:rsid w:val="00FE1B9D"/>
    <w:rsid w:val="00FE1D23"/>
    <w:rsid w:val="00FE1DE9"/>
    <w:rsid w:val="00FE1F13"/>
    <w:rsid w:val="00FE1F95"/>
    <w:rsid w:val="00FE2005"/>
    <w:rsid w:val="00FE2268"/>
    <w:rsid w:val="00FE22E5"/>
    <w:rsid w:val="00FE235A"/>
    <w:rsid w:val="00FE2380"/>
    <w:rsid w:val="00FE2412"/>
    <w:rsid w:val="00FE26DD"/>
    <w:rsid w:val="00FE2847"/>
    <w:rsid w:val="00FE289C"/>
    <w:rsid w:val="00FE2A2F"/>
    <w:rsid w:val="00FE2A35"/>
    <w:rsid w:val="00FE2A47"/>
    <w:rsid w:val="00FE2ADA"/>
    <w:rsid w:val="00FE2B26"/>
    <w:rsid w:val="00FE2BEE"/>
    <w:rsid w:val="00FE2C33"/>
    <w:rsid w:val="00FE2E09"/>
    <w:rsid w:val="00FE2E47"/>
    <w:rsid w:val="00FE2ED2"/>
    <w:rsid w:val="00FE2EF3"/>
    <w:rsid w:val="00FE2F65"/>
    <w:rsid w:val="00FE31E7"/>
    <w:rsid w:val="00FE324B"/>
    <w:rsid w:val="00FE32EF"/>
    <w:rsid w:val="00FE3302"/>
    <w:rsid w:val="00FE335B"/>
    <w:rsid w:val="00FE34E4"/>
    <w:rsid w:val="00FE361C"/>
    <w:rsid w:val="00FE36D5"/>
    <w:rsid w:val="00FE3710"/>
    <w:rsid w:val="00FE373D"/>
    <w:rsid w:val="00FE374B"/>
    <w:rsid w:val="00FE37C4"/>
    <w:rsid w:val="00FE37C7"/>
    <w:rsid w:val="00FE38FB"/>
    <w:rsid w:val="00FE3A09"/>
    <w:rsid w:val="00FE3A40"/>
    <w:rsid w:val="00FE3A48"/>
    <w:rsid w:val="00FE3AB2"/>
    <w:rsid w:val="00FE3AC7"/>
    <w:rsid w:val="00FE3AD0"/>
    <w:rsid w:val="00FE3AE3"/>
    <w:rsid w:val="00FE3D9D"/>
    <w:rsid w:val="00FE3DA7"/>
    <w:rsid w:val="00FE3E35"/>
    <w:rsid w:val="00FE3F9F"/>
    <w:rsid w:val="00FE419C"/>
    <w:rsid w:val="00FE4232"/>
    <w:rsid w:val="00FE427A"/>
    <w:rsid w:val="00FE4336"/>
    <w:rsid w:val="00FE436B"/>
    <w:rsid w:val="00FE43C8"/>
    <w:rsid w:val="00FE4426"/>
    <w:rsid w:val="00FE4493"/>
    <w:rsid w:val="00FE44D2"/>
    <w:rsid w:val="00FE44E1"/>
    <w:rsid w:val="00FE44E9"/>
    <w:rsid w:val="00FE477F"/>
    <w:rsid w:val="00FE478C"/>
    <w:rsid w:val="00FE491D"/>
    <w:rsid w:val="00FE491F"/>
    <w:rsid w:val="00FE4993"/>
    <w:rsid w:val="00FE4BDB"/>
    <w:rsid w:val="00FE4D5A"/>
    <w:rsid w:val="00FE4DC3"/>
    <w:rsid w:val="00FE4E1E"/>
    <w:rsid w:val="00FE4E5E"/>
    <w:rsid w:val="00FE4F72"/>
    <w:rsid w:val="00FE4F7C"/>
    <w:rsid w:val="00FE50AB"/>
    <w:rsid w:val="00FE50FD"/>
    <w:rsid w:val="00FE5219"/>
    <w:rsid w:val="00FE522B"/>
    <w:rsid w:val="00FE53A7"/>
    <w:rsid w:val="00FE53D9"/>
    <w:rsid w:val="00FE5442"/>
    <w:rsid w:val="00FE55A3"/>
    <w:rsid w:val="00FE5645"/>
    <w:rsid w:val="00FE57A8"/>
    <w:rsid w:val="00FE58B9"/>
    <w:rsid w:val="00FE58DE"/>
    <w:rsid w:val="00FE58F2"/>
    <w:rsid w:val="00FE5A22"/>
    <w:rsid w:val="00FE5A45"/>
    <w:rsid w:val="00FE5A5F"/>
    <w:rsid w:val="00FE5BAA"/>
    <w:rsid w:val="00FE5E61"/>
    <w:rsid w:val="00FE5E6A"/>
    <w:rsid w:val="00FE5E6C"/>
    <w:rsid w:val="00FE5F55"/>
    <w:rsid w:val="00FE601D"/>
    <w:rsid w:val="00FE60CB"/>
    <w:rsid w:val="00FE61AE"/>
    <w:rsid w:val="00FE6325"/>
    <w:rsid w:val="00FE634B"/>
    <w:rsid w:val="00FE635E"/>
    <w:rsid w:val="00FE6441"/>
    <w:rsid w:val="00FE649D"/>
    <w:rsid w:val="00FE64EA"/>
    <w:rsid w:val="00FE6539"/>
    <w:rsid w:val="00FE6580"/>
    <w:rsid w:val="00FE662D"/>
    <w:rsid w:val="00FE669C"/>
    <w:rsid w:val="00FE66A0"/>
    <w:rsid w:val="00FE6729"/>
    <w:rsid w:val="00FE672A"/>
    <w:rsid w:val="00FE67E0"/>
    <w:rsid w:val="00FE6807"/>
    <w:rsid w:val="00FE68DD"/>
    <w:rsid w:val="00FE6902"/>
    <w:rsid w:val="00FE69CB"/>
    <w:rsid w:val="00FE6B9F"/>
    <w:rsid w:val="00FE6BB7"/>
    <w:rsid w:val="00FE6CEB"/>
    <w:rsid w:val="00FE6D10"/>
    <w:rsid w:val="00FE6E16"/>
    <w:rsid w:val="00FE6F5F"/>
    <w:rsid w:val="00FE704C"/>
    <w:rsid w:val="00FE705A"/>
    <w:rsid w:val="00FE70B2"/>
    <w:rsid w:val="00FE7170"/>
    <w:rsid w:val="00FE727A"/>
    <w:rsid w:val="00FE72FB"/>
    <w:rsid w:val="00FE750D"/>
    <w:rsid w:val="00FE7550"/>
    <w:rsid w:val="00FE7580"/>
    <w:rsid w:val="00FE75CF"/>
    <w:rsid w:val="00FE7942"/>
    <w:rsid w:val="00FE797C"/>
    <w:rsid w:val="00FE7A13"/>
    <w:rsid w:val="00FE7AFD"/>
    <w:rsid w:val="00FE7BF1"/>
    <w:rsid w:val="00FE7F8C"/>
    <w:rsid w:val="00FF0082"/>
    <w:rsid w:val="00FF00C1"/>
    <w:rsid w:val="00FF017E"/>
    <w:rsid w:val="00FF01CD"/>
    <w:rsid w:val="00FF01F4"/>
    <w:rsid w:val="00FF025F"/>
    <w:rsid w:val="00FF0275"/>
    <w:rsid w:val="00FF02EC"/>
    <w:rsid w:val="00FF046D"/>
    <w:rsid w:val="00FF04E9"/>
    <w:rsid w:val="00FF04F9"/>
    <w:rsid w:val="00FF0553"/>
    <w:rsid w:val="00FF05ED"/>
    <w:rsid w:val="00FF0629"/>
    <w:rsid w:val="00FF062A"/>
    <w:rsid w:val="00FF0790"/>
    <w:rsid w:val="00FF0810"/>
    <w:rsid w:val="00FF082F"/>
    <w:rsid w:val="00FF0891"/>
    <w:rsid w:val="00FF091B"/>
    <w:rsid w:val="00FF0945"/>
    <w:rsid w:val="00FF095B"/>
    <w:rsid w:val="00FF0A16"/>
    <w:rsid w:val="00FF0A24"/>
    <w:rsid w:val="00FF0ADC"/>
    <w:rsid w:val="00FF0B41"/>
    <w:rsid w:val="00FF0BAA"/>
    <w:rsid w:val="00FF0D00"/>
    <w:rsid w:val="00FF11A7"/>
    <w:rsid w:val="00FF123B"/>
    <w:rsid w:val="00FF12AC"/>
    <w:rsid w:val="00FF1332"/>
    <w:rsid w:val="00FF1451"/>
    <w:rsid w:val="00FF14BA"/>
    <w:rsid w:val="00FF14C7"/>
    <w:rsid w:val="00FF1520"/>
    <w:rsid w:val="00FF162E"/>
    <w:rsid w:val="00FF1644"/>
    <w:rsid w:val="00FF1651"/>
    <w:rsid w:val="00FF16CC"/>
    <w:rsid w:val="00FF1701"/>
    <w:rsid w:val="00FF1789"/>
    <w:rsid w:val="00FF1822"/>
    <w:rsid w:val="00FF1883"/>
    <w:rsid w:val="00FF18B4"/>
    <w:rsid w:val="00FF18E5"/>
    <w:rsid w:val="00FF18FA"/>
    <w:rsid w:val="00FF194F"/>
    <w:rsid w:val="00FF1A26"/>
    <w:rsid w:val="00FF1ABB"/>
    <w:rsid w:val="00FF1BE6"/>
    <w:rsid w:val="00FF1D0B"/>
    <w:rsid w:val="00FF1E1F"/>
    <w:rsid w:val="00FF1EAB"/>
    <w:rsid w:val="00FF1F18"/>
    <w:rsid w:val="00FF1FA4"/>
    <w:rsid w:val="00FF1FB4"/>
    <w:rsid w:val="00FF2024"/>
    <w:rsid w:val="00FF21A9"/>
    <w:rsid w:val="00FF21CE"/>
    <w:rsid w:val="00FF22D3"/>
    <w:rsid w:val="00FF22ED"/>
    <w:rsid w:val="00FF250B"/>
    <w:rsid w:val="00FF2526"/>
    <w:rsid w:val="00FF26CE"/>
    <w:rsid w:val="00FF2707"/>
    <w:rsid w:val="00FF2791"/>
    <w:rsid w:val="00FF27C8"/>
    <w:rsid w:val="00FF2810"/>
    <w:rsid w:val="00FF2888"/>
    <w:rsid w:val="00FF28C6"/>
    <w:rsid w:val="00FF28E5"/>
    <w:rsid w:val="00FF293E"/>
    <w:rsid w:val="00FF2B16"/>
    <w:rsid w:val="00FF2B2F"/>
    <w:rsid w:val="00FF2B4E"/>
    <w:rsid w:val="00FF2B50"/>
    <w:rsid w:val="00FF2D30"/>
    <w:rsid w:val="00FF2D5C"/>
    <w:rsid w:val="00FF2D69"/>
    <w:rsid w:val="00FF2D82"/>
    <w:rsid w:val="00FF2D97"/>
    <w:rsid w:val="00FF2F01"/>
    <w:rsid w:val="00FF308D"/>
    <w:rsid w:val="00FF30AA"/>
    <w:rsid w:val="00FF30B0"/>
    <w:rsid w:val="00FF30F5"/>
    <w:rsid w:val="00FF31F7"/>
    <w:rsid w:val="00FF3263"/>
    <w:rsid w:val="00FF32E4"/>
    <w:rsid w:val="00FF3561"/>
    <w:rsid w:val="00FF3686"/>
    <w:rsid w:val="00FF380E"/>
    <w:rsid w:val="00FF3818"/>
    <w:rsid w:val="00FF392B"/>
    <w:rsid w:val="00FF39BD"/>
    <w:rsid w:val="00FF39C8"/>
    <w:rsid w:val="00FF3B33"/>
    <w:rsid w:val="00FF3B8C"/>
    <w:rsid w:val="00FF3DEC"/>
    <w:rsid w:val="00FF3E98"/>
    <w:rsid w:val="00FF3FFA"/>
    <w:rsid w:val="00FF4150"/>
    <w:rsid w:val="00FF4165"/>
    <w:rsid w:val="00FF4220"/>
    <w:rsid w:val="00FF4221"/>
    <w:rsid w:val="00FF434B"/>
    <w:rsid w:val="00FF4495"/>
    <w:rsid w:val="00FF44E7"/>
    <w:rsid w:val="00FF462A"/>
    <w:rsid w:val="00FF46B4"/>
    <w:rsid w:val="00FF46C0"/>
    <w:rsid w:val="00FF46D6"/>
    <w:rsid w:val="00FF470F"/>
    <w:rsid w:val="00FF483E"/>
    <w:rsid w:val="00FF4984"/>
    <w:rsid w:val="00FF4A16"/>
    <w:rsid w:val="00FF4B74"/>
    <w:rsid w:val="00FF4B7E"/>
    <w:rsid w:val="00FF4DAA"/>
    <w:rsid w:val="00FF4EEF"/>
    <w:rsid w:val="00FF4EFB"/>
    <w:rsid w:val="00FF50C9"/>
    <w:rsid w:val="00FF5153"/>
    <w:rsid w:val="00FF52C5"/>
    <w:rsid w:val="00FF52F0"/>
    <w:rsid w:val="00FF5314"/>
    <w:rsid w:val="00FF533B"/>
    <w:rsid w:val="00FF53AA"/>
    <w:rsid w:val="00FF5468"/>
    <w:rsid w:val="00FF5476"/>
    <w:rsid w:val="00FF54F6"/>
    <w:rsid w:val="00FF5527"/>
    <w:rsid w:val="00FF554C"/>
    <w:rsid w:val="00FF558B"/>
    <w:rsid w:val="00FF5591"/>
    <w:rsid w:val="00FF55E8"/>
    <w:rsid w:val="00FF55F9"/>
    <w:rsid w:val="00FF5615"/>
    <w:rsid w:val="00FF56DC"/>
    <w:rsid w:val="00FF56F2"/>
    <w:rsid w:val="00FF5712"/>
    <w:rsid w:val="00FF5778"/>
    <w:rsid w:val="00FF577F"/>
    <w:rsid w:val="00FF57A9"/>
    <w:rsid w:val="00FF580A"/>
    <w:rsid w:val="00FF58D1"/>
    <w:rsid w:val="00FF5915"/>
    <w:rsid w:val="00FF5977"/>
    <w:rsid w:val="00FF5989"/>
    <w:rsid w:val="00FF5A5E"/>
    <w:rsid w:val="00FF5B02"/>
    <w:rsid w:val="00FF5BC6"/>
    <w:rsid w:val="00FF5C0D"/>
    <w:rsid w:val="00FF5C35"/>
    <w:rsid w:val="00FF5D51"/>
    <w:rsid w:val="00FF5D7E"/>
    <w:rsid w:val="00FF5E9C"/>
    <w:rsid w:val="00FF5F40"/>
    <w:rsid w:val="00FF5F7F"/>
    <w:rsid w:val="00FF6094"/>
    <w:rsid w:val="00FF620C"/>
    <w:rsid w:val="00FF62B9"/>
    <w:rsid w:val="00FF62DE"/>
    <w:rsid w:val="00FF63CD"/>
    <w:rsid w:val="00FF667A"/>
    <w:rsid w:val="00FF66B9"/>
    <w:rsid w:val="00FF66F1"/>
    <w:rsid w:val="00FF67C1"/>
    <w:rsid w:val="00FF6837"/>
    <w:rsid w:val="00FF684B"/>
    <w:rsid w:val="00FF6859"/>
    <w:rsid w:val="00FF68B0"/>
    <w:rsid w:val="00FF68EA"/>
    <w:rsid w:val="00FF699F"/>
    <w:rsid w:val="00FF69D9"/>
    <w:rsid w:val="00FF6A85"/>
    <w:rsid w:val="00FF6BA7"/>
    <w:rsid w:val="00FF6D9A"/>
    <w:rsid w:val="00FF6E0C"/>
    <w:rsid w:val="00FF6E18"/>
    <w:rsid w:val="00FF6F41"/>
    <w:rsid w:val="00FF6F57"/>
    <w:rsid w:val="00FF710B"/>
    <w:rsid w:val="00FF7188"/>
    <w:rsid w:val="00FF71F1"/>
    <w:rsid w:val="00FF7231"/>
    <w:rsid w:val="00FF7481"/>
    <w:rsid w:val="00FF7514"/>
    <w:rsid w:val="00FF752E"/>
    <w:rsid w:val="00FF75D4"/>
    <w:rsid w:val="00FF766B"/>
    <w:rsid w:val="00FF77B0"/>
    <w:rsid w:val="00FF77C9"/>
    <w:rsid w:val="00FF7806"/>
    <w:rsid w:val="00FF780B"/>
    <w:rsid w:val="00FF78E4"/>
    <w:rsid w:val="00FF79A4"/>
    <w:rsid w:val="00FF79B2"/>
    <w:rsid w:val="00FF79FF"/>
    <w:rsid w:val="00FF7CA7"/>
    <w:rsid w:val="00FF7DCC"/>
    <w:rsid w:val="00FF7E21"/>
    <w:rsid w:val="00FF7E2C"/>
    <w:rsid w:val="00FF7E69"/>
    <w:rsid w:val="012309A4"/>
    <w:rsid w:val="01DA28B2"/>
    <w:rsid w:val="01F1B284"/>
    <w:rsid w:val="02620933"/>
    <w:rsid w:val="0266926B"/>
    <w:rsid w:val="02F1DA46"/>
    <w:rsid w:val="0314BFBC"/>
    <w:rsid w:val="03254FD6"/>
    <w:rsid w:val="03BDB472"/>
    <w:rsid w:val="04B715D9"/>
    <w:rsid w:val="055180F9"/>
    <w:rsid w:val="056960BC"/>
    <w:rsid w:val="05A6A3CD"/>
    <w:rsid w:val="05CC6CA3"/>
    <w:rsid w:val="05DF13D3"/>
    <w:rsid w:val="0606B023"/>
    <w:rsid w:val="062CC196"/>
    <w:rsid w:val="070BF58F"/>
    <w:rsid w:val="074633CA"/>
    <w:rsid w:val="07507DF6"/>
    <w:rsid w:val="0759DAD6"/>
    <w:rsid w:val="078003D1"/>
    <w:rsid w:val="0799AFA8"/>
    <w:rsid w:val="07EF46F9"/>
    <w:rsid w:val="085047DA"/>
    <w:rsid w:val="08B2CEA2"/>
    <w:rsid w:val="08E6E6A0"/>
    <w:rsid w:val="08FD8C38"/>
    <w:rsid w:val="093869B5"/>
    <w:rsid w:val="0963365B"/>
    <w:rsid w:val="09689C74"/>
    <w:rsid w:val="0A0D6932"/>
    <w:rsid w:val="0A2ED1A7"/>
    <w:rsid w:val="0A4969E1"/>
    <w:rsid w:val="0A7BD955"/>
    <w:rsid w:val="0A9D506E"/>
    <w:rsid w:val="0ABE7525"/>
    <w:rsid w:val="0AC62F1C"/>
    <w:rsid w:val="0B69043F"/>
    <w:rsid w:val="0B69EC0A"/>
    <w:rsid w:val="0BE48719"/>
    <w:rsid w:val="0C44B5D5"/>
    <w:rsid w:val="0C6FDE7D"/>
    <w:rsid w:val="0C767A07"/>
    <w:rsid w:val="0C84DAC3"/>
    <w:rsid w:val="0CB5C1F4"/>
    <w:rsid w:val="0CCCFC65"/>
    <w:rsid w:val="0CD6447D"/>
    <w:rsid w:val="0D2D26DB"/>
    <w:rsid w:val="0D342F97"/>
    <w:rsid w:val="0DDD1F9D"/>
    <w:rsid w:val="0E0BAEDE"/>
    <w:rsid w:val="0E37C2C2"/>
    <w:rsid w:val="0E3AA054"/>
    <w:rsid w:val="0E9A20AC"/>
    <w:rsid w:val="0EC4C04E"/>
    <w:rsid w:val="0EEAB11A"/>
    <w:rsid w:val="0EF3A3F1"/>
    <w:rsid w:val="0F196506"/>
    <w:rsid w:val="0F5B92E5"/>
    <w:rsid w:val="0F602E7C"/>
    <w:rsid w:val="0F6CCDBC"/>
    <w:rsid w:val="0F7EF8D9"/>
    <w:rsid w:val="0F833A69"/>
    <w:rsid w:val="0F872B6E"/>
    <w:rsid w:val="0F8FB35E"/>
    <w:rsid w:val="0FCA3256"/>
    <w:rsid w:val="10648EC8"/>
    <w:rsid w:val="11469A08"/>
    <w:rsid w:val="11CF9AA3"/>
    <w:rsid w:val="11D204B3"/>
    <w:rsid w:val="11FCA752"/>
    <w:rsid w:val="11FF6DF6"/>
    <w:rsid w:val="120207B7"/>
    <w:rsid w:val="125EDC9D"/>
    <w:rsid w:val="12767BB4"/>
    <w:rsid w:val="129333A7"/>
    <w:rsid w:val="1337B001"/>
    <w:rsid w:val="13547FD4"/>
    <w:rsid w:val="13BD3420"/>
    <w:rsid w:val="13DB795A"/>
    <w:rsid w:val="1418ED10"/>
    <w:rsid w:val="14686900"/>
    <w:rsid w:val="14AEE7A6"/>
    <w:rsid w:val="1502D204"/>
    <w:rsid w:val="1525DFE1"/>
    <w:rsid w:val="159F08D2"/>
    <w:rsid w:val="16E8CB99"/>
    <w:rsid w:val="178D2B99"/>
    <w:rsid w:val="18D574A0"/>
    <w:rsid w:val="19949E17"/>
    <w:rsid w:val="19C64079"/>
    <w:rsid w:val="1A0772F5"/>
    <w:rsid w:val="1A7B85F3"/>
    <w:rsid w:val="1A8D27B7"/>
    <w:rsid w:val="1AB76DE9"/>
    <w:rsid w:val="1B40F625"/>
    <w:rsid w:val="1BA34356"/>
    <w:rsid w:val="1BA79BB3"/>
    <w:rsid w:val="1BC0677C"/>
    <w:rsid w:val="1BEB0170"/>
    <w:rsid w:val="1C2C571E"/>
    <w:rsid w:val="1C542C21"/>
    <w:rsid w:val="1C6F240E"/>
    <w:rsid w:val="1C7559A3"/>
    <w:rsid w:val="1CC82718"/>
    <w:rsid w:val="1D08CEC0"/>
    <w:rsid w:val="1EE2E50F"/>
    <w:rsid w:val="1F152BF5"/>
    <w:rsid w:val="1F400216"/>
    <w:rsid w:val="1F517D07"/>
    <w:rsid w:val="1F539CFB"/>
    <w:rsid w:val="1F8ADF0C"/>
    <w:rsid w:val="1FD3406E"/>
    <w:rsid w:val="1FD9B813"/>
    <w:rsid w:val="201B8668"/>
    <w:rsid w:val="2052B0ED"/>
    <w:rsid w:val="20B165FC"/>
    <w:rsid w:val="20C4623C"/>
    <w:rsid w:val="20DE9827"/>
    <w:rsid w:val="211B35CC"/>
    <w:rsid w:val="212C9008"/>
    <w:rsid w:val="21612FF7"/>
    <w:rsid w:val="21ECEFBA"/>
    <w:rsid w:val="21FD5052"/>
    <w:rsid w:val="220EBB60"/>
    <w:rsid w:val="222CA78E"/>
    <w:rsid w:val="2234D304"/>
    <w:rsid w:val="22BF4906"/>
    <w:rsid w:val="231FE468"/>
    <w:rsid w:val="233A7604"/>
    <w:rsid w:val="234C080A"/>
    <w:rsid w:val="2351F41D"/>
    <w:rsid w:val="2361421E"/>
    <w:rsid w:val="23617F30"/>
    <w:rsid w:val="24159C29"/>
    <w:rsid w:val="246B5971"/>
    <w:rsid w:val="2470F293"/>
    <w:rsid w:val="24FFC6DE"/>
    <w:rsid w:val="251B863B"/>
    <w:rsid w:val="251D2EF1"/>
    <w:rsid w:val="2534F114"/>
    <w:rsid w:val="256428B6"/>
    <w:rsid w:val="25D2FE86"/>
    <w:rsid w:val="25D8A6BB"/>
    <w:rsid w:val="2634D213"/>
    <w:rsid w:val="26623614"/>
    <w:rsid w:val="26A9FA5D"/>
    <w:rsid w:val="26DB3C53"/>
    <w:rsid w:val="276C2C0C"/>
    <w:rsid w:val="2856766E"/>
    <w:rsid w:val="286C6519"/>
    <w:rsid w:val="28708B87"/>
    <w:rsid w:val="288004F5"/>
    <w:rsid w:val="28AD9BC7"/>
    <w:rsid w:val="28C58E5D"/>
    <w:rsid w:val="28D74664"/>
    <w:rsid w:val="28EB4ACC"/>
    <w:rsid w:val="29F0AF3E"/>
    <w:rsid w:val="29F8006B"/>
    <w:rsid w:val="2A5A5F91"/>
    <w:rsid w:val="2B4BA18F"/>
    <w:rsid w:val="2BA82C49"/>
    <w:rsid w:val="2BC1E486"/>
    <w:rsid w:val="2C9FB47D"/>
    <w:rsid w:val="2CFD310B"/>
    <w:rsid w:val="2D0907E6"/>
    <w:rsid w:val="2D31557A"/>
    <w:rsid w:val="2D784A24"/>
    <w:rsid w:val="2DF919DB"/>
    <w:rsid w:val="2E6E8F0C"/>
    <w:rsid w:val="2E914365"/>
    <w:rsid w:val="2EC1C83F"/>
    <w:rsid w:val="2ECD42CE"/>
    <w:rsid w:val="2EE64E38"/>
    <w:rsid w:val="2F27FC97"/>
    <w:rsid w:val="2F3EB5A5"/>
    <w:rsid w:val="2F441951"/>
    <w:rsid w:val="2F9BB598"/>
    <w:rsid w:val="302A7331"/>
    <w:rsid w:val="30B1ABD1"/>
    <w:rsid w:val="3106E2E7"/>
    <w:rsid w:val="310AAAB6"/>
    <w:rsid w:val="31626CC2"/>
    <w:rsid w:val="316F605F"/>
    <w:rsid w:val="318F5782"/>
    <w:rsid w:val="31964E51"/>
    <w:rsid w:val="31EDF6E4"/>
    <w:rsid w:val="324254F4"/>
    <w:rsid w:val="325A725A"/>
    <w:rsid w:val="327CA424"/>
    <w:rsid w:val="330F3B88"/>
    <w:rsid w:val="331124C7"/>
    <w:rsid w:val="332D399A"/>
    <w:rsid w:val="334F3E0B"/>
    <w:rsid w:val="337325E1"/>
    <w:rsid w:val="33C308A0"/>
    <w:rsid w:val="33D30D8C"/>
    <w:rsid w:val="34243D17"/>
    <w:rsid w:val="34621109"/>
    <w:rsid w:val="34C27CF6"/>
    <w:rsid w:val="34D95B78"/>
    <w:rsid w:val="35A14E01"/>
    <w:rsid w:val="35ADF729"/>
    <w:rsid w:val="35F1BEE7"/>
    <w:rsid w:val="3610D328"/>
    <w:rsid w:val="36A1BA1C"/>
    <w:rsid w:val="36B8F3D8"/>
    <w:rsid w:val="36C01DEC"/>
    <w:rsid w:val="36E7F06F"/>
    <w:rsid w:val="37123D44"/>
    <w:rsid w:val="3749C78A"/>
    <w:rsid w:val="37964F1D"/>
    <w:rsid w:val="37A6C09E"/>
    <w:rsid w:val="37E5A5C0"/>
    <w:rsid w:val="37E99344"/>
    <w:rsid w:val="393F1B3E"/>
    <w:rsid w:val="3967CB14"/>
    <w:rsid w:val="3A1D017B"/>
    <w:rsid w:val="3ADE62FA"/>
    <w:rsid w:val="3AFD1A48"/>
    <w:rsid w:val="3B1642A5"/>
    <w:rsid w:val="3C447F05"/>
    <w:rsid w:val="3C63EB7D"/>
    <w:rsid w:val="3C945410"/>
    <w:rsid w:val="3CC8B189"/>
    <w:rsid w:val="3D8B4143"/>
    <w:rsid w:val="3DC5D695"/>
    <w:rsid w:val="3E0AA006"/>
    <w:rsid w:val="3E30AC29"/>
    <w:rsid w:val="3ED79728"/>
    <w:rsid w:val="3F11EC2D"/>
    <w:rsid w:val="3F3541B3"/>
    <w:rsid w:val="3F720E4F"/>
    <w:rsid w:val="3F848297"/>
    <w:rsid w:val="3FBE3EB3"/>
    <w:rsid w:val="3FD8595F"/>
    <w:rsid w:val="3FE90F18"/>
    <w:rsid w:val="406539CA"/>
    <w:rsid w:val="40F5A8D5"/>
    <w:rsid w:val="4172DCF9"/>
    <w:rsid w:val="41965B04"/>
    <w:rsid w:val="41981B35"/>
    <w:rsid w:val="424F1ABD"/>
    <w:rsid w:val="42668EA1"/>
    <w:rsid w:val="42A4D403"/>
    <w:rsid w:val="42C2A49D"/>
    <w:rsid w:val="42D321CD"/>
    <w:rsid w:val="42D9993C"/>
    <w:rsid w:val="430EAD5A"/>
    <w:rsid w:val="43B730DE"/>
    <w:rsid w:val="43DBD103"/>
    <w:rsid w:val="445AD7BA"/>
    <w:rsid w:val="4483B3A6"/>
    <w:rsid w:val="44BDF510"/>
    <w:rsid w:val="4502E528"/>
    <w:rsid w:val="454032D1"/>
    <w:rsid w:val="4546AD27"/>
    <w:rsid w:val="45AC1BCF"/>
    <w:rsid w:val="45DA1B27"/>
    <w:rsid w:val="460BD469"/>
    <w:rsid w:val="46933D29"/>
    <w:rsid w:val="46F37EA9"/>
    <w:rsid w:val="47A7A4CA"/>
    <w:rsid w:val="47C6A8D2"/>
    <w:rsid w:val="47E1FD1B"/>
    <w:rsid w:val="487DADE4"/>
    <w:rsid w:val="489EAD09"/>
    <w:rsid w:val="48E12E75"/>
    <w:rsid w:val="48ED7E19"/>
    <w:rsid w:val="499DE645"/>
    <w:rsid w:val="4A0DE970"/>
    <w:rsid w:val="4A8FB0FA"/>
    <w:rsid w:val="4B19BF3F"/>
    <w:rsid w:val="4B28CC89"/>
    <w:rsid w:val="4B2A6C59"/>
    <w:rsid w:val="4B933095"/>
    <w:rsid w:val="4BC6B188"/>
    <w:rsid w:val="4BEF3A23"/>
    <w:rsid w:val="4C112F5C"/>
    <w:rsid w:val="4C3C45E7"/>
    <w:rsid w:val="4C51AF5F"/>
    <w:rsid w:val="4CB98D29"/>
    <w:rsid w:val="4CC3A5A7"/>
    <w:rsid w:val="4CD5DBBD"/>
    <w:rsid w:val="4D19E67E"/>
    <w:rsid w:val="4D4DC2FD"/>
    <w:rsid w:val="4DA220D9"/>
    <w:rsid w:val="4DACE936"/>
    <w:rsid w:val="4DE0402B"/>
    <w:rsid w:val="4E0D11F9"/>
    <w:rsid w:val="4E4ADED4"/>
    <w:rsid w:val="4E5F7608"/>
    <w:rsid w:val="4E7ABC1B"/>
    <w:rsid w:val="4E81114B"/>
    <w:rsid w:val="4ED998E6"/>
    <w:rsid w:val="4EE9935E"/>
    <w:rsid w:val="4EFE3AB1"/>
    <w:rsid w:val="4FF7566E"/>
    <w:rsid w:val="505B0685"/>
    <w:rsid w:val="5096AA29"/>
    <w:rsid w:val="50AD15BD"/>
    <w:rsid w:val="50E43049"/>
    <w:rsid w:val="5135372F"/>
    <w:rsid w:val="51582126"/>
    <w:rsid w:val="5199E68A"/>
    <w:rsid w:val="52122EA6"/>
    <w:rsid w:val="521EE8AA"/>
    <w:rsid w:val="53083297"/>
    <w:rsid w:val="533D88BC"/>
    <w:rsid w:val="53534A1C"/>
    <w:rsid w:val="54555001"/>
    <w:rsid w:val="546D0AC2"/>
    <w:rsid w:val="54A77928"/>
    <w:rsid w:val="54DD71BE"/>
    <w:rsid w:val="5528F472"/>
    <w:rsid w:val="559A84CC"/>
    <w:rsid w:val="559B3C1B"/>
    <w:rsid w:val="559D45C8"/>
    <w:rsid w:val="55A261B6"/>
    <w:rsid w:val="55C287A7"/>
    <w:rsid w:val="56515F90"/>
    <w:rsid w:val="56640B39"/>
    <w:rsid w:val="56747183"/>
    <w:rsid w:val="569BCE07"/>
    <w:rsid w:val="56A552D6"/>
    <w:rsid w:val="5725689D"/>
    <w:rsid w:val="578B953D"/>
    <w:rsid w:val="578CD65F"/>
    <w:rsid w:val="57AB3D6B"/>
    <w:rsid w:val="57F3691D"/>
    <w:rsid w:val="584B5E4E"/>
    <w:rsid w:val="58544E05"/>
    <w:rsid w:val="58590C0B"/>
    <w:rsid w:val="5895375F"/>
    <w:rsid w:val="58C30C87"/>
    <w:rsid w:val="58E5840D"/>
    <w:rsid w:val="59008820"/>
    <w:rsid w:val="59176A9C"/>
    <w:rsid w:val="5917DE64"/>
    <w:rsid w:val="594CEA49"/>
    <w:rsid w:val="59721310"/>
    <w:rsid w:val="5977C9F4"/>
    <w:rsid w:val="598AFFED"/>
    <w:rsid w:val="59B90B89"/>
    <w:rsid w:val="5A302DCE"/>
    <w:rsid w:val="5A39A1CF"/>
    <w:rsid w:val="5A4282C5"/>
    <w:rsid w:val="5A513695"/>
    <w:rsid w:val="5A73327D"/>
    <w:rsid w:val="5A865373"/>
    <w:rsid w:val="5B9037FC"/>
    <w:rsid w:val="5BC9EE3D"/>
    <w:rsid w:val="5C173759"/>
    <w:rsid w:val="5C2B2A8C"/>
    <w:rsid w:val="5C5AF3B2"/>
    <w:rsid w:val="5CADA44E"/>
    <w:rsid w:val="5D4F9D4B"/>
    <w:rsid w:val="5D794B45"/>
    <w:rsid w:val="5D8771EC"/>
    <w:rsid w:val="5E30B1F4"/>
    <w:rsid w:val="5E3C8DA9"/>
    <w:rsid w:val="5E431ABD"/>
    <w:rsid w:val="5EC7D8BE"/>
    <w:rsid w:val="5EEF7DF5"/>
    <w:rsid w:val="5F0A2093"/>
    <w:rsid w:val="5F118C35"/>
    <w:rsid w:val="5F139EB7"/>
    <w:rsid w:val="5F59BD79"/>
    <w:rsid w:val="5F5AF856"/>
    <w:rsid w:val="5F73B017"/>
    <w:rsid w:val="5F77B250"/>
    <w:rsid w:val="5FB3AE2B"/>
    <w:rsid w:val="5FC4056C"/>
    <w:rsid w:val="5FEB9828"/>
    <w:rsid w:val="60643F9C"/>
    <w:rsid w:val="60846523"/>
    <w:rsid w:val="60B3A091"/>
    <w:rsid w:val="60FF815D"/>
    <w:rsid w:val="6107EBAF"/>
    <w:rsid w:val="6126CDC9"/>
    <w:rsid w:val="6173E43E"/>
    <w:rsid w:val="619EDDEF"/>
    <w:rsid w:val="61FF7980"/>
    <w:rsid w:val="624F2E72"/>
    <w:rsid w:val="6273D491"/>
    <w:rsid w:val="62E4356B"/>
    <w:rsid w:val="632338EA"/>
    <w:rsid w:val="63A26589"/>
    <w:rsid w:val="64406852"/>
    <w:rsid w:val="6462E837"/>
    <w:rsid w:val="646DF6F1"/>
    <w:rsid w:val="64CE5C13"/>
    <w:rsid w:val="651BCDAD"/>
    <w:rsid w:val="65231DA7"/>
    <w:rsid w:val="654108C6"/>
    <w:rsid w:val="6541A7F2"/>
    <w:rsid w:val="655C5D0F"/>
    <w:rsid w:val="65EEAD8E"/>
    <w:rsid w:val="65EFA55E"/>
    <w:rsid w:val="6611F81D"/>
    <w:rsid w:val="666926FD"/>
    <w:rsid w:val="66BDF8C0"/>
    <w:rsid w:val="6716C239"/>
    <w:rsid w:val="674D3046"/>
    <w:rsid w:val="679A1F53"/>
    <w:rsid w:val="6810DE20"/>
    <w:rsid w:val="682CB872"/>
    <w:rsid w:val="68D596A4"/>
    <w:rsid w:val="691D1013"/>
    <w:rsid w:val="6A14819D"/>
    <w:rsid w:val="6B09A088"/>
    <w:rsid w:val="6C220DC2"/>
    <w:rsid w:val="6C288EEF"/>
    <w:rsid w:val="6C88B36D"/>
    <w:rsid w:val="6C9F6638"/>
    <w:rsid w:val="6CDDBFE1"/>
    <w:rsid w:val="6CFD5AF3"/>
    <w:rsid w:val="6D12612C"/>
    <w:rsid w:val="6D764D11"/>
    <w:rsid w:val="6D804F4E"/>
    <w:rsid w:val="6DE8034F"/>
    <w:rsid w:val="6E0950D6"/>
    <w:rsid w:val="6E227F9F"/>
    <w:rsid w:val="6E6BD79E"/>
    <w:rsid w:val="6E74A512"/>
    <w:rsid w:val="6F3897C4"/>
    <w:rsid w:val="6F9B6413"/>
    <w:rsid w:val="6FA53138"/>
    <w:rsid w:val="6FC9A9DA"/>
    <w:rsid w:val="70DC5688"/>
    <w:rsid w:val="70E2D7B5"/>
    <w:rsid w:val="71982F7E"/>
    <w:rsid w:val="719F0EFF"/>
    <w:rsid w:val="71B6B4B0"/>
    <w:rsid w:val="71D83DD6"/>
    <w:rsid w:val="71EF344D"/>
    <w:rsid w:val="7250F46E"/>
    <w:rsid w:val="7255F0FE"/>
    <w:rsid w:val="72C75DAB"/>
    <w:rsid w:val="731895E6"/>
    <w:rsid w:val="7341AE11"/>
    <w:rsid w:val="73701400"/>
    <w:rsid w:val="73DDD613"/>
    <w:rsid w:val="7435C555"/>
    <w:rsid w:val="745F79FE"/>
    <w:rsid w:val="748CEA18"/>
    <w:rsid w:val="74E5E042"/>
    <w:rsid w:val="75361ED1"/>
    <w:rsid w:val="756DFC54"/>
    <w:rsid w:val="75FB4A5F"/>
    <w:rsid w:val="762A79C7"/>
    <w:rsid w:val="76592EA0"/>
    <w:rsid w:val="765EC4A8"/>
    <w:rsid w:val="769B8E13"/>
    <w:rsid w:val="7802FC8F"/>
    <w:rsid w:val="78060831"/>
    <w:rsid w:val="786A3271"/>
    <w:rsid w:val="78BCCC23"/>
    <w:rsid w:val="78F4EB75"/>
    <w:rsid w:val="790B514B"/>
    <w:rsid w:val="7B08D0AE"/>
    <w:rsid w:val="7B2D6303"/>
    <w:rsid w:val="7B8F45F0"/>
    <w:rsid w:val="7BB1A73A"/>
    <w:rsid w:val="7C7261E4"/>
    <w:rsid w:val="7C9DFF2C"/>
    <w:rsid w:val="7C9E1C01"/>
    <w:rsid w:val="7CFBCFCF"/>
    <w:rsid w:val="7E42D607"/>
    <w:rsid w:val="7EC49D75"/>
    <w:rsid w:val="7ED6711E"/>
    <w:rsid w:val="7ED8B29E"/>
    <w:rsid w:val="7F1C7153"/>
    <w:rsid w:val="7F8CB856"/>
    <w:rsid w:val="7FF95A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D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762"/>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F02F08"/>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F02F08"/>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F02F08"/>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DA1E3F"/>
    <w:pPr>
      <w:spacing w:before="280" w:after="0" w:line="276" w:lineRule="auto"/>
      <w:outlineLvl w:val="3"/>
    </w:pPr>
    <w:rPr>
      <w:rFonts w:ascii="Calibri Light" w:hAnsi="Calibri Light"/>
      <w:b/>
      <w:color w:val="4D7861" w:themeColor="accent2"/>
      <w:sz w:val="24"/>
      <w:szCs w:val="26"/>
    </w:rPr>
  </w:style>
  <w:style w:type="paragraph" w:styleId="Heading5">
    <w:name w:val="heading 5"/>
    <w:basedOn w:val="HeadingBase"/>
    <w:next w:val="Normal"/>
    <w:link w:val="Heading5Char"/>
    <w:rsid w:val="00F02F08"/>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F02F08"/>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4"/>
    <w:next w:val="Normal"/>
    <w:link w:val="Heading7Char"/>
    <w:uiPriority w:val="9"/>
    <w:unhideWhenUsed/>
    <w:qFormat/>
    <w:rsid w:val="002E3E2B"/>
    <w:pPr>
      <w:outlineLvl w:val="6"/>
    </w:pPr>
    <w:rPr>
      <w:b w:val="0"/>
      <w:bCs w:val="0"/>
      <w:sz w:val="22"/>
      <w:szCs w:val="24"/>
    </w:rPr>
  </w:style>
  <w:style w:type="paragraph" w:styleId="Heading8">
    <w:name w:val="heading 8"/>
    <w:basedOn w:val="Normal"/>
    <w:next w:val="Normal"/>
    <w:link w:val="Heading8Char"/>
    <w:uiPriority w:val="9"/>
    <w:unhideWhenUsed/>
    <w:qFormat/>
    <w:rsid w:val="0099554D"/>
    <w:pPr>
      <w:keepNext/>
      <w:keepLines/>
      <w:spacing w:before="40" w:after="0"/>
      <w:outlineLvl w:val="7"/>
    </w:pPr>
    <w:rPr>
      <w:rFonts w:asciiTheme="minorHAnsi" w:eastAsiaTheme="majorEastAsia" w:hAnsiTheme="minorHAnsi" w:cstheme="minorHAnsi"/>
      <w:i/>
      <w:iCs/>
      <w:color w:val="272727" w:themeColor="text1" w:themeTint="D8"/>
      <w:szCs w:val="22"/>
    </w:rPr>
  </w:style>
  <w:style w:type="paragraph" w:styleId="Heading9">
    <w:name w:val="heading 9"/>
    <w:basedOn w:val="Normal"/>
    <w:next w:val="Normal"/>
    <w:link w:val="Heading9Char"/>
    <w:uiPriority w:val="9"/>
    <w:unhideWhenUsed/>
    <w:qFormat/>
    <w:rsid w:val="00F745C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55"/>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rsid w:val="00F02F08"/>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F02F08"/>
    <w:rPr>
      <w:rFonts w:ascii="Calibri Light" w:eastAsiaTheme="majorEastAsia" w:hAnsi="Calibri Light" w:cstheme="majorBidi"/>
      <w:b/>
      <w:color w:val="FFFFFF" w:themeColor="background1"/>
      <w:spacing w:val="5"/>
      <w:kern w:val="28"/>
      <w:sz w:val="72"/>
      <w:szCs w:val="52"/>
      <w:lang w:eastAsia="en-AU"/>
    </w:rPr>
  </w:style>
  <w:style w:type="character" w:customStyle="1" w:styleId="Heading1Char">
    <w:name w:val="Heading 1 Char"/>
    <w:basedOn w:val="DefaultParagraphFont"/>
    <w:link w:val="Heading1"/>
    <w:rsid w:val="00F02F08"/>
    <w:rPr>
      <w:rFonts w:ascii="Calibri" w:eastAsia="Times New Roman" w:hAnsi="Calibri" w:cs="Arial"/>
      <w:b/>
      <w:color w:val="5D779D" w:themeColor="accent3"/>
      <w:kern w:val="32"/>
      <w:sz w:val="44"/>
      <w:szCs w:val="36"/>
      <w:lang w:eastAsia="en-AU"/>
    </w:rPr>
  </w:style>
  <w:style w:type="paragraph" w:styleId="TOCHeading">
    <w:name w:val="TOC Heading"/>
    <w:basedOn w:val="Heading1"/>
    <w:next w:val="Normal"/>
    <w:uiPriority w:val="39"/>
    <w:semiHidden/>
    <w:unhideWhenUsed/>
    <w:qFormat/>
    <w:rsid w:val="00E551D2"/>
    <w:pPr>
      <w:outlineLvl w:val="9"/>
    </w:pPr>
    <w:rPr>
      <w:lang w:val="en-US" w:eastAsia="ja-JP"/>
    </w:rPr>
  </w:style>
  <w:style w:type="paragraph" w:styleId="TOC1">
    <w:name w:val="toc 1"/>
    <w:basedOn w:val="Normal"/>
    <w:next w:val="Normal"/>
    <w:uiPriority w:val="39"/>
    <w:rsid w:val="00F02F08"/>
    <w:pPr>
      <w:keepNext/>
      <w:tabs>
        <w:tab w:val="right" w:leader="dot" w:pos="9072"/>
      </w:tabs>
      <w:spacing w:before="180" w:after="0"/>
      <w:ind w:right="-2"/>
    </w:pPr>
    <w:rPr>
      <w:b/>
      <w:noProof/>
      <w:color w:val="2C384A" w:themeColor="accent1"/>
      <w:szCs w:val="22"/>
    </w:rPr>
  </w:style>
  <w:style w:type="character" w:styleId="Hyperlink">
    <w:name w:val="Hyperlink"/>
    <w:basedOn w:val="DefaultParagraphFont"/>
    <w:uiPriority w:val="99"/>
    <w:rsid w:val="00F02F08"/>
    <w:rPr>
      <w:color w:val="3A6FAF"/>
      <w:u w:val="none"/>
    </w:rPr>
  </w:style>
  <w:style w:type="paragraph" w:styleId="BalloonText">
    <w:name w:val="Balloon Text"/>
    <w:basedOn w:val="Normal"/>
    <w:link w:val="BalloonTextChar"/>
    <w:uiPriority w:val="99"/>
    <w:semiHidden/>
    <w:unhideWhenUsed/>
    <w:rsid w:val="00F02F0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08"/>
    <w:rPr>
      <w:rFonts w:ascii="Tahoma" w:eastAsia="Times New Roman" w:hAnsi="Tahoma" w:cs="Tahoma"/>
      <w:sz w:val="16"/>
      <w:szCs w:val="16"/>
      <w:lang w:eastAsia="en-AU"/>
    </w:rPr>
  </w:style>
  <w:style w:type="paragraph" w:customStyle="1" w:styleId="Bullet">
    <w:name w:val="Bullet"/>
    <w:basedOn w:val="Normal"/>
    <w:link w:val="BulletChar"/>
    <w:autoRedefine/>
    <w:qFormat/>
    <w:rsid w:val="00AC0CD7"/>
    <w:pPr>
      <w:numPr>
        <w:numId w:val="15"/>
      </w:numPr>
      <w:tabs>
        <w:tab w:val="left" w:pos="720"/>
      </w:tabs>
      <w:spacing w:before="0" w:after="0"/>
    </w:pPr>
    <w:rPr>
      <w:iCs/>
    </w:rPr>
  </w:style>
  <w:style w:type="character" w:customStyle="1" w:styleId="BulletChar">
    <w:name w:val="Bullet Char"/>
    <w:basedOn w:val="DefaultParagraphFont"/>
    <w:link w:val="Bullet"/>
    <w:rsid w:val="00AC0CD7"/>
    <w:rPr>
      <w:rFonts w:ascii="Calibri Light" w:eastAsia="Times New Roman" w:hAnsi="Calibri Light" w:cs="Times New Roman"/>
      <w:iCs/>
      <w:szCs w:val="20"/>
      <w:lang w:eastAsia="en-AU"/>
    </w:rPr>
  </w:style>
  <w:style w:type="paragraph" w:customStyle="1" w:styleId="Dash">
    <w:name w:val="Dash"/>
    <w:basedOn w:val="Normal"/>
    <w:link w:val="DashChar"/>
    <w:qFormat/>
    <w:rsid w:val="006728C2"/>
    <w:pPr>
      <w:numPr>
        <w:ilvl w:val="1"/>
        <w:numId w:val="15"/>
      </w:numPr>
      <w:tabs>
        <w:tab w:val="num" w:pos="1322"/>
      </w:tabs>
      <w:spacing w:before="0"/>
    </w:pPr>
  </w:style>
  <w:style w:type="character" w:customStyle="1" w:styleId="DashChar">
    <w:name w:val="Dash Char"/>
    <w:basedOn w:val="DefaultParagraphFont"/>
    <w:link w:val="Dash"/>
    <w:rsid w:val="006728C2"/>
    <w:rPr>
      <w:rFonts w:ascii="Calibri Light" w:eastAsia="Times New Roman" w:hAnsi="Calibri Light" w:cs="Times New Roman"/>
      <w:szCs w:val="20"/>
      <w:lang w:eastAsia="en-AU"/>
    </w:rPr>
  </w:style>
  <w:style w:type="paragraph" w:customStyle="1" w:styleId="DoubleDot">
    <w:name w:val="Double Dot"/>
    <w:basedOn w:val="Normal"/>
    <w:link w:val="DoubleDotChar"/>
    <w:qFormat/>
    <w:rsid w:val="006728C2"/>
    <w:pPr>
      <w:numPr>
        <w:ilvl w:val="2"/>
        <w:numId w:val="15"/>
      </w:numPr>
      <w:tabs>
        <w:tab w:val="num" w:pos="1983"/>
      </w:tabs>
      <w:spacing w:before="0"/>
    </w:pPr>
  </w:style>
  <w:style w:type="character" w:customStyle="1" w:styleId="DoubleDotChar">
    <w:name w:val="Double Dot Char"/>
    <w:basedOn w:val="DefaultParagraphFont"/>
    <w:link w:val="DoubleDot"/>
    <w:rsid w:val="006728C2"/>
    <w:rPr>
      <w:rFonts w:ascii="Calibri Light" w:eastAsia="Times New Roman" w:hAnsi="Calibri Light" w:cs="Times New Roman"/>
      <w:szCs w:val="20"/>
      <w:lang w:eastAsia="en-AU"/>
    </w:rPr>
  </w:style>
  <w:style w:type="paragraph" w:customStyle="1" w:styleId="Singleparagraph">
    <w:name w:val="Single paragraph"/>
    <w:basedOn w:val="Normal"/>
    <w:qFormat/>
    <w:rsid w:val="007C6D12"/>
    <w:pPr>
      <w:spacing w:after="0"/>
    </w:pPr>
  </w:style>
  <w:style w:type="paragraph" w:styleId="Header">
    <w:name w:val="header"/>
    <w:basedOn w:val="Normal"/>
    <w:link w:val="HeaderChar"/>
    <w:uiPriority w:val="99"/>
    <w:unhideWhenUsed/>
    <w:rsid w:val="00F02F08"/>
    <w:pPr>
      <w:keepNext/>
      <w:spacing w:before="0" w:after="0"/>
      <w:jc w:val="right"/>
    </w:pPr>
    <w:rPr>
      <w:color w:val="004A7F"/>
      <w:sz w:val="20"/>
    </w:rPr>
  </w:style>
  <w:style w:type="character" w:customStyle="1" w:styleId="HeaderChar">
    <w:name w:val="Header Char"/>
    <w:basedOn w:val="DefaultParagraphFont"/>
    <w:link w:val="Header"/>
    <w:uiPriority w:val="99"/>
    <w:rsid w:val="00F02F08"/>
    <w:rPr>
      <w:rFonts w:ascii="Calibri Light" w:eastAsia="Times New Roman" w:hAnsi="Calibri Light" w:cs="Times New Roman"/>
      <w:color w:val="004A7F"/>
      <w:sz w:val="20"/>
      <w:szCs w:val="20"/>
      <w:lang w:eastAsia="en-AU"/>
    </w:rPr>
  </w:style>
  <w:style w:type="paragraph" w:styleId="Footer">
    <w:name w:val="footer"/>
    <w:basedOn w:val="Normal"/>
    <w:link w:val="FooterChar"/>
    <w:uiPriority w:val="99"/>
    <w:unhideWhenUsed/>
    <w:rsid w:val="00F02F0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02F08"/>
    <w:rPr>
      <w:rFonts w:ascii="Calibri Light" w:eastAsia="Times New Roman" w:hAnsi="Calibri Light" w:cs="Times New Roman"/>
      <w:color w:val="002C47"/>
      <w:sz w:val="20"/>
      <w:szCs w:val="20"/>
      <w:lang w:eastAsia="en-AU"/>
    </w:rPr>
  </w:style>
  <w:style w:type="character" w:customStyle="1" w:styleId="Heading2Char">
    <w:name w:val="Heading 2 Char"/>
    <w:basedOn w:val="DefaultParagraphFont"/>
    <w:link w:val="Heading2"/>
    <w:rsid w:val="00F02F08"/>
    <w:rPr>
      <w:rFonts w:ascii="Calibri" w:eastAsia="Times New Roman" w:hAnsi="Calibri" w:cs="Arial"/>
      <w:iCs/>
      <w:color w:val="2C384A"/>
      <w:kern w:val="32"/>
      <w:sz w:val="36"/>
      <w:szCs w:val="28"/>
      <w:lang w:eastAsia="en-AU"/>
    </w:rPr>
  </w:style>
  <w:style w:type="paragraph" w:styleId="FootnoteText">
    <w:name w:val="footnote text"/>
    <w:basedOn w:val="Normal"/>
    <w:link w:val="FootnoteTextChar"/>
    <w:uiPriority w:val="99"/>
    <w:rsid w:val="00F02F08"/>
    <w:pPr>
      <w:spacing w:before="0" w:after="0"/>
      <w:ind w:left="397" w:hanging="397"/>
    </w:pPr>
    <w:rPr>
      <w:sz w:val="20"/>
    </w:rPr>
  </w:style>
  <w:style w:type="character" w:customStyle="1" w:styleId="Heading3Char">
    <w:name w:val="Heading 3 Char"/>
    <w:basedOn w:val="DefaultParagraphFont"/>
    <w:link w:val="Heading3"/>
    <w:rsid w:val="00F02F08"/>
    <w:rPr>
      <w:rFonts w:ascii="Calibri" w:eastAsia="Times New Roman" w:hAnsi="Calibri" w:cs="Arial"/>
      <w:b/>
      <w:color w:val="4D7861" w:themeColor="accent2"/>
      <w:kern w:val="32"/>
      <w:sz w:val="28"/>
      <w:szCs w:val="26"/>
      <w:lang w:eastAsia="en-AU"/>
    </w:rPr>
  </w:style>
  <w:style w:type="character" w:customStyle="1" w:styleId="FootnoteTextChar">
    <w:name w:val="Footnote Text Char"/>
    <w:basedOn w:val="DefaultParagraphFont"/>
    <w:link w:val="FootnoteText"/>
    <w:uiPriority w:val="99"/>
    <w:rsid w:val="00F02F08"/>
    <w:rPr>
      <w:rFonts w:ascii="Calibri Light" w:eastAsia="Times New Roman" w:hAnsi="Calibri Light" w:cs="Times New Roman"/>
      <w:sz w:val="20"/>
      <w:szCs w:val="20"/>
      <w:lang w:eastAsia="en-AU"/>
    </w:rPr>
  </w:style>
  <w:style w:type="paragraph" w:styleId="Subtitle">
    <w:name w:val="Subtitle"/>
    <w:basedOn w:val="Normal"/>
    <w:next w:val="Normal"/>
    <w:link w:val="SubtitleChar"/>
    <w:uiPriority w:val="11"/>
    <w:rsid w:val="00F02F08"/>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F02F08"/>
    <w:rPr>
      <w:rFonts w:ascii="Calibri Light" w:eastAsiaTheme="majorEastAsia" w:hAnsi="Calibri Light" w:cstheme="majorBidi"/>
      <w:iCs/>
      <w:color w:val="EEEEEE"/>
      <w:sz w:val="44"/>
      <w:szCs w:val="44"/>
      <w:lang w:eastAsia="en-AU"/>
    </w:rPr>
  </w:style>
  <w:style w:type="paragraph" w:styleId="TOC2">
    <w:name w:val="toc 2"/>
    <w:basedOn w:val="Normal"/>
    <w:next w:val="Normal"/>
    <w:uiPriority w:val="39"/>
    <w:rsid w:val="00F02F08"/>
    <w:pPr>
      <w:keepNext/>
      <w:tabs>
        <w:tab w:val="right" w:leader="dot" w:pos="9072"/>
      </w:tabs>
      <w:spacing w:before="40" w:after="20"/>
      <w:ind w:right="-2"/>
    </w:pPr>
    <w:rPr>
      <w:noProof/>
      <w:color w:val="5D779D" w:themeColor="accent3"/>
    </w:rPr>
  </w:style>
  <w:style w:type="paragraph" w:customStyle="1" w:styleId="AlphaParagraph">
    <w:name w:val="Alpha Paragraph"/>
    <w:basedOn w:val="Normal"/>
    <w:qFormat/>
    <w:rsid w:val="00F02F08"/>
    <w:pPr>
      <w:numPr>
        <w:ilvl w:val="1"/>
        <w:numId w:val="7"/>
      </w:numPr>
      <w:spacing w:before="0"/>
    </w:pPr>
  </w:style>
  <w:style w:type="paragraph" w:customStyle="1" w:styleId="HeadingBase">
    <w:name w:val="Heading Base"/>
    <w:rsid w:val="00F02F08"/>
    <w:pPr>
      <w:keepNext/>
      <w:spacing w:after="120" w:line="240" w:lineRule="auto"/>
    </w:pPr>
    <w:rPr>
      <w:rFonts w:ascii="Calibri" w:eastAsia="Times New Roman" w:hAnsi="Calibri" w:cs="Arial"/>
      <w:bCs/>
      <w:color w:val="002C4A"/>
      <w:kern w:val="32"/>
      <w:sz w:val="48"/>
      <w:szCs w:val="36"/>
      <w:lang w:eastAsia="en-AU"/>
    </w:rPr>
  </w:style>
  <w:style w:type="paragraph" w:customStyle="1" w:styleId="AppendixHeading">
    <w:name w:val="Appendix Heading"/>
    <w:basedOn w:val="Heading1"/>
    <w:next w:val="Normal"/>
    <w:rsid w:val="00F02F08"/>
  </w:style>
  <w:style w:type="paragraph" w:customStyle="1" w:styleId="Boxbullet">
    <w:name w:val="Box bullet"/>
    <w:basedOn w:val="Bullet"/>
    <w:rsid w:val="00F02F08"/>
    <w:pPr>
      <w:tabs>
        <w:tab w:val="num" w:pos="284"/>
      </w:tabs>
      <w:spacing w:before="60"/>
      <w:ind w:left="170" w:hanging="170"/>
    </w:pPr>
    <w:rPr>
      <w:color w:val="0D0D0D" w:themeColor="text1" w:themeTint="F2"/>
    </w:rPr>
  </w:style>
  <w:style w:type="numbering" w:customStyle="1" w:styleId="BoxBulletedList">
    <w:name w:val="Box Bulleted List"/>
    <w:uiPriority w:val="99"/>
    <w:rsid w:val="00F02F08"/>
    <w:pPr>
      <w:numPr>
        <w:numId w:val="1"/>
      </w:numPr>
    </w:pPr>
  </w:style>
  <w:style w:type="paragraph" w:customStyle="1" w:styleId="Boxdash">
    <w:name w:val="Box dash"/>
    <w:basedOn w:val="Dash"/>
    <w:rsid w:val="00F02F08"/>
    <w:pPr>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rsid w:val="00F02F08"/>
    <w:pPr>
      <w:tabs>
        <w:tab w:val="left" w:pos="567"/>
      </w:tabs>
      <w:spacing w:before="60" w:after="0" w:line="276" w:lineRule="auto"/>
      <w:ind w:left="567" w:hanging="142"/>
    </w:pPr>
    <w:rPr>
      <w:rFonts w:eastAsiaTheme="minorHAnsi"/>
      <w:color w:val="0D0D0D" w:themeColor="text1" w:themeTint="F2"/>
      <w:lang w:eastAsia="en-US"/>
    </w:rPr>
  </w:style>
  <w:style w:type="paragraph" w:customStyle="1" w:styleId="BoxHeading">
    <w:name w:val="Box Heading"/>
    <w:basedOn w:val="Normal"/>
    <w:next w:val="Normal"/>
    <w:rsid w:val="00F02F08"/>
    <w:pPr>
      <w:keepNext/>
      <w:spacing w:before="240"/>
    </w:pPr>
    <w:rPr>
      <w:b/>
      <w:color w:val="2C384A" w:themeColor="accent1"/>
      <w:sz w:val="26"/>
      <w:szCs w:val="26"/>
    </w:rPr>
  </w:style>
  <w:style w:type="paragraph" w:customStyle="1" w:styleId="BoxText">
    <w:name w:val="Box Text"/>
    <w:basedOn w:val="Normal"/>
    <w:link w:val="BoxTextChar"/>
    <w:rsid w:val="00F02F08"/>
  </w:style>
  <w:style w:type="character" w:customStyle="1" w:styleId="BoxTextChar">
    <w:name w:val="Box Text Char"/>
    <w:basedOn w:val="DefaultParagraphFont"/>
    <w:link w:val="BoxText"/>
    <w:locked/>
    <w:rsid w:val="00F02F08"/>
    <w:rPr>
      <w:rFonts w:ascii="Calibri Light" w:eastAsia="Times New Roman" w:hAnsi="Calibri Light" w:cs="Times New Roman"/>
      <w:szCs w:val="20"/>
      <w:lang w:eastAsia="en-AU"/>
    </w:rPr>
  </w:style>
  <w:style w:type="numbering" w:customStyle="1" w:styleId="BulletedList">
    <w:name w:val="Bulleted List"/>
    <w:uiPriority w:val="99"/>
    <w:rsid w:val="00F02F08"/>
    <w:pPr>
      <w:numPr>
        <w:numId w:val="2"/>
      </w:numPr>
    </w:pPr>
  </w:style>
  <w:style w:type="paragraph" w:customStyle="1" w:styleId="ChartandTableFootnoteAlpha">
    <w:name w:val="Chart and Table Footnote Alpha"/>
    <w:rsid w:val="00F02F08"/>
    <w:pPr>
      <w:numPr>
        <w:numId w:val="3"/>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F02F08"/>
    <w:pPr>
      <w:keepNext/>
      <w:spacing w:before="0" w:after="0"/>
      <w:jc w:val="center"/>
    </w:pPr>
    <w:rPr>
      <w:color w:val="004A7F"/>
      <w:sz w:val="20"/>
    </w:rPr>
  </w:style>
  <w:style w:type="paragraph" w:customStyle="1" w:styleId="TableMainHeading">
    <w:name w:val="Table Main Heading"/>
    <w:basedOn w:val="Heading3"/>
    <w:next w:val="Normal"/>
    <w:rsid w:val="00F02F08"/>
    <w:pPr>
      <w:spacing w:before="120"/>
    </w:pPr>
    <w:rPr>
      <w:b w:val="0"/>
      <w:sz w:val="26"/>
    </w:rPr>
  </w:style>
  <w:style w:type="paragraph" w:customStyle="1" w:styleId="ChartMainHeading">
    <w:name w:val="Chart Main Heading"/>
    <w:basedOn w:val="TableMainHeading"/>
    <w:next w:val="ChartGraphic"/>
    <w:rsid w:val="00F02F08"/>
    <w:pPr>
      <w:jc w:val="center"/>
    </w:pPr>
  </w:style>
  <w:style w:type="paragraph" w:customStyle="1" w:styleId="ChartorTableNote">
    <w:name w:val="Chart or Table Note"/>
    <w:next w:val="Normal"/>
    <w:rsid w:val="00F02F08"/>
    <w:pPr>
      <w:spacing w:after="0" w:line="240" w:lineRule="auto"/>
      <w:jc w:val="both"/>
    </w:pPr>
    <w:rPr>
      <w:rFonts w:ascii="Calibri" w:eastAsia="Times New Roman" w:hAnsi="Calibri" w:cs="Times New Roman"/>
      <w:color w:val="000000"/>
      <w:sz w:val="18"/>
      <w:szCs w:val="20"/>
      <w:lang w:eastAsia="en-AU"/>
    </w:rPr>
  </w:style>
  <w:style w:type="paragraph" w:customStyle="1" w:styleId="TableSecondHeading">
    <w:name w:val="Table Second Heading"/>
    <w:basedOn w:val="Normal"/>
    <w:next w:val="Normal"/>
    <w:rsid w:val="00F02F08"/>
    <w:pPr>
      <w:keepNext/>
      <w:spacing w:before="0" w:after="20"/>
    </w:pPr>
    <w:rPr>
      <w:b/>
      <w:color w:val="004A7F"/>
    </w:rPr>
  </w:style>
  <w:style w:type="paragraph" w:customStyle="1" w:styleId="ChartSecondHeading">
    <w:name w:val="Chart Second Heading"/>
    <w:basedOn w:val="TableSecondHeading"/>
    <w:next w:val="ChartGraphic"/>
    <w:rsid w:val="00F02F08"/>
    <w:pPr>
      <w:jc w:val="center"/>
    </w:pPr>
    <w:rPr>
      <w:b w:val="0"/>
      <w:bCs/>
    </w:rPr>
  </w:style>
  <w:style w:type="numbering" w:customStyle="1" w:styleId="ChartandTableFootnoteAlphaList">
    <w:name w:val="ChartandTableFootnoteAlphaList"/>
    <w:uiPriority w:val="99"/>
    <w:rsid w:val="00F02F08"/>
    <w:pPr>
      <w:numPr>
        <w:numId w:val="3"/>
      </w:numPr>
    </w:pPr>
  </w:style>
  <w:style w:type="character" w:styleId="CommentReference">
    <w:name w:val="annotation reference"/>
    <w:basedOn w:val="DefaultParagraphFont"/>
    <w:uiPriority w:val="99"/>
    <w:semiHidden/>
    <w:unhideWhenUsed/>
    <w:rsid w:val="00F02F08"/>
    <w:rPr>
      <w:sz w:val="16"/>
      <w:szCs w:val="16"/>
    </w:rPr>
  </w:style>
  <w:style w:type="paragraph" w:styleId="CommentText">
    <w:name w:val="annotation text"/>
    <w:basedOn w:val="Normal"/>
    <w:link w:val="CommentTextChar"/>
    <w:uiPriority w:val="99"/>
    <w:unhideWhenUsed/>
    <w:rsid w:val="00F02F08"/>
    <w:rPr>
      <w:rFonts w:ascii="Calibri" w:hAnsi="Calibri"/>
      <w:sz w:val="20"/>
    </w:rPr>
  </w:style>
  <w:style w:type="character" w:customStyle="1" w:styleId="CommentTextChar">
    <w:name w:val="Comment Text Char"/>
    <w:basedOn w:val="DefaultParagraphFont"/>
    <w:link w:val="CommentText"/>
    <w:uiPriority w:val="99"/>
    <w:rsid w:val="00F02F08"/>
    <w:rPr>
      <w:rFonts w:ascii="Calibri" w:eastAsia="Times New Roman" w:hAnsi="Calibri" w:cs="Times New Roman"/>
      <w:sz w:val="20"/>
      <w:szCs w:val="20"/>
      <w:lang w:eastAsia="en-AU"/>
    </w:rPr>
  </w:style>
  <w:style w:type="paragraph" w:customStyle="1" w:styleId="FooterEven">
    <w:name w:val="Footer Even"/>
    <w:basedOn w:val="Footer"/>
    <w:rsid w:val="00F02F08"/>
    <w:pPr>
      <w:keepNext/>
      <w:tabs>
        <w:tab w:val="clear" w:pos="4513"/>
        <w:tab w:val="clear" w:pos="9026"/>
      </w:tabs>
      <w:jc w:val="left"/>
    </w:pPr>
    <w:rPr>
      <w:noProof/>
      <w:color w:val="2C384A" w:themeColor="accent1"/>
    </w:rPr>
  </w:style>
  <w:style w:type="paragraph" w:customStyle="1" w:styleId="FooterOdd">
    <w:name w:val="Footer Odd"/>
    <w:basedOn w:val="Footer"/>
    <w:rsid w:val="00F02F08"/>
    <w:pPr>
      <w:keepNext/>
      <w:tabs>
        <w:tab w:val="clear" w:pos="4513"/>
        <w:tab w:val="clear" w:pos="9026"/>
      </w:tabs>
      <w:jc w:val="right"/>
    </w:pPr>
    <w:rPr>
      <w:color w:val="2C384A" w:themeColor="accent1"/>
    </w:rPr>
  </w:style>
  <w:style w:type="character" w:styleId="FootnoteReference">
    <w:name w:val="footnote reference"/>
    <w:basedOn w:val="DefaultParagraphFont"/>
    <w:uiPriority w:val="99"/>
    <w:rsid w:val="00F02F08"/>
    <w:rPr>
      <w:sz w:val="18"/>
    </w:rPr>
  </w:style>
  <w:style w:type="paragraph" w:customStyle="1" w:styleId="HeaderEven">
    <w:name w:val="Header Even"/>
    <w:basedOn w:val="Header"/>
    <w:qFormat/>
    <w:rsid w:val="00F02F08"/>
    <w:pPr>
      <w:jc w:val="left"/>
    </w:pPr>
    <w:rPr>
      <w:color w:val="002C47"/>
    </w:rPr>
  </w:style>
  <w:style w:type="paragraph" w:customStyle="1" w:styleId="HeaderOdd">
    <w:name w:val="Header Odd"/>
    <w:basedOn w:val="Header"/>
    <w:qFormat/>
    <w:rsid w:val="00F02F08"/>
    <w:rPr>
      <w:color w:val="002C47"/>
    </w:rPr>
  </w:style>
  <w:style w:type="paragraph" w:customStyle="1" w:styleId="Heading1Numbered">
    <w:name w:val="Heading 1 Numbered"/>
    <w:basedOn w:val="Heading1"/>
    <w:next w:val="Normal"/>
    <w:rsid w:val="00F02F08"/>
    <w:pPr>
      <w:numPr>
        <w:numId w:val="8"/>
      </w:numPr>
    </w:pPr>
  </w:style>
  <w:style w:type="paragraph" w:customStyle="1" w:styleId="Heading2Numbered">
    <w:name w:val="Heading 2 Numbered"/>
    <w:basedOn w:val="Heading2"/>
    <w:next w:val="Normal"/>
    <w:rsid w:val="00F02F08"/>
    <w:pPr>
      <w:numPr>
        <w:ilvl w:val="1"/>
        <w:numId w:val="8"/>
      </w:numPr>
    </w:pPr>
  </w:style>
  <w:style w:type="paragraph" w:customStyle="1" w:styleId="Heading3Numbered">
    <w:name w:val="Heading 3 Numbered"/>
    <w:basedOn w:val="Heading3"/>
    <w:rsid w:val="00F02F08"/>
    <w:pPr>
      <w:numPr>
        <w:ilvl w:val="2"/>
        <w:numId w:val="8"/>
      </w:numPr>
    </w:pPr>
  </w:style>
  <w:style w:type="character" w:customStyle="1" w:styleId="Heading4Char">
    <w:name w:val="Heading 4 Char"/>
    <w:basedOn w:val="DefaultParagraphFont"/>
    <w:link w:val="Heading4"/>
    <w:rsid w:val="00DA1E3F"/>
    <w:rPr>
      <w:rFonts w:ascii="Calibri Light" w:eastAsia="Times New Roman" w:hAnsi="Calibri Light" w:cs="Arial"/>
      <w:b/>
      <w:bCs/>
      <w:color w:val="4D7861" w:themeColor="accent2"/>
      <w:kern w:val="32"/>
      <w:sz w:val="24"/>
      <w:szCs w:val="26"/>
      <w:lang w:eastAsia="en-AU"/>
    </w:rPr>
  </w:style>
  <w:style w:type="character" w:customStyle="1" w:styleId="Heading5Char">
    <w:name w:val="Heading 5 Char"/>
    <w:basedOn w:val="DefaultParagraphFont"/>
    <w:link w:val="Heading5"/>
    <w:rsid w:val="00F02F08"/>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F02F08"/>
    <w:rPr>
      <w:rFonts w:ascii="Calibri Light" w:eastAsia="Times New Roman" w:hAnsi="Calibri Light" w:cs="Arial"/>
      <w:color w:val="000000" w:themeColor="text1"/>
      <w:kern w:val="32"/>
      <w:lang w:eastAsia="en-AU"/>
    </w:rPr>
  </w:style>
  <w:style w:type="paragraph" w:customStyle="1" w:styleId="Instructions">
    <w:name w:val="Instructions"/>
    <w:basedOn w:val="Normal"/>
    <w:uiPriority w:val="1"/>
    <w:qFormat/>
    <w:rsid w:val="00F02F08"/>
    <w:pPr>
      <w:shd w:val="clear" w:color="auto" w:fill="FFFF00"/>
      <w:ind w:left="170" w:hanging="170"/>
    </w:pPr>
    <w:rPr>
      <w:rFonts w:asciiTheme="minorHAnsi" w:hAnsiTheme="minorHAnsi"/>
      <w:sz w:val="20"/>
      <w:szCs w:val="24"/>
    </w:rPr>
  </w:style>
  <w:style w:type="paragraph" w:styleId="ListParagraph">
    <w:name w:val="List Paragraph"/>
    <w:basedOn w:val="Normal"/>
    <w:uiPriority w:val="34"/>
    <w:qFormat/>
    <w:rsid w:val="00F02F08"/>
    <w:pPr>
      <w:ind w:left="720"/>
      <w:contextualSpacing/>
    </w:pPr>
  </w:style>
  <w:style w:type="paragraph" w:customStyle="1" w:styleId="NotesHeading">
    <w:name w:val="Notes Heading"/>
    <w:basedOn w:val="Normal"/>
    <w:rsid w:val="00F02F08"/>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F02F08"/>
    <w:pPr>
      <w:numPr>
        <w:numId w:val="4"/>
      </w:numPr>
    </w:pPr>
  </w:style>
  <w:style w:type="paragraph" w:customStyle="1" w:styleId="OutlineNumbered1">
    <w:name w:val="Outline Numbered 1"/>
    <w:basedOn w:val="Normal"/>
    <w:rsid w:val="00F02F08"/>
    <w:pPr>
      <w:numPr>
        <w:numId w:val="5"/>
      </w:numPr>
      <w:spacing w:before="0"/>
    </w:pPr>
  </w:style>
  <w:style w:type="paragraph" w:customStyle="1" w:styleId="OutlineNumbered2">
    <w:name w:val="Outline Numbered 2"/>
    <w:basedOn w:val="Normal"/>
    <w:rsid w:val="00F02F08"/>
    <w:pPr>
      <w:numPr>
        <w:ilvl w:val="1"/>
        <w:numId w:val="5"/>
      </w:numPr>
      <w:spacing w:before="0"/>
    </w:pPr>
  </w:style>
  <w:style w:type="paragraph" w:customStyle="1" w:styleId="OutlineNumbered3">
    <w:name w:val="Outline Numbered 3"/>
    <w:basedOn w:val="Normal"/>
    <w:rsid w:val="00F02F08"/>
    <w:pPr>
      <w:numPr>
        <w:ilvl w:val="2"/>
        <w:numId w:val="5"/>
      </w:numPr>
      <w:spacing w:before="0"/>
    </w:pPr>
  </w:style>
  <w:style w:type="numbering" w:customStyle="1" w:styleId="OutlineList">
    <w:name w:val="OutlineList"/>
    <w:uiPriority w:val="99"/>
    <w:rsid w:val="00F02F08"/>
    <w:pPr>
      <w:numPr>
        <w:numId w:val="6"/>
      </w:numPr>
    </w:pPr>
  </w:style>
  <w:style w:type="character" w:styleId="PlaceholderText">
    <w:name w:val="Placeholder Text"/>
    <w:basedOn w:val="DefaultParagraphFont"/>
    <w:uiPriority w:val="99"/>
    <w:semiHidden/>
    <w:rsid w:val="00F02F08"/>
    <w:rPr>
      <w:color w:val="808080"/>
    </w:rPr>
  </w:style>
  <w:style w:type="paragraph" w:customStyle="1" w:styleId="ReportDate">
    <w:name w:val="Report Date"/>
    <w:basedOn w:val="Normal"/>
    <w:link w:val="ReportDateChar"/>
    <w:rsid w:val="00AA5110"/>
    <w:pPr>
      <w:keepNext/>
      <w:spacing w:before="0" w:after="360"/>
    </w:pPr>
    <w:rPr>
      <w:color w:val="2C384A" w:themeColor="accent1"/>
      <w:sz w:val="32"/>
    </w:rPr>
  </w:style>
  <w:style w:type="character" w:customStyle="1" w:styleId="ReportDateChar">
    <w:name w:val="Report Date Char"/>
    <w:basedOn w:val="DefaultParagraphFont"/>
    <w:link w:val="ReportDate"/>
    <w:rsid w:val="00AA5110"/>
    <w:rPr>
      <w:rFonts w:ascii="Calibri Light" w:eastAsia="Times New Roman" w:hAnsi="Calibri Light" w:cs="Times New Roman"/>
      <w:color w:val="2C384A" w:themeColor="accent1"/>
      <w:sz w:val="32"/>
      <w:szCs w:val="20"/>
      <w:lang w:eastAsia="en-AU"/>
    </w:rPr>
  </w:style>
  <w:style w:type="paragraph" w:customStyle="1" w:styleId="SingleParagraph0">
    <w:name w:val="Single Paragraph"/>
    <w:basedOn w:val="Normal"/>
    <w:link w:val="SingleParagraphChar"/>
    <w:rsid w:val="00F02F08"/>
    <w:pPr>
      <w:spacing w:before="0" w:after="0"/>
    </w:pPr>
  </w:style>
  <w:style w:type="character" w:customStyle="1" w:styleId="SingleParagraphChar">
    <w:name w:val="Single Paragraph Char"/>
    <w:basedOn w:val="DefaultParagraphFont"/>
    <w:link w:val="SingleParagraph0"/>
    <w:rsid w:val="00F02F08"/>
    <w:rPr>
      <w:rFonts w:ascii="Calibri Light" w:eastAsia="Times New Roman" w:hAnsi="Calibri Light" w:cs="Times New Roman"/>
      <w:szCs w:val="20"/>
      <w:lang w:eastAsia="en-AU"/>
    </w:rPr>
  </w:style>
  <w:style w:type="paragraph" w:customStyle="1" w:styleId="TableTextRight">
    <w:name w:val="Table Text Right"/>
    <w:basedOn w:val="Normal"/>
    <w:rsid w:val="00F02F08"/>
    <w:pPr>
      <w:spacing w:before="40" w:after="40"/>
      <w:jc w:val="right"/>
    </w:pPr>
    <w:rPr>
      <w:color w:val="000000"/>
      <w:sz w:val="18"/>
    </w:rPr>
  </w:style>
  <w:style w:type="paragraph" w:customStyle="1" w:styleId="TableTextLeft">
    <w:name w:val="Table Text Left"/>
    <w:basedOn w:val="TableTextRight"/>
    <w:rsid w:val="00F02F08"/>
    <w:pPr>
      <w:jc w:val="left"/>
    </w:pPr>
  </w:style>
  <w:style w:type="paragraph" w:customStyle="1" w:styleId="TableColumnHeadingCentred">
    <w:name w:val="Table Column Heading Centred"/>
    <w:basedOn w:val="TableTextLeft"/>
    <w:rsid w:val="00F02F08"/>
    <w:pPr>
      <w:jc w:val="center"/>
    </w:pPr>
    <w:rPr>
      <w:b/>
      <w:color w:val="2C384A" w:themeColor="accent1"/>
      <w:sz w:val="20"/>
    </w:rPr>
  </w:style>
  <w:style w:type="paragraph" w:customStyle="1" w:styleId="TableColumnHeadingLeft">
    <w:name w:val="Table Column Heading Left"/>
    <w:basedOn w:val="TableTextLeft"/>
    <w:rsid w:val="00F02F08"/>
    <w:rPr>
      <w:b/>
      <w:color w:val="2C384A" w:themeColor="accent1"/>
      <w:sz w:val="20"/>
    </w:rPr>
  </w:style>
  <w:style w:type="paragraph" w:customStyle="1" w:styleId="TableColumnHeadingRight">
    <w:name w:val="Table Column Heading Right"/>
    <w:basedOn w:val="TableTextLeft"/>
    <w:rsid w:val="00F02F08"/>
    <w:pPr>
      <w:jc w:val="right"/>
    </w:pPr>
    <w:rPr>
      <w:b/>
      <w:color w:val="2C384A" w:themeColor="accent1"/>
      <w:sz w:val="20"/>
    </w:rPr>
  </w:style>
  <w:style w:type="paragraph" w:customStyle="1" w:styleId="TableGraphic">
    <w:name w:val="Table Graphic"/>
    <w:basedOn w:val="HeadingBase"/>
    <w:next w:val="Normal"/>
    <w:rsid w:val="00F02F08"/>
    <w:pPr>
      <w:spacing w:after="0"/>
    </w:pPr>
  </w:style>
  <w:style w:type="table" w:styleId="TableGrid">
    <w:name w:val="Table Grid"/>
    <w:basedOn w:val="TableNormal"/>
    <w:uiPriority w:val="39"/>
    <w:rsid w:val="00F02F08"/>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HeadingContinued">
    <w:name w:val="Table Heading Continued"/>
    <w:basedOn w:val="TableMainHeading"/>
    <w:next w:val="TableGraphic"/>
    <w:rsid w:val="00F02F08"/>
  </w:style>
  <w:style w:type="paragraph" w:customStyle="1" w:styleId="TableTextCentered">
    <w:name w:val="Table Text Centered"/>
    <w:basedOn w:val="TableTextRight"/>
    <w:rsid w:val="00F02F08"/>
    <w:pPr>
      <w:jc w:val="center"/>
    </w:pPr>
  </w:style>
  <w:style w:type="paragraph" w:customStyle="1" w:styleId="TableTextIndented">
    <w:name w:val="Table Text Indented"/>
    <w:basedOn w:val="TableTextLeft"/>
    <w:rsid w:val="00F02F08"/>
    <w:pPr>
      <w:ind w:left="284"/>
    </w:pPr>
  </w:style>
  <w:style w:type="paragraph" w:styleId="TOC3">
    <w:name w:val="toc 3"/>
    <w:basedOn w:val="Normal"/>
    <w:next w:val="Normal"/>
    <w:uiPriority w:val="39"/>
    <w:rsid w:val="00F02F08"/>
    <w:pPr>
      <w:tabs>
        <w:tab w:val="right" w:leader="dot" w:pos="9072"/>
      </w:tabs>
      <w:spacing w:before="20" w:after="0"/>
      <w:ind w:left="284" w:right="-2"/>
    </w:pPr>
    <w:rPr>
      <w:rFonts w:cs="Calibri"/>
      <w:noProof/>
    </w:rPr>
  </w:style>
  <w:style w:type="paragraph" w:customStyle="1" w:styleId="CoverDate">
    <w:name w:val="Cover Date"/>
    <w:basedOn w:val="Normal"/>
    <w:rsid w:val="00C725DE"/>
    <w:pPr>
      <w:keepNext/>
      <w:spacing w:before="840" w:after="0"/>
      <w:jc w:val="right"/>
    </w:pPr>
    <w:rPr>
      <w:color w:val="2C384A" w:themeColor="accent1"/>
      <w:sz w:val="28"/>
    </w:rPr>
  </w:style>
  <w:style w:type="paragraph" w:customStyle="1" w:styleId="CoverTitleMain">
    <w:name w:val="Cover Title Main"/>
    <w:basedOn w:val="Normal"/>
    <w:next w:val="Normal"/>
    <w:autoRedefine/>
    <w:qFormat/>
    <w:rsid w:val="00B2182F"/>
    <w:pPr>
      <w:keepNext/>
      <w:spacing w:before="3360" w:after="720" w:line="300" w:lineRule="auto"/>
      <w:jc w:val="right"/>
    </w:pPr>
    <w:rPr>
      <w:rFonts w:ascii="Calibri" w:hAnsi="Calibri"/>
      <w:color w:val="2C384A" w:themeColor="accent1"/>
      <w:sz w:val="56"/>
      <w:szCs w:val="40"/>
    </w:rPr>
  </w:style>
  <w:style w:type="paragraph" w:customStyle="1" w:styleId="CoverTitleSub">
    <w:name w:val="Cover Title Sub"/>
    <w:basedOn w:val="Normal"/>
    <w:rsid w:val="00647528"/>
    <w:pPr>
      <w:keepNext/>
      <w:jc w:val="right"/>
    </w:pPr>
    <w:rPr>
      <w:rFonts w:ascii="Calibri" w:hAnsi="Calibri"/>
      <w:color w:val="2C384A" w:themeColor="accent1"/>
      <w:sz w:val="40"/>
    </w:rPr>
  </w:style>
  <w:style w:type="character" w:styleId="FollowedHyperlink">
    <w:name w:val="FollowedHyperlink"/>
    <w:basedOn w:val="DefaultParagraphFont"/>
    <w:uiPriority w:val="99"/>
    <w:semiHidden/>
    <w:unhideWhenUsed/>
    <w:rsid w:val="00E02B6D"/>
    <w:rPr>
      <w:color w:val="844D9E" w:themeColor="followedHyperlink"/>
      <w:u w:val="single"/>
    </w:rPr>
  </w:style>
  <w:style w:type="character" w:customStyle="1" w:styleId="UnresolvedMention">
    <w:name w:val="Unresolved Mention"/>
    <w:basedOn w:val="DefaultParagraphFont"/>
    <w:uiPriority w:val="99"/>
    <w:semiHidden/>
    <w:unhideWhenUsed/>
    <w:rsid w:val="006351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02F1"/>
    <w:rPr>
      <w:rFonts w:ascii="Calibri Light" w:hAnsi="Calibri Light"/>
      <w:b/>
      <w:bCs/>
    </w:rPr>
  </w:style>
  <w:style w:type="character" w:customStyle="1" w:styleId="CommentSubjectChar">
    <w:name w:val="Comment Subject Char"/>
    <w:basedOn w:val="CommentTextChar"/>
    <w:link w:val="CommentSubject"/>
    <w:uiPriority w:val="99"/>
    <w:semiHidden/>
    <w:rsid w:val="00C102F1"/>
    <w:rPr>
      <w:rFonts w:ascii="Calibri Light" w:eastAsia="Times New Roman" w:hAnsi="Calibri Light" w:cs="Times New Roman"/>
      <w:b/>
      <w:bCs/>
      <w:sz w:val="20"/>
      <w:szCs w:val="20"/>
      <w:lang w:eastAsia="en-AU"/>
    </w:rPr>
  </w:style>
  <w:style w:type="paragraph" w:styleId="Revision">
    <w:name w:val="Revision"/>
    <w:hidden/>
    <w:uiPriority w:val="99"/>
    <w:semiHidden/>
    <w:rsid w:val="00B66E58"/>
    <w:pPr>
      <w:spacing w:after="0" w:line="240" w:lineRule="auto"/>
    </w:pPr>
    <w:rPr>
      <w:rFonts w:ascii="Calibri Light" w:eastAsia="Times New Roman" w:hAnsi="Calibri Light" w:cs="Times New Roman"/>
      <w:szCs w:val="20"/>
      <w:lang w:eastAsia="en-AU"/>
    </w:rPr>
  </w:style>
  <w:style w:type="paragraph" w:customStyle="1" w:styleId="pf0">
    <w:name w:val="pf0"/>
    <w:basedOn w:val="Normal"/>
    <w:rsid w:val="000436E1"/>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436E1"/>
    <w:rPr>
      <w:rFonts w:ascii="Segoe UI" w:hAnsi="Segoe UI" w:cs="Segoe UI" w:hint="default"/>
      <w:sz w:val="18"/>
      <w:szCs w:val="18"/>
    </w:rPr>
  </w:style>
  <w:style w:type="paragraph" w:customStyle="1" w:styleId="CABRecommendationsList">
    <w:name w:val="CAB Recommendations List"/>
    <w:uiPriority w:val="98"/>
    <w:rsid w:val="006619E7"/>
    <w:pPr>
      <w:numPr>
        <w:numId w:val="10"/>
      </w:numPr>
      <w:spacing w:before="120" w:line="240" w:lineRule="auto"/>
      <w:jc w:val="both"/>
    </w:pPr>
    <w:rPr>
      <w:rFonts w:ascii="Arial" w:hAnsi="Arial"/>
    </w:rPr>
  </w:style>
  <w:style w:type="table" w:styleId="ListTable2">
    <w:name w:val="List Table 2"/>
    <w:basedOn w:val="TableNormal"/>
    <w:uiPriority w:val="47"/>
    <w:rsid w:val="002764F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764F3"/>
    <w:pPr>
      <w:spacing w:after="0" w:line="240" w:lineRule="auto"/>
    </w:pPr>
    <w:tblPr>
      <w:tblStyleRowBandSize w:val="1"/>
      <w:tblStyleColBandSize w:val="1"/>
      <w:tblBorders>
        <w:top w:val="single" w:sz="4" w:space="0" w:color="6B83A7" w:themeColor="accent1" w:themeTint="99"/>
        <w:bottom w:val="single" w:sz="4" w:space="0" w:color="6B83A7" w:themeColor="accent1" w:themeTint="99"/>
        <w:insideH w:val="single" w:sz="4" w:space="0" w:color="6B83A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paragraph" w:styleId="NormalWeb">
    <w:name w:val="Normal (Web)"/>
    <w:basedOn w:val="Normal"/>
    <w:uiPriority w:val="99"/>
    <w:semiHidden/>
    <w:unhideWhenUsed/>
    <w:rsid w:val="00993BE3"/>
    <w:rPr>
      <w:rFonts w:ascii="Times New Roman" w:hAnsi="Times New Roman"/>
      <w:sz w:val="24"/>
      <w:szCs w:val="24"/>
    </w:rPr>
  </w:style>
  <w:style w:type="paragraph" w:customStyle="1" w:styleId="CABList">
    <w:name w:val="CAB List"/>
    <w:basedOn w:val="BodyText"/>
    <w:uiPriority w:val="98"/>
    <w:qFormat/>
    <w:rsid w:val="00210393"/>
    <w:pPr>
      <w:numPr>
        <w:numId w:val="13"/>
      </w:numPr>
      <w:tabs>
        <w:tab w:val="num" w:pos="851"/>
        <w:tab w:val="left" w:pos="4253"/>
      </w:tabs>
      <w:spacing w:after="0"/>
    </w:pPr>
    <w:rPr>
      <w:rFonts w:ascii="Arial" w:eastAsiaTheme="minorHAnsi" w:hAnsi="Arial" w:cstheme="minorBidi"/>
      <w:szCs w:val="22"/>
      <w:lang w:eastAsia="en-US"/>
    </w:rPr>
  </w:style>
  <w:style w:type="paragraph" w:styleId="BodyText">
    <w:name w:val="Body Text"/>
    <w:basedOn w:val="Normal"/>
    <w:link w:val="BodyTextChar"/>
    <w:uiPriority w:val="99"/>
    <w:semiHidden/>
    <w:unhideWhenUsed/>
    <w:rsid w:val="0035208F"/>
  </w:style>
  <w:style w:type="character" w:customStyle="1" w:styleId="BodyTextChar">
    <w:name w:val="Body Text Char"/>
    <w:basedOn w:val="DefaultParagraphFont"/>
    <w:link w:val="BodyText"/>
    <w:uiPriority w:val="99"/>
    <w:semiHidden/>
    <w:rsid w:val="0035208F"/>
    <w:rPr>
      <w:rFonts w:ascii="Calibri Light" w:eastAsia="Times New Roman" w:hAnsi="Calibri Light" w:cs="Times New Roman"/>
      <w:szCs w:val="20"/>
      <w:lang w:eastAsia="en-AU"/>
    </w:rPr>
  </w:style>
  <w:style w:type="character" w:customStyle="1" w:styleId="Mention">
    <w:name w:val="Mention"/>
    <w:basedOn w:val="DefaultParagraphFont"/>
    <w:uiPriority w:val="99"/>
    <w:unhideWhenUsed/>
    <w:rsid w:val="00C65626"/>
    <w:rPr>
      <w:color w:val="2B579A"/>
      <w:shd w:val="clear" w:color="auto" w:fill="E1DFDD"/>
    </w:rPr>
  </w:style>
  <w:style w:type="table" w:styleId="PlainTable1">
    <w:name w:val="Plain Table 1"/>
    <w:basedOn w:val="TableNormal"/>
    <w:uiPriority w:val="41"/>
    <w:rsid w:val="005D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CE01A0"/>
    <w:rPr>
      <w:b/>
      <w:bCs/>
    </w:rPr>
  </w:style>
  <w:style w:type="table" w:styleId="PlainTable3">
    <w:name w:val="Plain Table 3"/>
    <w:basedOn w:val="TableNormal"/>
    <w:uiPriority w:val="43"/>
    <w:rsid w:val="004A64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DefaultParagraphFont"/>
    <w:rsid w:val="00A92E25"/>
  </w:style>
  <w:style w:type="character" w:customStyle="1" w:styleId="eop">
    <w:name w:val="eop"/>
    <w:basedOn w:val="DefaultParagraphFont"/>
    <w:rsid w:val="00A92E25"/>
  </w:style>
  <w:style w:type="table" w:styleId="GridTable4-Accent1">
    <w:name w:val="Grid Table 4 Accent 1"/>
    <w:basedOn w:val="TableNormal"/>
    <w:uiPriority w:val="49"/>
    <w:rsid w:val="00A12300"/>
    <w:pPr>
      <w:spacing w:after="0" w:line="240" w:lineRule="auto"/>
    </w:p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insideV w:val="nil"/>
        </w:tcBorders>
        <w:shd w:val="clear" w:color="auto" w:fill="2C384A" w:themeFill="accent1"/>
      </w:tcPr>
    </w:tblStylePr>
    <w:tblStylePr w:type="lastRow">
      <w:rPr>
        <w:b/>
        <w:bCs/>
      </w:rPr>
      <w:tblPr/>
      <w:tcPr>
        <w:tcBorders>
          <w:top w:val="double" w:sz="4" w:space="0" w:color="2C384A" w:themeColor="accent1"/>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paragraph" w:customStyle="1" w:styleId="base-text-paragraph">
    <w:name w:val="base-text-paragraph"/>
    <w:basedOn w:val="Normal"/>
    <w:rsid w:val="00005C36"/>
    <w:pPr>
      <w:numPr>
        <w:numId w:val="25"/>
      </w:numPr>
    </w:pPr>
  </w:style>
  <w:style w:type="character" w:customStyle="1" w:styleId="Heading7Char">
    <w:name w:val="Heading 7 Char"/>
    <w:basedOn w:val="DefaultParagraphFont"/>
    <w:link w:val="Heading7"/>
    <w:uiPriority w:val="9"/>
    <w:rsid w:val="002E3E2B"/>
    <w:rPr>
      <w:rFonts w:ascii="Calibri Light" w:eastAsia="Times New Roman" w:hAnsi="Calibri Light" w:cs="Arial"/>
      <w:b/>
      <w:bCs/>
      <w:color w:val="4D7861" w:themeColor="accent2"/>
      <w:kern w:val="32"/>
      <w:szCs w:val="24"/>
      <w:lang w:eastAsia="en-AU"/>
    </w:rPr>
  </w:style>
  <w:style w:type="character" w:customStyle="1" w:styleId="Heading8Char">
    <w:name w:val="Heading 8 Char"/>
    <w:basedOn w:val="DefaultParagraphFont"/>
    <w:link w:val="Heading8"/>
    <w:uiPriority w:val="9"/>
    <w:rsid w:val="0099554D"/>
    <w:rPr>
      <w:rFonts w:eastAsiaTheme="majorEastAsia" w:cstheme="minorHAnsi"/>
      <w:i/>
      <w:iCs/>
      <w:color w:val="272727" w:themeColor="text1" w:themeTint="D8"/>
      <w:lang w:eastAsia="en-AU"/>
    </w:rPr>
  </w:style>
  <w:style w:type="character" w:customStyle="1" w:styleId="Heading9Char">
    <w:name w:val="Heading 9 Char"/>
    <w:basedOn w:val="DefaultParagraphFont"/>
    <w:link w:val="Heading9"/>
    <w:uiPriority w:val="9"/>
    <w:rsid w:val="00F745C2"/>
    <w:rPr>
      <w:rFonts w:asciiTheme="majorHAnsi" w:eastAsiaTheme="majorEastAsia" w:hAnsiTheme="majorHAnsi" w:cstheme="majorBidi"/>
      <w:i/>
      <w:iCs/>
      <w:color w:val="272727" w:themeColor="text1" w:themeTint="D8"/>
      <w:sz w:val="21"/>
      <w:szCs w:val="21"/>
      <w:lang w:eastAsia="en-AU"/>
    </w:rPr>
  </w:style>
  <w:style w:type="paragraph" w:customStyle="1" w:styleId="Figure">
    <w:name w:val="Figure"/>
    <w:basedOn w:val="Normal"/>
    <w:uiPriority w:val="2"/>
    <w:qFormat/>
    <w:rsid w:val="00EB535C"/>
    <w:pPr>
      <w:numPr>
        <w:numId w:val="28"/>
      </w:numPr>
      <w:spacing w:before="240" w:after="160" w:line="264" w:lineRule="auto"/>
    </w:pPr>
    <w:rPr>
      <w:rFonts w:asciiTheme="majorHAnsi" w:eastAsiaTheme="minorEastAsia" w:hAnsiTheme="majorHAnsi" w:cs="Segoe UI"/>
      <w:color w:val="5F5F5F" w:themeColor="text2"/>
      <w:szCs w:val="21"/>
      <w:lang w:eastAsia="en-US"/>
    </w:rPr>
  </w:style>
  <w:style w:type="table" w:customStyle="1" w:styleId="Custom1">
    <w:name w:val="Custom 1"/>
    <w:basedOn w:val="TableNormal"/>
    <w:uiPriority w:val="99"/>
    <w:rsid w:val="00EB535C"/>
    <w:pPr>
      <w:spacing w:after="0" w:line="240" w:lineRule="auto"/>
    </w:pPr>
    <w:rPr>
      <w:rFonts w:eastAsiaTheme="minorEastAsia"/>
      <w:sz w:val="18"/>
      <w:szCs w:val="21"/>
    </w:rPr>
    <w:tblPr>
      <w:tblStyleRowBandSize w:val="1"/>
      <w:tblInd w:w="0" w:type="nil"/>
      <w:tblBorders>
        <w:top w:val="single" w:sz="4" w:space="0" w:color="2C384A" w:themeColor="accent1"/>
        <w:bottom w:val="single" w:sz="12" w:space="0" w:color="2C384A" w:themeColor="accent1"/>
        <w:insideH w:val="single" w:sz="4" w:space="0" w:color="2C384A" w:themeColor="accent1"/>
      </w:tblBorders>
      <w:tblCellMar>
        <w:top w:w="57" w:type="dxa"/>
        <w:bottom w:w="57" w:type="dxa"/>
      </w:tblCellMar>
    </w:tblPr>
    <w:tblStylePr w:type="firstRow">
      <w:rPr>
        <w:rFonts w:asciiTheme="minorHAnsi" w:hAnsiTheme="minorHAnsi" w:hint="default"/>
        <w:b/>
        <w:sz w:val="18"/>
        <w:szCs w:val="18"/>
      </w:rPr>
      <w:tblPr/>
      <w:tcPr>
        <w:shd w:val="clear" w:color="auto" w:fill="2C384A" w:themeFill="accent1"/>
      </w:tcPr>
    </w:tblStylePr>
    <w:tblStylePr w:type="band1Horz">
      <w:tblPr/>
      <w:tcPr>
        <w:shd w:val="clear" w:color="auto" w:fill="EEEEEE" w:themeFill="background2"/>
      </w:tcPr>
    </w:tblStylePr>
  </w:style>
  <w:style w:type="paragraph" w:styleId="Caption">
    <w:name w:val="caption"/>
    <w:basedOn w:val="Normal"/>
    <w:next w:val="Normal"/>
    <w:uiPriority w:val="35"/>
    <w:unhideWhenUsed/>
    <w:qFormat/>
    <w:rsid w:val="00AB6F12"/>
    <w:pPr>
      <w:spacing w:before="0" w:after="200"/>
    </w:pPr>
    <w:rPr>
      <w:i/>
      <w:iCs/>
      <w:color w:val="5F5F5F" w:themeColor="text2"/>
      <w:sz w:val="18"/>
      <w:szCs w:val="18"/>
    </w:rPr>
  </w:style>
  <w:style w:type="table" w:styleId="ListTable4-Accent3">
    <w:name w:val="List Table 4 Accent 3"/>
    <w:basedOn w:val="TableNormal"/>
    <w:uiPriority w:val="49"/>
    <w:rsid w:val="00E21F22"/>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tcBorders>
        <w:shd w:val="clear" w:color="auto" w:fill="5D779D" w:themeFill="accent3"/>
      </w:tcPr>
    </w:tblStylePr>
    <w:tblStylePr w:type="lastRow">
      <w:rPr>
        <w:b/>
        <w:bCs/>
      </w:rPr>
      <w:tblPr/>
      <w:tcPr>
        <w:tcBorders>
          <w:top w:val="double" w:sz="4" w:space="0" w:color="9DADC5" w:themeColor="accent3" w:themeTint="99"/>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table" w:styleId="GridTable4-Accent5">
    <w:name w:val="Grid Table 4 Accent 5"/>
    <w:basedOn w:val="TableNormal"/>
    <w:uiPriority w:val="49"/>
    <w:rsid w:val="00B9540B"/>
    <w:pPr>
      <w:spacing w:after="0" w:line="240" w:lineRule="auto"/>
    </w:pPr>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color w:val="FFFFFF" w:themeColor="background1"/>
      </w:rPr>
      <w:tblPr/>
      <w:tcPr>
        <w:tcBorders>
          <w:top w:val="single" w:sz="4" w:space="0" w:color="90B6F0" w:themeColor="accent5"/>
          <w:left w:val="single" w:sz="4" w:space="0" w:color="90B6F0" w:themeColor="accent5"/>
          <w:bottom w:val="single" w:sz="4" w:space="0" w:color="90B6F0" w:themeColor="accent5"/>
          <w:right w:val="single" w:sz="4" w:space="0" w:color="90B6F0" w:themeColor="accent5"/>
          <w:insideH w:val="nil"/>
          <w:insideV w:val="nil"/>
        </w:tcBorders>
        <w:shd w:val="clear" w:color="auto" w:fill="90B6F0" w:themeFill="accent5"/>
      </w:tcPr>
    </w:tblStylePr>
    <w:tblStylePr w:type="lastRow">
      <w:rPr>
        <w:b/>
        <w:bCs/>
      </w:rPr>
      <w:tblPr/>
      <w:tcPr>
        <w:tcBorders>
          <w:top w:val="double" w:sz="4" w:space="0" w:color="90B6F0" w:themeColor="accent5"/>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table" w:styleId="GridTable4-Accent3">
    <w:name w:val="Grid Table 4 Accent 3"/>
    <w:basedOn w:val="TableNormal"/>
    <w:uiPriority w:val="49"/>
    <w:rsid w:val="00B9540B"/>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insideV w:val="nil"/>
        </w:tcBorders>
        <w:shd w:val="clear" w:color="auto" w:fill="5D779D" w:themeFill="accent3"/>
      </w:tcPr>
    </w:tblStylePr>
    <w:tblStylePr w:type="lastRow">
      <w:rPr>
        <w:b/>
        <w:bCs/>
      </w:rPr>
      <w:tblPr/>
      <w:tcPr>
        <w:tcBorders>
          <w:top w:val="double" w:sz="4" w:space="0" w:color="5D779D" w:themeColor="accent3"/>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character" w:customStyle="1" w:styleId="ui-provider">
    <w:name w:val="ui-provider"/>
    <w:basedOn w:val="DefaultParagraphFont"/>
    <w:rsid w:val="00AF7BA6"/>
  </w:style>
  <w:style w:type="paragraph" w:customStyle="1" w:styleId="Default">
    <w:name w:val="Default"/>
    <w:rsid w:val="00814148"/>
    <w:pPr>
      <w:autoSpaceDE w:val="0"/>
      <w:autoSpaceDN w:val="0"/>
      <w:adjustRightInd w:val="0"/>
      <w:spacing w:after="0" w:line="240" w:lineRule="auto"/>
    </w:pPr>
    <w:rPr>
      <w:rFonts w:ascii="Times New Roman" w:hAnsi="Times New Roman" w:cs="Times New Roman"/>
      <w:color w:val="000000"/>
      <w:sz w:val="24"/>
      <w:szCs w:val="24"/>
    </w:rPr>
  </w:style>
  <w:style w:type="table" w:styleId="GridTable2-Accent1">
    <w:name w:val="Grid Table 2 Accent 1"/>
    <w:basedOn w:val="TableNormal"/>
    <w:uiPriority w:val="47"/>
    <w:rsid w:val="00F50526"/>
    <w:pPr>
      <w:spacing w:after="0" w:line="240" w:lineRule="auto"/>
    </w:pPr>
    <w:tblPr>
      <w:tblStyleRowBandSize w:val="1"/>
      <w:tblStyleColBandSize w:val="1"/>
      <w:tblBorders>
        <w:top w:val="single" w:sz="2" w:space="0" w:color="6B83A7" w:themeColor="accent1" w:themeTint="99"/>
        <w:bottom w:val="single" w:sz="2" w:space="0" w:color="6B83A7" w:themeColor="accent1" w:themeTint="99"/>
        <w:insideH w:val="single" w:sz="2" w:space="0" w:color="6B83A7" w:themeColor="accent1" w:themeTint="99"/>
        <w:insideV w:val="single" w:sz="2" w:space="0" w:color="6B83A7" w:themeColor="accent1" w:themeTint="99"/>
      </w:tblBorders>
    </w:tblPr>
    <w:tblStylePr w:type="firstRow">
      <w:rPr>
        <w:b/>
        <w:bCs/>
      </w:rPr>
      <w:tblPr/>
      <w:tcPr>
        <w:tcBorders>
          <w:top w:val="nil"/>
          <w:bottom w:val="single" w:sz="12" w:space="0" w:color="6B83A7" w:themeColor="accent1" w:themeTint="99"/>
          <w:insideH w:val="nil"/>
          <w:insideV w:val="nil"/>
        </w:tcBorders>
        <w:shd w:val="clear" w:color="auto" w:fill="FFFFFF" w:themeFill="background1"/>
      </w:tcPr>
    </w:tblStylePr>
    <w:tblStylePr w:type="lastRow">
      <w:rPr>
        <w:b/>
        <w:bCs/>
      </w:rPr>
      <w:tblPr/>
      <w:tcPr>
        <w:tcBorders>
          <w:top w:val="double" w:sz="2" w:space="0" w:color="6B83A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3-Accent3">
    <w:name w:val="List Table 3 Accent 3"/>
    <w:basedOn w:val="TableNormal"/>
    <w:uiPriority w:val="48"/>
    <w:rsid w:val="005747A9"/>
    <w:pPr>
      <w:spacing w:after="0" w:line="240" w:lineRule="auto"/>
    </w:pPr>
    <w:tblPr>
      <w:tblStyleRowBandSize w:val="1"/>
      <w:tblStyleColBandSize w:val="1"/>
      <w:tblBorders>
        <w:top w:val="single" w:sz="4" w:space="0" w:color="5D779D" w:themeColor="accent3"/>
        <w:left w:val="single" w:sz="4" w:space="0" w:color="5D779D" w:themeColor="accent3"/>
        <w:bottom w:val="single" w:sz="4" w:space="0" w:color="5D779D" w:themeColor="accent3"/>
        <w:right w:val="single" w:sz="4" w:space="0" w:color="5D779D" w:themeColor="accent3"/>
      </w:tblBorders>
    </w:tblPr>
    <w:tblStylePr w:type="firstRow">
      <w:rPr>
        <w:b/>
        <w:bCs/>
        <w:color w:val="FFFFFF" w:themeColor="background1"/>
      </w:rPr>
      <w:tblPr/>
      <w:tcPr>
        <w:shd w:val="clear" w:color="auto" w:fill="5D779D" w:themeFill="accent3"/>
      </w:tcPr>
    </w:tblStylePr>
    <w:tblStylePr w:type="lastRow">
      <w:rPr>
        <w:b/>
        <w:bCs/>
      </w:rPr>
      <w:tblPr/>
      <w:tcPr>
        <w:tcBorders>
          <w:top w:val="double" w:sz="4" w:space="0" w:color="5D77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D779D" w:themeColor="accent3"/>
          <w:right w:val="single" w:sz="4" w:space="0" w:color="5D779D" w:themeColor="accent3"/>
        </w:tcBorders>
      </w:tcPr>
    </w:tblStylePr>
    <w:tblStylePr w:type="band1Horz">
      <w:tblPr/>
      <w:tcPr>
        <w:tcBorders>
          <w:top w:val="single" w:sz="4" w:space="0" w:color="5D779D" w:themeColor="accent3"/>
          <w:bottom w:val="single" w:sz="4" w:space="0" w:color="5D77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D779D" w:themeColor="accent3"/>
          <w:left w:val="nil"/>
        </w:tcBorders>
      </w:tcPr>
    </w:tblStylePr>
    <w:tblStylePr w:type="swCell">
      <w:tblPr/>
      <w:tcPr>
        <w:tcBorders>
          <w:top w:val="double" w:sz="4" w:space="0" w:color="5D779D" w:themeColor="accent3"/>
          <w:right w:val="nil"/>
        </w:tcBorders>
      </w:tcPr>
    </w:tblStylePr>
  </w:style>
  <w:style w:type="table" w:styleId="ListTable4-Accent1">
    <w:name w:val="List Table 4 Accent 1"/>
    <w:basedOn w:val="TableNormal"/>
    <w:uiPriority w:val="49"/>
    <w:rsid w:val="002F47F5"/>
    <w:pPr>
      <w:spacing w:after="0" w:line="240" w:lineRule="auto"/>
    </w:p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tcBorders>
        <w:shd w:val="clear" w:color="auto" w:fill="2C384A" w:themeFill="accent1"/>
      </w:tcPr>
    </w:tblStylePr>
    <w:tblStylePr w:type="lastRow">
      <w:rPr>
        <w:b/>
        <w:bCs/>
      </w:rPr>
      <w:tblPr/>
      <w:tcPr>
        <w:tcBorders>
          <w:top w:val="double" w:sz="4" w:space="0" w:color="6B83A7" w:themeColor="accent1" w:themeTint="99"/>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GridTable3-Accent1">
    <w:name w:val="Grid Table 3 Accent 1"/>
    <w:basedOn w:val="TableNormal"/>
    <w:uiPriority w:val="48"/>
    <w:rsid w:val="00311A05"/>
    <w:pPr>
      <w:spacing w:after="0" w:line="240" w:lineRule="auto"/>
    </w:p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D5E1" w:themeFill="accent1" w:themeFillTint="33"/>
      </w:tcPr>
    </w:tblStylePr>
    <w:tblStylePr w:type="band1Horz">
      <w:tblPr/>
      <w:tcPr>
        <w:shd w:val="clear" w:color="auto" w:fill="CDD5E1" w:themeFill="accent1" w:themeFillTint="33"/>
      </w:tcPr>
    </w:tblStylePr>
    <w:tblStylePr w:type="neCell">
      <w:tblPr/>
      <w:tcPr>
        <w:tcBorders>
          <w:bottom w:val="single" w:sz="4" w:space="0" w:color="6B83A7" w:themeColor="accent1" w:themeTint="99"/>
        </w:tcBorders>
      </w:tcPr>
    </w:tblStylePr>
    <w:tblStylePr w:type="nwCell">
      <w:tblPr/>
      <w:tcPr>
        <w:tcBorders>
          <w:bottom w:val="single" w:sz="4" w:space="0" w:color="6B83A7" w:themeColor="accent1" w:themeTint="99"/>
        </w:tcBorders>
      </w:tcPr>
    </w:tblStylePr>
    <w:tblStylePr w:type="seCell">
      <w:tblPr/>
      <w:tcPr>
        <w:tcBorders>
          <w:top w:val="single" w:sz="4" w:space="0" w:color="6B83A7" w:themeColor="accent1" w:themeTint="99"/>
        </w:tcBorders>
      </w:tcPr>
    </w:tblStylePr>
    <w:tblStylePr w:type="swCell">
      <w:tblPr/>
      <w:tcPr>
        <w:tcBorders>
          <w:top w:val="single" w:sz="4" w:space="0" w:color="6B83A7" w:themeColor="accent1" w:themeTint="99"/>
        </w:tcBorders>
      </w:tcPr>
    </w:tblStylePr>
  </w:style>
  <w:style w:type="table" w:styleId="GridTable5Dark-Accent3">
    <w:name w:val="Grid Table 5 Dark Accent 3"/>
    <w:basedOn w:val="TableNormal"/>
    <w:uiPriority w:val="50"/>
    <w:rsid w:val="00311A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77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77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77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779D" w:themeFill="accent3"/>
      </w:tcPr>
    </w:tblStylePr>
    <w:tblStylePr w:type="band1Vert">
      <w:tblPr/>
      <w:tcPr>
        <w:shd w:val="clear" w:color="auto" w:fill="BDC8D8" w:themeFill="accent3" w:themeFillTint="66"/>
      </w:tcPr>
    </w:tblStylePr>
    <w:tblStylePr w:type="band1Horz">
      <w:tblPr/>
      <w:tcPr>
        <w:shd w:val="clear" w:color="auto" w:fill="BDC8D8" w:themeFill="accent3" w:themeFillTint="66"/>
      </w:tcPr>
    </w:tblStylePr>
  </w:style>
  <w:style w:type="table" w:styleId="TableGridLight">
    <w:name w:val="Grid Table Light"/>
    <w:basedOn w:val="TableNormal"/>
    <w:uiPriority w:val="40"/>
    <w:rsid w:val="007C3A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A1FC7"/>
    <w:pPr>
      <w:spacing w:before="0" w:after="0"/>
    </w:pPr>
    <w:rPr>
      <w:sz w:val="20"/>
    </w:rPr>
  </w:style>
  <w:style w:type="character" w:customStyle="1" w:styleId="EndnoteTextChar">
    <w:name w:val="Endnote Text Char"/>
    <w:basedOn w:val="DefaultParagraphFont"/>
    <w:link w:val="EndnoteText"/>
    <w:uiPriority w:val="99"/>
    <w:semiHidden/>
    <w:rsid w:val="007A1FC7"/>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7A1FC7"/>
    <w:rPr>
      <w:vertAlign w:val="superscript"/>
    </w:rPr>
  </w:style>
  <w:style w:type="table" w:styleId="GridTable1Light">
    <w:name w:val="Grid Table 1 Light"/>
    <w:basedOn w:val="TableNormal"/>
    <w:uiPriority w:val="46"/>
    <w:rsid w:val="00BB365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268">
      <w:bodyDiv w:val="1"/>
      <w:marLeft w:val="0"/>
      <w:marRight w:val="0"/>
      <w:marTop w:val="0"/>
      <w:marBottom w:val="0"/>
      <w:divBdr>
        <w:top w:val="none" w:sz="0" w:space="0" w:color="auto"/>
        <w:left w:val="none" w:sz="0" w:space="0" w:color="auto"/>
        <w:bottom w:val="none" w:sz="0" w:space="0" w:color="auto"/>
        <w:right w:val="none" w:sz="0" w:space="0" w:color="auto"/>
      </w:divBdr>
    </w:div>
    <w:div w:id="37246055">
      <w:bodyDiv w:val="1"/>
      <w:marLeft w:val="0"/>
      <w:marRight w:val="0"/>
      <w:marTop w:val="0"/>
      <w:marBottom w:val="0"/>
      <w:divBdr>
        <w:top w:val="none" w:sz="0" w:space="0" w:color="auto"/>
        <w:left w:val="none" w:sz="0" w:space="0" w:color="auto"/>
        <w:bottom w:val="none" w:sz="0" w:space="0" w:color="auto"/>
        <w:right w:val="none" w:sz="0" w:space="0" w:color="auto"/>
      </w:divBdr>
    </w:div>
    <w:div w:id="42872900">
      <w:bodyDiv w:val="1"/>
      <w:marLeft w:val="0"/>
      <w:marRight w:val="0"/>
      <w:marTop w:val="0"/>
      <w:marBottom w:val="0"/>
      <w:divBdr>
        <w:top w:val="none" w:sz="0" w:space="0" w:color="auto"/>
        <w:left w:val="none" w:sz="0" w:space="0" w:color="auto"/>
        <w:bottom w:val="none" w:sz="0" w:space="0" w:color="auto"/>
        <w:right w:val="none" w:sz="0" w:space="0" w:color="auto"/>
      </w:divBdr>
    </w:div>
    <w:div w:id="53242493">
      <w:bodyDiv w:val="1"/>
      <w:marLeft w:val="0"/>
      <w:marRight w:val="0"/>
      <w:marTop w:val="0"/>
      <w:marBottom w:val="0"/>
      <w:divBdr>
        <w:top w:val="none" w:sz="0" w:space="0" w:color="auto"/>
        <w:left w:val="none" w:sz="0" w:space="0" w:color="auto"/>
        <w:bottom w:val="none" w:sz="0" w:space="0" w:color="auto"/>
        <w:right w:val="none" w:sz="0" w:space="0" w:color="auto"/>
      </w:divBdr>
    </w:div>
    <w:div w:id="81610507">
      <w:bodyDiv w:val="1"/>
      <w:marLeft w:val="0"/>
      <w:marRight w:val="0"/>
      <w:marTop w:val="0"/>
      <w:marBottom w:val="0"/>
      <w:divBdr>
        <w:top w:val="none" w:sz="0" w:space="0" w:color="auto"/>
        <w:left w:val="none" w:sz="0" w:space="0" w:color="auto"/>
        <w:bottom w:val="none" w:sz="0" w:space="0" w:color="auto"/>
        <w:right w:val="none" w:sz="0" w:space="0" w:color="auto"/>
      </w:divBdr>
    </w:div>
    <w:div w:id="87119335">
      <w:bodyDiv w:val="1"/>
      <w:marLeft w:val="0"/>
      <w:marRight w:val="0"/>
      <w:marTop w:val="0"/>
      <w:marBottom w:val="0"/>
      <w:divBdr>
        <w:top w:val="none" w:sz="0" w:space="0" w:color="auto"/>
        <w:left w:val="none" w:sz="0" w:space="0" w:color="auto"/>
        <w:bottom w:val="none" w:sz="0" w:space="0" w:color="auto"/>
        <w:right w:val="none" w:sz="0" w:space="0" w:color="auto"/>
      </w:divBdr>
    </w:div>
    <w:div w:id="95096500">
      <w:bodyDiv w:val="1"/>
      <w:marLeft w:val="0"/>
      <w:marRight w:val="0"/>
      <w:marTop w:val="0"/>
      <w:marBottom w:val="0"/>
      <w:divBdr>
        <w:top w:val="none" w:sz="0" w:space="0" w:color="auto"/>
        <w:left w:val="none" w:sz="0" w:space="0" w:color="auto"/>
        <w:bottom w:val="none" w:sz="0" w:space="0" w:color="auto"/>
        <w:right w:val="none" w:sz="0" w:space="0" w:color="auto"/>
      </w:divBdr>
      <w:divsChild>
        <w:div w:id="2055881142">
          <w:marLeft w:val="0"/>
          <w:marRight w:val="0"/>
          <w:marTop w:val="0"/>
          <w:marBottom w:val="0"/>
          <w:divBdr>
            <w:top w:val="none" w:sz="0" w:space="0" w:color="auto"/>
            <w:left w:val="none" w:sz="0" w:space="0" w:color="auto"/>
            <w:bottom w:val="none" w:sz="0" w:space="0" w:color="auto"/>
            <w:right w:val="none" w:sz="0" w:space="0" w:color="auto"/>
          </w:divBdr>
          <w:divsChild>
            <w:div w:id="17725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5619">
      <w:bodyDiv w:val="1"/>
      <w:marLeft w:val="0"/>
      <w:marRight w:val="0"/>
      <w:marTop w:val="0"/>
      <w:marBottom w:val="0"/>
      <w:divBdr>
        <w:top w:val="none" w:sz="0" w:space="0" w:color="auto"/>
        <w:left w:val="none" w:sz="0" w:space="0" w:color="auto"/>
        <w:bottom w:val="none" w:sz="0" w:space="0" w:color="auto"/>
        <w:right w:val="none" w:sz="0" w:space="0" w:color="auto"/>
      </w:divBdr>
    </w:div>
    <w:div w:id="155583608">
      <w:bodyDiv w:val="1"/>
      <w:marLeft w:val="0"/>
      <w:marRight w:val="0"/>
      <w:marTop w:val="0"/>
      <w:marBottom w:val="0"/>
      <w:divBdr>
        <w:top w:val="none" w:sz="0" w:space="0" w:color="auto"/>
        <w:left w:val="none" w:sz="0" w:space="0" w:color="auto"/>
        <w:bottom w:val="none" w:sz="0" w:space="0" w:color="auto"/>
        <w:right w:val="none" w:sz="0" w:space="0" w:color="auto"/>
      </w:divBdr>
    </w:div>
    <w:div w:id="155732642">
      <w:bodyDiv w:val="1"/>
      <w:marLeft w:val="0"/>
      <w:marRight w:val="0"/>
      <w:marTop w:val="0"/>
      <w:marBottom w:val="0"/>
      <w:divBdr>
        <w:top w:val="none" w:sz="0" w:space="0" w:color="auto"/>
        <w:left w:val="none" w:sz="0" w:space="0" w:color="auto"/>
        <w:bottom w:val="none" w:sz="0" w:space="0" w:color="auto"/>
        <w:right w:val="none" w:sz="0" w:space="0" w:color="auto"/>
      </w:divBdr>
    </w:div>
    <w:div w:id="306201780">
      <w:bodyDiv w:val="1"/>
      <w:marLeft w:val="0"/>
      <w:marRight w:val="0"/>
      <w:marTop w:val="0"/>
      <w:marBottom w:val="0"/>
      <w:divBdr>
        <w:top w:val="none" w:sz="0" w:space="0" w:color="auto"/>
        <w:left w:val="none" w:sz="0" w:space="0" w:color="auto"/>
        <w:bottom w:val="none" w:sz="0" w:space="0" w:color="auto"/>
        <w:right w:val="none" w:sz="0" w:space="0" w:color="auto"/>
      </w:divBdr>
    </w:div>
    <w:div w:id="334920436">
      <w:bodyDiv w:val="1"/>
      <w:marLeft w:val="0"/>
      <w:marRight w:val="0"/>
      <w:marTop w:val="0"/>
      <w:marBottom w:val="0"/>
      <w:divBdr>
        <w:top w:val="none" w:sz="0" w:space="0" w:color="auto"/>
        <w:left w:val="none" w:sz="0" w:space="0" w:color="auto"/>
        <w:bottom w:val="none" w:sz="0" w:space="0" w:color="auto"/>
        <w:right w:val="none" w:sz="0" w:space="0" w:color="auto"/>
      </w:divBdr>
    </w:div>
    <w:div w:id="364718786">
      <w:bodyDiv w:val="1"/>
      <w:marLeft w:val="0"/>
      <w:marRight w:val="0"/>
      <w:marTop w:val="0"/>
      <w:marBottom w:val="0"/>
      <w:divBdr>
        <w:top w:val="none" w:sz="0" w:space="0" w:color="auto"/>
        <w:left w:val="none" w:sz="0" w:space="0" w:color="auto"/>
        <w:bottom w:val="none" w:sz="0" w:space="0" w:color="auto"/>
        <w:right w:val="none" w:sz="0" w:space="0" w:color="auto"/>
      </w:divBdr>
    </w:div>
    <w:div w:id="366417494">
      <w:bodyDiv w:val="1"/>
      <w:marLeft w:val="0"/>
      <w:marRight w:val="0"/>
      <w:marTop w:val="0"/>
      <w:marBottom w:val="0"/>
      <w:divBdr>
        <w:top w:val="none" w:sz="0" w:space="0" w:color="auto"/>
        <w:left w:val="none" w:sz="0" w:space="0" w:color="auto"/>
        <w:bottom w:val="none" w:sz="0" w:space="0" w:color="auto"/>
        <w:right w:val="none" w:sz="0" w:space="0" w:color="auto"/>
      </w:divBdr>
    </w:div>
    <w:div w:id="366563415">
      <w:bodyDiv w:val="1"/>
      <w:marLeft w:val="0"/>
      <w:marRight w:val="0"/>
      <w:marTop w:val="0"/>
      <w:marBottom w:val="0"/>
      <w:divBdr>
        <w:top w:val="none" w:sz="0" w:space="0" w:color="auto"/>
        <w:left w:val="none" w:sz="0" w:space="0" w:color="auto"/>
        <w:bottom w:val="none" w:sz="0" w:space="0" w:color="auto"/>
        <w:right w:val="none" w:sz="0" w:space="0" w:color="auto"/>
      </w:divBdr>
    </w:div>
    <w:div w:id="378937506">
      <w:bodyDiv w:val="1"/>
      <w:marLeft w:val="0"/>
      <w:marRight w:val="0"/>
      <w:marTop w:val="0"/>
      <w:marBottom w:val="0"/>
      <w:divBdr>
        <w:top w:val="none" w:sz="0" w:space="0" w:color="auto"/>
        <w:left w:val="none" w:sz="0" w:space="0" w:color="auto"/>
        <w:bottom w:val="none" w:sz="0" w:space="0" w:color="auto"/>
        <w:right w:val="none" w:sz="0" w:space="0" w:color="auto"/>
      </w:divBdr>
    </w:div>
    <w:div w:id="409817080">
      <w:bodyDiv w:val="1"/>
      <w:marLeft w:val="0"/>
      <w:marRight w:val="0"/>
      <w:marTop w:val="0"/>
      <w:marBottom w:val="0"/>
      <w:divBdr>
        <w:top w:val="none" w:sz="0" w:space="0" w:color="auto"/>
        <w:left w:val="none" w:sz="0" w:space="0" w:color="auto"/>
        <w:bottom w:val="none" w:sz="0" w:space="0" w:color="auto"/>
        <w:right w:val="none" w:sz="0" w:space="0" w:color="auto"/>
      </w:divBdr>
      <w:divsChild>
        <w:div w:id="1154294160">
          <w:marLeft w:val="0"/>
          <w:marRight w:val="0"/>
          <w:marTop w:val="0"/>
          <w:marBottom w:val="0"/>
          <w:divBdr>
            <w:top w:val="none" w:sz="0" w:space="0" w:color="auto"/>
            <w:left w:val="none" w:sz="0" w:space="0" w:color="auto"/>
            <w:bottom w:val="none" w:sz="0" w:space="0" w:color="auto"/>
            <w:right w:val="none" w:sz="0" w:space="0" w:color="auto"/>
          </w:divBdr>
        </w:div>
        <w:div w:id="1279095895">
          <w:marLeft w:val="0"/>
          <w:marRight w:val="0"/>
          <w:marTop w:val="0"/>
          <w:marBottom w:val="0"/>
          <w:divBdr>
            <w:top w:val="none" w:sz="0" w:space="0" w:color="auto"/>
            <w:left w:val="none" w:sz="0" w:space="0" w:color="auto"/>
            <w:bottom w:val="none" w:sz="0" w:space="0" w:color="auto"/>
            <w:right w:val="none" w:sz="0" w:space="0" w:color="auto"/>
          </w:divBdr>
        </w:div>
        <w:div w:id="1618757228">
          <w:marLeft w:val="0"/>
          <w:marRight w:val="0"/>
          <w:marTop w:val="0"/>
          <w:marBottom w:val="0"/>
          <w:divBdr>
            <w:top w:val="none" w:sz="0" w:space="0" w:color="auto"/>
            <w:left w:val="none" w:sz="0" w:space="0" w:color="auto"/>
            <w:bottom w:val="none" w:sz="0" w:space="0" w:color="auto"/>
            <w:right w:val="none" w:sz="0" w:space="0" w:color="auto"/>
          </w:divBdr>
        </w:div>
      </w:divsChild>
    </w:div>
    <w:div w:id="415975025">
      <w:bodyDiv w:val="1"/>
      <w:marLeft w:val="0"/>
      <w:marRight w:val="0"/>
      <w:marTop w:val="0"/>
      <w:marBottom w:val="0"/>
      <w:divBdr>
        <w:top w:val="none" w:sz="0" w:space="0" w:color="auto"/>
        <w:left w:val="none" w:sz="0" w:space="0" w:color="auto"/>
        <w:bottom w:val="none" w:sz="0" w:space="0" w:color="auto"/>
        <w:right w:val="none" w:sz="0" w:space="0" w:color="auto"/>
      </w:divBdr>
      <w:divsChild>
        <w:div w:id="53237513">
          <w:marLeft w:val="0"/>
          <w:marRight w:val="0"/>
          <w:marTop w:val="0"/>
          <w:marBottom w:val="0"/>
          <w:divBdr>
            <w:top w:val="none" w:sz="0" w:space="0" w:color="auto"/>
            <w:left w:val="none" w:sz="0" w:space="0" w:color="auto"/>
            <w:bottom w:val="none" w:sz="0" w:space="0" w:color="auto"/>
            <w:right w:val="none" w:sz="0" w:space="0" w:color="auto"/>
          </w:divBdr>
          <w:divsChild>
            <w:div w:id="1683168278">
              <w:marLeft w:val="0"/>
              <w:marRight w:val="0"/>
              <w:marTop w:val="0"/>
              <w:marBottom w:val="0"/>
              <w:divBdr>
                <w:top w:val="none" w:sz="0" w:space="0" w:color="auto"/>
                <w:left w:val="none" w:sz="0" w:space="0" w:color="auto"/>
                <w:bottom w:val="none" w:sz="0" w:space="0" w:color="auto"/>
                <w:right w:val="none" w:sz="0" w:space="0" w:color="auto"/>
              </w:divBdr>
              <w:divsChild>
                <w:div w:id="3689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6272">
      <w:bodyDiv w:val="1"/>
      <w:marLeft w:val="0"/>
      <w:marRight w:val="0"/>
      <w:marTop w:val="0"/>
      <w:marBottom w:val="0"/>
      <w:divBdr>
        <w:top w:val="none" w:sz="0" w:space="0" w:color="auto"/>
        <w:left w:val="none" w:sz="0" w:space="0" w:color="auto"/>
        <w:bottom w:val="none" w:sz="0" w:space="0" w:color="auto"/>
        <w:right w:val="none" w:sz="0" w:space="0" w:color="auto"/>
      </w:divBdr>
    </w:div>
    <w:div w:id="447968596">
      <w:bodyDiv w:val="1"/>
      <w:marLeft w:val="0"/>
      <w:marRight w:val="0"/>
      <w:marTop w:val="0"/>
      <w:marBottom w:val="0"/>
      <w:divBdr>
        <w:top w:val="none" w:sz="0" w:space="0" w:color="auto"/>
        <w:left w:val="none" w:sz="0" w:space="0" w:color="auto"/>
        <w:bottom w:val="none" w:sz="0" w:space="0" w:color="auto"/>
        <w:right w:val="none" w:sz="0" w:space="0" w:color="auto"/>
      </w:divBdr>
    </w:div>
    <w:div w:id="472525454">
      <w:bodyDiv w:val="1"/>
      <w:marLeft w:val="0"/>
      <w:marRight w:val="0"/>
      <w:marTop w:val="0"/>
      <w:marBottom w:val="0"/>
      <w:divBdr>
        <w:top w:val="none" w:sz="0" w:space="0" w:color="auto"/>
        <w:left w:val="none" w:sz="0" w:space="0" w:color="auto"/>
        <w:bottom w:val="none" w:sz="0" w:space="0" w:color="auto"/>
        <w:right w:val="none" w:sz="0" w:space="0" w:color="auto"/>
      </w:divBdr>
    </w:div>
    <w:div w:id="489559921">
      <w:bodyDiv w:val="1"/>
      <w:marLeft w:val="0"/>
      <w:marRight w:val="0"/>
      <w:marTop w:val="0"/>
      <w:marBottom w:val="0"/>
      <w:divBdr>
        <w:top w:val="none" w:sz="0" w:space="0" w:color="auto"/>
        <w:left w:val="none" w:sz="0" w:space="0" w:color="auto"/>
        <w:bottom w:val="none" w:sz="0" w:space="0" w:color="auto"/>
        <w:right w:val="none" w:sz="0" w:space="0" w:color="auto"/>
      </w:divBdr>
    </w:div>
    <w:div w:id="571043246">
      <w:bodyDiv w:val="1"/>
      <w:marLeft w:val="0"/>
      <w:marRight w:val="0"/>
      <w:marTop w:val="0"/>
      <w:marBottom w:val="0"/>
      <w:divBdr>
        <w:top w:val="none" w:sz="0" w:space="0" w:color="auto"/>
        <w:left w:val="none" w:sz="0" w:space="0" w:color="auto"/>
        <w:bottom w:val="none" w:sz="0" w:space="0" w:color="auto"/>
        <w:right w:val="none" w:sz="0" w:space="0" w:color="auto"/>
      </w:divBdr>
    </w:div>
    <w:div w:id="621964792">
      <w:bodyDiv w:val="1"/>
      <w:marLeft w:val="0"/>
      <w:marRight w:val="0"/>
      <w:marTop w:val="0"/>
      <w:marBottom w:val="0"/>
      <w:divBdr>
        <w:top w:val="none" w:sz="0" w:space="0" w:color="auto"/>
        <w:left w:val="none" w:sz="0" w:space="0" w:color="auto"/>
        <w:bottom w:val="none" w:sz="0" w:space="0" w:color="auto"/>
        <w:right w:val="none" w:sz="0" w:space="0" w:color="auto"/>
      </w:divBdr>
    </w:div>
    <w:div w:id="627593876">
      <w:bodyDiv w:val="1"/>
      <w:marLeft w:val="0"/>
      <w:marRight w:val="0"/>
      <w:marTop w:val="0"/>
      <w:marBottom w:val="0"/>
      <w:divBdr>
        <w:top w:val="none" w:sz="0" w:space="0" w:color="auto"/>
        <w:left w:val="none" w:sz="0" w:space="0" w:color="auto"/>
        <w:bottom w:val="none" w:sz="0" w:space="0" w:color="auto"/>
        <w:right w:val="none" w:sz="0" w:space="0" w:color="auto"/>
      </w:divBdr>
    </w:div>
    <w:div w:id="636185200">
      <w:bodyDiv w:val="1"/>
      <w:marLeft w:val="0"/>
      <w:marRight w:val="0"/>
      <w:marTop w:val="0"/>
      <w:marBottom w:val="0"/>
      <w:divBdr>
        <w:top w:val="none" w:sz="0" w:space="0" w:color="auto"/>
        <w:left w:val="none" w:sz="0" w:space="0" w:color="auto"/>
        <w:bottom w:val="none" w:sz="0" w:space="0" w:color="auto"/>
        <w:right w:val="none" w:sz="0" w:space="0" w:color="auto"/>
      </w:divBdr>
    </w:div>
    <w:div w:id="655495733">
      <w:bodyDiv w:val="1"/>
      <w:marLeft w:val="0"/>
      <w:marRight w:val="0"/>
      <w:marTop w:val="0"/>
      <w:marBottom w:val="0"/>
      <w:divBdr>
        <w:top w:val="none" w:sz="0" w:space="0" w:color="auto"/>
        <w:left w:val="none" w:sz="0" w:space="0" w:color="auto"/>
        <w:bottom w:val="none" w:sz="0" w:space="0" w:color="auto"/>
        <w:right w:val="none" w:sz="0" w:space="0" w:color="auto"/>
      </w:divBdr>
    </w:div>
    <w:div w:id="681203329">
      <w:bodyDiv w:val="1"/>
      <w:marLeft w:val="0"/>
      <w:marRight w:val="0"/>
      <w:marTop w:val="0"/>
      <w:marBottom w:val="0"/>
      <w:divBdr>
        <w:top w:val="none" w:sz="0" w:space="0" w:color="auto"/>
        <w:left w:val="none" w:sz="0" w:space="0" w:color="auto"/>
        <w:bottom w:val="none" w:sz="0" w:space="0" w:color="auto"/>
        <w:right w:val="none" w:sz="0" w:space="0" w:color="auto"/>
      </w:divBdr>
    </w:div>
    <w:div w:id="709958768">
      <w:bodyDiv w:val="1"/>
      <w:marLeft w:val="0"/>
      <w:marRight w:val="0"/>
      <w:marTop w:val="0"/>
      <w:marBottom w:val="0"/>
      <w:divBdr>
        <w:top w:val="none" w:sz="0" w:space="0" w:color="auto"/>
        <w:left w:val="none" w:sz="0" w:space="0" w:color="auto"/>
        <w:bottom w:val="none" w:sz="0" w:space="0" w:color="auto"/>
        <w:right w:val="none" w:sz="0" w:space="0" w:color="auto"/>
      </w:divBdr>
      <w:divsChild>
        <w:div w:id="561991802">
          <w:marLeft w:val="0"/>
          <w:marRight w:val="0"/>
          <w:marTop w:val="0"/>
          <w:marBottom w:val="0"/>
          <w:divBdr>
            <w:top w:val="none" w:sz="0" w:space="0" w:color="auto"/>
            <w:left w:val="none" w:sz="0" w:space="0" w:color="auto"/>
            <w:bottom w:val="none" w:sz="0" w:space="0" w:color="auto"/>
            <w:right w:val="none" w:sz="0" w:space="0" w:color="auto"/>
          </w:divBdr>
          <w:divsChild>
            <w:div w:id="1007649">
              <w:marLeft w:val="0"/>
              <w:marRight w:val="0"/>
              <w:marTop w:val="0"/>
              <w:marBottom w:val="0"/>
              <w:divBdr>
                <w:top w:val="none" w:sz="0" w:space="0" w:color="auto"/>
                <w:left w:val="none" w:sz="0" w:space="0" w:color="auto"/>
                <w:bottom w:val="none" w:sz="0" w:space="0" w:color="auto"/>
                <w:right w:val="none" w:sz="0" w:space="0" w:color="auto"/>
              </w:divBdr>
            </w:div>
            <w:div w:id="755128046">
              <w:marLeft w:val="0"/>
              <w:marRight w:val="0"/>
              <w:marTop w:val="0"/>
              <w:marBottom w:val="0"/>
              <w:divBdr>
                <w:top w:val="none" w:sz="0" w:space="0" w:color="auto"/>
                <w:left w:val="none" w:sz="0" w:space="0" w:color="auto"/>
                <w:bottom w:val="none" w:sz="0" w:space="0" w:color="auto"/>
                <w:right w:val="none" w:sz="0" w:space="0" w:color="auto"/>
              </w:divBdr>
            </w:div>
            <w:div w:id="1119832865">
              <w:marLeft w:val="0"/>
              <w:marRight w:val="0"/>
              <w:marTop w:val="0"/>
              <w:marBottom w:val="0"/>
              <w:divBdr>
                <w:top w:val="none" w:sz="0" w:space="0" w:color="auto"/>
                <w:left w:val="none" w:sz="0" w:space="0" w:color="auto"/>
                <w:bottom w:val="none" w:sz="0" w:space="0" w:color="auto"/>
                <w:right w:val="none" w:sz="0" w:space="0" w:color="auto"/>
              </w:divBdr>
            </w:div>
            <w:div w:id="1151021235">
              <w:marLeft w:val="0"/>
              <w:marRight w:val="0"/>
              <w:marTop w:val="0"/>
              <w:marBottom w:val="0"/>
              <w:divBdr>
                <w:top w:val="none" w:sz="0" w:space="0" w:color="auto"/>
                <w:left w:val="none" w:sz="0" w:space="0" w:color="auto"/>
                <w:bottom w:val="none" w:sz="0" w:space="0" w:color="auto"/>
                <w:right w:val="none" w:sz="0" w:space="0" w:color="auto"/>
              </w:divBdr>
            </w:div>
            <w:div w:id="1165320332">
              <w:marLeft w:val="0"/>
              <w:marRight w:val="0"/>
              <w:marTop w:val="0"/>
              <w:marBottom w:val="0"/>
              <w:divBdr>
                <w:top w:val="none" w:sz="0" w:space="0" w:color="auto"/>
                <w:left w:val="none" w:sz="0" w:space="0" w:color="auto"/>
                <w:bottom w:val="none" w:sz="0" w:space="0" w:color="auto"/>
                <w:right w:val="none" w:sz="0" w:space="0" w:color="auto"/>
              </w:divBdr>
            </w:div>
            <w:div w:id="1334070579">
              <w:marLeft w:val="0"/>
              <w:marRight w:val="0"/>
              <w:marTop w:val="0"/>
              <w:marBottom w:val="0"/>
              <w:divBdr>
                <w:top w:val="none" w:sz="0" w:space="0" w:color="auto"/>
                <w:left w:val="none" w:sz="0" w:space="0" w:color="auto"/>
                <w:bottom w:val="none" w:sz="0" w:space="0" w:color="auto"/>
                <w:right w:val="none" w:sz="0" w:space="0" w:color="auto"/>
              </w:divBdr>
            </w:div>
            <w:div w:id="1405108165">
              <w:marLeft w:val="0"/>
              <w:marRight w:val="0"/>
              <w:marTop w:val="0"/>
              <w:marBottom w:val="0"/>
              <w:divBdr>
                <w:top w:val="none" w:sz="0" w:space="0" w:color="auto"/>
                <w:left w:val="none" w:sz="0" w:space="0" w:color="auto"/>
                <w:bottom w:val="none" w:sz="0" w:space="0" w:color="auto"/>
                <w:right w:val="none" w:sz="0" w:space="0" w:color="auto"/>
              </w:divBdr>
            </w:div>
            <w:div w:id="2068644525">
              <w:marLeft w:val="0"/>
              <w:marRight w:val="0"/>
              <w:marTop w:val="0"/>
              <w:marBottom w:val="0"/>
              <w:divBdr>
                <w:top w:val="none" w:sz="0" w:space="0" w:color="auto"/>
                <w:left w:val="none" w:sz="0" w:space="0" w:color="auto"/>
                <w:bottom w:val="none" w:sz="0" w:space="0" w:color="auto"/>
                <w:right w:val="none" w:sz="0" w:space="0" w:color="auto"/>
              </w:divBdr>
            </w:div>
            <w:div w:id="2070028370">
              <w:marLeft w:val="0"/>
              <w:marRight w:val="0"/>
              <w:marTop w:val="0"/>
              <w:marBottom w:val="0"/>
              <w:divBdr>
                <w:top w:val="none" w:sz="0" w:space="0" w:color="auto"/>
                <w:left w:val="none" w:sz="0" w:space="0" w:color="auto"/>
                <w:bottom w:val="none" w:sz="0" w:space="0" w:color="auto"/>
                <w:right w:val="none" w:sz="0" w:space="0" w:color="auto"/>
              </w:divBdr>
            </w:div>
            <w:div w:id="2136092770">
              <w:marLeft w:val="0"/>
              <w:marRight w:val="0"/>
              <w:marTop w:val="0"/>
              <w:marBottom w:val="0"/>
              <w:divBdr>
                <w:top w:val="none" w:sz="0" w:space="0" w:color="auto"/>
                <w:left w:val="none" w:sz="0" w:space="0" w:color="auto"/>
                <w:bottom w:val="none" w:sz="0" w:space="0" w:color="auto"/>
                <w:right w:val="none" w:sz="0" w:space="0" w:color="auto"/>
              </w:divBdr>
            </w:div>
          </w:divsChild>
        </w:div>
        <w:div w:id="1045445073">
          <w:marLeft w:val="0"/>
          <w:marRight w:val="0"/>
          <w:marTop w:val="0"/>
          <w:marBottom w:val="0"/>
          <w:divBdr>
            <w:top w:val="none" w:sz="0" w:space="0" w:color="auto"/>
            <w:left w:val="none" w:sz="0" w:space="0" w:color="auto"/>
            <w:bottom w:val="none" w:sz="0" w:space="0" w:color="auto"/>
            <w:right w:val="none" w:sz="0" w:space="0" w:color="auto"/>
          </w:divBdr>
          <w:divsChild>
            <w:div w:id="234246555">
              <w:marLeft w:val="0"/>
              <w:marRight w:val="0"/>
              <w:marTop w:val="0"/>
              <w:marBottom w:val="0"/>
              <w:divBdr>
                <w:top w:val="none" w:sz="0" w:space="0" w:color="auto"/>
                <w:left w:val="none" w:sz="0" w:space="0" w:color="auto"/>
                <w:bottom w:val="none" w:sz="0" w:space="0" w:color="auto"/>
                <w:right w:val="none" w:sz="0" w:space="0" w:color="auto"/>
              </w:divBdr>
            </w:div>
            <w:div w:id="317728233">
              <w:marLeft w:val="0"/>
              <w:marRight w:val="0"/>
              <w:marTop w:val="0"/>
              <w:marBottom w:val="0"/>
              <w:divBdr>
                <w:top w:val="none" w:sz="0" w:space="0" w:color="auto"/>
                <w:left w:val="none" w:sz="0" w:space="0" w:color="auto"/>
                <w:bottom w:val="none" w:sz="0" w:space="0" w:color="auto"/>
                <w:right w:val="none" w:sz="0" w:space="0" w:color="auto"/>
              </w:divBdr>
            </w:div>
            <w:div w:id="618490152">
              <w:marLeft w:val="0"/>
              <w:marRight w:val="0"/>
              <w:marTop w:val="0"/>
              <w:marBottom w:val="0"/>
              <w:divBdr>
                <w:top w:val="none" w:sz="0" w:space="0" w:color="auto"/>
                <w:left w:val="none" w:sz="0" w:space="0" w:color="auto"/>
                <w:bottom w:val="none" w:sz="0" w:space="0" w:color="auto"/>
                <w:right w:val="none" w:sz="0" w:space="0" w:color="auto"/>
              </w:divBdr>
            </w:div>
            <w:div w:id="897326153">
              <w:marLeft w:val="0"/>
              <w:marRight w:val="0"/>
              <w:marTop w:val="0"/>
              <w:marBottom w:val="0"/>
              <w:divBdr>
                <w:top w:val="none" w:sz="0" w:space="0" w:color="auto"/>
                <w:left w:val="none" w:sz="0" w:space="0" w:color="auto"/>
                <w:bottom w:val="none" w:sz="0" w:space="0" w:color="auto"/>
                <w:right w:val="none" w:sz="0" w:space="0" w:color="auto"/>
              </w:divBdr>
            </w:div>
            <w:div w:id="1031684813">
              <w:marLeft w:val="0"/>
              <w:marRight w:val="0"/>
              <w:marTop w:val="0"/>
              <w:marBottom w:val="0"/>
              <w:divBdr>
                <w:top w:val="none" w:sz="0" w:space="0" w:color="auto"/>
                <w:left w:val="none" w:sz="0" w:space="0" w:color="auto"/>
                <w:bottom w:val="none" w:sz="0" w:space="0" w:color="auto"/>
                <w:right w:val="none" w:sz="0" w:space="0" w:color="auto"/>
              </w:divBdr>
            </w:div>
            <w:div w:id="1065033804">
              <w:marLeft w:val="0"/>
              <w:marRight w:val="0"/>
              <w:marTop w:val="0"/>
              <w:marBottom w:val="0"/>
              <w:divBdr>
                <w:top w:val="none" w:sz="0" w:space="0" w:color="auto"/>
                <w:left w:val="none" w:sz="0" w:space="0" w:color="auto"/>
                <w:bottom w:val="none" w:sz="0" w:space="0" w:color="auto"/>
                <w:right w:val="none" w:sz="0" w:space="0" w:color="auto"/>
              </w:divBdr>
            </w:div>
            <w:div w:id="1148210896">
              <w:marLeft w:val="0"/>
              <w:marRight w:val="0"/>
              <w:marTop w:val="0"/>
              <w:marBottom w:val="0"/>
              <w:divBdr>
                <w:top w:val="none" w:sz="0" w:space="0" w:color="auto"/>
                <w:left w:val="none" w:sz="0" w:space="0" w:color="auto"/>
                <w:bottom w:val="none" w:sz="0" w:space="0" w:color="auto"/>
                <w:right w:val="none" w:sz="0" w:space="0" w:color="auto"/>
              </w:divBdr>
            </w:div>
            <w:div w:id="1396733918">
              <w:marLeft w:val="0"/>
              <w:marRight w:val="0"/>
              <w:marTop w:val="0"/>
              <w:marBottom w:val="0"/>
              <w:divBdr>
                <w:top w:val="none" w:sz="0" w:space="0" w:color="auto"/>
                <w:left w:val="none" w:sz="0" w:space="0" w:color="auto"/>
                <w:bottom w:val="none" w:sz="0" w:space="0" w:color="auto"/>
                <w:right w:val="none" w:sz="0" w:space="0" w:color="auto"/>
              </w:divBdr>
            </w:div>
            <w:div w:id="18398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307">
      <w:bodyDiv w:val="1"/>
      <w:marLeft w:val="0"/>
      <w:marRight w:val="0"/>
      <w:marTop w:val="0"/>
      <w:marBottom w:val="0"/>
      <w:divBdr>
        <w:top w:val="none" w:sz="0" w:space="0" w:color="auto"/>
        <w:left w:val="none" w:sz="0" w:space="0" w:color="auto"/>
        <w:bottom w:val="none" w:sz="0" w:space="0" w:color="auto"/>
        <w:right w:val="none" w:sz="0" w:space="0" w:color="auto"/>
      </w:divBdr>
    </w:div>
    <w:div w:id="733771914">
      <w:bodyDiv w:val="1"/>
      <w:marLeft w:val="0"/>
      <w:marRight w:val="0"/>
      <w:marTop w:val="0"/>
      <w:marBottom w:val="0"/>
      <w:divBdr>
        <w:top w:val="none" w:sz="0" w:space="0" w:color="auto"/>
        <w:left w:val="none" w:sz="0" w:space="0" w:color="auto"/>
        <w:bottom w:val="none" w:sz="0" w:space="0" w:color="auto"/>
        <w:right w:val="none" w:sz="0" w:space="0" w:color="auto"/>
      </w:divBdr>
    </w:div>
    <w:div w:id="740786153">
      <w:bodyDiv w:val="1"/>
      <w:marLeft w:val="0"/>
      <w:marRight w:val="0"/>
      <w:marTop w:val="0"/>
      <w:marBottom w:val="0"/>
      <w:divBdr>
        <w:top w:val="none" w:sz="0" w:space="0" w:color="auto"/>
        <w:left w:val="none" w:sz="0" w:space="0" w:color="auto"/>
        <w:bottom w:val="none" w:sz="0" w:space="0" w:color="auto"/>
        <w:right w:val="none" w:sz="0" w:space="0" w:color="auto"/>
      </w:divBdr>
    </w:div>
    <w:div w:id="747728003">
      <w:bodyDiv w:val="1"/>
      <w:marLeft w:val="0"/>
      <w:marRight w:val="0"/>
      <w:marTop w:val="0"/>
      <w:marBottom w:val="0"/>
      <w:divBdr>
        <w:top w:val="none" w:sz="0" w:space="0" w:color="auto"/>
        <w:left w:val="none" w:sz="0" w:space="0" w:color="auto"/>
        <w:bottom w:val="none" w:sz="0" w:space="0" w:color="auto"/>
        <w:right w:val="none" w:sz="0" w:space="0" w:color="auto"/>
      </w:divBdr>
    </w:div>
    <w:div w:id="754590533">
      <w:bodyDiv w:val="1"/>
      <w:marLeft w:val="0"/>
      <w:marRight w:val="0"/>
      <w:marTop w:val="0"/>
      <w:marBottom w:val="0"/>
      <w:divBdr>
        <w:top w:val="none" w:sz="0" w:space="0" w:color="auto"/>
        <w:left w:val="none" w:sz="0" w:space="0" w:color="auto"/>
        <w:bottom w:val="none" w:sz="0" w:space="0" w:color="auto"/>
        <w:right w:val="none" w:sz="0" w:space="0" w:color="auto"/>
      </w:divBdr>
    </w:div>
    <w:div w:id="798913819">
      <w:bodyDiv w:val="1"/>
      <w:marLeft w:val="0"/>
      <w:marRight w:val="0"/>
      <w:marTop w:val="0"/>
      <w:marBottom w:val="0"/>
      <w:divBdr>
        <w:top w:val="none" w:sz="0" w:space="0" w:color="auto"/>
        <w:left w:val="none" w:sz="0" w:space="0" w:color="auto"/>
        <w:bottom w:val="none" w:sz="0" w:space="0" w:color="auto"/>
        <w:right w:val="none" w:sz="0" w:space="0" w:color="auto"/>
      </w:divBdr>
    </w:div>
    <w:div w:id="801122335">
      <w:bodyDiv w:val="1"/>
      <w:marLeft w:val="0"/>
      <w:marRight w:val="0"/>
      <w:marTop w:val="0"/>
      <w:marBottom w:val="0"/>
      <w:divBdr>
        <w:top w:val="none" w:sz="0" w:space="0" w:color="auto"/>
        <w:left w:val="none" w:sz="0" w:space="0" w:color="auto"/>
        <w:bottom w:val="none" w:sz="0" w:space="0" w:color="auto"/>
        <w:right w:val="none" w:sz="0" w:space="0" w:color="auto"/>
      </w:divBdr>
    </w:div>
    <w:div w:id="812410051">
      <w:bodyDiv w:val="1"/>
      <w:marLeft w:val="0"/>
      <w:marRight w:val="0"/>
      <w:marTop w:val="0"/>
      <w:marBottom w:val="0"/>
      <w:divBdr>
        <w:top w:val="none" w:sz="0" w:space="0" w:color="auto"/>
        <w:left w:val="none" w:sz="0" w:space="0" w:color="auto"/>
        <w:bottom w:val="none" w:sz="0" w:space="0" w:color="auto"/>
        <w:right w:val="none" w:sz="0" w:space="0" w:color="auto"/>
      </w:divBdr>
    </w:div>
    <w:div w:id="826163879">
      <w:bodyDiv w:val="1"/>
      <w:marLeft w:val="0"/>
      <w:marRight w:val="0"/>
      <w:marTop w:val="0"/>
      <w:marBottom w:val="0"/>
      <w:divBdr>
        <w:top w:val="none" w:sz="0" w:space="0" w:color="auto"/>
        <w:left w:val="none" w:sz="0" w:space="0" w:color="auto"/>
        <w:bottom w:val="none" w:sz="0" w:space="0" w:color="auto"/>
        <w:right w:val="none" w:sz="0" w:space="0" w:color="auto"/>
      </w:divBdr>
    </w:div>
    <w:div w:id="862282313">
      <w:bodyDiv w:val="1"/>
      <w:marLeft w:val="0"/>
      <w:marRight w:val="0"/>
      <w:marTop w:val="0"/>
      <w:marBottom w:val="0"/>
      <w:divBdr>
        <w:top w:val="none" w:sz="0" w:space="0" w:color="auto"/>
        <w:left w:val="none" w:sz="0" w:space="0" w:color="auto"/>
        <w:bottom w:val="none" w:sz="0" w:space="0" w:color="auto"/>
        <w:right w:val="none" w:sz="0" w:space="0" w:color="auto"/>
      </w:divBdr>
    </w:div>
    <w:div w:id="875309385">
      <w:bodyDiv w:val="1"/>
      <w:marLeft w:val="0"/>
      <w:marRight w:val="0"/>
      <w:marTop w:val="0"/>
      <w:marBottom w:val="0"/>
      <w:divBdr>
        <w:top w:val="none" w:sz="0" w:space="0" w:color="auto"/>
        <w:left w:val="none" w:sz="0" w:space="0" w:color="auto"/>
        <w:bottom w:val="none" w:sz="0" w:space="0" w:color="auto"/>
        <w:right w:val="none" w:sz="0" w:space="0" w:color="auto"/>
      </w:divBdr>
    </w:div>
    <w:div w:id="883562784">
      <w:bodyDiv w:val="1"/>
      <w:marLeft w:val="0"/>
      <w:marRight w:val="0"/>
      <w:marTop w:val="0"/>
      <w:marBottom w:val="0"/>
      <w:divBdr>
        <w:top w:val="none" w:sz="0" w:space="0" w:color="auto"/>
        <w:left w:val="none" w:sz="0" w:space="0" w:color="auto"/>
        <w:bottom w:val="none" w:sz="0" w:space="0" w:color="auto"/>
        <w:right w:val="none" w:sz="0" w:space="0" w:color="auto"/>
      </w:divBdr>
    </w:div>
    <w:div w:id="959645146">
      <w:bodyDiv w:val="1"/>
      <w:marLeft w:val="0"/>
      <w:marRight w:val="0"/>
      <w:marTop w:val="0"/>
      <w:marBottom w:val="0"/>
      <w:divBdr>
        <w:top w:val="none" w:sz="0" w:space="0" w:color="auto"/>
        <w:left w:val="none" w:sz="0" w:space="0" w:color="auto"/>
        <w:bottom w:val="none" w:sz="0" w:space="0" w:color="auto"/>
        <w:right w:val="none" w:sz="0" w:space="0" w:color="auto"/>
      </w:divBdr>
    </w:div>
    <w:div w:id="975917267">
      <w:bodyDiv w:val="1"/>
      <w:marLeft w:val="0"/>
      <w:marRight w:val="0"/>
      <w:marTop w:val="0"/>
      <w:marBottom w:val="0"/>
      <w:divBdr>
        <w:top w:val="none" w:sz="0" w:space="0" w:color="auto"/>
        <w:left w:val="none" w:sz="0" w:space="0" w:color="auto"/>
        <w:bottom w:val="none" w:sz="0" w:space="0" w:color="auto"/>
        <w:right w:val="none" w:sz="0" w:space="0" w:color="auto"/>
      </w:divBdr>
    </w:div>
    <w:div w:id="1029798839">
      <w:bodyDiv w:val="1"/>
      <w:marLeft w:val="0"/>
      <w:marRight w:val="0"/>
      <w:marTop w:val="0"/>
      <w:marBottom w:val="0"/>
      <w:divBdr>
        <w:top w:val="none" w:sz="0" w:space="0" w:color="auto"/>
        <w:left w:val="none" w:sz="0" w:space="0" w:color="auto"/>
        <w:bottom w:val="none" w:sz="0" w:space="0" w:color="auto"/>
        <w:right w:val="none" w:sz="0" w:space="0" w:color="auto"/>
      </w:divBdr>
    </w:div>
    <w:div w:id="1034963841">
      <w:bodyDiv w:val="1"/>
      <w:marLeft w:val="0"/>
      <w:marRight w:val="0"/>
      <w:marTop w:val="0"/>
      <w:marBottom w:val="0"/>
      <w:divBdr>
        <w:top w:val="none" w:sz="0" w:space="0" w:color="auto"/>
        <w:left w:val="none" w:sz="0" w:space="0" w:color="auto"/>
        <w:bottom w:val="none" w:sz="0" w:space="0" w:color="auto"/>
        <w:right w:val="none" w:sz="0" w:space="0" w:color="auto"/>
      </w:divBdr>
    </w:div>
    <w:div w:id="1108425809">
      <w:bodyDiv w:val="1"/>
      <w:marLeft w:val="0"/>
      <w:marRight w:val="0"/>
      <w:marTop w:val="0"/>
      <w:marBottom w:val="0"/>
      <w:divBdr>
        <w:top w:val="none" w:sz="0" w:space="0" w:color="auto"/>
        <w:left w:val="none" w:sz="0" w:space="0" w:color="auto"/>
        <w:bottom w:val="none" w:sz="0" w:space="0" w:color="auto"/>
        <w:right w:val="none" w:sz="0" w:space="0" w:color="auto"/>
      </w:divBdr>
    </w:div>
    <w:div w:id="1116212654">
      <w:bodyDiv w:val="1"/>
      <w:marLeft w:val="0"/>
      <w:marRight w:val="0"/>
      <w:marTop w:val="0"/>
      <w:marBottom w:val="0"/>
      <w:divBdr>
        <w:top w:val="none" w:sz="0" w:space="0" w:color="auto"/>
        <w:left w:val="none" w:sz="0" w:space="0" w:color="auto"/>
        <w:bottom w:val="none" w:sz="0" w:space="0" w:color="auto"/>
        <w:right w:val="none" w:sz="0" w:space="0" w:color="auto"/>
      </w:divBdr>
    </w:div>
    <w:div w:id="1164006787">
      <w:bodyDiv w:val="1"/>
      <w:marLeft w:val="0"/>
      <w:marRight w:val="0"/>
      <w:marTop w:val="0"/>
      <w:marBottom w:val="0"/>
      <w:divBdr>
        <w:top w:val="none" w:sz="0" w:space="0" w:color="auto"/>
        <w:left w:val="none" w:sz="0" w:space="0" w:color="auto"/>
        <w:bottom w:val="none" w:sz="0" w:space="0" w:color="auto"/>
        <w:right w:val="none" w:sz="0" w:space="0" w:color="auto"/>
      </w:divBdr>
    </w:div>
    <w:div w:id="1259486180">
      <w:bodyDiv w:val="1"/>
      <w:marLeft w:val="0"/>
      <w:marRight w:val="0"/>
      <w:marTop w:val="0"/>
      <w:marBottom w:val="0"/>
      <w:divBdr>
        <w:top w:val="none" w:sz="0" w:space="0" w:color="auto"/>
        <w:left w:val="none" w:sz="0" w:space="0" w:color="auto"/>
        <w:bottom w:val="none" w:sz="0" w:space="0" w:color="auto"/>
        <w:right w:val="none" w:sz="0" w:space="0" w:color="auto"/>
      </w:divBdr>
    </w:div>
    <w:div w:id="1265651460">
      <w:bodyDiv w:val="1"/>
      <w:marLeft w:val="0"/>
      <w:marRight w:val="0"/>
      <w:marTop w:val="0"/>
      <w:marBottom w:val="0"/>
      <w:divBdr>
        <w:top w:val="none" w:sz="0" w:space="0" w:color="auto"/>
        <w:left w:val="none" w:sz="0" w:space="0" w:color="auto"/>
        <w:bottom w:val="none" w:sz="0" w:space="0" w:color="auto"/>
        <w:right w:val="none" w:sz="0" w:space="0" w:color="auto"/>
      </w:divBdr>
    </w:div>
    <w:div w:id="1270552425">
      <w:bodyDiv w:val="1"/>
      <w:marLeft w:val="0"/>
      <w:marRight w:val="0"/>
      <w:marTop w:val="0"/>
      <w:marBottom w:val="0"/>
      <w:divBdr>
        <w:top w:val="none" w:sz="0" w:space="0" w:color="auto"/>
        <w:left w:val="none" w:sz="0" w:space="0" w:color="auto"/>
        <w:bottom w:val="none" w:sz="0" w:space="0" w:color="auto"/>
        <w:right w:val="none" w:sz="0" w:space="0" w:color="auto"/>
      </w:divBdr>
    </w:div>
    <w:div w:id="1312367474">
      <w:bodyDiv w:val="1"/>
      <w:marLeft w:val="0"/>
      <w:marRight w:val="0"/>
      <w:marTop w:val="0"/>
      <w:marBottom w:val="0"/>
      <w:divBdr>
        <w:top w:val="none" w:sz="0" w:space="0" w:color="auto"/>
        <w:left w:val="none" w:sz="0" w:space="0" w:color="auto"/>
        <w:bottom w:val="none" w:sz="0" w:space="0" w:color="auto"/>
        <w:right w:val="none" w:sz="0" w:space="0" w:color="auto"/>
      </w:divBdr>
    </w:div>
    <w:div w:id="1361980040">
      <w:bodyDiv w:val="1"/>
      <w:marLeft w:val="0"/>
      <w:marRight w:val="0"/>
      <w:marTop w:val="0"/>
      <w:marBottom w:val="0"/>
      <w:divBdr>
        <w:top w:val="none" w:sz="0" w:space="0" w:color="auto"/>
        <w:left w:val="none" w:sz="0" w:space="0" w:color="auto"/>
        <w:bottom w:val="none" w:sz="0" w:space="0" w:color="auto"/>
        <w:right w:val="none" w:sz="0" w:space="0" w:color="auto"/>
      </w:divBdr>
    </w:div>
    <w:div w:id="1375691438">
      <w:bodyDiv w:val="1"/>
      <w:marLeft w:val="0"/>
      <w:marRight w:val="0"/>
      <w:marTop w:val="0"/>
      <w:marBottom w:val="0"/>
      <w:divBdr>
        <w:top w:val="none" w:sz="0" w:space="0" w:color="auto"/>
        <w:left w:val="none" w:sz="0" w:space="0" w:color="auto"/>
        <w:bottom w:val="none" w:sz="0" w:space="0" w:color="auto"/>
        <w:right w:val="none" w:sz="0" w:space="0" w:color="auto"/>
      </w:divBdr>
    </w:div>
    <w:div w:id="1383947421">
      <w:bodyDiv w:val="1"/>
      <w:marLeft w:val="0"/>
      <w:marRight w:val="0"/>
      <w:marTop w:val="0"/>
      <w:marBottom w:val="0"/>
      <w:divBdr>
        <w:top w:val="none" w:sz="0" w:space="0" w:color="auto"/>
        <w:left w:val="none" w:sz="0" w:space="0" w:color="auto"/>
        <w:bottom w:val="none" w:sz="0" w:space="0" w:color="auto"/>
        <w:right w:val="none" w:sz="0" w:space="0" w:color="auto"/>
      </w:divBdr>
    </w:div>
    <w:div w:id="1401099218">
      <w:bodyDiv w:val="1"/>
      <w:marLeft w:val="0"/>
      <w:marRight w:val="0"/>
      <w:marTop w:val="0"/>
      <w:marBottom w:val="0"/>
      <w:divBdr>
        <w:top w:val="none" w:sz="0" w:space="0" w:color="auto"/>
        <w:left w:val="none" w:sz="0" w:space="0" w:color="auto"/>
        <w:bottom w:val="none" w:sz="0" w:space="0" w:color="auto"/>
        <w:right w:val="none" w:sz="0" w:space="0" w:color="auto"/>
      </w:divBdr>
    </w:div>
    <w:div w:id="1444180948">
      <w:bodyDiv w:val="1"/>
      <w:marLeft w:val="0"/>
      <w:marRight w:val="0"/>
      <w:marTop w:val="0"/>
      <w:marBottom w:val="0"/>
      <w:divBdr>
        <w:top w:val="none" w:sz="0" w:space="0" w:color="auto"/>
        <w:left w:val="none" w:sz="0" w:space="0" w:color="auto"/>
        <w:bottom w:val="none" w:sz="0" w:space="0" w:color="auto"/>
        <w:right w:val="none" w:sz="0" w:space="0" w:color="auto"/>
      </w:divBdr>
    </w:div>
    <w:div w:id="1457993412">
      <w:bodyDiv w:val="1"/>
      <w:marLeft w:val="0"/>
      <w:marRight w:val="0"/>
      <w:marTop w:val="0"/>
      <w:marBottom w:val="0"/>
      <w:divBdr>
        <w:top w:val="none" w:sz="0" w:space="0" w:color="auto"/>
        <w:left w:val="none" w:sz="0" w:space="0" w:color="auto"/>
        <w:bottom w:val="none" w:sz="0" w:space="0" w:color="auto"/>
        <w:right w:val="none" w:sz="0" w:space="0" w:color="auto"/>
      </w:divBdr>
    </w:div>
    <w:div w:id="1570311611">
      <w:bodyDiv w:val="1"/>
      <w:marLeft w:val="0"/>
      <w:marRight w:val="0"/>
      <w:marTop w:val="0"/>
      <w:marBottom w:val="0"/>
      <w:divBdr>
        <w:top w:val="none" w:sz="0" w:space="0" w:color="auto"/>
        <w:left w:val="none" w:sz="0" w:space="0" w:color="auto"/>
        <w:bottom w:val="none" w:sz="0" w:space="0" w:color="auto"/>
        <w:right w:val="none" w:sz="0" w:space="0" w:color="auto"/>
      </w:divBdr>
    </w:div>
    <w:div w:id="1574120406">
      <w:bodyDiv w:val="1"/>
      <w:marLeft w:val="0"/>
      <w:marRight w:val="0"/>
      <w:marTop w:val="0"/>
      <w:marBottom w:val="0"/>
      <w:divBdr>
        <w:top w:val="none" w:sz="0" w:space="0" w:color="auto"/>
        <w:left w:val="none" w:sz="0" w:space="0" w:color="auto"/>
        <w:bottom w:val="none" w:sz="0" w:space="0" w:color="auto"/>
        <w:right w:val="none" w:sz="0" w:space="0" w:color="auto"/>
      </w:divBdr>
    </w:div>
    <w:div w:id="1575554682">
      <w:bodyDiv w:val="1"/>
      <w:marLeft w:val="0"/>
      <w:marRight w:val="0"/>
      <w:marTop w:val="0"/>
      <w:marBottom w:val="0"/>
      <w:divBdr>
        <w:top w:val="none" w:sz="0" w:space="0" w:color="auto"/>
        <w:left w:val="none" w:sz="0" w:space="0" w:color="auto"/>
        <w:bottom w:val="none" w:sz="0" w:space="0" w:color="auto"/>
        <w:right w:val="none" w:sz="0" w:space="0" w:color="auto"/>
      </w:divBdr>
    </w:div>
    <w:div w:id="1608729824">
      <w:bodyDiv w:val="1"/>
      <w:marLeft w:val="0"/>
      <w:marRight w:val="0"/>
      <w:marTop w:val="0"/>
      <w:marBottom w:val="0"/>
      <w:divBdr>
        <w:top w:val="none" w:sz="0" w:space="0" w:color="auto"/>
        <w:left w:val="none" w:sz="0" w:space="0" w:color="auto"/>
        <w:bottom w:val="none" w:sz="0" w:space="0" w:color="auto"/>
        <w:right w:val="none" w:sz="0" w:space="0" w:color="auto"/>
      </w:divBdr>
    </w:div>
    <w:div w:id="1617522267">
      <w:bodyDiv w:val="1"/>
      <w:marLeft w:val="0"/>
      <w:marRight w:val="0"/>
      <w:marTop w:val="0"/>
      <w:marBottom w:val="0"/>
      <w:divBdr>
        <w:top w:val="none" w:sz="0" w:space="0" w:color="auto"/>
        <w:left w:val="none" w:sz="0" w:space="0" w:color="auto"/>
        <w:bottom w:val="none" w:sz="0" w:space="0" w:color="auto"/>
        <w:right w:val="none" w:sz="0" w:space="0" w:color="auto"/>
      </w:divBdr>
    </w:div>
    <w:div w:id="1626081674">
      <w:bodyDiv w:val="1"/>
      <w:marLeft w:val="0"/>
      <w:marRight w:val="0"/>
      <w:marTop w:val="0"/>
      <w:marBottom w:val="0"/>
      <w:divBdr>
        <w:top w:val="none" w:sz="0" w:space="0" w:color="auto"/>
        <w:left w:val="none" w:sz="0" w:space="0" w:color="auto"/>
        <w:bottom w:val="none" w:sz="0" w:space="0" w:color="auto"/>
        <w:right w:val="none" w:sz="0" w:space="0" w:color="auto"/>
      </w:divBdr>
    </w:div>
    <w:div w:id="1640695070">
      <w:bodyDiv w:val="1"/>
      <w:marLeft w:val="0"/>
      <w:marRight w:val="0"/>
      <w:marTop w:val="0"/>
      <w:marBottom w:val="0"/>
      <w:divBdr>
        <w:top w:val="none" w:sz="0" w:space="0" w:color="auto"/>
        <w:left w:val="none" w:sz="0" w:space="0" w:color="auto"/>
        <w:bottom w:val="none" w:sz="0" w:space="0" w:color="auto"/>
        <w:right w:val="none" w:sz="0" w:space="0" w:color="auto"/>
      </w:divBdr>
    </w:div>
    <w:div w:id="1656374996">
      <w:bodyDiv w:val="1"/>
      <w:marLeft w:val="0"/>
      <w:marRight w:val="0"/>
      <w:marTop w:val="0"/>
      <w:marBottom w:val="0"/>
      <w:divBdr>
        <w:top w:val="none" w:sz="0" w:space="0" w:color="auto"/>
        <w:left w:val="none" w:sz="0" w:space="0" w:color="auto"/>
        <w:bottom w:val="none" w:sz="0" w:space="0" w:color="auto"/>
        <w:right w:val="none" w:sz="0" w:space="0" w:color="auto"/>
      </w:divBdr>
    </w:div>
    <w:div w:id="1717118864">
      <w:bodyDiv w:val="1"/>
      <w:marLeft w:val="0"/>
      <w:marRight w:val="0"/>
      <w:marTop w:val="0"/>
      <w:marBottom w:val="0"/>
      <w:divBdr>
        <w:top w:val="none" w:sz="0" w:space="0" w:color="auto"/>
        <w:left w:val="none" w:sz="0" w:space="0" w:color="auto"/>
        <w:bottom w:val="none" w:sz="0" w:space="0" w:color="auto"/>
        <w:right w:val="none" w:sz="0" w:space="0" w:color="auto"/>
      </w:divBdr>
      <w:divsChild>
        <w:div w:id="61412792">
          <w:marLeft w:val="0"/>
          <w:marRight w:val="0"/>
          <w:marTop w:val="0"/>
          <w:marBottom w:val="0"/>
          <w:divBdr>
            <w:top w:val="none" w:sz="0" w:space="0" w:color="auto"/>
            <w:left w:val="none" w:sz="0" w:space="0" w:color="auto"/>
            <w:bottom w:val="none" w:sz="0" w:space="0" w:color="auto"/>
            <w:right w:val="none" w:sz="0" w:space="0" w:color="auto"/>
          </w:divBdr>
        </w:div>
        <w:div w:id="1747722912">
          <w:marLeft w:val="0"/>
          <w:marRight w:val="0"/>
          <w:marTop w:val="0"/>
          <w:marBottom w:val="0"/>
          <w:divBdr>
            <w:top w:val="none" w:sz="0" w:space="0" w:color="auto"/>
            <w:left w:val="none" w:sz="0" w:space="0" w:color="auto"/>
            <w:bottom w:val="none" w:sz="0" w:space="0" w:color="auto"/>
            <w:right w:val="none" w:sz="0" w:space="0" w:color="auto"/>
          </w:divBdr>
        </w:div>
      </w:divsChild>
    </w:div>
    <w:div w:id="1750227013">
      <w:bodyDiv w:val="1"/>
      <w:marLeft w:val="0"/>
      <w:marRight w:val="0"/>
      <w:marTop w:val="0"/>
      <w:marBottom w:val="0"/>
      <w:divBdr>
        <w:top w:val="none" w:sz="0" w:space="0" w:color="auto"/>
        <w:left w:val="none" w:sz="0" w:space="0" w:color="auto"/>
        <w:bottom w:val="none" w:sz="0" w:space="0" w:color="auto"/>
        <w:right w:val="none" w:sz="0" w:space="0" w:color="auto"/>
      </w:divBdr>
    </w:div>
    <w:div w:id="1763409401">
      <w:bodyDiv w:val="1"/>
      <w:marLeft w:val="0"/>
      <w:marRight w:val="0"/>
      <w:marTop w:val="0"/>
      <w:marBottom w:val="0"/>
      <w:divBdr>
        <w:top w:val="none" w:sz="0" w:space="0" w:color="auto"/>
        <w:left w:val="none" w:sz="0" w:space="0" w:color="auto"/>
        <w:bottom w:val="none" w:sz="0" w:space="0" w:color="auto"/>
        <w:right w:val="none" w:sz="0" w:space="0" w:color="auto"/>
      </w:divBdr>
    </w:div>
    <w:div w:id="1774738129">
      <w:bodyDiv w:val="1"/>
      <w:marLeft w:val="0"/>
      <w:marRight w:val="0"/>
      <w:marTop w:val="0"/>
      <w:marBottom w:val="0"/>
      <w:divBdr>
        <w:top w:val="none" w:sz="0" w:space="0" w:color="auto"/>
        <w:left w:val="none" w:sz="0" w:space="0" w:color="auto"/>
        <w:bottom w:val="none" w:sz="0" w:space="0" w:color="auto"/>
        <w:right w:val="none" w:sz="0" w:space="0" w:color="auto"/>
      </w:divBdr>
    </w:div>
    <w:div w:id="1775789181">
      <w:bodyDiv w:val="1"/>
      <w:marLeft w:val="0"/>
      <w:marRight w:val="0"/>
      <w:marTop w:val="0"/>
      <w:marBottom w:val="0"/>
      <w:divBdr>
        <w:top w:val="none" w:sz="0" w:space="0" w:color="auto"/>
        <w:left w:val="none" w:sz="0" w:space="0" w:color="auto"/>
        <w:bottom w:val="none" w:sz="0" w:space="0" w:color="auto"/>
        <w:right w:val="none" w:sz="0" w:space="0" w:color="auto"/>
      </w:divBdr>
    </w:div>
    <w:div w:id="1787650776">
      <w:bodyDiv w:val="1"/>
      <w:marLeft w:val="0"/>
      <w:marRight w:val="0"/>
      <w:marTop w:val="0"/>
      <w:marBottom w:val="0"/>
      <w:divBdr>
        <w:top w:val="none" w:sz="0" w:space="0" w:color="auto"/>
        <w:left w:val="none" w:sz="0" w:space="0" w:color="auto"/>
        <w:bottom w:val="none" w:sz="0" w:space="0" w:color="auto"/>
        <w:right w:val="none" w:sz="0" w:space="0" w:color="auto"/>
      </w:divBdr>
    </w:div>
    <w:div w:id="1808009570">
      <w:bodyDiv w:val="1"/>
      <w:marLeft w:val="0"/>
      <w:marRight w:val="0"/>
      <w:marTop w:val="0"/>
      <w:marBottom w:val="0"/>
      <w:divBdr>
        <w:top w:val="none" w:sz="0" w:space="0" w:color="auto"/>
        <w:left w:val="none" w:sz="0" w:space="0" w:color="auto"/>
        <w:bottom w:val="none" w:sz="0" w:space="0" w:color="auto"/>
        <w:right w:val="none" w:sz="0" w:space="0" w:color="auto"/>
      </w:divBdr>
    </w:div>
    <w:div w:id="1819882750">
      <w:bodyDiv w:val="1"/>
      <w:marLeft w:val="0"/>
      <w:marRight w:val="0"/>
      <w:marTop w:val="0"/>
      <w:marBottom w:val="0"/>
      <w:divBdr>
        <w:top w:val="none" w:sz="0" w:space="0" w:color="auto"/>
        <w:left w:val="none" w:sz="0" w:space="0" w:color="auto"/>
        <w:bottom w:val="none" w:sz="0" w:space="0" w:color="auto"/>
        <w:right w:val="none" w:sz="0" w:space="0" w:color="auto"/>
      </w:divBdr>
    </w:div>
    <w:div w:id="1856382870">
      <w:bodyDiv w:val="1"/>
      <w:marLeft w:val="0"/>
      <w:marRight w:val="0"/>
      <w:marTop w:val="0"/>
      <w:marBottom w:val="0"/>
      <w:divBdr>
        <w:top w:val="none" w:sz="0" w:space="0" w:color="auto"/>
        <w:left w:val="none" w:sz="0" w:space="0" w:color="auto"/>
        <w:bottom w:val="none" w:sz="0" w:space="0" w:color="auto"/>
        <w:right w:val="none" w:sz="0" w:space="0" w:color="auto"/>
      </w:divBdr>
    </w:div>
    <w:div w:id="1872644565">
      <w:bodyDiv w:val="1"/>
      <w:marLeft w:val="0"/>
      <w:marRight w:val="0"/>
      <w:marTop w:val="0"/>
      <w:marBottom w:val="0"/>
      <w:divBdr>
        <w:top w:val="none" w:sz="0" w:space="0" w:color="auto"/>
        <w:left w:val="none" w:sz="0" w:space="0" w:color="auto"/>
        <w:bottom w:val="none" w:sz="0" w:space="0" w:color="auto"/>
        <w:right w:val="none" w:sz="0" w:space="0" w:color="auto"/>
      </w:divBdr>
    </w:div>
    <w:div w:id="1890217201">
      <w:bodyDiv w:val="1"/>
      <w:marLeft w:val="0"/>
      <w:marRight w:val="0"/>
      <w:marTop w:val="0"/>
      <w:marBottom w:val="0"/>
      <w:divBdr>
        <w:top w:val="none" w:sz="0" w:space="0" w:color="auto"/>
        <w:left w:val="none" w:sz="0" w:space="0" w:color="auto"/>
        <w:bottom w:val="none" w:sz="0" w:space="0" w:color="auto"/>
        <w:right w:val="none" w:sz="0" w:space="0" w:color="auto"/>
      </w:divBdr>
    </w:div>
    <w:div w:id="1917785193">
      <w:bodyDiv w:val="1"/>
      <w:marLeft w:val="0"/>
      <w:marRight w:val="0"/>
      <w:marTop w:val="0"/>
      <w:marBottom w:val="0"/>
      <w:divBdr>
        <w:top w:val="none" w:sz="0" w:space="0" w:color="auto"/>
        <w:left w:val="none" w:sz="0" w:space="0" w:color="auto"/>
        <w:bottom w:val="none" w:sz="0" w:space="0" w:color="auto"/>
        <w:right w:val="none" w:sz="0" w:space="0" w:color="auto"/>
      </w:divBdr>
    </w:div>
    <w:div w:id="1922182162">
      <w:bodyDiv w:val="1"/>
      <w:marLeft w:val="0"/>
      <w:marRight w:val="0"/>
      <w:marTop w:val="0"/>
      <w:marBottom w:val="0"/>
      <w:divBdr>
        <w:top w:val="none" w:sz="0" w:space="0" w:color="auto"/>
        <w:left w:val="none" w:sz="0" w:space="0" w:color="auto"/>
        <w:bottom w:val="none" w:sz="0" w:space="0" w:color="auto"/>
        <w:right w:val="none" w:sz="0" w:space="0" w:color="auto"/>
      </w:divBdr>
      <w:divsChild>
        <w:div w:id="1566185745">
          <w:marLeft w:val="0"/>
          <w:marRight w:val="0"/>
          <w:marTop w:val="0"/>
          <w:marBottom w:val="0"/>
          <w:divBdr>
            <w:top w:val="none" w:sz="0" w:space="0" w:color="auto"/>
            <w:left w:val="none" w:sz="0" w:space="0" w:color="auto"/>
            <w:bottom w:val="none" w:sz="0" w:space="0" w:color="auto"/>
            <w:right w:val="none" w:sz="0" w:space="0" w:color="auto"/>
          </w:divBdr>
        </w:div>
      </w:divsChild>
    </w:div>
    <w:div w:id="1936816503">
      <w:bodyDiv w:val="1"/>
      <w:marLeft w:val="0"/>
      <w:marRight w:val="0"/>
      <w:marTop w:val="0"/>
      <w:marBottom w:val="0"/>
      <w:divBdr>
        <w:top w:val="none" w:sz="0" w:space="0" w:color="auto"/>
        <w:left w:val="none" w:sz="0" w:space="0" w:color="auto"/>
        <w:bottom w:val="none" w:sz="0" w:space="0" w:color="auto"/>
        <w:right w:val="none" w:sz="0" w:space="0" w:color="auto"/>
      </w:divBdr>
    </w:div>
    <w:div w:id="1943611526">
      <w:bodyDiv w:val="1"/>
      <w:marLeft w:val="0"/>
      <w:marRight w:val="0"/>
      <w:marTop w:val="0"/>
      <w:marBottom w:val="0"/>
      <w:divBdr>
        <w:top w:val="none" w:sz="0" w:space="0" w:color="auto"/>
        <w:left w:val="none" w:sz="0" w:space="0" w:color="auto"/>
        <w:bottom w:val="none" w:sz="0" w:space="0" w:color="auto"/>
        <w:right w:val="none" w:sz="0" w:space="0" w:color="auto"/>
      </w:divBdr>
    </w:div>
    <w:div w:id="1947813350">
      <w:bodyDiv w:val="1"/>
      <w:marLeft w:val="0"/>
      <w:marRight w:val="0"/>
      <w:marTop w:val="0"/>
      <w:marBottom w:val="0"/>
      <w:divBdr>
        <w:top w:val="none" w:sz="0" w:space="0" w:color="auto"/>
        <w:left w:val="none" w:sz="0" w:space="0" w:color="auto"/>
        <w:bottom w:val="none" w:sz="0" w:space="0" w:color="auto"/>
        <w:right w:val="none" w:sz="0" w:space="0" w:color="auto"/>
      </w:divBdr>
    </w:div>
    <w:div w:id="1965117790">
      <w:bodyDiv w:val="1"/>
      <w:marLeft w:val="0"/>
      <w:marRight w:val="0"/>
      <w:marTop w:val="0"/>
      <w:marBottom w:val="0"/>
      <w:divBdr>
        <w:top w:val="none" w:sz="0" w:space="0" w:color="auto"/>
        <w:left w:val="none" w:sz="0" w:space="0" w:color="auto"/>
        <w:bottom w:val="none" w:sz="0" w:space="0" w:color="auto"/>
        <w:right w:val="none" w:sz="0" w:space="0" w:color="auto"/>
      </w:divBdr>
    </w:div>
    <w:div w:id="1978754269">
      <w:bodyDiv w:val="1"/>
      <w:marLeft w:val="0"/>
      <w:marRight w:val="0"/>
      <w:marTop w:val="0"/>
      <w:marBottom w:val="0"/>
      <w:divBdr>
        <w:top w:val="none" w:sz="0" w:space="0" w:color="auto"/>
        <w:left w:val="none" w:sz="0" w:space="0" w:color="auto"/>
        <w:bottom w:val="none" w:sz="0" w:space="0" w:color="auto"/>
        <w:right w:val="none" w:sz="0" w:space="0" w:color="auto"/>
      </w:divBdr>
    </w:div>
    <w:div w:id="2067947137">
      <w:bodyDiv w:val="1"/>
      <w:marLeft w:val="0"/>
      <w:marRight w:val="0"/>
      <w:marTop w:val="0"/>
      <w:marBottom w:val="0"/>
      <w:divBdr>
        <w:top w:val="none" w:sz="0" w:space="0" w:color="auto"/>
        <w:left w:val="none" w:sz="0" w:space="0" w:color="auto"/>
        <w:bottom w:val="none" w:sz="0" w:space="0" w:color="auto"/>
        <w:right w:val="none" w:sz="0" w:space="0" w:color="auto"/>
      </w:divBdr>
    </w:div>
    <w:div w:id="2106415307">
      <w:bodyDiv w:val="1"/>
      <w:marLeft w:val="0"/>
      <w:marRight w:val="0"/>
      <w:marTop w:val="0"/>
      <w:marBottom w:val="0"/>
      <w:divBdr>
        <w:top w:val="none" w:sz="0" w:space="0" w:color="auto"/>
        <w:left w:val="none" w:sz="0" w:space="0" w:color="auto"/>
        <w:bottom w:val="none" w:sz="0" w:space="0" w:color="auto"/>
        <w:right w:val="none" w:sz="0" w:space="0" w:color="auto"/>
      </w:divBdr>
    </w:div>
    <w:div w:id="2134597440">
      <w:bodyDiv w:val="1"/>
      <w:marLeft w:val="0"/>
      <w:marRight w:val="0"/>
      <w:marTop w:val="0"/>
      <w:marBottom w:val="0"/>
      <w:divBdr>
        <w:top w:val="none" w:sz="0" w:space="0" w:color="auto"/>
        <w:left w:val="none" w:sz="0" w:space="0" w:color="auto"/>
        <w:bottom w:val="none" w:sz="0" w:space="0" w:color="auto"/>
        <w:right w:val="none" w:sz="0" w:space="0" w:color="auto"/>
      </w:divBdr>
    </w:div>
    <w:div w:id="213890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header" Target="header8.xml"/><Relationship Id="rId39" Type="http://schemas.openxmlformats.org/officeDocument/2006/relationships/footer" Target="footer11.xml"/><Relationship Id="rId21" Type="http://schemas.openxmlformats.org/officeDocument/2006/relationships/footer" Target="footer4.xml"/><Relationship Id="rId34" Type="http://schemas.openxmlformats.org/officeDocument/2006/relationships/image" Target="media/image7.jpeg"/><Relationship Id="rId42" Type="http://schemas.openxmlformats.org/officeDocument/2006/relationships/hyperlink" Target="https://aus01.safelinks.protection.outlook.com/?url=https%3A%2F%2Fwww.afca.org.au%2Fmembers%2Fnews%2Fchanges-to-afcas-fees-and-charges-in-fy25&amp;data=05%7C02%7CJackson.Whitehair%40TREASURY.GOV.AU%7Cca301769c1a4467b2a6c08dcc7d0a483%7C214f1646202147cc8397e3d3a7ba7d9d%7C0%7C0%7C638604946159337747%7CUnknown%7CTWFpbGZsb3d8eyJWIjoiMC4wLjAwMDAiLCJQIjoiV2luMzIiLCJBTiI6Ik1haWwiLCJXVCI6Mn0%3D%7C0%7C%7C%7C&amp;sdata=QmoJovhi%2FoAh8eMunl0ZpBuAk7KK9NMlaC35EknwWzc%3D&amp;reserved=0" TargetMode="External"/><Relationship Id="rId47" Type="http://schemas.openxmlformats.org/officeDocument/2006/relationships/hyperlink" Target="https://www.accc.gov.au/system/files/Targeting%20scams%202022.pdf" TargetMode="External"/><Relationship Id="rId50" Type="http://schemas.openxmlformats.org/officeDocument/2006/relationships/hyperlink" Target="https://www.accc.gov.au/system/files/Targeting%20scams%202022.pdf" TargetMode="External"/><Relationship Id="rId55" Type="http://schemas.openxmlformats.org/officeDocument/2006/relationships/hyperlink" Target="https://download.asic.gov.au/media/mbhoz0pc/rep761-published-20-april-2023.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pmc.gov.au/honours-and-symbols/commonwealth-coat-arms" TargetMode="External"/><Relationship Id="rId25" Type="http://schemas.openxmlformats.org/officeDocument/2006/relationships/header" Target="header7.xml"/><Relationship Id="rId33" Type="http://schemas.openxmlformats.org/officeDocument/2006/relationships/image" Target="media/image6.jpeg"/><Relationship Id="rId38" Type="http://schemas.openxmlformats.org/officeDocument/2006/relationships/footer" Target="footer10.xml"/><Relationship Id="rId46" Type="http://schemas.openxmlformats.org/officeDocument/2006/relationships/hyperlink" Target="https://consumer.gov.au/sites/consumer/files/inline-files/acl-aust-consumer-survey-2023.pd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reativecommons.org/licenses/by/3.0/au/deed.en" TargetMode="Externa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12.xml"/><Relationship Id="rId54" Type="http://schemas.openxmlformats.org/officeDocument/2006/relationships/hyperlink" Target="https://www.accc.gov.au/inquiries-and-consultations/digital-platform-services-inquiry-202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image" Target="media/image5.jpeg"/><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yperlink" Target="https://www.aic.gov.au/sites/default/files/2023-07/sr43_cybercrime_in_australia_2023_v2.pdf" TargetMode="External"/><Relationship Id="rId53" Type="http://schemas.openxmlformats.org/officeDocument/2006/relationships/hyperlink" Target="https://www.acma.gov.au/publications/2023-08/report/action-scams-spam-and-telemarketing-april-june-2023"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0.xml"/><Relationship Id="rId49" Type="http://schemas.openxmlformats.org/officeDocument/2006/relationships/hyperlink" Target="https://consumer.gov.au/sites/consumer/files/inline-files/acl-aust-consumer-survey-2023.pdf" TargetMode="External"/><Relationship Id="rId57" Type="http://schemas.openxmlformats.org/officeDocument/2006/relationships/hyperlink" Target="https://www.aic.gov.au/sites/default/files/2023-07/sr43_cybercrime_in_australia_2023_v2.pdf" TargetMode="Externa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image" Target="media/image4.jpeg"/><Relationship Id="rId44" Type="http://schemas.openxmlformats.org/officeDocument/2006/relationships/hyperlink" Target="https://www.abs.gov.au/statistics/people/crime-and-justice/personal-fraud/latest-release" TargetMode="External"/><Relationship Id="rId52" Type="http://schemas.openxmlformats.org/officeDocument/2006/relationships/hyperlink" Target="https://www.ato.gov.au/online-services/identity-security-and-scams/scam-dat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3.0/au/legalcode"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image" Target="media/image8.png"/><Relationship Id="rId43" Type="http://schemas.openxmlformats.org/officeDocument/2006/relationships/hyperlink" Target="https://aus01.safelinks.protection.outlook.com/?url=https%3A%2F%2Fwww.afca.org.au%2Fmembers%2Ffunding-model%2Fuser-charge&amp;data=05%7C02%7CJackson.Whitehair%40TREASURY.GOV.AU%7Cca301769c1a4467b2a6c08dcc7d0a483%7C214f1646202147cc8397e3d3a7ba7d9d%7C0%7C0%7C638604946159363737%7CUnknown%7CTWFpbGZsb3d8eyJWIjoiMC4wLjAwMDAiLCJQIjoiV2luMzIiLCJBTiI6Ik1haWwiLCJXVCI6Mn0%3D%7C0%7C%7C%7C&amp;sdata=7aMXd0l%2FYjXnFZ1Ba9TlPz06vOB9fzklqAstdSNxrrI%3D&amp;reserved=0" TargetMode="External"/><Relationship Id="rId48" Type="http://schemas.openxmlformats.org/officeDocument/2006/relationships/hyperlink" Target="https://www.scamwatch.gov.au/research-and-resources/scam-statistics" TargetMode="External"/><Relationship Id="rId56" Type="http://schemas.openxmlformats.org/officeDocument/2006/relationships/hyperlink" Target="https://www.afca.org.au/about-afca/annual-review" TargetMode="External"/><Relationship Id="rId8" Type="http://schemas.openxmlformats.org/officeDocument/2006/relationships/header" Target="header2.xml"/><Relationship Id="rId51" Type="http://schemas.openxmlformats.org/officeDocument/2006/relationships/hyperlink" Target="https://www.scamwatch.gov.au/research-and-resources/scam-statistics" TargetMode="External"/><Relationship Id="rId3" Type="http://schemas.openxmlformats.org/officeDocument/2006/relationships/settings" Target="settings.xml"/></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ausbanking.org.au/about-us/aba-members/" TargetMode="External"/><Relationship Id="rId3" Type="http://schemas.openxmlformats.org/officeDocument/2006/relationships/hyperlink" Target="https://www.acma.gov.au/register-telco-industry-codes-and-standards" TargetMode="External"/><Relationship Id="rId7" Type="http://schemas.openxmlformats.org/officeDocument/2006/relationships/hyperlink" Target="https://www.afca.org.au/members/funding-model/fee-structure" TargetMode="External"/><Relationship Id="rId2" Type="http://schemas.openxmlformats.org/officeDocument/2006/relationships/hyperlink" Target="https://www.ausbanking.org.au/new-scam-safe-accord/" TargetMode="External"/><Relationship Id="rId1" Type="http://schemas.openxmlformats.org/officeDocument/2006/relationships/hyperlink" Target="https://www.acma.gov.au/publications/2024-02/report/action-telco-consumer-protections-october-december-2023" TargetMode="External"/><Relationship Id="rId6" Type="http://schemas.openxmlformats.org/officeDocument/2006/relationships/hyperlink" Target="https://www.afca.org.au/annual-review-scams" TargetMode="External"/><Relationship Id="rId5" Type="http://schemas.openxmlformats.org/officeDocument/2006/relationships/hyperlink" Target="https://oia.pmc.gov.au/published-impact-analyses-and-reports/cdr-non-bank-lending-sectoral-assessment" TargetMode="External"/><Relationship Id="rId4" Type="http://schemas.openxmlformats.org/officeDocument/2006/relationships/hyperlink" Target="https://oia.pmc.gov.au/published-impact-analyses-and-reports/consumer-data-right-telecommunications-sectoral-assessment" TargetMode="External"/><Relationship Id="rId9" Type="http://schemas.openxmlformats.org/officeDocument/2006/relationships/hyperlink" Target="https://my.afca.org.au/ff-search/"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9.jpg"/></Relationships>
</file>

<file path=word/_rels/header12.xml.rels><?xml version="1.0" encoding="UTF-8" standalone="yes"?>
<Relationships xmlns="http://schemas.openxmlformats.org/package/2006/relationships"><Relationship Id="rId1"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27709</Words>
  <Characters>157945</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185284</CharactersWithSpaces>
  <SharedDoc>false</SharedDoc>
  <HLinks>
    <vt:vector size="384" baseType="variant">
      <vt:variant>
        <vt:i4>1769514</vt:i4>
      </vt:variant>
      <vt:variant>
        <vt:i4>492</vt:i4>
      </vt:variant>
      <vt:variant>
        <vt:i4>0</vt:i4>
      </vt:variant>
      <vt:variant>
        <vt:i4>5</vt:i4>
      </vt:variant>
      <vt:variant>
        <vt:lpwstr>https://www.aic.gov.au/sites/default/files/2023-07/sr43_cybercrime_in_australia_2023_v2.pdf</vt:lpwstr>
      </vt:variant>
      <vt:variant>
        <vt:lpwstr/>
      </vt:variant>
      <vt:variant>
        <vt:i4>786436</vt:i4>
      </vt:variant>
      <vt:variant>
        <vt:i4>489</vt:i4>
      </vt:variant>
      <vt:variant>
        <vt:i4>0</vt:i4>
      </vt:variant>
      <vt:variant>
        <vt:i4>5</vt:i4>
      </vt:variant>
      <vt:variant>
        <vt:lpwstr>https://www.afca.org.au/about-afca/annual-review</vt:lpwstr>
      </vt:variant>
      <vt:variant>
        <vt:lpwstr/>
      </vt:variant>
      <vt:variant>
        <vt:i4>7012476</vt:i4>
      </vt:variant>
      <vt:variant>
        <vt:i4>486</vt:i4>
      </vt:variant>
      <vt:variant>
        <vt:i4>0</vt:i4>
      </vt:variant>
      <vt:variant>
        <vt:i4>5</vt:i4>
      </vt:variant>
      <vt:variant>
        <vt:lpwstr>https://download.asic.gov.au/media/mbhoz0pc/rep761-published-20-april-2023.pdf</vt:lpwstr>
      </vt:variant>
      <vt:variant>
        <vt:lpwstr/>
      </vt:variant>
      <vt:variant>
        <vt:i4>4980807</vt:i4>
      </vt:variant>
      <vt:variant>
        <vt:i4>483</vt:i4>
      </vt:variant>
      <vt:variant>
        <vt:i4>0</vt:i4>
      </vt:variant>
      <vt:variant>
        <vt:i4>5</vt:i4>
      </vt:variant>
      <vt:variant>
        <vt:lpwstr>https://www.accc.gov.au/inquiries-and-consultations/digital-platform-services-inquiry-2020-25</vt:lpwstr>
      </vt:variant>
      <vt:variant>
        <vt:lpwstr/>
      </vt:variant>
      <vt:variant>
        <vt:i4>2949216</vt:i4>
      </vt:variant>
      <vt:variant>
        <vt:i4>480</vt:i4>
      </vt:variant>
      <vt:variant>
        <vt:i4>0</vt:i4>
      </vt:variant>
      <vt:variant>
        <vt:i4>5</vt:i4>
      </vt:variant>
      <vt:variant>
        <vt:lpwstr>https://www.acma.gov.au/publications/2023-08/report/action-scams-spam-and-telemarketing-april-june-2023</vt:lpwstr>
      </vt:variant>
      <vt:variant>
        <vt:lpwstr/>
      </vt:variant>
      <vt:variant>
        <vt:i4>2031628</vt:i4>
      </vt:variant>
      <vt:variant>
        <vt:i4>477</vt:i4>
      </vt:variant>
      <vt:variant>
        <vt:i4>0</vt:i4>
      </vt:variant>
      <vt:variant>
        <vt:i4>5</vt:i4>
      </vt:variant>
      <vt:variant>
        <vt:lpwstr>https://www.ato.gov.au/online-services/identity-security-and-scams/scam-data</vt:lpwstr>
      </vt:variant>
      <vt:variant>
        <vt:lpwstr/>
      </vt:variant>
      <vt:variant>
        <vt:i4>6488120</vt:i4>
      </vt:variant>
      <vt:variant>
        <vt:i4>474</vt:i4>
      </vt:variant>
      <vt:variant>
        <vt:i4>0</vt:i4>
      </vt:variant>
      <vt:variant>
        <vt:i4>5</vt:i4>
      </vt:variant>
      <vt:variant>
        <vt:lpwstr>https://www.scamwatch.gov.au/research-and-resources/scam-statistics</vt:lpwstr>
      </vt:variant>
      <vt:variant>
        <vt:lpwstr/>
      </vt:variant>
      <vt:variant>
        <vt:i4>4718673</vt:i4>
      </vt:variant>
      <vt:variant>
        <vt:i4>471</vt:i4>
      </vt:variant>
      <vt:variant>
        <vt:i4>0</vt:i4>
      </vt:variant>
      <vt:variant>
        <vt:i4>5</vt:i4>
      </vt:variant>
      <vt:variant>
        <vt:lpwstr>https://www.accc.gov.au/system/files/Targeting scams 2022.pdf</vt:lpwstr>
      </vt:variant>
      <vt:variant>
        <vt:lpwstr/>
      </vt:variant>
      <vt:variant>
        <vt:i4>4063282</vt:i4>
      </vt:variant>
      <vt:variant>
        <vt:i4>468</vt:i4>
      </vt:variant>
      <vt:variant>
        <vt:i4>0</vt:i4>
      </vt:variant>
      <vt:variant>
        <vt:i4>5</vt:i4>
      </vt:variant>
      <vt:variant>
        <vt:lpwstr>https://consumer.gov.au/sites/consumer/files/inline-files/acl-aust-consumer-survey-2023.pdf</vt:lpwstr>
      </vt:variant>
      <vt:variant>
        <vt:lpwstr/>
      </vt:variant>
      <vt:variant>
        <vt:i4>6488120</vt:i4>
      </vt:variant>
      <vt:variant>
        <vt:i4>465</vt:i4>
      </vt:variant>
      <vt:variant>
        <vt:i4>0</vt:i4>
      </vt:variant>
      <vt:variant>
        <vt:i4>5</vt:i4>
      </vt:variant>
      <vt:variant>
        <vt:lpwstr>https://www.scamwatch.gov.au/research-and-resources/scam-statistics</vt:lpwstr>
      </vt:variant>
      <vt:variant>
        <vt:lpwstr/>
      </vt:variant>
      <vt:variant>
        <vt:i4>4718673</vt:i4>
      </vt:variant>
      <vt:variant>
        <vt:i4>462</vt:i4>
      </vt:variant>
      <vt:variant>
        <vt:i4>0</vt:i4>
      </vt:variant>
      <vt:variant>
        <vt:i4>5</vt:i4>
      </vt:variant>
      <vt:variant>
        <vt:lpwstr>https://www.accc.gov.au/system/files/Targeting scams 2022.pdf</vt:lpwstr>
      </vt:variant>
      <vt:variant>
        <vt:lpwstr/>
      </vt:variant>
      <vt:variant>
        <vt:i4>4063282</vt:i4>
      </vt:variant>
      <vt:variant>
        <vt:i4>458</vt:i4>
      </vt:variant>
      <vt:variant>
        <vt:i4>0</vt:i4>
      </vt:variant>
      <vt:variant>
        <vt:i4>5</vt:i4>
      </vt:variant>
      <vt:variant>
        <vt:lpwstr>https://consumer.gov.au/sites/consumer/files/inline-files/acl-aust-consumer-survey-2023.pdf</vt:lpwstr>
      </vt:variant>
      <vt:variant>
        <vt:lpwstr/>
      </vt:variant>
      <vt:variant>
        <vt:i4>1769514</vt:i4>
      </vt:variant>
      <vt:variant>
        <vt:i4>456</vt:i4>
      </vt:variant>
      <vt:variant>
        <vt:i4>0</vt:i4>
      </vt:variant>
      <vt:variant>
        <vt:i4>5</vt:i4>
      </vt:variant>
      <vt:variant>
        <vt:lpwstr>https://www.aic.gov.au/sites/default/files/2023-07/sr43_cybercrime_in_australia_2023_v2.pdf</vt:lpwstr>
      </vt:variant>
      <vt:variant>
        <vt:lpwstr/>
      </vt:variant>
      <vt:variant>
        <vt:i4>2031686</vt:i4>
      </vt:variant>
      <vt:variant>
        <vt:i4>453</vt:i4>
      </vt:variant>
      <vt:variant>
        <vt:i4>0</vt:i4>
      </vt:variant>
      <vt:variant>
        <vt:i4>5</vt:i4>
      </vt:variant>
      <vt:variant>
        <vt:lpwstr>https://www.abs.gov.au/statistics/people/crime-and-justice/personal-fraud/latest-release</vt:lpwstr>
      </vt:variant>
      <vt:variant>
        <vt:lpwstr/>
      </vt:variant>
      <vt:variant>
        <vt:i4>3276840</vt:i4>
      </vt:variant>
      <vt:variant>
        <vt:i4>411</vt:i4>
      </vt:variant>
      <vt:variant>
        <vt:i4>0</vt:i4>
      </vt:variant>
      <vt:variant>
        <vt:i4>5</vt:i4>
      </vt:variant>
      <vt:variant>
        <vt:lpwstr>https://aus01.safelinks.protection.outlook.com/?url=https%3A%2F%2Fwww.afca.org.au%2Fmembers%2Ffunding-model%2Fuser-charge&amp;data=05%7C02%7CJackson.Whitehair%40TREASURY.GOV.AU%7Cca301769c1a4467b2a6c08dcc7d0a483%7C214f1646202147cc8397e3d3a7ba7d9d%7C0%7C0%7C638604946159363737%7CUnknown%7CTWFpbGZsb3d8eyJWIjoiMC4wLjAwMDAiLCJQIjoiV2luMzIiLCJBTiI6Ik1haWwiLCJXVCI6Mn0%3D%7C0%7C%7C%7C&amp;sdata=7aMXd0l%2FYjXnFZ1Ba9TlPz06vOB9fzklqAstdSNxrrI%3D&amp;reserved=0</vt:lpwstr>
      </vt:variant>
      <vt:variant>
        <vt:lpwstr/>
      </vt:variant>
      <vt:variant>
        <vt:i4>6881395</vt:i4>
      </vt:variant>
      <vt:variant>
        <vt:i4>408</vt:i4>
      </vt:variant>
      <vt:variant>
        <vt:i4>0</vt:i4>
      </vt:variant>
      <vt:variant>
        <vt:i4>5</vt:i4>
      </vt:variant>
      <vt:variant>
        <vt:lpwstr>https://aus01.safelinks.protection.outlook.com/?url=https%3A%2F%2Fwww.afca.org.au%2Fmembers%2Fnews%2Fchanges-to-afcas-fees-and-charges-in-fy25&amp;data=05%7C02%7CJackson.Whitehair%40TREASURY.GOV.AU%7Cca301769c1a4467b2a6c08dcc7d0a483%7C214f1646202147cc8397e3d3a7ba7d9d%7C0%7C0%7C638604946159337747%7CUnknown%7CTWFpbGZsb3d8eyJWIjoiMC4wLjAwMDAiLCJQIjoiV2luMzIiLCJBTiI6Ik1haWwiLCJXVCI6Mn0%3D%7C0%7C%7C%7C&amp;sdata=QmoJovhi%2FoAh8eMunl0ZpBuAk7KK9NMlaC35EknwWzc%3D&amp;reserved=0</vt:lpwstr>
      </vt:variant>
      <vt:variant>
        <vt:lpwstr/>
      </vt:variant>
      <vt:variant>
        <vt:i4>1114169</vt:i4>
      </vt:variant>
      <vt:variant>
        <vt:i4>215</vt:i4>
      </vt:variant>
      <vt:variant>
        <vt:i4>0</vt:i4>
      </vt:variant>
      <vt:variant>
        <vt:i4>5</vt:i4>
      </vt:variant>
      <vt:variant>
        <vt:lpwstr/>
      </vt:variant>
      <vt:variant>
        <vt:lpwstr>_Toc179556421</vt:lpwstr>
      </vt:variant>
      <vt:variant>
        <vt:i4>1114169</vt:i4>
      </vt:variant>
      <vt:variant>
        <vt:i4>209</vt:i4>
      </vt:variant>
      <vt:variant>
        <vt:i4>0</vt:i4>
      </vt:variant>
      <vt:variant>
        <vt:i4>5</vt:i4>
      </vt:variant>
      <vt:variant>
        <vt:lpwstr/>
      </vt:variant>
      <vt:variant>
        <vt:lpwstr>_Toc179556420</vt:lpwstr>
      </vt:variant>
      <vt:variant>
        <vt:i4>1179705</vt:i4>
      </vt:variant>
      <vt:variant>
        <vt:i4>203</vt:i4>
      </vt:variant>
      <vt:variant>
        <vt:i4>0</vt:i4>
      </vt:variant>
      <vt:variant>
        <vt:i4>5</vt:i4>
      </vt:variant>
      <vt:variant>
        <vt:lpwstr/>
      </vt:variant>
      <vt:variant>
        <vt:lpwstr>_Toc179556419</vt:lpwstr>
      </vt:variant>
      <vt:variant>
        <vt:i4>1179705</vt:i4>
      </vt:variant>
      <vt:variant>
        <vt:i4>197</vt:i4>
      </vt:variant>
      <vt:variant>
        <vt:i4>0</vt:i4>
      </vt:variant>
      <vt:variant>
        <vt:i4>5</vt:i4>
      </vt:variant>
      <vt:variant>
        <vt:lpwstr/>
      </vt:variant>
      <vt:variant>
        <vt:lpwstr>_Toc179556418</vt:lpwstr>
      </vt:variant>
      <vt:variant>
        <vt:i4>1179705</vt:i4>
      </vt:variant>
      <vt:variant>
        <vt:i4>191</vt:i4>
      </vt:variant>
      <vt:variant>
        <vt:i4>0</vt:i4>
      </vt:variant>
      <vt:variant>
        <vt:i4>5</vt:i4>
      </vt:variant>
      <vt:variant>
        <vt:lpwstr/>
      </vt:variant>
      <vt:variant>
        <vt:lpwstr>_Toc179556417</vt:lpwstr>
      </vt:variant>
      <vt:variant>
        <vt:i4>1179705</vt:i4>
      </vt:variant>
      <vt:variant>
        <vt:i4>185</vt:i4>
      </vt:variant>
      <vt:variant>
        <vt:i4>0</vt:i4>
      </vt:variant>
      <vt:variant>
        <vt:i4>5</vt:i4>
      </vt:variant>
      <vt:variant>
        <vt:lpwstr/>
      </vt:variant>
      <vt:variant>
        <vt:lpwstr>_Toc179556416</vt:lpwstr>
      </vt:variant>
      <vt:variant>
        <vt:i4>1179705</vt:i4>
      </vt:variant>
      <vt:variant>
        <vt:i4>179</vt:i4>
      </vt:variant>
      <vt:variant>
        <vt:i4>0</vt:i4>
      </vt:variant>
      <vt:variant>
        <vt:i4>5</vt:i4>
      </vt:variant>
      <vt:variant>
        <vt:lpwstr/>
      </vt:variant>
      <vt:variant>
        <vt:lpwstr>_Toc179556415</vt:lpwstr>
      </vt:variant>
      <vt:variant>
        <vt:i4>1179705</vt:i4>
      </vt:variant>
      <vt:variant>
        <vt:i4>173</vt:i4>
      </vt:variant>
      <vt:variant>
        <vt:i4>0</vt:i4>
      </vt:variant>
      <vt:variant>
        <vt:i4>5</vt:i4>
      </vt:variant>
      <vt:variant>
        <vt:lpwstr/>
      </vt:variant>
      <vt:variant>
        <vt:lpwstr>_Toc179556414</vt:lpwstr>
      </vt:variant>
      <vt:variant>
        <vt:i4>1179705</vt:i4>
      </vt:variant>
      <vt:variant>
        <vt:i4>167</vt:i4>
      </vt:variant>
      <vt:variant>
        <vt:i4>0</vt:i4>
      </vt:variant>
      <vt:variant>
        <vt:i4>5</vt:i4>
      </vt:variant>
      <vt:variant>
        <vt:lpwstr/>
      </vt:variant>
      <vt:variant>
        <vt:lpwstr>_Toc179556413</vt:lpwstr>
      </vt:variant>
      <vt:variant>
        <vt:i4>1179705</vt:i4>
      </vt:variant>
      <vt:variant>
        <vt:i4>161</vt:i4>
      </vt:variant>
      <vt:variant>
        <vt:i4>0</vt:i4>
      </vt:variant>
      <vt:variant>
        <vt:i4>5</vt:i4>
      </vt:variant>
      <vt:variant>
        <vt:lpwstr/>
      </vt:variant>
      <vt:variant>
        <vt:lpwstr>_Toc179556412</vt:lpwstr>
      </vt:variant>
      <vt:variant>
        <vt:i4>1179705</vt:i4>
      </vt:variant>
      <vt:variant>
        <vt:i4>155</vt:i4>
      </vt:variant>
      <vt:variant>
        <vt:i4>0</vt:i4>
      </vt:variant>
      <vt:variant>
        <vt:i4>5</vt:i4>
      </vt:variant>
      <vt:variant>
        <vt:lpwstr/>
      </vt:variant>
      <vt:variant>
        <vt:lpwstr>_Toc179556411</vt:lpwstr>
      </vt:variant>
      <vt:variant>
        <vt:i4>1179705</vt:i4>
      </vt:variant>
      <vt:variant>
        <vt:i4>149</vt:i4>
      </vt:variant>
      <vt:variant>
        <vt:i4>0</vt:i4>
      </vt:variant>
      <vt:variant>
        <vt:i4>5</vt:i4>
      </vt:variant>
      <vt:variant>
        <vt:lpwstr/>
      </vt:variant>
      <vt:variant>
        <vt:lpwstr>_Toc179556410</vt:lpwstr>
      </vt:variant>
      <vt:variant>
        <vt:i4>1245241</vt:i4>
      </vt:variant>
      <vt:variant>
        <vt:i4>143</vt:i4>
      </vt:variant>
      <vt:variant>
        <vt:i4>0</vt:i4>
      </vt:variant>
      <vt:variant>
        <vt:i4>5</vt:i4>
      </vt:variant>
      <vt:variant>
        <vt:lpwstr/>
      </vt:variant>
      <vt:variant>
        <vt:lpwstr>_Toc179556409</vt:lpwstr>
      </vt:variant>
      <vt:variant>
        <vt:i4>1245241</vt:i4>
      </vt:variant>
      <vt:variant>
        <vt:i4>137</vt:i4>
      </vt:variant>
      <vt:variant>
        <vt:i4>0</vt:i4>
      </vt:variant>
      <vt:variant>
        <vt:i4>5</vt:i4>
      </vt:variant>
      <vt:variant>
        <vt:lpwstr/>
      </vt:variant>
      <vt:variant>
        <vt:lpwstr>_Toc179556408</vt:lpwstr>
      </vt:variant>
      <vt:variant>
        <vt:i4>1245241</vt:i4>
      </vt:variant>
      <vt:variant>
        <vt:i4>131</vt:i4>
      </vt:variant>
      <vt:variant>
        <vt:i4>0</vt:i4>
      </vt:variant>
      <vt:variant>
        <vt:i4>5</vt:i4>
      </vt:variant>
      <vt:variant>
        <vt:lpwstr/>
      </vt:variant>
      <vt:variant>
        <vt:lpwstr>_Toc179556407</vt:lpwstr>
      </vt:variant>
      <vt:variant>
        <vt:i4>1245241</vt:i4>
      </vt:variant>
      <vt:variant>
        <vt:i4>125</vt:i4>
      </vt:variant>
      <vt:variant>
        <vt:i4>0</vt:i4>
      </vt:variant>
      <vt:variant>
        <vt:i4>5</vt:i4>
      </vt:variant>
      <vt:variant>
        <vt:lpwstr/>
      </vt:variant>
      <vt:variant>
        <vt:lpwstr>_Toc179556406</vt:lpwstr>
      </vt:variant>
      <vt:variant>
        <vt:i4>1245241</vt:i4>
      </vt:variant>
      <vt:variant>
        <vt:i4>119</vt:i4>
      </vt:variant>
      <vt:variant>
        <vt:i4>0</vt:i4>
      </vt:variant>
      <vt:variant>
        <vt:i4>5</vt:i4>
      </vt:variant>
      <vt:variant>
        <vt:lpwstr/>
      </vt:variant>
      <vt:variant>
        <vt:lpwstr>_Toc179556405</vt:lpwstr>
      </vt:variant>
      <vt:variant>
        <vt:i4>1245241</vt:i4>
      </vt:variant>
      <vt:variant>
        <vt:i4>113</vt:i4>
      </vt:variant>
      <vt:variant>
        <vt:i4>0</vt:i4>
      </vt:variant>
      <vt:variant>
        <vt:i4>5</vt:i4>
      </vt:variant>
      <vt:variant>
        <vt:lpwstr/>
      </vt:variant>
      <vt:variant>
        <vt:lpwstr>_Toc179556404</vt:lpwstr>
      </vt:variant>
      <vt:variant>
        <vt:i4>1245241</vt:i4>
      </vt:variant>
      <vt:variant>
        <vt:i4>107</vt:i4>
      </vt:variant>
      <vt:variant>
        <vt:i4>0</vt:i4>
      </vt:variant>
      <vt:variant>
        <vt:i4>5</vt:i4>
      </vt:variant>
      <vt:variant>
        <vt:lpwstr/>
      </vt:variant>
      <vt:variant>
        <vt:lpwstr>_Toc179556403</vt:lpwstr>
      </vt:variant>
      <vt:variant>
        <vt:i4>1245241</vt:i4>
      </vt:variant>
      <vt:variant>
        <vt:i4>101</vt:i4>
      </vt:variant>
      <vt:variant>
        <vt:i4>0</vt:i4>
      </vt:variant>
      <vt:variant>
        <vt:i4>5</vt:i4>
      </vt:variant>
      <vt:variant>
        <vt:lpwstr/>
      </vt:variant>
      <vt:variant>
        <vt:lpwstr>_Toc179556402</vt:lpwstr>
      </vt:variant>
      <vt:variant>
        <vt:i4>1245241</vt:i4>
      </vt:variant>
      <vt:variant>
        <vt:i4>95</vt:i4>
      </vt:variant>
      <vt:variant>
        <vt:i4>0</vt:i4>
      </vt:variant>
      <vt:variant>
        <vt:i4>5</vt:i4>
      </vt:variant>
      <vt:variant>
        <vt:lpwstr/>
      </vt:variant>
      <vt:variant>
        <vt:lpwstr>_Toc179556401</vt:lpwstr>
      </vt:variant>
      <vt:variant>
        <vt:i4>1245241</vt:i4>
      </vt:variant>
      <vt:variant>
        <vt:i4>89</vt:i4>
      </vt:variant>
      <vt:variant>
        <vt:i4>0</vt:i4>
      </vt:variant>
      <vt:variant>
        <vt:i4>5</vt:i4>
      </vt:variant>
      <vt:variant>
        <vt:lpwstr/>
      </vt:variant>
      <vt:variant>
        <vt:lpwstr>_Toc179556400</vt:lpwstr>
      </vt:variant>
      <vt:variant>
        <vt:i4>1703998</vt:i4>
      </vt:variant>
      <vt:variant>
        <vt:i4>83</vt:i4>
      </vt:variant>
      <vt:variant>
        <vt:i4>0</vt:i4>
      </vt:variant>
      <vt:variant>
        <vt:i4>5</vt:i4>
      </vt:variant>
      <vt:variant>
        <vt:lpwstr/>
      </vt:variant>
      <vt:variant>
        <vt:lpwstr>_Toc179556399</vt:lpwstr>
      </vt:variant>
      <vt:variant>
        <vt:i4>1703998</vt:i4>
      </vt:variant>
      <vt:variant>
        <vt:i4>77</vt:i4>
      </vt:variant>
      <vt:variant>
        <vt:i4>0</vt:i4>
      </vt:variant>
      <vt:variant>
        <vt:i4>5</vt:i4>
      </vt:variant>
      <vt:variant>
        <vt:lpwstr/>
      </vt:variant>
      <vt:variant>
        <vt:lpwstr>_Toc179556398</vt:lpwstr>
      </vt:variant>
      <vt:variant>
        <vt:i4>1703998</vt:i4>
      </vt:variant>
      <vt:variant>
        <vt:i4>71</vt:i4>
      </vt:variant>
      <vt:variant>
        <vt:i4>0</vt:i4>
      </vt:variant>
      <vt:variant>
        <vt:i4>5</vt:i4>
      </vt:variant>
      <vt:variant>
        <vt:lpwstr/>
      </vt:variant>
      <vt:variant>
        <vt:lpwstr>_Toc179556397</vt:lpwstr>
      </vt:variant>
      <vt:variant>
        <vt:i4>1703998</vt:i4>
      </vt:variant>
      <vt:variant>
        <vt:i4>65</vt:i4>
      </vt:variant>
      <vt:variant>
        <vt:i4>0</vt:i4>
      </vt:variant>
      <vt:variant>
        <vt:i4>5</vt:i4>
      </vt:variant>
      <vt:variant>
        <vt:lpwstr/>
      </vt:variant>
      <vt:variant>
        <vt:lpwstr>_Toc179556396</vt:lpwstr>
      </vt:variant>
      <vt:variant>
        <vt:i4>1703998</vt:i4>
      </vt:variant>
      <vt:variant>
        <vt:i4>59</vt:i4>
      </vt:variant>
      <vt:variant>
        <vt:i4>0</vt:i4>
      </vt:variant>
      <vt:variant>
        <vt:i4>5</vt:i4>
      </vt:variant>
      <vt:variant>
        <vt:lpwstr/>
      </vt:variant>
      <vt:variant>
        <vt:lpwstr>_Toc179556395</vt:lpwstr>
      </vt:variant>
      <vt:variant>
        <vt:i4>1703998</vt:i4>
      </vt:variant>
      <vt:variant>
        <vt:i4>53</vt:i4>
      </vt:variant>
      <vt:variant>
        <vt:i4>0</vt:i4>
      </vt:variant>
      <vt:variant>
        <vt:i4>5</vt:i4>
      </vt:variant>
      <vt:variant>
        <vt:lpwstr/>
      </vt:variant>
      <vt:variant>
        <vt:lpwstr>_Toc179556394</vt:lpwstr>
      </vt:variant>
      <vt:variant>
        <vt:i4>1703998</vt:i4>
      </vt:variant>
      <vt:variant>
        <vt:i4>47</vt:i4>
      </vt:variant>
      <vt:variant>
        <vt:i4>0</vt:i4>
      </vt:variant>
      <vt:variant>
        <vt:i4>5</vt:i4>
      </vt:variant>
      <vt:variant>
        <vt:lpwstr/>
      </vt:variant>
      <vt:variant>
        <vt:lpwstr>_Toc179556393</vt:lpwstr>
      </vt:variant>
      <vt:variant>
        <vt:i4>1703998</vt:i4>
      </vt:variant>
      <vt:variant>
        <vt:i4>41</vt:i4>
      </vt:variant>
      <vt:variant>
        <vt:i4>0</vt:i4>
      </vt:variant>
      <vt:variant>
        <vt:i4>5</vt:i4>
      </vt:variant>
      <vt:variant>
        <vt:lpwstr/>
      </vt:variant>
      <vt:variant>
        <vt:lpwstr>_Toc179556392</vt:lpwstr>
      </vt:variant>
      <vt:variant>
        <vt:i4>1703998</vt:i4>
      </vt:variant>
      <vt:variant>
        <vt:i4>35</vt:i4>
      </vt:variant>
      <vt:variant>
        <vt:i4>0</vt:i4>
      </vt:variant>
      <vt:variant>
        <vt:i4>5</vt:i4>
      </vt:variant>
      <vt:variant>
        <vt:lpwstr/>
      </vt:variant>
      <vt:variant>
        <vt:lpwstr>_Toc179556391</vt:lpwstr>
      </vt:variant>
      <vt:variant>
        <vt:i4>1703998</vt:i4>
      </vt:variant>
      <vt:variant>
        <vt:i4>29</vt:i4>
      </vt:variant>
      <vt:variant>
        <vt:i4>0</vt:i4>
      </vt:variant>
      <vt:variant>
        <vt:i4>5</vt:i4>
      </vt:variant>
      <vt:variant>
        <vt:lpwstr/>
      </vt:variant>
      <vt:variant>
        <vt:lpwstr>_Toc179556390</vt:lpwstr>
      </vt:variant>
      <vt:variant>
        <vt:i4>1769534</vt:i4>
      </vt:variant>
      <vt:variant>
        <vt:i4>23</vt:i4>
      </vt:variant>
      <vt:variant>
        <vt:i4>0</vt:i4>
      </vt:variant>
      <vt:variant>
        <vt:i4>5</vt:i4>
      </vt:variant>
      <vt:variant>
        <vt:lpwstr/>
      </vt:variant>
      <vt:variant>
        <vt:lpwstr>_Toc179556389</vt:lpwstr>
      </vt:variant>
      <vt:variant>
        <vt:i4>1769534</vt:i4>
      </vt:variant>
      <vt:variant>
        <vt:i4>17</vt:i4>
      </vt:variant>
      <vt:variant>
        <vt:i4>0</vt:i4>
      </vt:variant>
      <vt:variant>
        <vt:i4>5</vt:i4>
      </vt:variant>
      <vt:variant>
        <vt:lpwstr/>
      </vt:variant>
      <vt:variant>
        <vt:lpwstr>_Toc179556388</vt:lpwstr>
      </vt:variant>
      <vt:variant>
        <vt:i4>105</vt:i4>
      </vt:variant>
      <vt:variant>
        <vt:i4>12</vt:i4>
      </vt:variant>
      <vt:variant>
        <vt:i4>0</vt:i4>
      </vt:variant>
      <vt:variant>
        <vt:i4>5</vt:i4>
      </vt:variant>
      <vt:variant>
        <vt:lpwstr>mailto:media@treasury.gov.au</vt:lpwstr>
      </vt:variant>
      <vt:variant>
        <vt:lpwstr/>
      </vt:variant>
      <vt:variant>
        <vt:i4>25</vt:i4>
      </vt:variant>
      <vt:variant>
        <vt:i4>9</vt:i4>
      </vt:variant>
      <vt:variant>
        <vt:i4>0</vt:i4>
      </vt:variant>
      <vt:variant>
        <vt:i4>5</vt:i4>
      </vt:variant>
      <vt:variant>
        <vt:lpwstr>http://www.pmc.gov.au/honours-and-symbols/commonwealth-coat-arms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5832789</vt:i4>
      </vt:variant>
      <vt:variant>
        <vt:i4>30</vt:i4>
      </vt:variant>
      <vt:variant>
        <vt:i4>0</vt:i4>
      </vt:variant>
      <vt:variant>
        <vt:i4>5</vt:i4>
      </vt:variant>
      <vt:variant>
        <vt:lpwstr>https://my.afca.org.au/ff-search/</vt:lpwstr>
      </vt:variant>
      <vt:variant>
        <vt:lpwstr/>
      </vt:variant>
      <vt:variant>
        <vt:i4>2490411</vt:i4>
      </vt:variant>
      <vt:variant>
        <vt:i4>27</vt:i4>
      </vt:variant>
      <vt:variant>
        <vt:i4>0</vt:i4>
      </vt:variant>
      <vt:variant>
        <vt:i4>5</vt:i4>
      </vt:variant>
      <vt:variant>
        <vt:lpwstr>https://www.ausbanking.org.au/about-us/aba-members/</vt:lpwstr>
      </vt:variant>
      <vt:variant>
        <vt:lpwstr/>
      </vt:variant>
      <vt:variant>
        <vt:i4>7012388</vt:i4>
      </vt:variant>
      <vt:variant>
        <vt:i4>24</vt:i4>
      </vt:variant>
      <vt:variant>
        <vt:i4>0</vt:i4>
      </vt:variant>
      <vt:variant>
        <vt:i4>5</vt:i4>
      </vt:variant>
      <vt:variant>
        <vt:lpwstr>https://www.afca.org.au/members/funding-model/fee-structure</vt:lpwstr>
      </vt:variant>
      <vt:variant>
        <vt:lpwstr/>
      </vt:variant>
      <vt:variant>
        <vt:i4>3932271</vt:i4>
      </vt:variant>
      <vt:variant>
        <vt:i4>21</vt:i4>
      </vt:variant>
      <vt:variant>
        <vt:i4>0</vt:i4>
      </vt:variant>
      <vt:variant>
        <vt:i4>5</vt:i4>
      </vt:variant>
      <vt:variant>
        <vt:lpwstr>https://www.afca.org.au/annual-review-scams</vt:lpwstr>
      </vt:variant>
      <vt:variant>
        <vt:lpwstr/>
      </vt:variant>
      <vt:variant>
        <vt:i4>1704005</vt:i4>
      </vt:variant>
      <vt:variant>
        <vt:i4>18</vt:i4>
      </vt:variant>
      <vt:variant>
        <vt:i4>0</vt:i4>
      </vt:variant>
      <vt:variant>
        <vt:i4>5</vt:i4>
      </vt:variant>
      <vt:variant>
        <vt:lpwstr>https://oia.pmc.gov.au/published-impact-analyses-and-reports/cdr-non-bank-lending-sectoral-assessment</vt:lpwstr>
      </vt:variant>
      <vt:variant>
        <vt:lpwstr/>
      </vt:variant>
      <vt:variant>
        <vt:i4>7864381</vt:i4>
      </vt:variant>
      <vt:variant>
        <vt:i4>15</vt:i4>
      </vt:variant>
      <vt:variant>
        <vt:i4>0</vt:i4>
      </vt:variant>
      <vt:variant>
        <vt:i4>5</vt:i4>
      </vt:variant>
      <vt:variant>
        <vt:lpwstr>https://oia.pmc.gov.au/published-impact-analyses-and-reports/consumer-data-right-telecommunications-sectoral-assessment</vt:lpwstr>
      </vt:variant>
      <vt:variant>
        <vt:lpwstr/>
      </vt:variant>
      <vt:variant>
        <vt:i4>3276848</vt:i4>
      </vt:variant>
      <vt:variant>
        <vt:i4>12</vt:i4>
      </vt:variant>
      <vt:variant>
        <vt:i4>0</vt:i4>
      </vt:variant>
      <vt:variant>
        <vt:i4>5</vt:i4>
      </vt:variant>
      <vt:variant>
        <vt:lpwstr>https://www.acma.gov.au/register-telco-industry-codes-and-standards</vt:lpwstr>
      </vt:variant>
      <vt:variant>
        <vt:lpwstr/>
      </vt:variant>
      <vt:variant>
        <vt:i4>7274595</vt:i4>
      </vt:variant>
      <vt:variant>
        <vt:i4>3</vt:i4>
      </vt:variant>
      <vt:variant>
        <vt:i4>0</vt:i4>
      </vt:variant>
      <vt:variant>
        <vt:i4>5</vt:i4>
      </vt:variant>
      <vt:variant>
        <vt:lpwstr>https://www.ausbanking.org.au/new-scam-safe-accord/</vt:lpwstr>
      </vt:variant>
      <vt:variant>
        <vt:lpwstr/>
      </vt:variant>
      <vt:variant>
        <vt:i4>8323189</vt:i4>
      </vt:variant>
      <vt:variant>
        <vt:i4>0</vt:i4>
      </vt:variant>
      <vt:variant>
        <vt:i4>0</vt:i4>
      </vt:variant>
      <vt:variant>
        <vt:i4>5</vt:i4>
      </vt:variant>
      <vt:variant>
        <vt:lpwstr>https://www.acma.gov.au/publications/2024-02/report/action-telco-consumer-protections-october-december-2023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2024-11-26T23:41:00Z</dcterms:created>
  <dcterms:modified xsi:type="dcterms:W3CDTF">2024-11-26T23:45:00Z</dcterms:modified>
</cp:coreProperties>
</file>