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CF9AA" w14:textId="1E979EA1" w:rsidR="00F06E14" w:rsidRPr="00A17B1B" w:rsidRDefault="00B36D39" w:rsidP="00A51D1A">
      <w:pPr>
        <w:pStyle w:val="Reporttitle"/>
      </w:pPr>
      <w:bookmarkStart w:id="0" w:name="_GoBack"/>
      <w:bookmarkEnd w:id="0"/>
      <w:r>
        <w:t xml:space="preserve">Improving </w:t>
      </w:r>
      <w:r w:rsidR="0034235F">
        <w:t xml:space="preserve">telco communications </w:t>
      </w:r>
      <w:r w:rsidR="003E5007">
        <w:t xml:space="preserve">to stakeholders </w:t>
      </w:r>
      <w:r w:rsidR="00017F42">
        <w:t>during</w:t>
      </w:r>
      <w:r w:rsidR="003E5007">
        <w:t xml:space="preserve"> </w:t>
      </w:r>
      <w:r w:rsidR="00E45702">
        <w:t xml:space="preserve">outages </w:t>
      </w:r>
    </w:p>
    <w:p w14:paraId="1832CE85" w14:textId="3D9BA029" w:rsidR="00F06E14" w:rsidRPr="00A17B1B" w:rsidRDefault="00C62006" w:rsidP="00F06E14">
      <w:pPr>
        <w:pStyle w:val="Reportsubtitle"/>
      </w:pPr>
      <w:r>
        <w:t xml:space="preserve">Impact analysis </w:t>
      </w:r>
    </w:p>
    <w:p w14:paraId="70297D09" w14:textId="499D7BF9" w:rsidR="00C97736" w:rsidRPr="00A17B1B" w:rsidRDefault="00A8287F" w:rsidP="00EC2B68">
      <w:pPr>
        <w:pStyle w:val="Reportdate"/>
        <w:spacing w:after="720"/>
        <w:rPr>
          <w:rFonts w:cs="Arial"/>
        </w:rPr>
        <w:sectPr w:rsidR="00C97736" w:rsidRPr="00A17B1B" w:rsidSect="00CF7640">
          <w:headerReference w:type="even" r:id="rId7"/>
          <w:headerReference w:type="default" r:id="rId8"/>
          <w:footerReference w:type="even" r:id="rId9"/>
          <w:footerReference w:type="default" r:id="rId10"/>
          <w:headerReference w:type="first" r:id="rId11"/>
          <w:footerReference w:type="first" r:id="rId12"/>
          <w:pgSz w:w="11906" w:h="16838" w:code="9"/>
          <w:pgMar w:top="3924" w:right="1418" w:bottom="1134" w:left="1418" w:header="850" w:footer="454" w:gutter="0"/>
          <w:cols w:space="708"/>
          <w:docGrid w:linePitch="360"/>
        </w:sectPr>
      </w:pPr>
      <w:r>
        <w:t>november</w:t>
      </w:r>
      <w:r w:rsidRPr="00A17B1B">
        <w:t xml:space="preserve"> </w:t>
      </w:r>
      <w:r w:rsidR="00BD4421" w:rsidRPr="00A17B1B">
        <w:t>20</w:t>
      </w:r>
      <w:r w:rsidR="000971BD" w:rsidRPr="00A17B1B">
        <w:t>2</w:t>
      </w:r>
      <w:r w:rsidR="00306491">
        <w:t>4</w:t>
      </w:r>
    </w:p>
    <w:p w14:paraId="02AEAF5F" w14:textId="77777777" w:rsidR="00284A74" w:rsidRPr="00A17B1B" w:rsidRDefault="00284A74" w:rsidP="00284A74">
      <w:pPr>
        <w:pStyle w:val="ACMACorporateAddressHeader"/>
      </w:pPr>
      <w:r w:rsidRPr="00A17B1B">
        <w:lastRenderedPageBreak/>
        <w:t>Canberra</w:t>
      </w:r>
    </w:p>
    <w:p w14:paraId="028A6E9C" w14:textId="77777777" w:rsidR="00284A74" w:rsidRPr="00A17B1B" w:rsidRDefault="00181180" w:rsidP="00284A74">
      <w:pPr>
        <w:pStyle w:val="ACMACorporateAddresses"/>
      </w:pPr>
      <w:r>
        <w:t>Level 3</w:t>
      </w:r>
      <w:r>
        <w:br/>
        <w:t>40 Cameron Avenue</w:t>
      </w:r>
      <w:r w:rsidR="00284A74" w:rsidRPr="00A17B1B">
        <w:t xml:space="preserve"> </w:t>
      </w:r>
      <w:r w:rsidR="00284A74" w:rsidRPr="00A17B1B">
        <w:br/>
        <w:t>Belconnen ACT</w:t>
      </w:r>
    </w:p>
    <w:p w14:paraId="13C218C4" w14:textId="77777777" w:rsidR="00284A74" w:rsidRPr="00A17B1B" w:rsidRDefault="00284A74" w:rsidP="00284A74">
      <w:pPr>
        <w:pStyle w:val="ACMACorporateAddresses"/>
      </w:pPr>
      <w:r w:rsidRPr="00A17B1B">
        <w:t>PO Box 78</w:t>
      </w:r>
      <w:r w:rsidRPr="00A17B1B">
        <w:br/>
        <w:t>Belconnen ACT 2616</w:t>
      </w:r>
    </w:p>
    <w:p w14:paraId="183CC342" w14:textId="77777777" w:rsidR="00284A74" w:rsidRPr="00A17B1B" w:rsidRDefault="00284A74" w:rsidP="00284A74">
      <w:pPr>
        <w:pStyle w:val="ACMACorporateAddresses"/>
      </w:pPr>
      <w:r w:rsidRPr="00A17B1B">
        <w:t>T</w:t>
      </w:r>
      <w:r w:rsidRPr="00A17B1B">
        <w:tab/>
        <w:t>+61 2 6219 5555</w:t>
      </w:r>
      <w:r w:rsidRPr="00A17B1B">
        <w:br/>
        <w:t>F</w:t>
      </w:r>
      <w:r w:rsidRPr="00A17B1B">
        <w:tab/>
        <w:t>+61 2 6219 5353</w:t>
      </w:r>
    </w:p>
    <w:p w14:paraId="6E1B85B2" w14:textId="77777777" w:rsidR="00284A74" w:rsidRPr="00A17B1B" w:rsidRDefault="00284A74" w:rsidP="00284A74">
      <w:pPr>
        <w:pStyle w:val="ACMACorporateAddressHeader"/>
      </w:pPr>
      <w:r w:rsidRPr="00A17B1B">
        <w:t>Melbourne</w:t>
      </w:r>
    </w:p>
    <w:p w14:paraId="30E4F9B1" w14:textId="77777777" w:rsidR="00284A74" w:rsidRPr="00A17B1B" w:rsidRDefault="00284A74" w:rsidP="00284A74">
      <w:pPr>
        <w:pStyle w:val="ACMACorporateAddresses"/>
      </w:pPr>
      <w:r w:rsidRPr="00A17B1B">
        <w:t xml:space="preserve">Level 32 </w:t>
      </w:r>
      <w:r w:rsidRPr="00A17B1B">
        <w:br/>
        <w:t>Melbourne Central Tower</w:t>
      </w:r>
      <w:r w:rsidRPr="00A17B1B">
        <w:br/>
        <w:t xml:space="preserve">360 Elizabeth Street </w:t>
      </w:r>
      <w:r w:rsidRPr="00A17B1B">
        <w:br/>
        <w:t>Melbourne VIC</w:t>
      </w:r>
    </w:p>
    <w:p w14:paraId="5B4BBEA9" w14:textId="77777777" w:rsidR="00284A74" w:rsidRPr="00A17B1B" w:rsidRDefault="00284A74" w:rsidP="00284A74">
      <w:pPr>
        <w:pStyle w:val="ACMACorporateAddresses"/>
      </w:pPr>
      <w:r w:rsidRPr="00A17B1B">
        <w:t>PO Box 13112</w:t>
      </w:r>
      <w:r w:rsidRPr="00A17B1B">
        <w:br/>
        <w:t xml:space="preserve">Law Courts </w:t>
      </w:r>
      <w:r w:rsidRPr="00A17B1B">
        <w:br/>
        <w:t>Melbourne VIC 8010</w:t>
      </w:r>
    </w:p>
    <w:p w14:paraId="03DE3E8D" w14:textId="77777777" w:rsidR="00284A74" w:rsidRPr="00A17B1B" w:rsidRDefault="00284A74" w:rsidP="00284A74">
      <w:pPr>
        <w:pStyle w:val="ACMACorporateAddresses"/>
      </w:pPr>
      <w:r w:rsidRPr="00A17B1B">
        <w:t>T</w:t>
      </w:r>
      <w:r w:rsidRPr="00A17B1B">
        <w:tab/>
        <w:t>+61 3 9963 6800</w:t>
      </w:r>
      <w:r w:rsidRPr="00A17B1B">
        <w:br/>
        <w:t>F</w:t>
      </w:r>
      <w:r w:rsidRPr="00A17B1B">
        <w:tab/>
        <w:t>+61 3 9963 6899</w:t>
      </w:r>
    </w:p>
    <w:p w14:paraId="001262F2" w14:textId="1A2CF3C5" w:rsidR="00284A74" w:rsidRPr="00A17B1B" w:rsidRDefault="00284A74" w:rsidP="00284A74">
      <w:pPr>
        <w:pStyle w:val="ACMACorporateAddressHeader"/>
      </w:pPr>
      <w:r w:rsidRPr="00A17B1B">
        <w:t>Sydney</w:t>
      </w:r>
    </w:p>
    <w:p w14:paraId="5C6A8879" w14:textId="77777777" w:rsidR="00284A74" w:rsidRPr="00A17B1B" w:rsidRDefault="00284A74" w:rsidP="00284A74">
      <w:pPr>
        <w:pStyle w:val="ACMACorporateAddresses"/>
      </w:pPr>
      <w:r w:rsidRPr="00A17B1B">
        <w:t xml:space="preserve">Level 5 </w:t>
      </w:r>
      <w:r w:rsidRPr="00A17B1B">
        <w:br/>
        <w:t>The Bay Centre</w:t>
      </w:r>
      <w:r w:rsidRPr="00A17B1B">
        <w:br/>
        <w:t xml:space="preserve">65 Pirrama Road </w:t>
      </w:r>
      <w:r w:rsidRPr="00A17B1B">
        <w:br/>
        <w:t>Pyrmont NSW</w:t>
      </w:r>
    </w:p>
    <w:p w14:paraId="7E026A63" w14:textId="77777777" w:rsidR="00284A74" w:rsidRPr="00A17B1B" w:rsidRDefault="00284A74" w:rsidP="00284A74">
      <w:pPr>
        <w:pStyle w:val="ACMACorporateAddresses"/>
      </w:pPr>
      <w:r w:rsidRPr="00A17B1B">
        <w:t>PO Box Q500</w:t>
      </w:r>
      <w:r w:rsidRPr="00A17B1B">
        <w:br/>
        <w:t xml:space="preserve">Queen Victoria Building </w:t>
      </w:r>
      <w:r w:rsidRPr="00A17B1B">
        <w:br/>
        <w:t>NSW 1230</w:t>
      </w:r>
    </w:p>
    <w:p w14:paraId="3DB85D0A" w14:textId="77777777" w:rsidR="00284A74" w:rsidRPr="00A17B1B" w:rsidRDefault="00284A74" w:rsidP="00284A74">
      <w:pPr>
        <w:pStyle w:val="ACMACorporateAddresses"/>
      </w:pPr>
      <w:r w:rsidRPr="00A17B1B">
        <w:t>T</w:t>
      </w:r>
      <w:r w:rsidRPr="00A17B1B">
        <w:tab/>
        <w:t>+61 2 9334 7700</w:t>
      </w:r>
      <w:r w:rsidRPr="00A17B1B">
        <w:br/>
        <w:t>F</w:t>
      </w:r>
      <w:r w:rsidRPr="00A17B1B">
        <w:tab/>
        <w:t>+61 2 9334 7799</w:t>
      </w:r>
    </w:p>
    <w:p w14:paraId="64D612E3" w14:textId="77777777" w:rsidR="00284A74" w:rsidRPr="00A17B1B" w:rsidRDefault="00284A74" w:rsidP="005A62E5">
      <w:pPr>
        <w:pStyle w:val="ACMACopyrightHeader"/>
        <w:spacing w:before="4200"/>
      </w:pPr>
      <w:r w:rsidRPr="00A17B1B">
        <w:t>Copyright notice</w:t>
      </w:r>
    </w:p>
    <w:p w14:paraId="039F6888" w14:textId="77777777" w:rsidR="00284A74" w:rsidRPr="00A17B1B" w:rsidRDefault="00284A74" w:rsidP="00284A74">
      <w:pPr>
        <w:pStyle w:val="ACMACClogo"/>
      </w:pPr>
      <w:r w:rsidRPr="00A17B1B">
        <w:rPr>
          <w:noProof/>
        </w:rPr>
        <w:drawing>
          <wp:inline distT="0" distB="0" distL="0" distR="0" wp14:anchorId="4EB3228B" wp14:editId="49410916">
            <wp:extent cx="838200" cy="295275"/>
            <wp:effectExtent l="0" t="0" r="0" b="0"/>
            <wp:docPr id="1" name="Picture 1" title="Creative Comm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3"/>
                    </pic:cNvPr>
                    <pic:cNvPicPr>
                      <a:picLocks noChangeAspect="1" noChangeArrowheads="1"/>
                    </pic:cNvPicPr>
                  </pic:nvPicPr>
                  <pic:blipFill>
                    <a:blip r:embed="rId14" cstate="print"/>
                    <a:srcRect/>
                    <a:stretch>
                      <a:fillRect/>
                    </a:stretch>
                  </pic:blipFill>
                  <pic:spPr bwMode="auto">
                    <a:xfrm>
                      <a:off x="0" y="0"/>
                      <a:ext cx="838200" cy="295275"/>
                    </a:xfrm>
                    <a:prstGeom prst="rect">
                      <a:avLst/>
                    </a:prstGeom>
                    <a:noFill/>
                  </pic:spPr>
                </pic:pic>
              </a:graphicData>
            </a:graphic>
          </wp:inline>
        </w:drawing>
      </w:r>
    </w:p>
    <w:p w14:paraId="1579E99F" w14:textId="77777777" w:rsidR="00284A74" w:rsidRPr="00A17B1B" w:rsidRDefault="00626044" w:rsidP="00284A74">
      <w:pPr>
        <w:pStyle w:val="ACMACorporateAddresses"/>
        <w:rPr>
          <w:rStyle w:val="Hyperlink"/>
        </w:rPr>
      </w:pPr>
      <w:hyperlink r:id="rId15" w:history="1">
        <w:r w:rsidR="00284A74" w:rsidRPr="00A17B1B">
          <w:rPr>
            <w:rStyle w:val="Hyperlink"/>
          </w:rPr>
          <w:t>https://creativecommons.org/licenses/by/4.0/</w:t>
        </w:r>
      </w:hyperlink>
    </w:p>
    <w:p w14:paraId="010445CB" w14:textId="77777777" w:rsidR="00AA1F0B" w:rsidRPr="00E162C4" w:rsidRDefault="00AA1F0B" w:rsidP="00AA1F0B">
      <w:pPr>
        <w:pStyle w:val="ACMACorporateAddresses"/>
      </w:pPr>
      <w:r>
        <w:t>Except for the Commonwealth</w:t>
      </w:r>
      <w:r w:rsidRPr="00E162C4">
        <w:t xml:space="preserve"> </w:t>
      </w:r>
      <w:r>
        <w:t>C</w:t>
      </w:r>
      <w:r w:rsidRPr="00E162C4">
        <w:t xml:space="preserve">oat of </w:t>
      </w:r>
      <w:r>
        <w:t>A</w:t>
      </w:r>
      <w:r w:rsidRPr="00E162C4">
        <w:t xml:space="preserve">rms, logos, emblems, images, other third-party material or devices protected by a trademark, this content is made available under the terms of the Creative Commons Attribution 4.0 International (CC BY 4.0) licence. </w:t>
      </w:r>
    </w:p>
    <w:p w14:paraId="1BF625BC" w14:textId="77777777" w:rsidR="00AA1F0B" w:rsidRPr="00E162C4" w:rsidRDefault="00AA1F0B" w:rsidP="00AA1F0B">
      <w:pPr>
        <w:pStyle w:val="ACMACorporateAddresses"/>
      </w:pPr>
      <w:r w:rsidRPr="00E162C4">
        <w:t>All other rights are reserved.</w:t>
      </w:r>
    </w:p>
    <w:p w14:paraId="4D125E7C" w14:textId="77777777" w:rsidR="00AA1F0B" w:rsidRDefault="00AA1F0B" w:rsidP="00AA1F0B">
      <w:pPr>
        <w:pStyle w:val="ACMACorporateAddresses"/>
      </w:pPr>
      <w:r w:rsidRPr="00E162C4">
        <w:t>The Australian Communications and Media Authority has undertaken reasonable enquiries to identify material owned by third parties and secure permission for its reproduction. Permission may need to be obtained from third parties to re-use their material.</w:t>
      </w:r>
    </w:p>
    <w:p w14:paraId="54BFA16F" w14:textId="77777777" w:rsidR="00AA1F0B" w:rsidRPr="00D04C32" w:rsidRDefault="00AA1F0B" w:rsidP="00AA1F0B">
      <w:pPr>
        <w:pStyle w:val="ACMACorporateAddresses"/>
        <w:rPr>
          <w:rStyle w:val="Hyperlink"/>
          <w:color w:val="auto"/>
          <w:u w:val="none"/>
        </w:rPr>
      </w:pPr>
      <w:r w:rsidRPr="00E162C4">
        <w:t>We request attribution as © Commonwealth of Australia (Australian Communications and Media Authority) 202</w:t>
      </w:r>
      <w:r>
        <w:t>4</w:t>
      </w:r>
      <w:r w:rsidRPr="00E162C4">
        <w:t xml:space="preserve">. </w:t>
      </w:r>
    </w:p>
    <w:p w14:paraId="56A11483" w14:textId="77777777" w:rsidR="00D16FE3" w:rsidRPr="00A17B1B" w:rsidRDefault="00D16FE3" w:rsidP="00D16FE3">
      <w:pPr>
        <w:pStyle w:val="ACMACorporateAddresses"/>
        <w:sectPr w:rsidR="00D16FE3" w:rsidRPr="00A17B1B" w:rsidSect="0091137B">
          <w:headerReference w:type="even" r:id="rId16"/>
          <w:headerReference w:type="default" r:id="rId17"/>
          <w:footerReference w:type="even" r:id="rId18"/>
          <w:footerReference w:type="first" r:id="rId19"/>
          <w:pgSz w:w="11906" w:h="16838" w:code="9"/>
          <w:pgMar w:top="2977" w:right="1418" w:bottom="1134" w:left="1418" w:header="709" w:footer="119" w:gutter="0"/>
          <w:cols w:space="708"/>
          <w:docGrid w:linePitch="360"/>
        </w:sectPr>
      </w:pPr>
    </w:p>
    <w:p w14:paraId="5F8ACB66" w14:textId="6F22C178" w:rsidR="00B7186E" w:rsidRDefault="00DF0799">
      <w:pPr>
        <w:pStyle w:val="TOC1"/>
        <w:rPr>
          <w:rFonts w:asciiTheme="minorHAnsi" w:eastAsiaTheme="minorEastAsia" w:hAnsiTheme="minorHAnsi" w:cstheme="minorBidi"/>
          <w:b w:val="0"/>
          <w:spacing w:val="0"/>
          <w:kern w:val="2"/>
          <w:sz w:val="22"/>
          <w:szCs w:val="22"/>
          <w14:ligatures w14:val="standardContextual"/>
        </w:rPr>
      </w:pPr>
      <w:r w:rsidRPr="00A17B1B">
        <w:rPr>
          <w:rFonts w:cs="Arial"/>
        </w:rPr>
        <w:lastRenderedPageBreak/>
        <w:fldChar w:fldCharType="begin"/>
      </w:r>
      <w:r w:rsidRPr="00A17B1B">
        <w:rPr>
          <w:rFonts w:cs="Arial"/>
        </w:rPr>
        <w:instrText xml:space="preserve"> TOC \o "1-3" \h \z \t "Exec summary heading,1" </w:instrText>
      </w:r>
      <w:r w:rsidRPr="00A17B1B">
        <w:rPr>
          <w:rFonts w:cs="Arial"/>
        </w:rPr>
        <w:fldChar w:fldCharType="separate"/>
      </w:r>
      <w:hyperlink w:anchor="_Toc181713875" w:history="1">
        <w:r w:rsidR="00B7186E" w:rsidRPr="00D62CCC">
          <w:rPr>
            <w:rStyle w:val="Hyperlink"/>
          </w:rPr>
          <w:t>Executive Summary</w:t>
        </w:r>
        <w:r w:rsidR="00B7186E">
          <w:rPr>
            <w:webHidden/>
          </w:rPr>
          <w:tab/>
        </w:r>
        <w:r w:rsidR="00B7186E">
          <w:rPr>
            <w:webHidden/>
          </w:rPr>
          <w:fldChar w:fldCharType="begin"/>
        </w:r>
        <w:r w:rsidR="00B7186E">
          <w:rPr>
            <w:webHidden/>
          </w:rPr>
          <w:instrText xml:space="preserve"> PAGEREF _Toc181713875 \h </w:instrText>
        </w:r>
        <w:r w:rsidR="00B7186E">
          <w:rPr>
            <w:webHidden/>
          </w:rPr>
        </w:r>
        <w:r w:rsidR="00B7186E">
          <w:rPr>
            <w:webHidden/>
          </w:rPr>
          <w:fldChar w:fldCharType="separate"/>
        </w:r>
        <w:r w:rsidR="007F59B6">
          <w:rPr>
            <w:webHidden/>
          </w:rPr>
          <w:t>5</w:t>
        </w:r>
        <w:r w:rsidR="00B7186E">
          <w:rPr>
            <w:webHidden/>
          </w:rPr>
          <w:fldChar w:fldCharType="end"/>
        </w:r>
      </w:hyperlink>
    </w:p>
    <w:p w14:paraId="6AA9F36D" w14:textId="3729BF1E"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876" w:history="1">
        <w:r w:rsidR="00B7186E" w:rsidRPr="00D62CCC">
          <w:rPr>
            <w:rStyle w:val="Hyperlink"/>
          </w:rPr>
          <w:t>Introduction</w:t>
        </w:r>
        <w:r w:rsidR="00B7186E">
          <w:rPr>
            <w:webHidden/>
          </w:rPr>
          <w:tab/>
        </w:r>
        <w:r w:rsidR="00B7186E">
          <w:rPr>
            <w:webHidden/>
          </w:rPr>
          <w:fldChar w:fldCharType="begin"/>
        </w:r>
        <w:r w:rsidR="00B7186E">
          <w:rPr>
            <w:webHidden/>
          </w:rPr>
          <w:instrText xml:space="preserve"> PAGEREF _Toc181713876 \h </w:instrText>
        </w:r>
        <w:r w:rsidR="00B7186E">
          <w:rPr>
            <w:webHidden/>
          </w:rPr>
        </w:r>
        <w:r w:rsidR="00B7186E">
          <w:rPr>
            <w:webHidden/>
          </w:rPr>
          <w:fldChar w:fldCharType="separate"/>
        </w:r>
        <w:r w:rsidR="007F59B6">
          <w:rPr>
            <w:webHidden/>
          </w:rPr>
          <w:t>7</w:t>
        </w:r>
        <w:r w:rsidR="00B7186E">
          <w:rPr>
            <w:webHidden/>
          </w:rPr>
          <w:fldChar w:fldCharType="end"/>
        </w:r>
      </w:hyperlink>
    </w:p>
    <w:p w14:paraId="14EC819B" w14:textId="26FC8B93"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877" w:history="1">
        <w:r w:rsidR="00B7186E" w:rsidRPr="00D62CCC">
          <w:rPr>
            <w:rStyle w:val="Hyperlink"/>
          </w:rPr>
          <w:t>What is the policy problem?</w:t>
        </w:r>
        <w:r w:rsidR="00B7186E">
          <w:rPr>
            <w:webHidden/>
          </w:rPr>
          <w:tab/>
        </w:r>
        <w:r w:rsidR="00B7186E">
          <w:rPr>
            <w:webHidden/>
          </w:rPr>
          <w:fldChar w:fldCharType="begin"/>
        </w:r>
        <w:r w:rsidR="00B7186E">
          <w:rPr>
            <w:webHidden/>
          </w:rPr>
          <w:instrText xml:space="preserve"> PAGEREF _Toc181713877 \h </w:instrText>
        </w:r>
        <w:r w:rsidR="00B7186E">
          <w:rPr>
            <w:webHidden/>
          </w:rPr>
        </w:r>
        <w:r w:rsidR="00B7186E">
          <w:rPr>
            <w:webHidden/>
          </w:rPr>
          <w:fldChar w:fldCharType="separate"/>
        </w:r>
        <w:r w:rsidR="007F59B6">
          <w:rPr>
            <w:webHidden/>
          </w:rPr>
          <w:t>9</w:t>
        </w:r>
        <w:r w:rsidR="00B7186E">
          <w:rPr>
            <w:webHidden/>
          </w:rPr>
          <w:fldChar w:fldCharType="end"/>
        </w:r>
      </w:hyperlink>
    </w:p>
    <w:p w14:paraId="5034C517" w14:textId="656F5A75"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78" w:history="1">
        <w:r w:rsidR="00B7186E" w:rsidRPr="00D62CCC">
          <w:rPr>
            <w:rStyle w:val="Hyperlink"/>
          </w:rPr>
          <w:t>The November 2023 Optus outage and its impacts</w:t>
        </w:r>
        <w:r w:rsidR="00B7186E">
          <w:rPr>
            <w:webHidden/>
          </w:rPr>
          <w:tab/>
        </w:r>
        <w:r w:rsidR="00B7186E">
          <w:rPr>
            <w:webHidden/>
          </w:rPr>
          <w:fldChar w:fldCharType="begin"/>
        </w:r>
        <w:r w:rsidR="00B7186E">
          <w:rPr>
            <w:webHidden/>
          </w:rPr>
          <w:instrText xml:space="preserve"> PAGEREF _Toc181713878 \h </w:instrText>
        </w:r>
        <w:r w:rsidR="00B7186E">
          <w:rPr>
            <w:webHidden/>
          </w:rPr>
        </w:r>
        <w:r w:rsidR="00B7186E">
          <w:rPr>
            <w:webHidden/>
          </w:rPr>
          <w:fldChar w:fldCharType="separate"/>
        </w:r>
        <w:r w:rsidR="007F59B6">
          <w:rPr>
            <w:webHidden/>
          </w:rPr>
          <w:t>9</w:t>
        </w:r>
        <w:r w:rsidR="00B7186E">
          <w:rPr>
            <w:webHidden/>
          </w:rPr>
          <w:fldChar w:fldCharType="end"/>
        </w:r>
      </w:hyperlink>
    </w:p>
    <w:p w14:paraId="1379DC86" w14:textId="78473D5C"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79" w:history="1">
        <w:r w:rsidR="00B7186E" w:rsidRPr="00D62CCC">
          <w:rPr>
            <w:rStyle w:val="Hyperlink"/>
          </w:rPr>
          <w:t>Optus’ communications about the outage</w:t>
        </w:r>
        <w:r w:rsidR="00B7186E">
          <w:rPr>
            <w:webHidden/>
          </w:rPr>
          <w:tab/>
        </w:r>
        <w:r w:rsidR="00B7186E">
          <w:rPr>
            <w:webHidden/>
          </w:rPr>
          <w:fldChar w:fldCharType="begin"/>
        </w:r>
        <w:r w:rsidR="00B7186E">
          <w:rPr>
            <w:webHidden/>
          </w:rPr>
          <w:instrText xml:space="preserve"> PAGEREF _Toc181713879 \h </w:instrText>
        </w:r>
        <w:r w:rsidR="00B7186E">
          <w:rPr>
            <w:webHidden/>
          </w:rPr>
        </w:r>
        <w:r w:rsidR="00B7186E">
          <w:rPr>
            <w:webHidden/>
          </w:rPr>
          <w:fldChar w:fldCharType="separate"/>
        </w:r>
        <w:r w:rsidR="007F59B6">
          <w:rPr>
            <w:webHidden/>
          </w:rPr>
          <w:t>10</w:t>
        </w:r>
        <w:r w:rsidR="00B7186E">
          <w:rPr>
            <w:webHidden/>
          </w:rPr>
          <w:fldChar w:fldCharType="end"/>
        </w:r>
      </w:hyperlink>
    </w:p>
    <w:p w14:paraId="450DBA00" w14:textId="795A2E1C"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80" w:history="1">
        <w:r w:rsidR="00B7186E" w:rsidRPr="00D62CCC">
          <w:rPr>
            <w:rStyle w:val="Hyperlink"/>
          </w:rPr>
          <w:t>Existing arrangements</w:t>
        </w:r>
        <w:r w:rsidR="00B7186E">
          <w:rPr>
            <w:webHidden/>
          </w:rPr>
          <w:tab/>
        </w:r>
        <w:r w:rsidR="00B7186E">
          <w:rPr>
            <w:webHidden/>
          </w:rPr>
          <w:fldChar w:fldCharType="begin"/>
        </w:r>
        <w:r w:rsidR="00B7186E">
          <w:rPr>
            <w:webHidden/>
          </w:rPr>
          <w:instrText xml:space="preserve"> PAGEREF _Toc181713880 \h </w:instrText>
        </w:r>
        <w:r w:rsidR="00B7186E">
          <w:rPr>
            <w:webHidden/>
          </w:rPr>
        </w:r>
        <w:r w:rsidR="00B7186E">
          <w:rPr>
            <w:webHidden/>
          </w:rPr>
          <w:fldChar w:fldCharType="separate"/>
        </w:r>
        <w:r w:rsidR="007F59B6">
          <w:rPr>
            <w:webHidden/>
          </w:rPr>
          <w:t>10</w:t>
        </w:r>
        <w:r w:rsidR="00B7186E">
          <w:rPr>
            <w:webHidden/>
          </w:rPr>
          <w:fldChar w:fldCharType="end"/>
        </w:r>
      </w:hyperlink>
    </w:p>
    <w:p w14:paraId="3AA56A1E" w14:textId="29F52EEF"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81" w:history="1">
        <w:r w:rsidR="00B7186E" w:rsidRPr="00D62CCC">
          <w:rPr>
            <w:rStyle w:val="Hyperlink"/>
          </w:rPr>
          <w:t>Areas for improvement and change</w:t>
        </w:r>
        <w:r w:rsidR="00B7186E">
          <w:rPr>
            <w:webHidden/>
          </w:rPr>
          <w:tab/>
        </w:r>
        <w:r w:rsidR="00B7186E">
          <w:rPr>
            <w:webHidden/>
          </w:rPr>
          <w:fldChar w:fldCharType="begin"/>
        </w:r>
        <w:r w:rsidR="00B7186E">
          <w:rPr>
            <w:webHidden/>
          </w:rPr>
          <w:instrText xml:space="preserve"> PAGEREF _Toc181713881 \h </w:instrText>
        </w:r>
        <w:r w:rsidR="00B7186E">
          <w:rPr>
            <w:webHidden/>
          </w:rPr>
        </w:r>
        <w:r w:rsidR="00B7186E">
          <w:rPr>
            <w:webHidden/>
          </w:rPr>
          <w:fldChar w:fldCharType="separate"/>
        </w:r>
        <w:r w:rsidR="007F59B6">
          <w:rPr>
            <w:webHidden/>
          </w:rPr>
          <w:t>11</w:t>
        </w:r>
        <w:r w:rsidR="00B7186E">
          <w:rPr>
            <w:webHidden/>
          </w:rPr>
          <w:fldChar w:fldCharType="end"/>
        </w:r>
      </w:hyperlink>
    </w:p>
    <w:p w14:paraId="76E4CBC0" w14:textId="78A46CAA"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882" w:history="1">
        <w:r w:rsidR="00B7186E" w:rsidRPr="00D62CCC">
          <w:rPr>
            <w:rStyle w:val="Hyperlink"/>
          </w:rPr>
          <w:t>Why is government action needed?</w:t>
        </w:r>
        <w:r w:rsidR="00B7186E">
          <w:rPr>
            <w:webHidden/>
          </w:rPr>
          <w:tab/>
        </w:r>
        <w:r w:rsidR="00B7186E">
          <w:rPr>
            <w:webHidden/>
          </w:rPr>
          <w:fldChar w:fldCharType="begin"/>
        </w:r>
        <w:r w:rsidR="00B7186E">
          <w:rPr>
            <w:webHidden/>
          </w:rPr>
          <w:instrText xml:space="preserve"> PAGEREF _Toc181713882 \h </w:instrText>
        </w:r>
        <w:r w:rsidR="00B7186E">
          <w:rPr>
            <w:webHidden/>
          </w:rPr>
        </w:r>
        <w:r w:rsidR="00B7186E">
          <w:rPr>
            <w:webHidden/>
          </w:rPr>
          <w:fldChar w:fldCharType="separate"/>
        </w:r>
        <w:r w:rsidR="007F59B6">
          <w:rPr>
            <w:webHidden/>
          </w:rPr>
          <w:t>12</w:t>
        </w:r>
        <w:r w:rsidR="00B7186E">
          <w:rPr>
            <w:webHidden/>
          </w:rPr>
          <w:fldChar w:fldCharType="end"/>
        </w:r>
      </w:hyperlink>
    </w:p>
    <w:p w14:paraId="42697033" w14:textId="5CA36ACF"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883" w:history="1">
        <w:r w:rsidR="00B7186E" w:rsidRPr="00D62CCC">
          <w:rPr>
            <w:rStyle w:val="Hyperlink"/>
          </w:rPr>
          <w:t>What policy options are you considering?</w:t>
        </w:r>
        <w:r w:rsidR="00B7186E">
          <w:rPr>
            <w:webHidden/>
          </w:rPr>
          <w:tab/>
        </w:r>
        <w:r w:rsidR="00B7186E">
          <w:rPr>
            <w:webHidden/>
          </w:rPr>
          <w:fldChar w:fldCharType="begin"/>
        </w:r>
        <w:r w:rsidR="00B7186E">
          <w:rPr>
            <w:webHidden/>
          </w:rPr>
          <w:instrText xml:space="preserve"> PAGEREF _Toc181713883 \h </w:instrText>
        </w:r>
        <w:r w:rsidR="00B7186E">
          <w:rPr>
            <w:webHidden/>
          </w:rPr>
        </w:r>
        <w:r w:rsidR="00B7186E">
          <w:rPr>
            <w:webHidden/>
          </w:rPr>
          <w:fldChar w:fldCharType="separate"/>
        </w:r>
        <w:r w:rsidR="007F59B6">
          <w:rPr>
            <w:webHidden/>
          </w:rPr>
          <w:t>14</w:t>
        </w:r>
        <w:r w:rsidR="00B7186E">
          <w:rPr>
            <w:webHidden/>
          </w:rPr>
          <w:fldChar w:fldCharType="end"/>
        </w:r>
      </w:hyperlink>
    </w:p>
    <w:p w14:paraId="62021A49" w14:textId="75F31F6E"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84" w:history="1">
        <w:r w:rsidR="00B7186E" w:rsidRPr="00D62CCC">
          <w:rPr>
            <w:rStyle w:val="Hyperlink"/>
          </w:rPr>
          <w:t>Option 1 – Status quo</w:t>
        </w:r>
        <w:r w:rsidR="00B7186E">
          <w:rPr>
            <w:webHidden/>
          </w:rPr>
          <w:tab/>
        </w:r>
        <w:r w:rsidR="00B7186E">
          <w:rPr>
            <w:webHidden/>
          </w:rPr>
          <w:fldChar w:fldCharType="begin"/>
        </w:r>
        <w:r w:rsidR="00B7186E">
          <w:rPr>
            <w:webHidden/>
          </w:rPr>
          <w:instrText xml:space="preserve"> PAGEREF _Toc181713884 \h </w:instrText>
        </w:r>
        <w:r w:rsidR="00B7186E">
          <w:rPr>
            <w:webHidden/>
          </w:rPr>
        </w:r>
        <w:r w:rsidR="00B7186E">
          <w:rPr>
            <w:webHidden/>
          </w:rPr>
          <w:fldChar w:fldCharType="separate"/>
        </w:r>
        <w:r w:rsidR="007F59B6">
          <w:rPr>
            <w:webHidden/>
          </w:rPr>
          <w:t>14</w:t>
        </w:r>
        <w:r w:rsidR="00B7186E">
          <w:rPr>
            <w:webHidden/>
          </w:rPr>
          <w:fldChar w:fldCharType="end"/>
        </w:r>
      </w:hyperlink>
    </w:p>
    <w:p w14:paraId="05B7407C" w14:textId="0DDDF81E"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85" w:history="1">
        <w:r w:rsidR="00B7186E" w:rsidRPr="00D62CCC">
          <w:rPr>
            <w:rStyle w:val="Hyperlink"/>
          </w:rPr>
          <w:t>Option 2 – Direct regulation (Industry Standard)</w:t>
        </w:r>
        <w:r w:rsidR="00B7186E">
          <w:rPr>
            <w:webHidden/>
          </w:rPr>
          <w:tab/>
        </w:r>
        <w:r w:rsidR="00B7186E">
          <w:rPr>
            <w:webHidden/>
          </w:rPr>
          <w:fldChar w:fldCharType="begin"/>
        </w:r>
        <w:r w:rsidR="00B7186E">
          <w:rPr>
            <w:webHidden/>
          </w:rPr>
          <w:instrText xml:space="preserve"> PAGEREF _Toc181713885 \h </w:instrText>
        </w:r>
        <w:r w:rsidR="00B7186E">
          <w:rPr>
            <w:webHidden/>
          </w:rPr>
        </w:r>
        <w:r w:rsidR="00B7186E">
          <w:rPr>
            <w:webHidden/>
          </w:rPr>
          <w:fldChar w:fldCharType="separate"/>
        </w:r>
        <w:r w:rsidR="007F59B6">
          <w:rPr>
            <w:webHidden/>
          </w:rPr>
          <w:t>14</w:t>
        </w:r>
        <w:r w:rsidR="00B7186E">
          <w:rPr>
            <w:webHidden/>
          </w:rPr>
          <w:fldChar w:fldCharType="end"/>
        </w:r>
      </w:hyperlink>
    </w:p>
    <w:p w14:paraId="62317FFB" w14:textId="49963181"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86" w:history="1">
        <w:r w:rsidR="00B7186E" w:rsidRPr="00D62CCC">
          <w:rPr>
            <w:rStyle w:val="Hyperlink"/>
          </w:rPr>
          <w:t>Option 3 – Direct regulation (amend the Emergency Call Service Determination)</w:t>
        </w:r>
        <w:r w:rsidR="00B7186E">
          <w:rPr>
            <w:webHidden/>
          </w:rPr>
          <w:tab/>
        </w:r>
        <w:r w:rsidR="00B7186E">
          <w:rPr>
            <w:webHidden/>
          </w:rPr>
          <w:fldChar w:fldCharType="begin"/>
        </w:r>
        <w:r w:rsidR="00B7186E">
          <w:rPr>
            <w:webHidden/>
          </w:rPr>
          <w:instrText xml:space="preserve"> PAGEREF _Toc181713886 \h </w:instrText>
        </w:r>
        <w:r w:rsidR="00B7186E">
          <w:rPr>
            <w:webHidden/>
          </w:rPr>
        </w:r>
        <w:r w:rsidR="00B7186E">
          <w:rPr>
            <w:webHidden/>
          </w:rPr>
          <w:fldChar w:fldCharType="separate"/>
        </w:r>
        <w:r w:rsidR="007F59B6">
          <w:rPr>
            <w:webHidden/>
          </w:rPr>
          <w:t>16</w:t>
        </w:r>
        <w:r w:rsidR="00B7186E">
          <w:rPr>
            <w:webHidden/>
          </w:rPr>
          <w:fldChar w:fldCharType="end"/>
        </w:r>
      </w:hyperlink>
    </w:p>
    <w:p w14:paraId="20079D19" w14:textId="739DE761"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87" w:history="1">
        <w:r w:rsidR="00B7186E" w:rsidRPr="00D62CCC">
          <w:rPr>
            <w:rStyle w:val="Hyperlink"/>
          </w:rPr>
          <w:t>Option 4 – Co-regulation (Industry Code)</w:t>
        </w:r>
        <w:r w:rsidR="00B7186E">
          <w:rPr>
            <w:webHidden/>
          </w:rPr>
          <w:tab/>
        </w:r>
        <w:r w:rsidR="00B7186E">
          <w:rPr>
            <w:webHidden/>
          </w:rPr>
          <w:fldChar w:fldCharType="begin"/>
        </w:r>
        <w:r w:rsidR="00B7186E">
          <w:rPr>
            <w:webHidden/>
          </w:rPr>
          <w:instrText xml:space="preserve"> PAGEREF _Toc181713887 \h </w:instrText>
        </w:r>
        <w:r w:rsidR="00B7186E">
          <w:rPr>
            <w:webHidden/>
          </w:rPr>
        </w:r>
        <w:r w:rsidR="00B7186E">
          <w:rPr>
            <w:webHidden/>
          </w:rPr>
          <w:fldChar w:fldCharType="separate"/>
        </w:r>
        <w:r w:rsidR="007F59B6">
          <w:rPr>
            <w:webHidden/>
          </w:rPr>
          <w:t>17</w:t>
        </w:r>
        <w:r w:rsidR="00B7186E">
          <w:rPr>
            <w:webHidden/>
          </w:rPr>
          <w:fldChar w:fldCharType="end"/>
        </w:r>
      </w:hyperlink>
    </w:p>
    <w:p w14:paraId="5F22848C" w14:textId="3E478162"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88" w:history="1">
        <w:r w:rsidR="00B7186E" w:rsidRPr="00D62CCC">
          <w:rPr>
            <w:rStyle w:val="Hyperlink"/>
          </w:rPr>
          <w:t>International experience</w:t>
        </w:r>
        <w:r w:rsidR="00B7186E">
          <w:rPr>
            <w:webHidden/>
          </w:rPr>
          <w:tab/>
        </w:r>
        <w:r w:rsidR="00B7186E">
          <w:rPr>
            <w:webHidden/>
          </w:rPr>
          <w:fldChar w:fldCharType="begin"/>
        </w:r>
        <w:r w:rsidR="00B7186E">
          <w:rPr>
            <w:webHidden/>
          </w:rPr>
          <w:instrText xml:space="preserve"> PAGEREF _Toc181713888 \h </w:instrText>
        </w:r>
        <w:r w:rsidR="00B7186E">
          <w:rPr>
            <w:webHidden/>
          </w:rPr>
        </w:r>
        <w:r w:rsidR="00B7186E">
          <w:rPr>
            <w:webHidden/>
          </w:rPr>
          <w:fldChar w:fldCharType="separate"/>
        </w:r>
        <w:r w:rsidR="007F59B6">
          <w:rPr>
            <w:webHidden/>
          </w:rPr>
          <w:t>18</w:t>
        </w:r>
        <w:r w:rsidR="00B7186E">
          <w:rPr>
            <w:webHidden/>
          </w:rPr>
          <w:fldChar w:fldCharType="end"/>
        </w:r>
      </w:hyperlink>
    </w:p>
    <w:p w14:paraId="4A43DF1A" w14:textId="76AE130F"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889" w:history="1">
        <w:r w:rsidR="00B7186E" w:rsidRPr="00D62CCC">
          <w:rPr>
            <w:rStyle w:val="Hyperlink"/>
          </w:rPr>
          <w:t>What is the likely net benefit of each option?</w:t>
        </w:r>
        <w:r w:rsidR="00B7186E">
          <w:rPr>
            <w:webHidden/>
          </w:rPr>
          <w:tab/>
        </w:r>
        <w:r w:rsidR="00B7186E">
          <w:rPr>
            <w:webHidden/>
          </w:rPr>
          <w:fldChar w:fldCharType="begin"/>
        </w:r>
        <w:r w:rsidR="00B7186E">
          <w:rPr>
            <w:webHidden/>
          </w:rPr>
          <w:instrText xml:space="preserve"> PAGEREF _Toc181713889 \h </w:instrText>
        </w:r>
        <w:r w:rsidR="00B7186E">
          <w:rPr>
            <w:webHidden/>
          </w:rPr>
        </w:r>
        <w:r w:rsidR="00B7186E">
          <w:rPr>
            <w:webHidden/>
          </w:rPr>
          <w:fldChar w:fldCharType="separate"/>
        </w:r>
        <w:r w:rsidR="007F59B6">
          <w:rPr>
            <w:webHidden/>
          </w:rPr>
          <w:t>19</w:t>
        </w:r>
        <w:r w:rsidR="00B7186E">
          <w:rPr>
            <w:webHidden/>
          </w:rPr>
          <w:fldChar w:fldCharType="end"/>
        </w:r>
      </w:hyperlink>
    </w:p>
    <w:p w14:paraId="28D2C608" w14:textId="13BD7AD5" w:rsidR="00B7186E" w:rsidRDefault="00626044">
      <w:pPr>
        <w:pStyle w:val="TOC3"/>
        <w:rPr>
          <w:rFonts w:asciiTheme="minorHAnsi" w:eastAsiaTheme="minorEastAsia" w:hAnsiTheme="minorHAnsi" w:cstheme="minorBidi"/>
          <w:kern w:val="2"/>
          <w14:ligatures w14:val="standardContextual"/>
        </w:rPr>
      </w:pPr>
      <w:hyperlink w:anchor="_Toc181713890" w:history="1">
        <w:r w:rsidR="00B7186E" w:rsidRPr="00D62CCC">
          <w:rPr>
            <w:rStyle w:val="Hyperlink"/>
          </w:rPr>
          <w:t>Option 2</w:t>
        </w:r>
        <w:r w:rsidR="00B7186E">
          <w:rPr>
            <w:webHidden/>
          </w:rPr>
          <w:tab/>
        </w:r>
        <w:r w:rsidR="00B7186E">
          <w:rPr>
            <w:webHidden/>
          </w:rPr>
          <w:fldChar w:fldCharType="begin"/>
        </w:r>
        <w:r w:rsidR="00B7186E">
          <w:rPr>
            <w:webHidden/>
          </w:rPr>
          <w:instrText xml:space="preserve"> PAGEREF _Toc181713890 \h </w:instrText>
        </w:r>
        <w:r w:rsidR="00B7186E">
          <w:rPr>
            <w:webHidden/>
          </w:rPr>
        </w:r>
        <w:r w:rsidR="00B7186E">
          <w:rPr>
            <w:webHidden/>
          </w:rPr>
          <w:fldChar w:fldCharType="separate"/>
        </w:r>
        <w:r w:rsidR="007F59B6">
          <w:rPr>
            <w:webHidden/>
          </w:rPr>
          <w:t>19</w:t>
        </w:r>
        <w:r w:rsidR="00B7186E">
          <w:rPr>
            <w:webHidden/>
          </w:rPr>
          <w:fldChar w:fldCharType="end"/>
        </w:r>
      </w:hyperlink>
    </w:p>
    <w:p w14:paraId="3903F5BA" w14:textId="052356E9" w:rsidR="00B7186E" w:rsidRDefault="00626044">
      <w:pPr>
        <w:pStyle w:val="TOC3"/>
        <w:rPr>
          <w:rFonts w:asciiTheme="minorHAnsi" w:eastAsiaTheme="minorEastAsia" w:hAnsiTheme="minorHAnsi" w:cstheme="minorBidi"/>
          <w:kern w:val="2"/>
          <w14:ligatures w14:val="standardContextual"/>
        </w:rPr>
      </w:pPr>
      <w:hyperlink w:anchor="_Toc181713891" w:history="1">
        <w:r w:rsidR="00B7186E" w:rsidRPr="00D62CCC">
          <w:rPr>
            <w:rStyle w:val="Hyperlink"/>
          </w:rPr>
          <w:t>Option 3</w:t>
        </w:r>
        <w:r w:rsidR="00B7186E">
          <w:rPr>
            <w:webHidden/>
          </w:rPr>
          <w:tab/>
        </w:r>
        <w:r w:rsidR="00B7186E">
          <w:rPr>
            <w:webHidden/>
          </w:rPr>
          <w:fldChar w:fldCharType="begin"/>
        </w:r>
        <w:r w:rsidR="00B7186E">
          <w:rPr>
            <w:webHidden/>
          </w:rPr>
          <w:instrText xml:space="preserve"> PAGEREF _Toc181713891 \h </w:instrText>
        </w:r>
        <w:r w:rsidR="00B7186E">
          <w:rPr>
            <w:webHidden/>
          </w:rPr>
        </w:r>
        <w:r w:rsidR="00B7186E">
          <w:rPr>
            <w:webHidden/>
          </w:rPr>
          <w:fldChar w:fldCharType="separate"/>
        </w:r>
        <w:r w:rsidR="007F59B6">
          <w:rPr>
            <w:webHidden/>
          </w:rPr>
          <w:t>19</w:t>
        </w:r>
        <w:r w:rsidR="00B7186E">
          <w:rPr>
            <w:webHidden/>
          </w:rPr>
          <w:fldChar w:fldCharType="end"/>
        </w:r>
      </w:hyperlink>
    </w:p>
    <w:p w14:paraId="67F6ABB9" w14:textId="58B7A448" w:rsidR="00B7186E" w:rsidRDefault="00626044">
      <w:pPr>
        <w:pStyle w:val="TOC3"/>
        <w:rPr>
          <w:rFonts w:asciiTheme="minorHAnsi" w:eastAsiaTheme="minorEastAsia" w:hAnsiTheme="minorHAnsi" w:cstheme="minorBidi"/>
          <w:kern w:val="2"/>
          <w14:ligatures w14:val="standardContextual"/>
        </w:rPr>
      </w:pPr>
      <w:hyperlink w:anchor="_Toc181713892" w:history="1">
        <w:r w:rsidR="00B7186E" w:rsidRPr="00D62CCC">
          <w:rPr>
            <w:rStyle w:val="Hyperlink"/>
          </w:rPr>
          <w:t>Option 4</w:t>
        </w:r>
        <w:r w:rsidR="00B7186E">
          <w:rPr>
            <w:webHidden/>
          </w:rPr>
          <w:tab/>
        </w:r>
        <w:r w:rsidR="00B7186E">
          <w:rPr>
            <w:webHidden/>
          </w:rPr>
          <w:fldChar w:fldCharType="begin"/>
        </w:r>
        <w:r w:rsidR="00B7186E">
          <w:rPr>
            <w:webHidden/>
          </w:rPr>
          <w:instrText xml:space="preserve"> PAGEREF _Toc181713892 \h </w:instrText>
        </w:r>
        <w:r w:rsidR="00B7186E">
          <w:rPr>
            <w:webHidden/>
          </w:rPr>
        </w:r>
        <w:r w:rsidR="00B7186E">
          <w:rPr>
            <w:webHidden/>
          </w:rPr>
          <w:fldChar w:fldCharType="separate"/>
        </w:r>
        <w:r w:rsidR="007F59B6">
          <w:rPr>
            <w:webHidden/>
          </w:rPr>
          <w:t>19</w:t>
        </w:r>
        <w:r w:rsidR="00B7186E">
          <w:rPr>
            <w:webHidden/>
          </w:rPr>
          <w:fldChar w:fldCharType="end"/>
        </w:r>
      </w:hyperlink>
    </w:p>
    <w:p w14:paraId="7D26B929" w14:textId="104A0044" w:rsidR="00B7186E" w:rsidRDefault="00626044">
      <w:pPr>
        <w:pStyle w:val="TOC3"/>
        <w:rPr>
          <w:rFonts w:asciiTheme="minorHAnsi" w:eastAsiaTheme="minorEastAsia" w:hAnsiTheme="minorHAnsi" w:cstheme="minorBidi"/>
          <w:kern w:val="2"/>
          <w14:ligatures w14:val="standardContextual"/>
        </w:rPr>
      </w:pPr>
      <w:hyperlink w:anchor="_Toc181713893" w:history="1">
        <w:r w:rsidR="00B7186E" w:rsidRPr="00D62CCC">
          <w:rPr>
            <w:rStyle w:val="Hyperlink"/>
          </w:rPr>
          <w:t>Summary of options considered qualitatively</w:t>
        </w:r>
        <w:r w:rsidR="00B7186E">
          <w:rPr>
            <w:webHidden/>
          </w:rPr>
          <w:tab/>
        </w:r>
        <w:r w:rsidR="00B7186E">
          <w:rPr>
            <w:webHidden/>
          </w:rPr>
          <w:fldChar w:fldCharType="begin"/>
        </w:r>
        <w:r w:rsidR="00B7186E">
          <w:rPr>
            <w:webHidden/>
          </w:rPr>
          <w:instrText xml:space="preserve"> PAGEREF _Toc181713893 \h </w:instrText>
        </w:r>
        <w:r w:rsidR="00B7186E">
          <w:rPr>
            <w:webHidden/>
          </w:rPr>
        </w:r>
        <w:r w:rsidR="00B7186E">
          <w:rPr>
            <w:webHidden/>
          </w:rPr>
          <w:fldChar w:fldCharType="separate"/>
        </w:r>
        <w:r w:rsidR="007F59B6">
          <w:rPr>
            <w:webHidden/>
          </w:rPr>
          <w:t>20</w:t>
        </w:r>
        <w:r w:rsidR="00B7186E">
          <w:rPr>
            <w:webHidden/>
          </w:rPr>
          <w:fldChar w:fldCharType="end"/>
        </w:r>
      </w:hyperlink>
    </w:p>
    <w:p w14:paraId="519A5BBF" w14:textId="43A17288"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94" w:history="1">
        <w:r w:rsidR="00B7186E" w:rsidRPr="00D62CCC">
          <w:rPr>
            <w:rStyle w:val="Hyperlink"/>
          </w:rPr>
          <w:t>Options considered quantitatively</w:t>
        </w:r>
        <w:r w:rsidR="00B7186E">
          <w:rPr>
            <w:webHidden/>
          </w:rPr>
          <w:tab/>
        </w:r>
        <w:r w:rsidR="00B7186E">
          <w:rPr>
            <w:webHidden/>
          </w:rPr>
          <w:fldChar w:fldCharType="begin"/>
        </w:r>
        <w:r w:rsidR="00B7186E">
          <w:rPr>
            <w:webHidden/>
          </w:rPr>
          <w:instrText xml:space="preserve"> PAGEREF _Toc181713894 \h </w:instrText>
        </w:r>
        <w:r w:rsidR="00B7186E">
          <w:rPr>
            <w:webHidden/>
          </w:rPr>
        </w:r>
        <w:r w:rsidR="00B7186E">
          <w:rPr>
            <w:webHidden/>
          </w:rPr>
          <w:fldChar w:fldCharType="separate"/>
        </w:r>
        <w:r w:rsidR="007F59B6">
          <w:rPr>
            <w:webHidden/>
          </w:rPr>
          <w:t>21</w:t>
        </w:r>
        <w:r w:rsidR="00B7186E">
          <w:rPr>
            <w:webHidden/>
          </w:rPr>
          <w:fldChar w:fldCharType="end"/>
        </w:r>
      </w:hyperlink>
    </w:p>
    <w:p w14:paraId="29BE7FFC" w14:textId="3C6FFABA"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895" w:history="1">
        <w:r w:rsidR="00B7186E" w:rsidRPr="00D62CCC">
          <w:rPr>
            <w:rStyle w:val="Hyperlink"/>
          </w:rPr>
          <w:t>Discussion of the economic impact of an outage to one provider</w:t>
        </w:r>
        <w:r w:rsidR="00B7186E">
          <w:rPr>
            <w:webHidden/>
          </w:rPr>
          <w:tab/>
        </w:r>
        <w:r w:rsidR="00B7186E">
          <w:rPr>
            <w:webHidden/>
          </w:rPr>
          <w:fldChar w:fldCharType="begin"/>
        </w:r>
        <w:r w:rsidR="00B7186E">
          <w:rPr>
            <w:webHidden/>
          </w:rPr>
          <w:instrText xml:space="preserve"> PAGEREF _Toc181713895 \h </w:instrText>
        </w:r>
        <w:r w:rsidR="00B7186E">
          <w:rPr>
            <w:webHidden/>
          </w:rPr>
        </w:r>
        <w:r w:rsidR="00B7186E">
          <w:rPr>
            <w:webHidden/>
          </w:rPr>
          <w:fldChar w:fldCharType="separate"/>
        </w:r>
        <w:r w:rsidR="007F59B6">
          <w:rPr>
            <w:webHidden/>
          </w:rPr>
          <w:t>21</w:t>
        </w:r>
        <w:r w:rsidR="00B7186E">
          <w:rPr>
            <w:webHidden/>
          </w:rPr>
          <w:fldChar w:fldCharType="end"/>
        </w:r>
      </w:hyperlink>
    </w:p>
    <w:p w14:paraId="0C40B8F9" w14:textId="2AE380EC" w:rsidR="00B7186E" w:rsidRDefault="00626044">
      <w:pPr>
        <w:pStyle w:val="TOC3"/>
        <w:rPr>
          <w:rFonts w:asciiTheme="minorHAnsi" w:eastAsiaTheme="minorEastAsia" w:hAnsiTheme="minorHAnsi" w:cstheme="minorBidi"/>
          <w:kern w:val="2"/>
          <w14:ligatures w14:val="standardContextual"/>
        </w:rPr>
      </w:pPr>
      <w:hyperlink w:anchor="_Toc181713896" w:history="1">
        <w:r w:rsidR="00B7186E" w:rsidRPr="00D62CCC">
          <w:rPr>
            <w:rStyle w:val="Hyperlink"/>
          </w:rPr>
          <w:t>Estimate of the loss from the Optus outage</w:t>
        </w:r>
        <w:r w:rsidR="00B7186E">
          <w:rPr>
            <w:webHidden/>
          </w:rPr>
          <w:tab/>
        </w:r>
        <w:r w:rsidR="00B7186E">
          <w:rPr>
            <w:webHidden/>
          </w:rPr>
          <w:fldChar w:fldCharType="begin"/>
        </w:r>
        <w:r w:rsidR="00B7186E">
          <w:rPr>
            <w:webHidden/>
          </w:rPr>
          <w:instrText xml:space="preserve"> PAGEREF _Toc181713896 \h </w:instrText>
        </w:r>
        <w:r w:rsidR="00B7186E">
          <w:rPr>
            <w:webHidden/>
          </w:rPr>
        </w:r>
        <w:r w:rsidR="00B7186E">
          <w:rPr>
            <w:webHidden/>
          </w:rPr>
          <w:fldChar w:fldCharType="separate"/>
        </w:r>
        <w:r w:rsidR="007F59B6">
          <w:rPr>
            <w:webHidden/>
          </w:rPr>
          <w:t>22</w:t>
        </w:r>
        <w:r w:rsidR="00B7186E">
          <w:rPr>
            <w:webHidden/>
          </w:rPr>
          <w:fldChar w:fldCharType="end"/>
        </w:r>
      </w:hyperlink>
    </w:p>
    <w:p w14:paraId="2A04D471" w14:textId="40CBCF4E" w:rsidR="00B7186E" w:rsidRDefault="00626044">
      <w:pPr>
        <w:pStyle w:val="TOC3"/>
        <w:rPr>
          <w:rFonts w:asciiTheme="minorHAnsi" w:eastAsiaTheme="minorEastAsia" w:hAnsiTheme="minorHAnsi" w:cstheme="minorBidi"/>
          <w:kern w:val="2"/>
          <w14:ligatures w14:val="standardContextual"/>
        </w:rPr>
      </w:pPr>
      <w:hyperlink w:anchor="_Toc181713897" w:history="1">
        <w:r w:rsidR="00B7186E" w:rsidRPr="00D62CCC">
          <w:rPr>
            <w:rStyle w:val="Hyperlink"/>
          </w:rPr>
          <w:t>Wasted time for customers and business staff</w:t>
        </w:r>
        <w:r w:rsidR="00B7186E">
          <w:rPr>
            <w:webHidden/>
          </w:rPr>
          <w:tab/>
        </w:r>
        <w:r w:rsidR="00B7186E">
          <w:rPr>
            <w:webHidden/>
          </w:rPr>
          <w:fldChar w:fldCharType="begin"/>
        </w:r>
        <w:r w:rsidR="00B7186E">
          <w:rPr>
            <w:webHidden/>
          </w:rPr>
          <w:instrText xml:space="preserve"> PAGEREF _Toc181713897 \h </w:instrText>
        </w:r>
        <w:r w:rsidR="00B7186E">
          <w:rPr>
            <w:webHidden/>
          </w:rPr>
        </w:r>
        <w:r w:rsidR="00B7186E">
          <w:rPr>
            <w:webHidden/>
          </w:rPr>
          <w:fldChar w:fldCharType="separate"/>
        </w:r>
        <w:r w:rsidR="007F59B6">
          <w:rPr>
            <w:webHidden/>
          </w:rPr>
          <w:t>24</w:t>
        </w:r>
        <w:r w:rsidR="00B7186E">
          <w:rPr>
            <w:webHidden/>
          </w:rPr>
          <w:fldChar w:fldCharType="end"/>
        </w:r>
      </w:hyperlink>
    </w:p>
    <w:p w14:paraId="1656BE6E" w14:textId="61662C9A" w:rsidR="00B7186E" w:rsidRDefault="00626044">
      <w:pPr>
        <w:pStyle w:val="TOC3"/>
        <w:rPr>
          <w:rFonts w:asciiTheme="minorHAnsi" w:eastAsiaTheme="minorEastAsia" w:hAnsiTheme="minorHAnsi" w:cstheme="minorBidi"/>
          <w:kern w:val="2"/>
          <w14:ligatures w14:val="standardContextual"/>
        </w:rPr>
      </w:pPr>
      <w:hyperlink w:anchor="_Toc181713898" w:history="1">
        <w:r w:rsidR="00B7186E" w:rsidRPr="00D62CCC">
          <w:rPr>
            <w:rStyle w:val="Hyperlink"/>
          </w:rPr>
          <w:t>Reduction of loss</w:t>
        </w:r>
        <w:r w:rsidR="00B7186E">
          <w:rPr>
            <w:webHidden/>
          </w:rPr>
          <w:tab/>
        </w:r>
        <w:r w:rsidR="00B7186E">
          <w:rPr>
            <w:webHidden/>
          </w:rPr>
          <w:fldChar w:fldCharType="begin"/>
        </w:r>
        <w:r w:rsidR="00B7186E">
          <w:rPr>
            <w:webHidden/>
          </w:rPr>
          <w:instrText xml:space="preserve"> PAGEREF _Toc181713898 \h </w:instrText>
        </w:r>
        <w:r w:rsidR="00B7186E">
          <w:rPr>
            <w:webHidden/>
          </w:rPr>
        </w:r>
        <w:r w:rsidR="00B7186E">
          <w:rPr>
            <w:webHidden/>
          </w:rPr>
          <w:fldChar w:fldCharType="separate"/>
        </w:r>
        <w:r w:rsidR="007F59B6">
          <w:rPr>
            <w:webHidden/>
          </w:rPr>
          <w:t>24</w:t>
        </w:r>
        <w:r w:rsidR="00B7186E">
          <w:rPr>
            <w:webHidden/>
          </w:rPr>
          <w:fldChar w:fldCharType="end"/>
        </w:r>
      </w:hyperlink>
    </w:p>
    <w:p w14:paraId="18D45176" w14:textId="0BFD28F3" w:rsidR="00B7186E" w:rsidRDefault="00626044">
      <w:pPr>
        <w:pStyle w:val="TOC3"/>
        <w:rPr>
          <w:rFonts w:asciiTheme="minorHAnsi" w:eastAsiaTheme="minorEastAsia" w:hAnsiTheme="minorHAnsi" w:cstheme="minorBidi"/>
          <w:kern w:val="2"/>
          <w14:ligatures w14:val="standardContextual"/>
        </w:rPr>
      </w:pPr>
      <w:hyperlink w:anchor="_Toc181713899" w:history="1">
        <w:r w:rsidR="00B7186E" w:rsidRPr="00D62CCC">
          <w:rPr>
            <w:rStyle w:val="Hyperlink"/>
          </w:rPr>
          <w:t>Calculating the benefits of improved information about outages</w:t>
        </w:r>
        <w:r w:rsidR="00B7186E">
          <w:rPr>
            <w:webHidden/>
          </w:rPr>
          <w:tab/>
        </w:r>
        <w:r w:rsidR="00B7186E">
          <w:rPr>
            <w:webHidden/>
          </w:rPr>
          <w:fldChar w:fldCharType="begin"/>
        </w:r>
        <w:r w:rsidR="00B7186E">
          <w:rPr>
            <w:webHidden/>
          </w:rPr>
          <w:instrText xml:space="preserve"> PAGEREF _Toc181713899 \h </w:instrText>
        </w:r>
        <w:r w:rsidR="00B7186E">
          <w:rPr>
            <w:webHidden/>
          </w:rPr>
        </w:r>
        <w:r w:rsidR="00B7186E">
          <w:rPr>
            <w:webHidden/>
          </w:rPr>
          <w:fldChar w:fldCharType="separate"/>
        </w:r>
        <w:r w:rsidR="007F59B6">
          <w:rPr>
            <w:webHidden/>
          </w:rPr>
          <w:t>24</w:t>
        </w:r>
        <w:r w:rsidR="00B7186E">
          <w:rPr>
            <w:webHidden/>
          </w:rPr>
          <w:fldChar w:fldCharType="end"/>
        </w:r>
      </w:hyperlink>
    </w:p>
    <w:p w14:paraId="2445EAFE" w14:textId="6D933AAE"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00" w:history="1">
        <w:r w:rsidR="00B7186E" w:rsidRPr="00D62CCC">
          <w:rPr>
            <w:rStyle w:val="Hyperlink"/>
          </w:rPr>
          <w:t>Identification of stakeholders and impacts</w:t>
        </w:r>
        <w:r w:rsidR="00B7186E">
          <w:rPr>
            <w:webHidden/>
          </w:rPr>
          <w:tab/>
        </w:r>
        <w:r w:rsidR="00B7186E">
          <w:rPr>
            <w:webHidden/>
          </w:rPr>
          <w:fldChar w:fldCharType="begin"/>
        </w:r>
        <w:r w:rsidR="00B7186E">
          <w:rPr>
            <w:webHidden/>
          </w:rPr>
          <w:instrText xml:space="preserve"> PAGEREF _Toc181713900 \h </w:instrText>
        </w:r>
        <w:r w:rsidR="00B7186E">
          <w:rPr>
            <w:webHidden/>
          </w:rPr>
        </w:r>
        <w:r w:rsidR="00B7186E">
          <w:rPr>
            <w:webHidden/>
          </w:rPr>
          <w:fldChar w:fldCharType="separate"/>
        </w:r>
        <w:r w:rsidR="007F59B6">
          <w:rPr>
            <w:webHidden/>
          </w:rPr>
          <w:t>25</w:t>
        </w:r>
        <w:r w:rsidR="00B7186E">
          <w:rPr>
            <w:webHidden/>
          </w:rPr>
          <w:fldChar w:fldCharType="end"/>
        </w:r>
      </w:hyperlink>
    </w:p>
    <w:p w14:paraId="2954E4EC" w14:textId="44CD6DCA"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01" w:history="1">
        <w:r w:rsidR="00B7186E" w:rsidRPr="00D62CCC">
          <w:rPr>
            <w:rStyle w:val="Hyperlink"/>
          </w:rPr>
          <w:t>Description and valuation of costs</w:t>
        </w:r>
        <w:r w:rsidR="00B7186E">
          <w:rPr>
            <w:webHidden/>
          </w:rPr>
          <w:tab/>
        </w:r>
        <w:r w:rsidR="00B7186E">
          <w:rPr>
            <w:webHidden/>
          </w:rPr>
          <w:fldChar w:fldCharType="begin"/>
        </w:r>
        <w:r w:rsidR="00B7186E">
          <w:rPr>
            <w:webHidden/>
          </w:rPr>
          <w:instrText xml:space="preserve"> PAGEREF _Toc181713901 \h </w:instrText>
        </w:r>
        <w:r w:rsidR="00B7186E">
          <w:rPr>
            <w:webHidden/>
          </w:rPr>
        </w:r>
        <w:r w:rsidR="00B7186E">
          <w:rPr>
            <w:webHidden/>
          </w:rPr>
          <w:fldChar w:fldCharType="separate"/>
        </w:r>
        <w:r w:rsidR="007F59B6">
          <w:rPr>
            <w:webHidden/>
          </w:rPr>
          <w:t>26</w:t>
        </w:r>
        <w:r w:rsidR="00B7186E">
          <w:rPr>
            <w:webHidden/>
          </w:rPr>
          <w:fldChar w:fldCharType="end"/>
        </w:r>
      </w:hyperlink>
    </w:p>
    <w:p w14:paraId="38DEF29F" w14:textId="639B832D" w:rsidR="00B7186E" w:rsidRDefault="00626044">
      <w:pPr>
        <w:pStyle w:val="TOC3"/>
        <w:rPr>
          <w:rFonts w:asciiTheme="minorHAnsi" w:eastAsiaTheme="minorEastAsia" w:hAnsiTheme="minorHAnsi" w:cstheme="minorBidi"/>
          <w:kern w:val="2"/>
          <w14:ligatures w14:val="standardContextual"/>
        </w:rPr>
      </w:pPr>
      <w:hyperlink w:anchor="_Toc181713902" w:history="1">
        <w:r w:rsidR="00B7186E" w:rsidRPr="00D62CCC">
          <w:rPr>
            <w:rStyle w:val="Hyperlink"/>
          </w:rPr>
          <w:t>Government (ACMA)</w:t>
        </w:r>
        <w:r w:rsidR="00B7186E">
          <w:rPr>
            <w:webHidden/>
          </w:rPr>
          <w:tab/>
        </w:r>
        <w:r w:rsidR="00B7186E">
          <w:rPr>
            <w:webHidden/>
          </w:rPr>
          <w:fldChar w:fldCharType="begin"/>
        </w:r>
        <w:r w:rsidR="00B7186E">
          <w:rPr>
            <w:webHidden/>
          </w:rPr>
          <w:instrText xml:space="preserve"> PAGEREF _Toc181713902 \h </w:instrText>
        </w:r>
        <w:r w:rsidR="00B7186E">
          <w:rPr>
            <w:webHidden/>
          </w:rPr>
        </w:r>
        <w:r w:rsidR="00B7186E">
          <w:rPr>
            <w:webHidden/>
          </w:rPr>
          <w:fldChar w:fldCharType="separate"/>
        </w:r>
        <w:r w:rsidR="007F59B6">
          <w:rPr>
            <w:webHidden/>
          </w:rPr>
          <w:t>26</w:t>
        </w:r>
        <w:r w:rsidR="00B7186E">
          <w:rPr>
            <w:webHidden/>
          </w:rPr>
          <w:fldChar w:fldCharType="end"/>
        </w:r>
      </w:hyperlink>
    </w:p>
    <w:p w14:paraId="5C0EA323" w14:textId="1F9B07AF" w:rsidR="00B7186E" w:rsidRDefault="00626044">
      <w:pPr>
        <w:pStyle w:val="TOC3"/>
        <w:rPr>
          <w:rFonts w:asciiTheme="minorHAnsi" w:eastAsiaTheme="minorEastAsia" w:hAnsiTheme="minorHAnsi" w:cstheme="minorBidi"/>
          <w:kern w:val="2"/>
          <w14:ligatures w14:val="standardContextual"/>
        </w:rPr>
      </w:pPr>
      <w:hyperlink w:anchor="_Toc181713903" w:history="1">
        <w:r w:rsidR="00B7186E" w:rsidRPr="00D62CCC">
          <w:rPr>
            <w:rStyle w:val="Hyperlink"/>
          </w:rPr>
          <w:t>Carriers</w:t>
        </w:r>
        <w:r w:rsidR="00B7186E">
          <w:rPr>
            <w:webHidden/>
          </w:rPr>
          <w:tab/>
        </w:r>
        <w:r w:rsidR="00B7186E">
          <w:rPr>
            <w:webHidden/>
          </w:rPr>
          <w:fldChar w:fldCharType="begin"/>
        </w:r>
        <w:r w:rsidR="00B7186E">
          <w:rPr>
            <w:webHidden/>
          </w:rPr>
          <w:instrText xml:space="preserve"> PAGEREF _Toc181713903 \h </w:instrText>
        </w:r>
        <w:r w:rsidR="00B7186E">
          <w:rPr>
            <w:webHidden/>
          </w:rPr>
        </w:r>
        <w:r w:rsidR="00B7186E">
          <w:rPr>
            <w:webHidden/>
          </w:rPr>
          <w:fldChar w:fldCharType="separate"/>
        </w:r>
        <w:r w:rsidR="007F59B6">
          <w:rPr>
            <w:webHidden/>
          </w:rPr>
          <w:t>26</w:t>
        </w:r>
        <w:r w:rsidR="00B7186E">
          <w:rPr>
            <w:webHidden/>
          </w:rPr>
          <w:fldChar w:fldCharType="end"/>
        </w:r>
      </w:hyperlink>
    </w:p>
    <w:p w14:paraId="38956CB4" w14:textId="3FB42055" w:rsidR="00B7186E" w:rsidRDefault="00626044">
      <w:pPr>
        <w:pStyle w:val="TOC3"/>
        <w:rPr>
          <w:rFonts w:asciiTheme="minorHAnsi" w:eastAsiaTheme="minorEastAsia" w:hAnsiTheme="minorHAnsi" w:cstheme="minorBidi"/>
          <w:kern w:val="2"/>
          <w14:ligatures w14:val="standardContextual"/>
        </w:rPr>
      </w:pPr>
      <w:hyperlink w:anchor="_Toc181713904" w:history="1">
        <w:r w:rsidR="00B7186E" w:rsidRPr="00D62CCC">
          <w:rPr>
            <w:rStyle w:val="Hyperlink"/>
          </w:rPr>
          <w:t>Carriage Service Providers</w:t>
        </w:r>
        <w:r w:rsidR="00B7186E">
          <w:rPr>
            <w:webHidden/>
          </w:rPr>
          <w:tab/>
        </w:r>
        <w:r w:rsidR="00B7186E">
          <w:rPr>
            <w:webHidden/>
          </w:rPr>
          <w:fldChar w:fldCharType="begin"/>
        </w:r>
        <w:r w:rsidR="00B7186E">
          <w:rPr>
            <w:webHidden/>
          </w:rPr>
          <w:instrText xml:space="preserve"> PAGEREF _Toc181713904 \h </w:instrText>
        </w:r>
        <w:r w:rsidR="00B7186E">
          <w:rPr>
            <w:webHidden/>
          </w:rPr>
        </w:r>
        <w:r w:rsidR="00B7186E">
          <w:rPr>
            <w:webHidden/>
          </w:rPr>
          <w:fldChar w:fldCharType="separate"/>
        </w:r>
        <w:r w:rsidR="007F59B6">
          <w:rPr>
            <w:webHidden/>
          </w:rPr>
          <w:t>28</w:t>
        </w:r>
        <w:r w:rsidR="00B7186E">
          <w:rPr>
            <w:webHidden/>
          </w:rPr>
          <w:fldChar w:fldCharType="end"/>
        </w:r>
      </w:hyperlink>
    </w:p>
    <w:p w14:paraId="5777F9F3" w14:textId="1DEAB7DB"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05" w:history="1">
        <w:r w:rsidR="00B7186E" w:rsidRPr="00D62CCC">
          <w:rPr>
            <w:rStyle w:val="Hyperlink"/>
          </w:rPr>
          <w:t>Description and valuation of benefits</w:t>
        </w:r>
        <w:r w:rsidR="00B7186E">
          <w:rPr>
            <w:webHidden/>
          </w:rPr>
          <w:tab/>
        </w:r>
        <w:r w:rsidR="00B7186E">
          <w:rPr>
            <w:webHidden/>
          </w:rPr>
          <w:fldChar w:fldCharType="begin"/>
        </w:r>
        <w:r w:rsidR="00B7186E">
          <w:rPr>
            <w:webHidden/>
          </w:rPr>
          <w:instrText xml:space="preserve"> PAGEREF _Toc181713905 \h </w:instrText>
        </w:r>
        <w:r w:rsidR="00B7186E">
          <w:rPr>
            <w:webHidden/>
          </w:rPr>
        </w:r>
        <w:r w:rsidR="00B7186E">
          <w:rPr>
            <w:webHidden/>
          </w:rPr>
          <w:fldChar w:fldCharType="separate"/>
        </w:r>
        <w:r w:rsidR="007F59B6">
          <w:rPr>
            <w:webHidden/>
          </w:rPr>
          <w:t>28</w:t>
        </w:r>
        <w:r w:rsidR="00B7186E">
          <w:rPr>
            <w:webHidden/>
          </w:rPr>
          <w:fldChar w:fldCharType="end"/>
        </w:r>
      </w:hyperlink>
    </w:p>
    <w:p w14:paraId="30BCC0D6" w14:textId="0FD63B9D" w:rsidR="00B7186E" w:rsidRDefault="00626044">
      <w:pPr>
        <w:pStyle w:val="TOC3"/>
        <w:rPr>
          <w:rFonts w:asciiTheme="minorHAnsi" w:eastAsiaTheme="minorEastAsia" w:hAnsiTheme="minorHAnsi" w:cstheme="minorBidi"/>
          <w:kern w:val="2"/>
          <w14:ligatures w14:val="standardContextual"/>
        </w:rPr>
      </w:pPr>
      <w:hyperlink w:anchor="_Toc181713906" w:history="1">
        <w:r w:rsidR="00B7186E" w:rsidRPr="00D62CCC">
          <w:rPr>
            <w:rStyle w:val="Hyperlink"/>
          </w:rPr>
          <w:t>Government (ACMA)</w:t>
        </w:r>
        <w:r w:rsidR="00B7186E">
          <w:rPr>
            <w:webHidden/>
          </w:rPr>
          <w:tab/>
        </w:r>
        <w:r w:rsidR="00B7186E">
          <w:rPr>
            <w:webHidden/>
          </w:rPr>
          <w:fldChar w:fldCharType="begin"/>
        </w:r>
        <w:r w:rsidR="00B7186E">
          <w:rPr>
            <w:webHidden/>
          </w:rPr>
          <w:instrText xml:space="preserve"> PAGEREF _Toc181713906 \h </w:instrText>
        </w:r>
        <w:r w:rsidR="00B7186E">
          <w:rPr>
            <w:webHidden/>
          </w:rPr>
        </w:r>
        <w:r w:rsidR="00B7186E">
          <w:rPr>
            <w:webHidden/>
          </w:rPr>
          <w:fldChar w:fldCharType="separate"/>
        </w:r>
        <w:r w:rsidR="007F59B6">
          <w:rPr>
            <w:webHidden/>
          </w:rPr>
          <w:t>28</w:t>
        </w:r>
        <w:r w:rsidR="00B7186E">
          <w:rPr>
            <w:webHidden/>
          </w:rPr>
          <w:fldChar w:fldCharType="end"/>
        </w:r>
      </w:hyperlink>
    </w:p>
    <w:p w14:paraId="543E9840" w14:textId="73C5EDFC" w:rsidR="00B7186E" w:rsidRDefault="00626044">
      <w:pPr>
        <w:pStyle w:val="TOC3"/>
        <w:rPr>
          <w:rFonts w:asciiTheme="minorHAnsi" w:eastAsiaTheme="minorEastAsia" w:hAnsiTheme="minorHAnsi" w:cstheme="minorBidi"/>
          <w:kern w:val="2"/>
          <w14:ligatures w14:val="standardContextual"/>
        </w:rPr>
      </w:pPr>
      <w:hyperlink w:anchor="_Toc181713907" w:history="1">
        <w:r w:rsidR="00B7186E" w:rsidRPr="00D62CCC">
          <w:rPr>
            <w:rStyle w:val="Hyperlink"/>
          </w:rPr>
          <w:t>Carriage Service Providers</w:t>
        </w:r>
        <w:r w:rsidR="00B7186E">
          <w:rPr>
            <w:webHidden/>
          </w:rPr>
          <w:tab/>
        </w:r>
        <w:r w:rsidR="00B7186E">
          <w:rPr>
            <w:webHidden/>
          </w:rPr>
          <w:fldChar w:fldCharType="begin"/>
        </w:r>
        <w:r w:rsidR="00B7186E">
          <w:rPr>
            <w:webHidden/>
          </w:rPr>
          <w:instrText xml:space="preserve"> PAGEREF _Toc181713907 \h </w:instrText>
        </w:r>
        <w:r w:rsidR="00B7186E">
          <w:rPr>
            <w:webHidden/>
          </w:rPr>
        </w:r>
        <w:r w:rsidR="00B7186E">
          <w:rPr>
            <w:webHidden/>
          </w:rPr>
          <w:fldChar w:fldCharType="separate"/>
        </w:r>
        <w:r w:rsidR="007F59B6">
          <w:rPr>
            <w:webHidden/>
          </w:rPr>
          <w:t>28</w:t>
        </w:r>
        <w:r w:rsidR="00B7186E">
          <w:rPr>
            <w:webHidden/>
          </w:rPr>
          <w:fldChar w:fldCharType="end"/>
        </w:r>
      </w:hyperlink>
    </w:p>
    <w:p w14:paraId="0063A62C" w14:textId="5F20412B" w:rsidR="00B7186E" w:rsidRDefault="00626044">
      <w:pPr>
        <w:pStyle w:val="TOC3"/>
        <w:rPr>
          <w:rFonts w:asciiTheme="minorHAnsi" w:eastAsiaTheme="minorEastAsia" w:hAnsiTheme="minorHAnsi" w:cstheme="minorBidi"/>
          <w:kern w:val="2"/>
          <w14:ligatures w14:val="standardContextual"/>
        </w:rPr>
      </w:pPr>
      <w:hyperlink w:anchor="_Toc181713908" w:history="1">
        <w:r w:rsidR="00B7186E" w:rsidRPr="00D62CCC">
          <w:rPr>
            <w:rStyle w:val="Hyperlink"/>
          </w:rPr>
          <w:t>Other industry / members of the public on the effected network / broader public</w:t>
        </w:r>
        <w:r w:rsidR="00B7186E">
          <w:rPr>
            <w:webHidden/>
          </w:rPr>
          <w:tab/>
        </w:r>
        <w:r w:rsidR="00B7186E">
          <w:rPr>
            <w:webHidden/>
          </w:rPr>
          <w:fldChar w:fldCharType="begin"/>
        </w:r>
        <w:r w:rsidR="00B7186E">
          <w:rPr>
            <w:webHidden/>
          </w:rPr>
          <w:instrText xml:space="preserve"> PAGEREF _Toc181713908 \h </w:instrText>
        </w:r>
        <w:r w:rsidR="00B7186E">
          <w:rPr>
            <w:webHidden/>
          </w:rPr>
        </w:r>
        <w:r w:rsidR="00B7186E">
          <w:rPr>
            <w:webHidden/>
          </w:rPr>
          <w:fldChar w:fldCharType="separate"/>
        </w:r>
        <w:r w:rsidR="007F59B6">
          <w:rPr>
            <w:webHidden/>
          </w:rPr>
          <w:t>28</w:t>
        </w:r>
        <w:r w:rsidR="00B7186E">
          <w:rPr>
            <w:webHidden/>
          </w:rPr>
          <w:fldChar w:fldCharType="end"/>
        </w:r>
      </w:hyperlink>
    </w:p>
    <w:p w14:paraId="09EA8E13" w14:textId="4EEE98E4" w:rsidR="00B7186E" w:rsidRDefault="00626044">
      <w:pPr>
        <w:pStyle w:val="TOC3"/>
        <w:rPr>
          <w:rFonts w:asciiTheme="minorHAnsi" w:eastAsiaTheme="minorEastAsia" w:hAnsiTheme="minorHAnsi" w:cstheme="minorBidi"/>
          <w:kern w:val="2"/>
          <w14:ligatures w14:val="standardContextual"/>
        </w:rPr>
      </w:pPr>
      <w:hyperlink w:anchor="_Toc181713909" w:history="1">
        <w:r w:rsidR="00B7186E" w:rsidRPr="00D62CCC">
          <w:rPr>
            <w:rStyle w:val="Hyperlink"/>
          </w:rPr>
          <w:t>Reduction of loss</w:t>
        </w:r>
        <w:r w:rsidR="00B7186E">
          <w:rPr>
            <w:webHidden/>
          </w:rPr>
          <w:tab/>
        </w:r>
        <w:r w:rsidR="00B7186E">
          <w:rPr>
            <w:webHidden/>
          </w:rPr>
          <w:fldChar w:fldCharType="begin"/>
        </w:r>
        <w:r w:rsidR="00B7186E">
          <w:rPr>
            <w:webHidden/>
          </w:rPr>
          <w:instrText xml:space="preserve"> PAGEREF _Toc181713909 \h </w:instrText>
        </w:r>
        <w:r w:rsidR="00B7186E">
          <w:rPr>
            <w:webHidden/>
          </w:rPr>
        </w:r>
        <w:r w:rsidR="00B7186E">
          <w:rPr>
            <w:webHidden/>
          </w:rPr>
          <w:fldChar w:fldCharType="separate"/>
        </w:r>
        <w:r w:rsidR="007F59B6">
          <w:rPr>
            <w:webHidden/>
          </w:rPr>
          <w:t>29</w:t>
        </w:r>
        <w:r w:rsidR="00B7186E">
          <w:rPr>
            <w:webHidden/>
          </w:rPr>
          <w:fldChar w:fldCharType="end"/>
        </w:r>
      </w:hyperlink>
    </w:p>
    <w:p w14:paraId="06592934" w14:textId="7D54BE4F" w:rsidR="00B7186E" w:rsidRDefault="00626044">
      <w:pPr>
        <w:pStyle w:val="TOC3"/>
        <w:rPr>
          <w:rFonts w:asciiTheme="minorHAnsi" w:eastAsiaTheme="minorEastAsia" w:hAnsiTheme="minorHAnsi" w:cstheme="minorBidi"/>
          <w:kern w:val="2"/>
          <w14:ligatures w14:val="standardContextual"/>
        </w:rPr>
      </w:pPr>
      <w:hyperlink w:anchor="_Toc181713910" w:history="1">
        <w:r w:rsidR="00B7186E" w:rsidRPr="00D62CCC">
          <w:rPr>
            <w:rStyle w:val="Hyperlink"/>
          </w:rPr>
          <w:t>Quantitative estimate of the benefits</w:t>
        </w:r>
        <w:r w:rsidR="00B7186E">
          <w:rPr>
            <w:webHidden/>
          </w:rPr>
          <w:tab/>
        </w:r>
        <w:r w:rsidR="00B7186E">
          <w:rPr>
            <w:webHidden/>
          </w:rPr>
          <w:fldChar w:fldCharType="begin"/>
        </w:r>
        <w:r w:rsidR="00B7186E">
          <w:rPr>
            <w:webHidden/>
          </w:rPr>
          <w:instrText xml:space="preserve"> PAGEREF _Toc181713910 \h </w:instrText>
        </w:r>
        <w:r w:rsidR="00B7186E">
          <w:rPr>
            <w:webHidden/>
          </w:rPr>
        </w:r>
        <w:r w:rsidR="00B7186E">
          <w:rPr>
            <w:webHidden/>
          </w:rPr>
          <w:fldChar w:fldCharType="separate"/>
        </w:r>
        <w:r w:rsidR="007F59B6">
          <w:rPr>
            <w:webHidden/>
          </w:rPr>
          <w:t>29</w:t>
        </w:r>
        <w:r w:rsidR="00B7186E">
          <w:rPr>
            <w:webHidden/>
          </w:rPr>
          <w:fldChar w:fldCharType="end"/>
        </w:r>
      </w:hyperlink>
    </w:p>
    <w:p w14:paraId="258E5785" w14:textId="596FC234"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11" w:history="1">
        <w:r w:rsidR="00B7186E" w:rsidRPr="00D62CCC">
          <w:rPr>
            <w:rStyle w:val="Hyperlink"/>
          </w:rPr>
          <w:t>Cost benefit analysis results</w:t>
        </w:r>
        <w:r w:rsidR="00B7186E">
          <w:rPr>
            <w:webHidden/>
          </w:rPr>
          <w:tab/>
        </w:r>
        <w:r w:rsidR="00B7186E">
          <w:rPr>
            <w:webHidden/>
          </w:rPr>
          <w:fldChar w:fldCharType="begin"/>
        </w:r>
        <w:r w:rsidR="00B7186E">
          <w:rPr>
            <w:webHidden/>
          </w:rPr>
          <w:instrText xml:space="preserve"> PAGEREF _Toc181713911 \h </w:instrText>
        </w:r>
        <w:r w:rsidR="00B7186E">
          <w:rPr>
            <w:webHidden/>
          </w:rPr>
        </w:r>
        <w:r w:rsidR="00B7186E">
          <w:rPr>
            <w:webHidden/>
          </w:rPr>
          <w:fldChar w:fldCharType="separate"/>
        </w:r>
        <w:r w:rsidR="007F59B6">
          <w:rPr>
            <w:webHidden/>
          </w:rPr>
          <w:t>33</w:t>
        </w:r>
        <w:r w:rsidR="00B7186E">
          <w:rPr>
            <w:webHidden/>
          </w:rPr>
          <w:fldChar w:fldCharType="end"/>
        </w:r>
      </w:hyperlink>
    </w:p>
    <w:p w14:paraId="60C05745" w14:textId="7C051193"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12" w:history="1">
        <w:r w:rsidR="00B7186E" w:rsidRPr="00D62CCC">
          <w:rPr>
            <w:rStyle w:val="Hyperlink"/>
          </w:rPr>
          <w:t>Distribution analysis</w:t>
        </w:r>
        <w:r w:rsidR="00B7186E">
          <w:rPr>
            <w:webHidden/>
          </w:rPr>
          <w:tab/>
        </w:r>
        <w:r w:rsidR="00B7186E">
          <w:rPr>
            <w:webHidden/>
          </w:rPr>
          <w:fldChar w:fldCharType="begin"/>
        </w:r>
        <w:r w:rsidR="00B7186E">
          <w:rPr>
            <w:webHidden/>
          </w:rPr>
          <w:instrText xml:space="preserve"> PAGEREF _Toc181713912 \h </w:instrText>
        </w:r>
        <w:r w:rsidR="00B7186E">
          <w:rPr>
            <w:webHidden/>
          </w:rPr>
        </w:r>
        <w:r w:rsidR="00B7186E">
          <w:rPr>
            <w:webHidden/>
          </w:rPr>
          <w:fldChar w:fldCharType="separate"/>
        </w:r>
        <w:r w:rsidR="007F59B6">
          <w:rPr>
            <w:webHidden/>
          </w:rPr>
          <w:t>27</w:t>
        </w:r>
        <w:r w:rsidR="00B7186E">
          <w:rPr>
            <w:webHidden/>
          </w:rPr>
          <w:fldChar w:fldCharType="end"/>
        </w:r>
      </w:hyperlink>
    </w:p>
    <w:p w14:paraId="4DE0CFBA" w14:textId="766C1042"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13" w:history="1">
        <w:r w:rsidR="00B7186E" w:rsidRPr="00D62CCC">
          <w:rPr>
            <w:rStyle w:val="Hyperlink"/>
          </w:rPr>
          <w:t>Sensitivity analysis</w:t>
        </w:r>
        <w:r w:rsidR="00B7186E">
          <w:rPr>
            <w:webHidden/>
          </w:rPr>
          <w:tab/>
        </w:r>
        <w:r w:rsidR="00B7186E">
          <w:rPr>
            <w:webHidden/>
          </w:rPr>
          <w:fldChar w:fldCharType="begin"/>
        </w:r>
        <w:r w:rsidR="00B7186E">
          <w:rPr>
            <w:webHidden/>
          </w:rPr>
          <w:instrText xml:space="preserve"> PAGEREF _Toc181713913 \h </w:instrText>
        </w:r>
        <w:r w:rsidR="00B7186E">
          <w:rPr>
            <w:webHidden/>
          </w:rPr>
        </w:r>
        <w:r w:rsidR="00B7186E">
          <w:rPr>
            <w:webHidden/>
          </w:rPr>
          <w:fldChar w:fldCharType="separate"/>
        </w:r>
        <w:r w:rsidR="007F59B6">
          <w:rPr>
            <w:webHidden/>
          </w:rPr>
          <w:t>27</w:t>
        </w:r>
        <w:r w:rsidR="00B7186E">
          <w:rPr>
            <w:webHidden/>
          </w:rPr>
          <w:fldChar w:fldCharType="end"/>
        </w:r>
      </w:hyperlink>
    </w:p>
    <w:p w14:paraId="448DEE5C" w14:textId="07C8DE5C"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14" w:history="1">
        <w:r w:rsidR="00B7186E" w:rsidRPr="00D62CCC">
          <w:rPr>
            <w:rStyle w:val="Hyperlink"/>
          </w:rPr>
          <w:t>Regulatory burden analysis</w:t>
        </w:r>
        <w:r w:rsidR="00B7186E">
          <w:rPr>
            <w:webHidden/>
          </w:rPr>
          <w:tab/>
        </w:r>
        <w:r w:rsidR="00B7186E">
          <w:rPr>
            <w:webHidden/>
          </w:rPr>
          <w:fldChar w:fldCharType="begin"/>
        </w:r>
        <w:r w:rsidR="00B7186E">
          <w:rPr>
            <w:webHidden/>
          </w:rPr>
          <w:instrText xml:space="preserve"> PAGEREF _Toc181713914 \h </w:instrText>
        </w:r>
        <w:r w:rsidR="00B7186E">
          <w:rPr>
            <w:webHidden/>
          </w:rPr>
        </w:r>
        <w:r w:rsidR="00B7186E">
          <w:rPr>
            <w:webHidden/>
          </w:rPr>
          <w:fldChar w:fldCharType="separate"/>
        </w:r>
        <w:r w:rsidR="007F59B6">
          <w:rPr>
            <w:webHidden/>
          </w:rPr>
          <w:t>27</w:t>
        </w:r>
        <w:r w:rsidR="00B7186E">
          <w:rPr>
            <w:webHidden/>
          </w:rPr>
          <w:fldChar w:fldCharType="end"/>
        </w:r>
      </w:hyperlink>
    </w:p>
    <w:p w14:paraId="13FE0675" w14:textId="6D70BC1C"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915" w:history="1">
        <w:r w:rsidR="00B7186E" w:rsidRPr="00D62CCC">
          <w:rPr>
            <w:rStyle w:val="Hyperlink"/>
          </w:rPr>
          <w:t>Who was consulted and what did they say?</w:t>
        </w:r>
        <w:r w:rsidR="00B7186E">
          <w:rPr>
            <w:webHidden/>
          </w:rPr>
          <w:tab/>
        </w:r>
        <w:r w:rsidR="00B7186E">
          <w:rPr>
            <w:webHidden/>
          </w:rPr>
          <w:fldChar w:fldCharType="begin"/>
        </w:r>
        <w:r w:rsidR="00B7186E">
          <w:rPr>
            <w:webHidden/>
          </w:rPr>
          <w:instrText xml:space="preserve"> PAGEREF _Toc181713915 \h </w:instrText>
        </w:r>
        <w:r w:rsidR="00B7186E">
          <w:rPr>
            <w:webHidden/>
          </w:rPr>
        </w:r>
        <w:r w:rsidR="00B7186E">
          <w:rPr>
            <w:webHidden/>
          </w:rPr>
          <w:fldChar w:fldCharType="separate"/>
        </w:r>
        <w:r w:rsidR="007F59B6">
          <w:rPr>
            <w:webHidden/>
          </w:rPr>
          <w:t>29</w:t>
        </w:r>
        <w:r w:rsidR="00B7186E">
          <w:rPr>
            <w:webHidden/>
          </w:rPr>
          <w:fldChar w:fldCharType="end"/>
        </w:r>
      </w:hyperlink>
    </w:p>
    <w:p w14:paraId="134A717A" w14:textId="6A8BD53E"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916" w:history="1">
        <w:r w:rsidR="00B7186E" w:rsidRPr="00D62CCC">
          <w:rPr>
            <w:rStyle w:val="Hyperlink"/>
          </w:rPr>
          <w:t>What is the best option from those considered and how will it be implemented?</w:t>
        </w:r>
        <w:r w:rsidR="00B7186E">
          <w:rPr>
            <w:webHidden/>
          </w:rPr>
          <w:tab/>
        </w:r>
        <w:r w:rsidR="00B7186E">
          <w:rPr>
            <w:webHidden/>
          </w:rPr>
          <w:fldChar w:fldCharType="begin"/>
        </w:r>
        <w:r w:rsidR="00B7186E">
          <w:rPr>
            <w:webHidden/>
          </w:rPr>
          <w:instrText xml:space="preserve"> PAGEREF _Toc181713916 \h </w:instrText>
        </w:r>
        <w:r w:rsidR="00B7186E">
          <w:rPr>
            <w:webHidden/>
          </w:rPr>
        </w:r>
        <w:r w:rsidR="00B7186E">
          <w:rPr>
            <w:webHidden/>
          </w:rPr>
          <w:fldChar w:fldCharType="separate"/>
        </w:r>
        <w:r w:rsidR="007F59B6">
          <w:rPr>
            <w:webHidden/>
          </w:rPr>
          <w:t>33</w:t>
        </w:r>
        <w:r w:rsidR="00B7186E">
          <w:rPr>
            <w:webHidden/>
          </w:rPr>
          <w:fldChar w:fldCharType="end"/>
        </w:r>
      </w:hyperlink>
    </w:p>
    <w:p w14:paraId="29F006ED" w14:textId="0DE48BCB"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17" w:history="1">
        <w:r w:rsidR="00B7186E" w:rsidRPr="00D62CCC">
          <w:rPr>
            <w:rStyle w:val="Hyperlink"/>
          </w:rPr>
          <w:t>Option 2 – Direct regulation (Industry Standard)</w:t>
        </w:r>
        <w:r w:rsidR="00B7186E">
          <w:rPr>
            <w:webHidden/>
          </w:rPr>
          <w:tab/>
        </w:r>
        <w:r w:rsidR="00B7186E">
          <w:rPr>
            <w:webHidden/>
          </w:rPr>
          <w:fldChar w:fldCharType="begin"/>
        </w:r>
        <w:r w:rsidR="00B7186E">
          <w:rPr>
            <w:webHidden/>
          </w:rPr>
          <w:instrText xml:space="preserve"> PAGEREF _Toc181713917 \h </w:instrText>
        </w:r>
        <w:r w:rsidR="00B7186E">
          <w:rPr>
            <w:webHidden/>
          </w:rPr>
        </w:r>
        <w:r w:rsidR="00B7186E">
          <w:rPr>
            <w:webHidden/>
          </w:rPr>
          <w:fldChar w:fldCharType="separate"/>
        </w:r>
        <w:r w:rsidR="007F59B6">
          <w:rPr>
            <w:webHidden/>
          </w:rPr>
          <w:t>33</w:t>
        </w:r>
        <w:r w:rsidR="00B7186E">
          <w:rPr>
            <w:webHidden/>
          </w:rPr>
          <w:fldChar w:fldCharType="end"/>
        </w:r>
      </w:hyperlink>
    </w:p>
    <w:p w14:paraId="78466F03" w14:textId="37A92B0B"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18" w:history="1">
        <w:r w:rsidR="00B7186E" w:rsidRPr="00D62CCC">
          <w:rPr>
            <w:rStyle w:val="Hyperlink"/>
          </w:rPr>
          <w:t>Implementation</w:t>
        </w:r>
        <w:r w:rsidR="00B7186E">
          <w:rPr>
            <w:webHidden/>
          </w:rPr>
          <w:tab/>
        </w:r>
        <w:r w:rsidR="00B7186E">
          <w:rPr>
            <w:webHidden/>
          </w:rPr>
          <w:fldChar w:fldCharType="begin"/>
        </w:r>
        <w:r w:rsidR="00B7186E">
          <w:rPr>
            <w:webHidden/>
          </w:rPr>
          <w:instrText xml:space="preserve"> PAGEREF _Toc181713918 \h </w:instrText>
        </w:r>
        <w:r w:rsidR="00B7186E">
          <w:rPr>
            <w:webHidden/>
          </w:rPr>
        </w:r>
        <w:r w:rsidR="00B7186E">
          <w:rPr>
            <w:webHidden/>
          </w:rPr>
          <w:fldChar w:fldCharType="separate"/>
        </w:r>
        <w:r w:rsidR="007F59B6">
          <w:rPr>
            <w:webHidden/>
          </w:rPr>
          <w:t>33</w:t>
        </w:r>
        <w:r w:rsidR="00B7186E">
          <w:rPr>
            <w:webHidden/>
          </w:rPr>
          <w:fldChar w:fldCharType="end"/>
        </w:r>
      </w:hyperlink>
    </w:p>
    <w:p w14:paraId="411DB9C8" w14:textId="44EDDD21" w:rsidR="00B7186E" w:rsidRDefault="00626044">
      <w:pPr>
        <w:pStyle w:val="TOC2"/>
        <w:rPr>
          <w:rFonts w:asciiTheme="minorHAnsi" w:eastAsiaTheme="minorEastAsia" w:hAnsiTheme="minorHAnsi" w:cstheme="minorBidi"/>
          <w:spacing w:val="0"/>
          <w:kern w:val="2"/>
          <w:sz w:val="22"/>
          <w:szCs w:val="22"/>
          <w14:ligatures w14:val="standardContextual"/>
        </w:rPr>
      </w:pPr>
      <w:hyperlink w:anchor="_Toc181713919" w:history="1">
        <w:r w:rsidR="00B7186E" w:rsidRPr="00D62CCC">
          <w:rPr>
            <w:rStyle w:val="Hyperlink"/>
          </w:rPr>
          <w:t>Alternative options</w:t>
        </w:r>
        <w:r w:rsidR="00B7186E">
          <w:rPr>
            <w:webHidden/>
          </w:rPr>
          <w:tab/>
        </w:r>
        <w:r w:rsidR="00B7186E">
          <w:rPr>
            <w:webHidden/>
          </w:rPr>
          <w:fldChar w:fldCharType="begin"/>
        </w:r>
        <w:r w:rsidR="00B7186E">
          <w:rPr>
            <w:webHidden/>
          </w:rPr>
          <w:instrText xml:space="preserve"> PAGEREF _Toc181713919 \h </w:instrText>
        </w:r>
        <w:r w:rsidR="00B7186E">
          <w:rPr>
            <w:webHidden/>
          </w:rPr>
        </w:r>
        <w:r w:rsidR="00B7186E">
          <w:rPr>
            <w:webHidden/>
          </w:rPr>
          <w:fldChar w:fldCharType="separate"/>
        </w:r>
        <w:r w:rsidR="007F59B6">
          <w:rPr>
            <w:webHidden/>
          </w:rPr>
          <w:t>34</w:t>
        </w:r>
        <w:r w:rsidR="00B7186E">
          <w:rPr>
            <w:webHidden/>
          </w:rPr>
          <w:fldChar w:fldCharType="end"/>
        </w:r>
      </w:hyperlink>
    </w:p>
    <w:p w14:paraId="2C6CF284" w14:textId="3174A8EA"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920" w:history="1">
        <w:r w:rsidR="00B7186E" w:rsidRPr="00D62CCC">
          <w:rPr>
            <w:rStyle w:val="Hyperlink"/>
          </w:rPr>
          <w:t>How will you evaluate your chosen option against the success metrics?</w:t>
        </w:r>
        <w:r w:rsidR="00B7186E">
          <w:rPr>
            <w:webHidden/>
          </w:rPr>
          <w:tab/>
        </w:r>
        <w:r w:rsidR="00B7186E">
          <w:rPr>
            <w:webHidden/>
          </w:rPr>
          <w:fldChar w:fldCharType="begin"/>
        </w:r>
        <w:r w:rsidR="00B7186E">
          <w:rPr>
            <w:webHidden/>
          </w:rPr>
          <w:instrText xml:space="preserve"> PAGEREF _Toc181713920 \h </w:instrText>
        </w:r>
        <w:r w:rsidR="00B7186E">
          <w:rPr>
            <w:webHidden/>
          </w:rPr>
        </w:r>
        <w:r w:rsidR="00B7186E">
          <w:rPr>
            <w:webHidden/>
          </w:rPr>
          <w:fldChar w:fldCharType="separate"/>
        </w:r>
        <w:r w:rsidR="007F59B6">
          <w:rPr>
            <w:webHidden/>
          </w:rPr>
          <w:t>36</w:t>
        </w:r>
        <w:r w:rsidR="00B7186E">
          <w:rPr>
            <w:webHidden/>
          </w:rPr>
          <w:fldChar w:fldCharType="end"/>
        </w:r>
      </w:hyperlink>
    </w:p>
    <w:p w14:paraId="6AA08904" w14:textId="63D1CD6F" w:rsidR="00B7186E" w:rsidRDefault="00626044">
      <w:pPr>
        <w:pStyle w:val="TOC1"/>
        <w:rPr>
          <w:rFonts w:asciiTheme="minorHAnsi" w:eastAsiaTheme="minorEastAsia" w:hAnsiTheme="minorHAnsi" w:cstheme="minorBidi"/>
          <w:b w:val="0"/>
          <w:spacing w:val="0"/>
          <w:kern w:val="2"/>
          <w:sz w:val="22"/>
          <w:szCs w:val="22"/>
          <w14:ligatures w14:val="standardContextual"/>
        </w:rPr>
      </w:pPr>
      <w:hyperlink w:anchor="_Toc181713921" w:history="1">
        <w:r w:rsidR="00B7186E" w:rsidRPr="00D62CCC">
          <w:rPr>
            <w:rStyle w:val="Hyperlink"/>
          </w:rPr>
          <w:t>Attachment 1: Table of major telecommunications network outages in Australia from 2012 to 2024</w:t>
        </w:r>
        <w:r w:rsidR="00B7186E">
          <w:rPr>
            <w:webHidden/>
          </w:rPr>
          <w:tab/>
        </w:r>
        <w:r w:rsidR="00B7186E">
          <w:rPr>
            <w:webHidden/>
          </w:rPr>
          <w:fldChar w:fldCharType="begin"/>
        </w:r>
        <w:r w:rsidR="00B7186E">
          <w:rPr>
            <w:webHidden/>
          </w:rPr>
          <w:instrText xml:space="preserve"> PAGEREF _Toc181713921 \h </w:instrText>
        </w:r>
        <w:r w:rsidR="00B7186E">
          <w:rPr>
            <w:webHidden/>
          </w:rPr>
        </w:r>
        <w:r w:rsidR="00B7186E">
          <w:rPr>
            <w:webHidden/>
          </w:rPr>
          <w:fldChar w:fldCharType="separate"/>
        </w:r>
        <w:r w:rsidR="007F59B6">
          <w:rPr>
            <w:webHidden/>
          </w:rPr>
          <w:t>38</w:t>
        </w:r>
        <w:r w:rsidR="00B7186E">
          <w:rPr>
            <w:webHidden/>
          </w:rPr>
          <w:fldChar w:fldCharType="end"/>
        </w:r>
      </w:hyperlink>
    </w:p>
    <w:p w14:paraId="2F0F63E8" w14:textId="2BB56134" w:rsidR="004D56FF" w:rsidRDefault="00DF0799">
      <w:pPr>
        <w:rPr>
          <w:rFonts w:cs="Arial"/>
        </w:rPr>
      </w:pPr>
      <w:r w:rsidRPr="00A17B1B">
        <w:rPr>
          <w:rFonts w:cs="Arial"/>
        </w:rPr>
        <w:fldChar w:fldCharType="end"/>
      </w:r>
    </w:p>
    <w:p w14:paraId="2A662440" w14:textId="0C4A9437" w:rsidR="004D382D" w:rsidRDefault="004D382D" w:rsidP="004D382D">
      <w:pPr>
        <w:tabs>
          <w:tab w:val="left" w:pos="3320"/>
        </w:tabs>
        <w:rPr>
          <w:rFonts w:cs="Arial"/>
        </w:rPr>
      </w:pPr>
      <w:r>
        <w:rPr>
          <w:rFonts w:cs="Arial"/>
        </w:rPr>
        <w:tab/>
      </w:r>
    </w:p>
    <w:p w14:paraId="32D3A06C" w14:textId="77777777" w:rsidR="004D382D" w:rsidRPr="004D382D" w:rsidRDefault="004D382D" w:rsidP="004D382D">
      <w:pPr>
        <w:tabs>
          <w:tab w:val="left" w:pos="3320"/>
        </w:tabs>
        <w:rPr>
          <w:rFonts w:cs="Arial"/>
        </w:rPr>
        <w:sectPr w:rsidR="004D382D" w:rsidRPr="004D382D" w:rsidSect="00EC165D">
          <w:headerReference w:type="even" r:id="rId20"/>
          <w:headerReference w:type="default" r:id="rId21"/>
          <w:footerReference w:type="even" r:id="rId22"/>
          <w:footerReference w:type="default" r:id="rId23"/>
          <w:pgSz w:w="11906" w:h="16838" w:code="9"/>
          <w:pgMar w:top="1418" w:right="1418" w:bottom="1134" w:left="1418" w:header="709" w:footer="119" w:gutter="0"/>
          <w:pgNumType w:start="3"/>
          <w:cols w:space="708"/>
          <w:titlePg/>
          <w:docGrid w:linePitch="360"/>
        </w:sectPr>
      </w:pPr>
      <w:r>
        <w:rPr>
          <w:rFonts w:cs="Arial"/>
        </w:rPr>
        <w:tab/>
      </w:r>
    </w:p>
    <w:p w14:paraId="52D5D066" w14:textId="4A75E05A" w:rsidR="00C155FC" w:rsidRDefault="00C155FC" w:rsidP="004B2960">
      <w:pPr>
        <w:pStyle w:val="Heading1"/>
      </w:pPr>
      <w:bookmarkStart w:id="1" w:name="_Toc181713875"/>
      <w:r>
        <w:lastRenderedPageBreak/>
        <w:t>Executive Summary</w:t>
      </w:r>
      <w:bookmarkEnd w:id="1"/>
    </w:p>
    <w:p w14:paraId="427F4074" w14:textId="7013C719" w:rsidR="00632289" w:rsidRPr="00EE0BE5" w:rsidRDefault="006C6DC3" w:rsidP="00C155FC">
      <w:pPr>
        <w:rPr>
          <w:sz w:val="22"/>
          <w:szCs w:val="22"/>
        </w:rPr>
      </w:pPr>
      <w:r w:rsidRPr="00EE0BE5">
        <w:rPr>
          <w:sz w:val="22"/>
          <w:szCs w:val="22"/>
        </w:rPr>
        <w:t xml:space="preserve">The Optus outage of 8 November </w:t>
      </w:r>
      <w:r w:rsidR="680477EE" w:rsidRPr="00EE0BE5">
        <w:rPr>
          <w:sz w:val="22"/>
          <w:szCs w:val="22"/>
        </w:rPr>
        <w:t xml:space="preserve">2023 </w:t>
      </w:r>
      <w:r w:rsidRPr="00EE0BE5">
        <w:rPr>
          <w:sz w:val="22"/>
          <w:szCs w:val="22"/>
        </w:rPr>
        <w:t>exposed the importance</w:t>
      </w:r>
      <w:r w:rsidR="00592B0A" w:rsidRPr="00EE0BE5">
        <w:rPr>
          <w:sz w:val="22"/>
          <w:szCs w:val="22"/>
        </w:rPr>
        <w:t xml:space="preserve"> of customer communication during and in relation to outages</w:t>
      </w:r>
      <w:r w:rsidR="00C70DED" w:rsidRPr="00EE0BE5">
        <w:rPr>
          <w:sz w:val="22"/>
          <w:szCs w:val="22"/>
        </w:rPr>
        <w:t xml:space="preserve">. The outage had a </w:t>
      </w:r>
      <w:r w:rsidR="00592B0A" w:rsidRPr="00EE0BE5">
        <w:rPr>
          <w:sz w:val="22"/>
          <w:szCs w:val="22"/>
        </w:rPr>
        <w:t>significant impact</w:t>
      </w:r>
      <w:r w:rsidR="00C70DED" w:rsidRPr="00EE0BE5">
        <w:rPr>
          <w:sz w:val="22"/>
          <w:szCs w:val="22"/>
        </w:rPr>
        <w:t xml:space="preserve"> on</w:t>
      </w:r>
      <w:r w:rsidR="00592B0A" w:rsidRPr="00EE0BE5">
        <w:rPr>
          <w:sz w:val="22"/>
          <w:szCs w:val="22"/>
        </w:rPr>
        <w:t xml:space="preserve"> a </w:t>
      </w:r>
      <w:r w:rsidR="00C70DED" w:rsidRPr="00EE0BE5">
        <w:rPr>
          <w:sz w:val="22"/>
          <w:szCs w:val="22"/>
        </w:rPr>
        <w:t>wide range of Australians, affecting emergency services, government services, businesses and vulnerable people.</w:t>
      </w:r>
      <w:r w:rsidR="00CA2603" w:rsidRPr="00EE0BE5">
        <w:rPr>
          <w:sz w:val="22"/>
          <w:szCs w:val="22"/>
        </w:rPr>
        <w:t xml:space="preserve"> Customers experienced </w:t>
      </w:r>
      <w:r w:rsidR="00626DA0" w:rsidRPr="00EE0BE5">
        <w:rPr>
          <w:sz w:val="22"/>
          <w:szCs w:val="22"/>
        </w:rPr>
        <w:t>d</w:t>
      </w:r>
      <w:r w:rsidR="00CA2603" w:rsidRPr="00EE0BE5">
        <w:rPr>
          <w:sz w:val="22"/>
          <w:szCs w:val="22"/>
        </w:rPr>
        <w:t xml:space="preserve">elays in receiving advice or a detailed explanation about the cause and impact of the outage, or timeframes for rectification. </w:t>
      </w:r>
    </w:p>
    <w:p w14:paraId="6556CC7C" w14:textId="2C520132" w:rsidR="000D59C7" w:rsidRPr="00EE0BE5" w:rsidRDefault="000D59C7" w:rsidP="000D59C7">
      <w:pPr>
        <w:rPr>
          <w:sz w:val="22"/>
          <w:szCs w:val="22"/>
        </w:rPr>
      </w:pPr>
      <w:r w:rsidRPr="00EE0BE5">
        <w:rPr>
          <w:sz w:val="22"/>
          <w:szCs w:val="22"/>
        </w:rPr>
        <w:t xml:space="preserve">The need for policy intervention arises </w:t>
      </w:r>
      <w:r w:rsidR="00BE7922" w:rsidRPr="00EE0BE5">
        <w:rPr>
          <w:sz w:val="22"/>
          <w:szCs w:val="22"/>
        </w:rPr>
        <w:t xml:space="preserve">as incentives (including maintaining </w:t>
      </w:r>
      <w:r w:rsidR="00FB40F5" w:rsidRPr="00EE0BE5">
        <w:rPr>
          <w:sz w:val="22"/>
          <w:szCs w:val="22"/>
        </w:rPr>
        <w:t xml:space="preserve">a </w:t>
      </w:r>
      <w:r w:rsidR="00BE7922" w:rsidRPr="00EE0BE5">
        <w:rPr>
          <w:sz w:val="22"/>
          <w:szCs w:val="22"/>
        </w:rPr>
        <w:t>good relationship with their customers) have not proved strong enough for industry to deliver on the reasonable expectations of consumers to be kept informed during telco outages. U</w:t>
      </w:r>
      <w:r w:rsidRPr="00EE0BE5">
        <w:rPr>
          <w:sz w:val="22"/>
          <w:szCs w:val="22"/>
        </w:rPr>
        <w:t xml:space="preserve">nder the current regulatory framework there are no mandatory requirements for the way in which telecommunications providers communicate with customers in relation to outages. </w:t>
      </w:r>
    </w:p>
    <w:p w14:paraId="4AA0CA72" w14:textId="3DAD33A3" w:rsidR="00A73F9D" w:rsidRPr="00EE0BE5" w:rsidRDefault="00532840" w:rsidP="0011319E">
      <w:pPr>
        <w:rPr>
          <w:sz w:val="22"/>
          <w:szCs w:val="22"/>
        </w:rPr>
      </w:pPr>
      <w:r w:rsidRPr="00EE0BE5">
        <w:rPr>
          <w:sz w:val="22"/>
          <w:szCs w:val="22"/>
        </w:rPr>
        <w:t xml:space="preserve">The Government’s </w:t>
      </w:r>
      <w:r w:rsidR="007C6AB6" w:rsidRPr="00EE0BE5">
        <w:rPr>
          <w:sz w:val="22"/>
          <w:szCs w:val="22"/>
        </w:rPr>
        <w:t xml:space="preserve">final report into the Review of the Optus Outage </w:t>
      </w:r>
      <w:r w:rsidR="000D50E8" w:rsidRPr="00EE0BE5">
        <w:rPr>
          <w:sz w:val="22"/>
          <w:szCs w:val="22"/>
        </w:rPr>
        <w:t>published</w:t>
      </w:r>
      <w:r w:rsidR="00863867" w:rsidRPr="00EE0BE5">
        <w:rPr>
          <w:sz w:val="22"/>
          <w:szCs w:val="22"/>
        </w:rPr>
        <w:t xml:space="preserve"> on </w:t>
      </w:r>
      <w:r w:rsidR="000D50E8" w:rsidRPr="00EE0BE5">
        <w:rPr>
          <w:sz w:val="22"/>
          <w:szCs w:val="22"/>
        </w:rPr>
        <w:t>30 April 2024</w:t>
      </w:r>
      <w:r w:rsidR="00863867" w:rsidRPr="00EE0BE5">
        <w:rPr>
          <w:sz w:val="22"/>
          <w:szCs w:val="22"/>
        </w:rPr>
        <w:t xml:space="preserve"> (the Review) found that</w:t>
      </w:r>
      <w:r w:rsidR="001D0631" w:rsidRPr="00EE0BE5">
        <w:rPr>
          <w:sz w:val="22"/>
          <w:szCs w:val="22"/>
        </w:rPr>
        <w:t xml:space="preserve"> communication</w:t>
      </w:r>
      <w:r w:rsidR="004D353F" w:rsidRPr="00EE0BE5">
        <w:rPr>
          <w:sz w:val="22"/>
          <w:szCs w:val="22"/>
        </w:rPr>
        <w:t xml:space="preserve"> by Optus</w:t>
      </w:r>
      <w:r w:rsidR="001D0631" w:rsidRPr="00EE0BE5">
        <w:rPr>
          <w:sz w:val="22"/>
          <w:szCs w:val="22"/>
        </w:rPr>
        <w:t xml:space="preserve"> with </w:t>
      </w:r>
      <w:r w:rsidR="004D353F" w:rsidRPr="00EE0BE5">
        <w:rPr>
          <w:sz w:val="22"/>
          <w:szCs w:val="22"/>
        </w:rPr>
        <w:t xml:space="preserve">its </w:t>
      </w:r>
      <w:r w:rsidR="001D0631" w:rsidRPr="00EE0BE5">
        <w:rPr>
          <w:sz w:val="22"/>
          <w:szCs w:val="22"/>
        </w:rPr>
        <w:t>customers during and in relation to the outage w</w:t>
      </w:r>
      <w:r w:rsidR="00A473EB" w:rsidRPr="00EE0BE5">
        <w:rPr>
          <w:sz w:val="22"/>
          <w:szCs w:val="22"/>
        </w:rPr>
        <w:t>as</w:t>
      </w:r>
      <w:r w:rsidR="001D0631" w:rsidRPr="00EE0BE5">
        <w:rPr>
          <w:sz w:val="22"/>
          <w:szCs w:val="22"/>
        </w:rPr>
        <w:t xml:space="preserve"> inadequate, </w:t>
      </w:r>
      <w:r w:rsidR="009A0E46" w:rsidRPr="00EE0BE5">
        <w:rPr>
          <w:sz w:val="22"/>
          <w:szCs w:val="22"/>
        </w:rPr>
        <w:t>noting specifically a</w:t>
      </w:r>
      <w:r w:rsidR="000D50E8" w:rsidRPr="00EE0BE5">
        <w:rPr>
          <w:sz w:val="22"/>
          <w:szCs w:val="22"/>
        </w:rPr>
        <w:t xml:space="preserve"> lack of timely and clear information </w:t>
      </w:r>
      <w:r w:rsidR="009A0E46" w:rsidRPr="00EE0BE5">
        <w:rPr>
          <w:sz w:val="22"/>
          <w:szCs w:val="22"/>
        </w:rPr>
        <w:t xml:space="preserve">which caused </w:t>
      </w:r>
      <w:r w:rsidR="000D50E8" w:rsidRPr="00EE0BE5">
        <w:rPr>
          <w:sz w:val="22"/>
          <w:szCs w:val="22"/>
        </w:rPr>
        <w:t>considerable distress.</w:t>
      </w:r>
      <w:r w:rsidR="00863867" w:rsidRPr="00EE0BE5">
        <w:rPr>
          <w:sz w:val="22"/>
          <w:szCs w:val="22"/>
        </w:rPr>
        <w:t xml:space="preserve"> The Review recommended </w:t>
      </w:r>
      <w:r w:rsidR="000D5798" w:rsidRPr="00EE0BE5">
        <w:rPr>
          <w:sz w:val="22"/>
          <w:szCs w:val="22"/>
        </w:rPr>
        <w:t xml:space="preserve">that the Australian Communications and Media Authority (ACMA) develop </w:t>
      </w:r>
      <w:r w:rsidR="00314D77" w:rsidRPr="00EE0BE5">
        <w:rPr>
          <w:sz w:val="22"/>
          <w:szCs w:val="22"/>
        </w:rPr>
        <w:t xml:space="preserve">a standard or determination requiring carriers to communicate specific information to customers during outages – including an explicit focus on communications between the affected network provider and its customers as well as other stakeholders (Recommendation 10). </w:t>
      </w:r>
      <w:r w:rsidR="00863867" w:rsidRPr="00EE0BE5">
        <w:rPr>
          <w:sz w:val="22"/>
          <w:szCs w:val="22"/>
        </w:rPr>
        <w:t xml:space="preserve"> </w:t>
      </w:r>
    </w:p>
    <w:p w14:paraId="77BB15D5" w14:textId="2CA1031B" w:rsidR="000852B5" w:rsidRPr="00EE0BE5" w:rsidRDefault="005C0C86" w:rsidP="0011319E">
      <w:pPr>
        <w:rPr>
          <w:sz w:val="22"/>
          <w:szCs w:val="22"/>
        </w:rPr>
      </w:pPr>
      <w:r w:rsidRPr="00EE0BE5">
        <w:rPr>
          <w:sz w:val="22"/>
          <w:szCs w:val="22"/>
        </w:rPr>
        <w:t>On 21 August 2024, the ACMA was directed</w:t>
      </w:r>
      <w:r w:rsidR="00A55181" w:rsidRPr="00EE0BE5">
        <w:rPr>
          <w:rStyle w:val="FootnoteReference"/>
          <w:sz w:val="22"/>
          <w:szCs w:val="22"/>
        </w:rPr>
        <w:footnoteReference w:id="2"/>
      </w:r>
      <w:r w:rsidRPr="00EE0BE5">
        <w:rPr>
          <w:sz w:val="22"/>
          <w:szCs w:val="22"/>
        </w:rPr>
        <w:t xml:space="preserve"> by the Minister for Communications to determine a standard under the </w:t>
      </w:r>
      <w:r w:rsidRPr="00EE0BE5">
        <w:rPr>
          <w:i/>
          <w:iCs/>
          <w:sz w:val="22"/>
          <w:szCs w:val="22"/>
        </w:rPr>
        <w:t xml:space="preserve">Telecommunications </w:t>
      </w:r>
      <w:r w:rsidR="007B06C2" w:rsidRPr="00EE0BE5">
        <w:rPr>
          <w:i/>
          <w:iCs/>
          <w:sz w:val="22"/>
          <w:szCs w:val="22"/>
        </w:rPr>
        <w:t>Act 1997</w:t>
      </w:r>
      <w:r w:rsidRPr="00EE0BE5">
        <w:rPr>
          <w:sz w:val="22"/>
          <w:szCs w:val="22"/>
        </w:rPr>
        <w:t xml:space="preserve"> </w:t>
      </w:r>
      <w:r w:rsidR="007B06C2" w:rsidRPr="00EE0BE5">
        <w:rPr>
          <w:sz w:val="22"/>
          <w:szCs w:val="22"/>
        </w:rPr>
        <w:t>(</w:t>
      </w:r>
      <w:r w:rsidR="007B06C2" w:rsidRPr="00EE0BE5">
        <w:rPr>
          <w:b/>
          <w:sz w:val="22"/>
          <w:szCs w:val="22"/>
        </w:rPr>
        <w:t>Telco Act</w:t>
      </w:r>
      <w:r w:rsidR="007B06C2" w:rsidRPr="00EE0BE5">
        <w:rPr>
          <w:sz w:val="22"/>
          <w:szCs w:val="22"/>
        </w:rPr>
        <w:t xml:space="preserve">) </w:t>
      </w:r>
      <w:r w:rsidRPr="00EE0BE5">
        <w:rPr>
          <w:sz w:val="22"/>
          <w:szCs w:val="22"/>
        </w:rPr>
        <w:t xml:space="preserve">in response to Recommendation 10 of </w:t>
      </w:r>
      <w:r w:rsidR="007B06C2" w:rsidRPr="00EE0BE5">
        <w:rPr>
          <w:sz w:val="22"/>
          <w:szCs w:val="22"/>
        </w:rPr>
        <w:t xml:space="preserve">the Review. </w:t>
      </w:r>
      <w:r w:rsidR="00BB483B" w:rsidRPr="00EE0BE5">
        <w:rPr>
          <w:sz w:val="22"/>
          <w:szCs w:val="22"/>
        </w:rPr>
        <w:t>The Standard is to impose obligations on carriers and C</w:t>
      </w:r>
      <w:r w:rsidR="00086584" w:rsidRPr="00EE0BE5">
        <w:rPr>
          <w:sz w:val="22"/>
          <w:szCs w:val="22"/>
        </w:rPr>
        <w:t xml:space="preserve">arriage </w:t>
      </w:r>
      <w:r w:rsidR="00BB483B" w:rsidRPr="00EE0BE5">
        <w:rPr>
          <w:sz w:val="22"/>
          <w:szCs w:val="22"/>
        </w:rPr>
        <w:t>S</w:t>
      </w:r>
      <w:r w:rsidR="00086584" w:rsidRPr="00EE0BE5">
        <w:rPr>
          <w:sz w:val="22"/>
          <w:szCs w:val="22"/>
        </w:rPr>
        <w:t xml:space="preserve">ervice </w:t>
      </w:r>
      <w:r w:rsidR="00BB483B" w:rsidRPr="00EE0BE5">
        <w:rPr>
          <w:sz w:val="22"/>
          <w:szCs w:val="22"/>
        </w:rPr>
        <w:t>P</w:t>
      </w:r>
      <w:r w:rsidR="00086584" w:rsidRPr="00EE0BE5">
        <w:rPr>
          <w:sz w:val="22"/>
          <w:szCs w:val="22"/>
        </w:rPr>
        <w:t>rovider</w:t>
      </w:r>
      <w:r w:rsidR="00BB483B" w:rsidRPr="00EE0BE5">
        <w:rPr>
          <w:sz w:val="22"/>
          <w:szCs w:val="22"/>
        </w:rPr>
        <w:t>s</w:t>
      </w:r>
      <w:r w:rsidR="00086584" w:rsidRPr="00EE0BE5">
        <w:rPr>
          <w:sz w:val="22"/>
          <w:szCs w:val="22"/>
        </w:rPr>
        <w:t xml:space="preserve"> (</w:t>
      </w:r>
      <w:r w:rsidR="00BB483B" w:rsidRPr="00EE0BE5">
        <w:rPr>
          <w:b/>
          <w:sz w:val="22"/>
          <w:szCs w:val="22"/>
        </w:rPr>
        <w:t>CSP</w:t>
      </w:r>
      <w:r w:rsidR="00BB483B" w:rsidRPr="00EE0BE5">
        <w:rPr>
          <w:sz w:val="22"/>
          <w:szCs w:val="22"/>
        </w:rPr>
        <w:t>s</w:t>
      </w:r>
      <w:r w:rsidR="00086584" w:rsidRPr="00EE0BE5">
        <w:rPr>
          <w:sz w:val="22"/>
          <w:szCs w:val="22"/>
        </w:rPr>
        <w:t>)</w:t>
      </w:r>
      <w:r w:rsidR="00BB483B" w:rsidRPr="00EE0BE5">
        <w:rPr>
          <w:sz w:val="22"/>
          <w:szCs w:val="22"/>
        </w:rPr>
        <w:t xml:space="preserve"> to communicate certain information to end-users relating to both major outages and signification local outages that impact a telecommunications network used to supply carriage services to end-users​.</w:t>
      </w:r>
      <w:r w:rsidR="00A92AB0" w:rsidRPr="00EE0BE5">
        <w:rPr>
          <w:sz w:val="22"/>
          <w:szCs w:val="22"/>
        </w:rPr>
        <w:t xml:space="preserve"> </w:t>
      </w:r>
      <w:r w:rsidR="00200B35" w:rsidRPr="00EE0BE5">
        <w:rPr>
          <w:sz w:val="22"/>
          <w:szCs w:val="22"/>
        </w:rPr>
        <w:t xml:space="preserve">The obligations in relation to </w:t>
      </w:r>
      <w:r w:rsidR="00A25F3C" w:rsidRPr="00EE0BE5">
        <w:rPr>
          <w:sz w:val="22"/>
          <w:szCs w:val="22"/>
        </w:rPr>
        <w:t>‘</w:t>
      </w:r>
      <w:r w:rsidR="00200B35" w:rsidRPr="00EE0BE5">
        <w:rPr>
          <w:sz w:val="22"/>
          <w:szCs w:val="22"/>
        </w:rPr>
        <w:t>major outages</w:t>
      </w:r>
      <w:r w:rsidR="00A25F3C" w:rsidRPr="00EE0BE5">
        <w:rPr>
          <w:sz w:val="22"/>
          <w:szCs w:val="22"/>
        </w:rPr>
        <w:t>’</w:t>
      </w:r>
      <w:r w:rsidR="00200B35" w:rsidRPr="00EE0BE5">
        <w:rPr>
          <w:sz w:val="22"/>
          <w:szCs w:val="22"/>
        </w:rPr>
        <w:t xml:space="preserve"> is to be determined by 14 November 2024 and commence in full </w:t>
      </w:r>
      <w:r w:rsidR="00A25F3C" w:rsidRPr="00EE0BE5">
        <w:rPr>
          <w:sz w:val="22"/>
          <w:szCs w:val="22"/>
        </w:rPr>
        <w:t>by 31 December 2024</w:t>
      </w:r>
      <w:r w:rsidR="00CD7896" w:rsidRPr="00EE0BE5">
        <w:rPr>
          <w:sz w:val="22"/>
          <w:szCs w:val="22"/>
        </w:rPr>
        <w:t xml:space="preserve">. The ACMA must also make </w:t>
      </w:r>
      <w:r w:rsidR="00882CFB" w:rsidRPr="00EE0BE5">
        <w:rPr>
          <w:sz w:val="22"/>
          <w:szCs w:val="22"/>
        </w:rPr>
        <w:t>an Industry Standard</w:t>
      </w:r>
      <w:r w:rsidR="00A25F3C" w:rsidRPr="00EE0BE5">
        <w:rPr>
          <w:sz w:val="22"/>
          <w:szCs w:val="22"/>
        </w:rPr>
        <w:t xml:space="preserve"> in relation to ‘significant local outages’ to be determined by </w:t>
      </w:r>
      <w:r w:rsidR="000B2D63" w:rsidRPr="00EE0BE5">
        <w:rPr>
          <w:sz w:val="22"/>
          <w:szCs w:val="22"/>
        </w:rPr>
        <w:t>30 April 202</w:t>
      </w:r>
      <w:r w:rsidR="00A42DB0" w:rsidRPr="00EE0BE5">
        <w:rPr>
          <w:sz w:val="22"/>
          <w:szCs w:val="22"/>
        </w:rPr>
        <w:t>5</w:t>
      </w:r>
      <w:r w:rsidR="000B2D63" w:rsidRPr="00EE0BE5">
        <w:rPr>
          <w:sz w:val="22"/>
          <w:szCs w:val="22"/>
        </w:rPr>
        <w:t xml:space="preserve"> and commence in full by 30 June 202</w:t>
      </w:r>
      <w:r w:rsidR="00A42DB0" w:rsidRPr="00EE0BE5">
        <w:rPr>
          <w:sz w:val="22"/>
          <w:szCs w:val="22"/>
        </w:rPr>
        <w:t>5</w:t>
      </w:r>
      <w:r w:rsidR="000B2D63" w:rsidRPr="00EE0BE5">
        <w:rPr>
          <w:sz w:val="22"/>
          <w:szCs w:val="22"/>
        </w:rPr>
        <w:t xml:space="preserve">. </w:t>
      </w:r>
    </w:p>
    <w:p w14:paraId="2458C6E7" w14:textId="3800F5FB" w:rsidR="00086DB4" w:rsidRPr="00EE0BE5" w:rsidRDefault="00A92AB0" w:rsidP="0011319E">
      <w:pPr>
        <w:rPr>
          <w:sz w:val="22"/>
          <w:szCs w:val="22"/>
        </w:rPr>
      </w:pPr>
      <w:r w:rsidRPr="00EE0BE5">
        <w:rPr>
          <w:sz w:val="22"/>
          <w:szCs w:val="22"/>
        </w:rPr>
        <w:t xml:space="preserve">The objective of the Minister’s Direction </w:t>
      </w:r>
      <w:r w:rsidR="00393C4A" w:rsidRPr="00EE0BE5">
        <w:rPr>
          <w:sz w:val="22"/>
          <w:szCs w:val="22"/>
        </w:rPr>
        <w:t>is that</w:t>
      </w:r>
      <w:r w:rsidRPr="00EE0BE5">
        <w:rPr>
          <w:sz w:val="22"/>
          <w:szCs w:val="22"/>
        </w:rPr>
        <w:t xml:space="preserve"> </w:t>
      </w:r>
      <w:r w:rsidR="00D87506" w:rsidRPr="00EE0BE5">
        <w:rPr>
          <w:sz w:val="22"/>
          <w:szCs w:val="22"/>
        </w:rPr>
        <w:t>communications with end-users during or in relation to a major outage or significant local outages will be timely, up-to-date, and accessible through a mix of public and direct communications channels; consumers will be able to contact their provider in real-time or near real-time; carriers will share outage information, and telcos will be transparent about their communications processes. ​</w:t>
      </w:r>
    </w:p>
    <w:p w14:paraId="1AFB69F3" w14:textId="3B38626B" w:rsidR="00F40AFD" w:rsidRPr="00EE0BE5" w:rsidRDefault="000D59C7" w:rsidP="0011319E">
      <w:pPr>
        <w:rPr>
          <w:sz w:val="22"/>
          <w:szCs w:val="22"/>
        </w:rPr>
      </w:pPr>
      <w:r w:rsidRPr="00EE0BE5">
        <w:rPr>
          <w:sz w:val="22"/>
          <w:szCs w:val="22"/>
        </w:rPr>
        <w:t xml:space="preserve">On </w:t>
      </w:r>
      <w:r w:rsidR="00E11058" w:rsidRPr="00EE0BE5">
        <w:rPr>
          <w:sz w:val="22"/>
          <w:szCs w:val="22"/>
        </w:rPr>
        <w:t xml:space="preserve">17 September 2024 the ACMA </w:t>
      </w:r>
      <w:r w:rsidR="00FE1435" w:rsidRPr="00EE0BE5">
        <w:rPr>
          <w:sz w:val="22"/>
          <w:szCs w:val="22"/>
        </w:rPr>
        <w:t>published</w:t>
      </w:r>
      <w:r w:rsidRPr="00EE0BE5">
        <w:rPr>
          <w:sz w:val="22"/>
          <w:szCs w:val="22"/>
        </w:rPr>
        <w:t xml:space="preserve"> a draft proposed Standard</w:t>
      </w:r>
      <w:r w:rsidR="00FE1435" w:rsidRPr="00EE0BE5">
        <w:rPr>
          <w:sz w:val="22"/>
          <w:szCs w:val="22"/>
        </w:rPr>
        <w:t xml:space="preserve"> in line with the Direction inviting feedback from </w:t>
      </w:r>
      <w:r w:rsidR="004F164C" w:rsidRPr="00EE0BE5">
        <w:rPr>
          <w:sz w:val="22"/>
          <w:szCs w:val="22"/>
        </w:rPr>
        <w:t>stakeholders</w:t>
      </w:r>
      <w:r w:rsidR="00324174" w:rsidRPr="00EE0BE5">
        <w:rPr>
          <w:sz w:val="22"/>
          <w:szCs w:val="22"/>
        </w:rPr>
        <w:t xml:space="preserve"> </w:t>
      </w:r>
      <w:r w:rsidR="002754FD" w:rsidRPr="00EE0BE5">
        <w:rPr>
          <w:sz w:val="22"/>
          <w:szCs w:val="22"/>
        </w:rPr>
        <w:t>by</w:t>
      </w:r>
      <w:r w:rsidR="0048096A" w:rsidRPr="00EE0BE5">
        <w:rPr>
          <w:sz w:val="22"/>
          <w:szCs w:val="22"/>
        </w:rPr>
        <w:t xml:space="preserve"> 20 October 2024. </w:t>
      </w:r>
      <w:r w:rsidR="002754FD" w:rsidRPr="00EE0BE5">
        <w:rPr>
          <w:sz w:val="22"/>
          <w:szCs w:val="22"/>
        </w:rPr>
        <w:t xml:space="preserve">The ACMA received 22 submissions from stakeholders to the consultation. </w:t>
      </w:r>
      <w:r w:rsidR="00AE1666" w:rsidRPr="00EE0BE5">
        <w:rPr>
          <w:sz w:val="22"/>
          <w:szCs w:val="22"/>
        </w:rPr>
        <w:t>Feedback ranged from the</w:t>
      </w:r>
      <w:r w:rsidR="002E2C5E" w:rsidRPr="00EE0BE5">
        <w:rPr>
          <w:sz w:val="22"/>
          <w:szCs w:val="22"/>
        </w:rPr>
        <w:t xml:space="preserve"> need to refine the definitions of the different outage</w:t>
      </w:r>
      <w:r w:rsidR="00215E45" w:rsidRPr="00EE0BE5">
        <w:rPr>
          <w:sz w:val="22"/>
          <w:szCs w:val="22"/>
        </w:rPr>
        <w:t xml:space="preserve">s and concerns about </w:t>
      </w:r>
      <w:r w:rsidR="00AD2D0F" w:rsidRPr="00EE0BE5">
        <w:rPr>
          <w:sz w:val="22"/>
          <w:szCs w:val="22"/>
        </w:rPr>
        <w:t>the notification requirements during outages</w:t>
      </w:r>
      <w:r w:rsidR="00215E45" w:rsidRPr="00EE0BE5">
        <w:rPr>
          <w:sz w:val="22"/>
          <w:szCs w:val="22"/>
        </w:rPr>
        <w:t xml:space="preserve">, to concerns about the draft proposed Standard excluding </w:t>
      </w:r>
      <w:r w:rsidR="00F3568D" w:rsidRPr="00EE0BE5">
        <w:rPr>
          <w:sz w:val="22"/>
          <w:szCs w:val="22"/>
        </w:rPr>
        <w:t xml:space="preserve">outages caused by natural disasters. </w:t>
      </w:r>
      <w:r w:rsidR="00CA0C7F" w:rsidRPr="00EE0BE5">
        <w:rPr>
          <w:sz w:val="22"/>
          <w:szCs w:val="22"/>
        </w:rPr>
        <w:t xml:space="preserve">All submissions were duly considered and </w:t>
      </w:r>
      <w:r w:rsidR="0038753D" w:rsidRPr="00EE0BE5">
        <w:rPr>
          <w:sz w:val="22"/>
          <w:szCs w:val="22"/>
        </w:rPr>
        <w:t xml:space="preserve">informed </w:t>
      </w:r>
      <w:r w:rsidR="00EE2FEA" w:rsidRPr="00EE0BE5">
        <w:rPr>
          <w:sz w:val="22"/>
          <w:szCs w:val="22"/>
        </w:rPr>
        <w:t xml:space="preserve">decisions on </w:t>
      </w:r>
      <w:r w:rsidR="003D08D4" w:rsidRPr="00EE0BE5">
        <w:rPr>
          <w:sz w:val="22"/>
          <w:szCs w:val="22"/>
        </w:rPr>
        <w:t>refin</w:t>
      </w:r>
      <w:r w:rsidR="00EE2FEA" w:rsidRPr="00EE0BE5">
        <w:rPr>
          <w:sz w:val="22"/>
          <w:szCs w:val="22"/>
        </w:rPr>
        <w:t>ing the</w:t>
      </w:r>
      <w:r w:rsidR="000E6CDD" w:rsidRPr="00EE0BE5">
        <w:rPr>
          <w:sz w:val="22"/>
          <w:szCs w:val="22"/>
        </w:rPr>
        <w:t xml:space="preserve"> </w:t>
      </w:r>
      <w:r w:rsidR="003D08D4" w:rsidRPr="00EE0BE5">
        <w:rPr>
          <w:sz w:val="22"/>
          <w:szCs w:val="22"/>
        </w:rPr>
        <w:t xml:space="preserve">draft Standard. </w:t>
      </w:r>
    </w:p>
    <w:p w14:paraId="5D5C1F84" w14:textId="71C63D84" w:rsidR="00F3568D" w:rsidRPr="00EE0BE5" w:rsidRDefault="00F3568D" w:rsidP="0011319E">
      <w:pPr>
        <w:rPr>
          <w:sz w:val="22"/>
          <w:szCs w:val="22"/>
        </w:rPr>
      </w:pPr>
      <w:r w:rsidRPr="00EE0BE5">
        <w:rPr>
          <w:sz w:val="22"/>
          <w:szCs w:val="22"/>
        </w:rPr>
        <w:t xml:space="preserve">This impact analysis considers </w:t>
      </w:r>
      <w:r w:rsidR="006C0FA8" w:rsidRPr="00EE0BE5">
        <w:rPr>
          <w:sz w:val="22"/>
          <w:szCs w:val="22"/>
        </w:rPr>
        <w:t>four</w:t>
      </w:r>
      <w:r w:rsidRPr="00EE0BE5">
        <w:rPr>
          <w:sz w:val="22"/>
          <w:szCs w:val="22"/>
        </w:rPr>
        <w:t xml:space="preserve"> separate options to address the policy problem</w:t>
      </w:r>
      <w:r w:rsidR="006C0FA8" w:rsidRPr="00EE0BE5">
        <w:rPr>
          <w:sz w:val="22"/>
          <w:szCs w:val="22"/>
        </w:rPr>
        <w:t>:</w:t>
      </w:r>
    </w:p>
    <w:p w14:paraId="6CE52449" w14:textId="047D3DA3" w:rsidR="006C0FA8" w:rsidRPr="00EE0BE5" w:rsidRDefault="006C0FA8" w:rsidP="006C0FA8">
      <w:pPr>
        <w:pStyle w:val="ListParagraph"/>
        <w:numPr>
          <w:ilvl w:val="0"/>
          <w:numId w:val="49"/>
        </w:numPr>
        <w:rPr>
          <w:sz w:val="22"/>
          <w:szCs w:val="22"/>
        </w:rPr>
      </w:pPr>
      <w:r w:rsidRPr="00EE0BE5">
        <w:rPr>
          <w:sz w:val="22"/>
          <w:szCs w:val="22"/>
        </w:rPr>
        <w:t>Status Quo</w:t>
      </w:r>
      <w:r w:rsidR="00717CA8" w:rsidRPr="00EE0BE5">
        <w:rPr>
          <w:sz w:val="22"/>
          <w:szCs w:val="22"/>
        </w:rPr>
        <w:t xml:space="preserve"> – industry </w:t>
      </w:r>
      <w:r w:rsidR="00BD0911" w:rsidRPr="00EE0BE5">
        <w:rPr>
          <w:sz w:val="22"/>
          <w:szCs w:val="22"/>
        </w:rPr>
        <w:t>self-regulation</w:t>
      </w:r>
    </w:p>
    <w:p w14:paraId="46923D16" w14:textId="13144228" w:rsidR="006C0FA8" w:rsidRPr="00EE0BE5" w:rsidRDefault="006C0FA8" w:rsidP="006C0FA8">
      <w:pPr>
        <w:pStyle w:val="ListParagraph"/>
        <w:numPr>
          <w:ilvl w:val="0"/>
          <w:numId w:val="49"/>
        </w:numPr>
        <w:rPr>
          <w:sz w:val="22"/>
          <w:szCs w:val="22"/>
        </w:rPr>
      </w:pPr>
      <w:r w:rsidRPr="00EE0BE5">
        <w:rPr>
          <w:sz w:val="22"/>
          <w:szCs w:val="22"/>
        </w:rPr>
        <w:t xml:space="preserve">Direct Regulation – impose a </w:t>
      </w:r>
      <w:r w:rsidR="01CEE4AA" w:rsidRPr="00EE0BE5">
        <w:rPr>
          <w:sz w:val="22"/>
          <w:szCs w:val="22"/>
        </w:rPr>
        <w:t>S</w:t>
      </w:r>
      <w:r w:rsidRPr="00EE0BE5">
        <w:rPr>
          <w:sz w:val="22"/>
          <w:szCs w:val="22"/>
        </w:rPr>
        <w:t>tandard</w:t>
      </w:r>
    </w:p>
    <w:p w14:paraId="4A576DAE" w14:textId="74F2DCBB" w:rsidR="006C0FA8" w:rsidRPr="00EE0BE5" w:rsidRDefault="006C0FA8" w:rsidP="006C0FA8">
      <w:pPr>
        <w:pStyle w:val="ListParagraph"/>
        <w:numPr>
          <w:ilvl w:val="0"/>
          <w:numId w:val="49"/>
        </w:numPr>
        <w:rPr>
          <w:sz w:val="22"/>
          <w:szCs w:val="22"/>
        </w:rPr>
      </w:pPr>
      <w:r w:rsidRPr="00EE0BE5">
        <w:rPr>
          <w:sz w:val="22"/>
          <w:szCs w:val="22"/>
        </w:rPr>
        <w:lastRenderedPageBreak/>
        <w:t xml:space="preserve">Direction Regulation </w:t>
      </w:r>
      <w:r w:rsidR="00717CA8" w:rsidRPr="00EE0BE5">
        <w:rPr>
          <w:sz w:val="22"/>
          <w:szCs w:val="22"/>
        </w:rPr>
        <w:t>–</w:t>
      </w:r>
      <w:r w:rsidRPr="00EE0BE5">
        <w:rPr>
          <w:sz w:val="22"/>
          <w:szCs w:val="22"/>
        </w:rPr>
        <w:t xml:space="preserve"> </w:t>
      </w:r>
      <w:r w:rsidR="00717CA8" w:rsidRPr="00EE0BE5">
        <w:rPr>
          <w:sz w:val="22"/>
          <w:szCs w:val="22"/>
        </w:rPr>
        <w:t xml:space="preserve">Determination </w:t>
      </w:r>
    </w:p>
    <w:p w14:paraId="5B616C05" w14:textId="1F17982D" w:rsidR="00717CA8" w:rsidRPr="00EE0BE5" w:rsidRDefault="00717CA8" w:rsidP="004C7627">
      <w:pPr>
        <w:pStyle w:val="ListParagraph"/>
        <w:numPr>
          <w:ilvl w:val="0"/>
          <w:numId w:val="49"/>
        </w:numPr>
        <w:rPr>
          <w:sz w:val="22"/>
          <w:szCs w:val="22"/>
        </w:rPr>
      </w:pPr>
      <w:r w:rsidRPr="00EE0BE5">
        <w:rPr>
          <w:sz w:val="22"/>
          <w:szCs w:val="22"/>
        </w:rPr>
        <w:t>Co-regulation</w:t>
      </w:r>
      <w:r w:rsidR="00BD0911" w:rsidRPr="00EE0BE5">
        <w:rPr>
          <w:sz w:val="22"/>
          <w:szCs w:val="22"/>
        </w:rPr>
        <w:t xml:space="preserve"> – develop a code o</w:t>
      </w:r>
      <w:r w:rsidR="006D697E" w:rsidRPr="00EE0BE5">
        <w:rPr>
          <w:sz w:val="22"/>
          <w:szCs w:val="22"/>
        </w:rPr>
        <w:t>f</w:t>
      </w:r>
      <w:r w:rsidR="00BD0911" w:rsidRPr="00EE0BE5">
        <w:rPr>
          <w:sz w:val="22"/>
          <w:szCs w:val="22"/>
        </w:rPr>
        <w:t xml:space="preserve"> </w:t>
      </w:r>
      <w:r w:rsidR="003E669F" w:rsidRPr="00EE0BE5">
        <w:rPr>
          <w:sz w:val="22"/>
          <w:szCs w:val="22"/>
        </w:rPr>
        <w:t>practice.</w:t>
      </w:r>
    </w:p>
    <w:p w14:paraId="34821400" w14:textId="162A5891" w:rsidR="00561A2D" w:rsidRPr="00EE0BE5" w:rsidRDefault="00561A2D" w:rsidP="004C7627">
      <w:pPr>
        <w:rPr>
          <w:sz w:val="22"/>
          <w:szCs w:val="22"/>
        </w:rPr>
      </w:pPr>
      <w:r w:rsidRPr="00EE0BE5">
        <w:rPr>
          <w:sz w:val="22"/>
          <w:szCs w:val="22"/>
        </w:rPr>
        <w:t xml:space="preserve">Based on the analysis outlined further in this Impact Analysis, the recommended outcome is that </w:t>
      </w:r>
      <w:r w:rsidRPr="00EE0BE5">
        <w:rPr>
          <w:b/>
          <w:bCs/>
          <w:sz w:val="22"/>
          <w:szCs w:val="22"/>
        </w:rPr>
        <w:t>Option 2</w:t>
      </w:r>
      <w:r w:rsidRPr="00EE0BE5">
        <w:rPr>
          <w:sz w:val="22"/>
          <w:szCs w:val="22"/>
        </w:rPr>
        <w:t xml:space="preserve"> be implemented, which is in line with the Minister’s Direction. While primarily the ACMA is bound to comply with the Minister’s Direction, this recommendation is based also on the overall net benefit calculation as compared to Option 1</w:t>
      </w:r>
      <w:r w:rsidR="005520F8" w:rsidRPr="00EE0BE5">
        <w:rPr>
          <w:sz w:val="22"/>
          <w:szCs w:val="22"/>
        </w:rPr>
        <w:t>,</w:t>
      </w:r>
      <w:r w:rsidRPr="00EE0BE5">
        <w:rPr>
          <w:sz w:val="22"/>
          <w:szCs w:val="22"/>
        </w:rPr>
        <w:t xml:space="preserve"> Option 3</w:t>
      </w:r>
      <w:r w:rsidR="005520F8" w:rsidRPr="00EE0BE5">
        <w:rPr>
          <w:sz w:val="22"/>
          <w:szCs w:val="22"/>
        </w:rPr>
        <w:t xml:space="preserve"> and Option 4</w:t>
      </w:r>
      <w:r w:rsidRPr="00EE0BE5">
        <w:rPr>
          <w:sz w:val="22"/>
          <w:szCs w:val="22"/>
        </w:rPr>
        <w:t xml:space="preserve">.  </w:t>
      </w:r>
    </w:p>
    <w:p w14:paraId="6936263B" w14:textId="77777777" w:rsidR="00F75760" w:rsidRDefault="00F75760" w:rsidP="0011319E"/>
    <w:p w14:paraId="55754B4B" w14:textId="36D1E3C0" w:rsidR="0011319E" w:rsidRDefault="0011319E" w:rsidP="00C155FC"/>
    <w:p w14:paraId="39CAB9F6" w14:textId="487A3B5A" w:rsidR="006C6DC3" w:rsidRPr="00C155FC" w:rsidRDefault="00C70DED" w:rsidP="004C7627">
      <w:r>
        <w:t xml:space="preserve"> </w:t>
      </w:r>
    </w:p>
    <w:p w14:paraId="2FB7A428" w14:textId="329EDB8A" w:rsidR="004B2960" w:rsidRPr="00E162C4" w:rsidRDefault="009E398B" w:rsidP="004B2960">
      <w:pPr>
        <w:pStyle w:val="Heading1"/>
      </w:pPr>
      <w:bookmarkStart w:id="2" w:name="_Toc181713876"/>
      <w:r>
        <w:lastRenderedPageBreak/>
        <w:t>Introduction</w:t>
      </w:r>
      <w:bookmarkEnd w:id="2"/>
    </w:p>
    <w:p w14:paraId="6438ED24" w14:textId="23CCC584" w:rsidR="588AC77F" w:rsidRDefault="00A03154" w:rsidP="00406FAC">
      <w:bookmarkStart w:id="3" w:name="_Hlk26868779"/>
      <w:bookmarkStart w:id="4" w:name="_Hlk26868934"/>
      <w:r w:rsidRPr="00E82FD2">
        <w:rPr>
          <w:sz w:val="22"/>
          <w:szCs w:val="22"/>
        </w:rPr>
        <w:t>At around 4:05am AEDT on 8 November 2023, the Optus network suffered a major outage affecting fixed-line and mobile services nation-wide. Services were restored gradually from approximately 10:40am, with the majority of services restored by 4pm that day.</w:t>
      </w:r>
      <w:r>
        <w:rPr>
          <w:rStyle w:val="FootnoteReference"/>
          <w:sz w:val="22"/>
          <w:szCs w:val="22"/>
        </w:rPr>
        <w:footnoteReference w:id="3"/>
      </w:r>
      <w:r w:rsidRPr="00E82FD2">
        <w:rPr>
          <w:sz w:val="22"/>
          <w:szCs w:val="22"/>
        </w:rPr>
        <w:t> </w:t>
      </w:r>
    </w:p>
    <w:p w14:paraId="61122E71" w14:textId="44E76B00" w:rsidR="005D5C68" w:rsidRPr="005D5C68" w:rsidRDefault="005D5C68" w:rsidP="005D5C68">
      <w:pPr>
        <w:rPr>
          <w:sz w:val="22"/>
          <w:szCs w:val="22"/>
        </w:rPr>
      </w:pPr>
      <w:r w:rsidRPr="005D5C68">
        <w:rPr>
          <w:sz w:val="22"/>
          <w:szCs w:val="22"/>
        </w:rPr>
        <w:t xml:space="preserve">The Optus outage had a significant impact on a wide range of Australians, affecting emergency services, government services, businesses and </w:t>
      </w:r>
      <w:r w:rsidR="004D3950">
        <w:rPr>
          <w:sz w:val="22"/>
          <w:szCs w:val="22"/>
        </w:rPr>
        <w:t xml:space="preserve">individuals, including those experiencing </w:t>
      </w:r>
      <w:r w:rsidRPr="005D5C68">
        <w:rPr>
          <w:sz w:val="22"/>
          <w:szCs w:val="22"/>
        </w:rPr>
        <w:t>vulnerab</w:t>
      </w:r>
      <w:r w:rsidR="004D3950">
        <w:rPr>
          <w:sz w:val="22"/>
          <w:szCs w:val="22"/>
        </w:rPr>
        <w:t>ility</w:t>
      </w:r>
      <w:r w:rsidRPr="005D5C68">
        <w:rPr>
          <w:sz w:val="22"/>
          <w:szCs w:val="22"/>
        </w:rPr>
        <w:t>.  </w:t>
      </w:r>
    </w:p>
    <w:p w14:paraId="563A5F02" w14:textId="1362FBCE" w:rsidR="005D5C68" w:rsidRPr="005D5C68" w:rsidRDefault="005D5C68" w:rsidP="005D5C68">
      <w:pPr>
        <w:rPr>
          <w:sz w:val="22"/>
          <w:szCs w:val="22"/>
        </w:rPr>
      </w:pPr>
      <w:r w:rsidRPr="005D5C68">
        <w:rPr>
          <w:sz w:val="22"/>
          <w:szCs w:val="22"/>
        </w:rPr>
        <w:t xml:space="preserve">The Optus outage exposed the importance of customer communication during and in relation to outages. In particular, customers experienced delays in receiving advice or a detailed explanation about the cause and impact of the outage, or timeframes for rectification. Customers’ dissatisfaction with Optus’ communications and messaging during the outage was widely reported in the media and conveyed in submissions to the </w:t>
      </w:r>
      <w:hyperlink r:id="rId24" w:history="1">
        <w:r w:rsidR="00373A7D" w:rsidRPr="00F6002A">
          <w:rPr>
            <w:rStyle w:val="Hyperlink"/>
            <w:sz w:val="22"/>
            <w:szCs w:val="22"/>
          </w:rPr>
          <w:t xml:space="preserve">Review into the Optus Outage of </w:t>
        </w:r>
        <w:r w:rsidR="00CD72AA" w:rsidRPr="00F6002A">
          <w:rPr>
            <w:rStyle w:val="Hyperlink"/>
            <w:sz w:val="22"/>
            <w:szCs w:val="22"/>
          </w:rPr>
          <w:t xml:space="preserve">8 November 20223 </w:t>
        </w:r>
        <w:r w:rsidR="00061781" w:rsidRPr="00F6002A">
          <w:rPr>
            <w:rStyle w:val="Hyperlink"/>
            <w:sz w:val="22"/>
            <w:szCs w:val="22"/>
          </w:rPr>
          <w:t>– Final Report</w:t>
        </w:r>
      </w:hyperlink>
      <w:r w:rsidRPr="005D5C68">
        <w:rPr>
          <w:sz w:val="22"/>
          <w:szCs w:val="22"/>
        </w:rPr>
        <w:t>, undertaken by Mr Richard Bean (</w:t>
      </w:r>
      <w:r w:rsidRPr="005D5C68" w:rsidDel="00F538AF">
        <w:rPr>
          <w:sz w:val="22"/>
          <w:szCs w:val="22"/>
        </w:rPr>
        <w:t>Optus Outage Review)</w:t>
      </w:r>
      <w:r w:rsidRPr="005D5C68">
        <w:rPr>
          <w:sz w:val="22"/>
          <w:szCs w:val="22"/>
        </w:rPr>
        <w:t xml:space="preserve"> and in correspondence to the government.  </w:t>
      </w:r>
    </w:p>
    <w:p w14:paraId="08E62B5B" w14:textId="4FD343B5" w:rsidR="00A03154" w:rsidRDefault="005D5C68" w:rsidP="005D5C68">
      <w:pPr>
        <w:rPr>
          <w:sz w:val="22"/>
          <w:szCs w:val="22"/>
        </w:rPr>
      </w:pPr>
      <w:r w:rsidRPr="005D5C68">
        <w:rPr>
          <w:sz w:val="22"/>
          <w:szCs w:val="22"/>
        </w:rPr>
        <w:t>Australians rely heavily on telecommunications services for health and safety, work, business activities, education</w:t>
      </w:r>
      <w:r w:rsidR="009902FD">
        <w:rPr>
          <w:sz w:val="22"/>
          <w:szCs w:val="22"/>
        </w:rPr>
        <w:t xml:space="preserve"> and social interaction</w:t>
      </w:r>
      <w:r w:rsidRPr="005D5C68">
        <w:rPr>
          <w:sz w:val="22"/>
          <w:szCs w:val="22"/>
        </w:rPr>
        <w:t xml:space="preserve">. The disruption that an </w:t>
      </w:r>
      <w:r w:rsidR="001A7620">
        <w:rPr>
          <w:sz w:val="22"/>
          <w:szCs w:val="22"/>
        </w:rPr>
        <w:t xml:space="preserve">unplanned </w:t>
      </w:r>
      <w:r w:rsidRPr="005D5C68">
        <w:rPr>
          <w:sz w:val="22"/>
          <w:szCs w:val="22"/>
        </w:rPr>
        <w:t>outage</w:t>
      </w:r>
      <w:r w:rsidR="002343BB">
        <w:rPr>
          <w:sz w:val="22"/>
          <w:szCs w:val="22"/>
        </w:rPr>
        <w:t xml:space="preserve"> (hereafter outage) </w:t>
      </w:r>
      <w:r w:rsidRPr="005D5C68">
        <w:rPr>
          <w:sz w:val="22"/>
          <w:szCs w:val="22"/>
        </w:rPr>
        <w:t xml:space="preserve">brings to people's lives is understandably frustrating </w:t>
      </w:r>
      <w:r w:rsidR="001A7620">
        <w:rPr>
          <w:sz w:val="22"/>
          <w:szCs w:val="22"/>
        </w:rPr>
        <w:t xml:space="preserve">at best, and harmful at worst. </w:t>
      </w:r>
    </w:p>
    <w:p w14:paraId="10064B88" w14:textId="552A6FAE" w:rsidR="005D5C68" w:rsidRPr="005D5C68" w:rsidRDefault="00A03154" w:rsidP="005D5C68">
      <w:pPr>
        <w:rPr>
          <w:sz w:val="22"/>
          <w:szCs w:val="22"/>
        </w:rPr>
      </w:pPr>
      <w:r>
        <w:rPr>
          <w:sz w:val="22"/>
          <w:szCs w:val="22"/>
        </w:rPr>
        <w:t xml:space="preserve">The causes and responses to the actual outage are being considered through other processes. The issue for consideration here is the communications about the outage by Optus to its customers and those of its resellers. </w:t>
      </w:r>
      <w:r w:rsidR="001A7620">
        <w:rPr>
          <w:sz w:val="22"/>
          <w:szCs w:val="22"/>
        </w:rPr>
        <w:t>T</w:t>
      </w:r>
      <w:r w:rsidR="005D5C68" w:rsidRPr="005D5C68">
        <w:rPr>
          <w:sz w:val="22"/>
          <w:szCs w:val="22"/>
        </w:rPr>
        <w:t xml:space="preserve">here is a strong and reasonable demand for service providers to communicate with customers in a timely manner about outages. This enables consumers to make alternative arrangements </w:t>
      </w:r>
      <w:r w:rsidR="001A7620">
        <w:rPr>
          <w:sz w:val="22"/>
          <w:szCs w:val="22"/>
        </w:rPr>
        <w:t xml:space="preserve">should they need to </w:t>
      </w:r>
      <w:r w:rsidR="005D5C68" w:rsidRPr="005D5C68">
        <w:rPr>
          <w:sz w:val="22"/>
          <w:szCs w:val="22"/>
        </w:rPr>
        <w:t>and helps alleviate the uncertainty that develops without this information.  </w:t>
      </w:r>
    </w:p>
    <w:p w14:paraId="0F5DEC8F" w14:textId="2D876125" w:rsidR="005D5C68" w:rsidRPr="005D5C68" w:rsidRDefault="005D5C68" w:rsidP="005D5C68">
      <w:pPr>
        <w:rPr>
          <w:sz w:val="22"/>
          <w:szCs w:val="22"/>
        </w:rPr>
      </w:pPr>
      <w:r w:rsidRPr="005D5C68">
        <w:rPr>
          <w:sz w:val="22"/>
          <w:szCs w:val="22"/>
        </w:rPr>
        <w:t>There are currently no mandatory requirements for the way in which telecommunications providers communicate with customers in relation to outages. Industry Guideline - Emergency Communications Protocol (G663:2022) provides flexibility for individual providers to determine the level and methods of engagement, the timing and the types of information they communicate with customers and the public. The Guideline is not enforceable and currently, each provider has its own approach</w:t>
      </w:r>
      <w:r w:rsidR="009363C8">
        <w:rPr>
          <w:sz w:val="22"/>
          <w:szCs w:val="22"/>
        </w:rPr>
        <w:t xml:space="preserve"> to communications during outages</w:t>
      </w:r>
      <w:r w:rsidRPr="005D5C68">
        <w:rPr>
          <w:sz w:val="22"/>
          <w:szCs w:val="22"/>
        </w:rPr>
        <w:t>.  </w:t>
      </w:r>
    </w:p>
    <w:p w14:paraId="2148F0AF" w14:textId="01C21786" w:rsidR="005D5C68" w:rsidRPr="005D5C68" w:rsidRDefault="0026447F" w:rsidP="005D5C68">
      <w:pPr>
        <w:rPr>
          <w:sz w:val="22"/>
          <w:szCs w:val="22"/>
        </w:rPr>
      </w:pPr>
      <w:r w:rsidRPr="0026447F">
        <w:rPr>
          <w:sz w:val="22"/>
          <w:szCs w:val="22"/>
        </w:rPr>
        <w:t>On 9 November 2023 the Australian Government announced that it would undertake a post-incident review into the outage</w:t>
      </w:r>
      <w:r>
        <w:rPr>
          <w:sz w:val="22"/>
          <w:szCs w:val="22"/>
        </w:rPr>
        <w:t xml:space="preserve">. </w:t>
      </w:r>
      <w:r w:rsidR="005D5C68" w:rsidRPr="005D5C68">
        <w:rPr>
          <w:sz w:val="22"/>
          <w:szCs w:val="22"/>
        </w:rPr>
        <w:t xml:space="preserve">The </w:t>
      </w:r>
      <w:r w:rsidR="00A03154">
        <w:rPr>
          <w:sz w:val="22"/>
          <w:szCs w:val="22"/>
        </w:rPr>
        <w:t>Optus Outage Review</w:t>
      </w:r>
      <w:r w:rsidR="005D5C68" w:rsidRPr="005D5C68">
        <w:rPr>
          <w:sz w:val="22"/>
          <w:szCs w:val="22"/>
        </w:rPr>
        <w:t xml:space="preserve"> recommended that the ACMA develop a standard or determination requiring carriers to communicate specific information to customers during and about outages – including an explicit focus on communications between the affected network provider and its customers as well as other stakeholders (Recommendation 10).  </w:t>
      </w:r>
    </w:p>
    <w:p w14:paraId="4DC1E942" w14:textId="1F746456" w:rsidR="538FE77E" w:rsidRDefault="00A03154" w:rsidP="5799A352">
      <w:pPr>
        <w:rPr>
          <w:sz w:val="22"/>
          <w:szCs w:val="22"/>
        </w:rPr>
      </w:pPr>
      <w:r w:rsidRPr="13E93F1A">
        <w:rPr>
          <w:sz w:val="22"/>
          <w:szCs w:val="22"/>
        </w:rPr>
        <w:t>O</w:t>
      </w:r>
      <w:r w:rsidR="433C70E7" w:rsidRPr="13E93F1A">
        <w:rPr>
          <w:sz w:val="22"/>
          <w:szCs w:val="22"/>
        </w:rPr>
        <w:t>n 21 August 2024, the ACMA was directed by the Minister for Communications to determine a standard under subsection 125AA</w:t>
      </w:r>
      <w:r w:rsidR="000E6CDD">
        <w:rPr>
          <w:sz w:val="22"/>
          <w:szCs w:val="22"/>
        </w:rPr>
        <w:t xml:space="preserve"> </w:t>
      </w:r>
      <w:r w:rsidR="433C70E7" w:rsidRPr="13E93F1A">
        <w:rPr>
          <w:sz w:val="22"/>
          <w:szCs w:val="22"/>
        </w:rPr>
        <w:t>(1) of the</w:t>
      </w:r>
      <w:r w:rsidR="408E9E4E" w:rsidRPr="13E93F1A">
        <w:rPr>
          <w:sz w:val="22"/>
          <w:szCs w:val="22"/>
        </w:rPr>
        <w:t xml:space="preserve"> </w:t>
      </w:r>
      <w:r w:rsidR="00086584" w:rsidRPr="13E93F1A">
        <w:rPr>
          <w:sz w:val="22"/>
          <w:szCs w:val="22"/>
        </w:rPr>
        <w:t>Telco Act</w:t>
      </w:r>
      <w:r w:rsidR="5F34261A" w:rsidRPr="13E93F1A">
        <w:rPr>
          <w:sz w:val="22"/>
          <w:szCs w:val="22"/>
        </w:rPr>
        <w:t xml:space="preserve"> that deals with information to be provided or made available by carriers and </w:t>
      </w:r>
      <w:r w:rsidR="00507621" w:rsidRPr="13E93F1A">
        <w:rPr>
          <w:sz w:val="22"/>
          <w:szCs w:val="22"/>
        </w:rPr>
        <w:t xml:space="preserve">CSPs </w:t>
      </w:r>
      <w:r w:rsidR="5F34261A" w:rsidRPr="13E93F1A">
        <w:rPr>
          <w:sz w:val="22"/>
          <w:szCs w:val="22"/>
        </w:rPr>
        <w:t>relating to major outages</w:t>
      </w:r>
      <w:r w:rsidR="00367F65" w:rsidRPr="13E93F1A">
        <w:rPr>
          <w:sz w:val="22"/>
          <w:szCs w:val="22"/>
        </w:rPr>
        <w:t>, and significant local outages,</w:t>
      </w:r>
      <w:r w:rsidR="5F34261A" w:rsidRPr="13E93F1A">
        <w:rPr>
          <w:sz w:val="22"/>
          <w:szCs w:val="22"/>
        </w:rPr>
        <w:t xml:space="preserve"> that impact a telecommunications netw</w:t>
      </w:r>
      <w:r w:rsidR="7BA7D934" w:rsidRPr="13E93F1A">
        <w:rPr>
          <w:sz w:val="22"/>
          <w:szCs w:val="22"/>
        </w:rPr>
        <w:t>o</w:t>
      </w:r>
      <w:r w:rsidR="5F34261A" w:rsidRPr="13E93F1A">
        <w:rPr>
          <w:sz w:val="22"/>
          <w:szCs w:val="22"/>
        </w:rPr>
        <w:t>rk used to supply c</w:t>
      </w:r>
      <w:r w:rsidR="0F09278E" w:rsidRPr="13E93F1A">
        <w:rPr>
          <w:sz w:val="22"/>
          <w:szCs w:val="22"/>
        </w:rPr>
        <w:t>a</w:t>
      </w:r>
      <w:r w:rsidR="5F34261A" w:rsidRPr="13E93F1A">
        <w:rPr>
          <w:sz w:val="22"/>
          <w:szCs w:val="22"/>
        </w:rPr>
        <w:t xml:space="preserve">rriage services to end-users. The Standard </w:t>
      </w:r>
      <w:r w:rsidR="00367F65" w:rsidRPr="13E93F1A">
        <w:rPr>
          <w:sz w:val="22"/>
          <w:szCs w:val="22"/>
        </w:rPr>
        <w:t xml:space="preserve">in relation to major outages </w:t>
      </w:r>
      <w:r w:rsidR="5F34261A" w:rsidRPr="13E93F1A">
        <w:rPr>
          <w:sz w:val="22"/>
          <w:szCs w:val="22"/>
        </w:rPr>
        <w:t xml:space="preserve">is to be determined by </w:t>
      </w:r>
      <w:r w:rsidR="5553C6D1" w:rsidRPr="13E93F1A">
        <w:rPr>
          <w:sz w:val="22"/>
          <w:szCs w:val="22"/>
        </w:rPr>
        <w:t>14 November 2024 and commence in full no later than 31 December 2024</w:t>
      </w:r>
      <w:r w:rsidR="668D6C95" w:rsidRPr="13E93F1A">
        <w:rPr>
          <w:sz w:val="22"/>
          <w:szCs w:val="22"/>
        </w:rPr>
        <w:t>. T</w:t>
      </w:r>
      <w:r w:rsidR="00E71FCD" w:rsidRPr="13E93F1A">
        <w:rPr>
          <w:sz w:val="22"/>
          <w:szCs w:val="22"/>
        </w:rPr>
        <w:t xml:space="preserve">he Standard </w:t>
      </w:r>
      <w:r w:rsidR="00E71FCD" w:rsidRPr="13E93F1A">
        <w:rPr>
          <w:sz w:val="22"/>
          <w:szCs w:val="22"/>
        </w:rPr>
        <w:lastRenderedPageBreak/>
        <w:t xml:space="preserve">in relation to significant local outages is to be determined by </w:t>
      </w:r>
      <w:r w:rsidR="00F8607E" w:rsidRPr="13E93F1A">
        <w:rPr>
          <w:sz w:val="22"/>
          <w:szCs w:val="22"/>
        </w:rPr>
        <w:t xml:space="preserve">30 April 2025 and commence in full no later than </w:t>
      </w:r>
      <w:r w:rsidR="00A42DB0" w:rsidRPr="13E93F1A">
        <w:rPr>
          <w:sz w:val="22"/>
          <w:szCs w:val="22"/>
        </w:rPr>
        <w:t>30 June 2025.</w:t>
      </w:r>
      <w:r w:rsidR="5553C6D1" w:rsidRPr="13E93F1A">
        <w:rPr>
          <w:sz w:val="22"/>
          <w:szCs w:val="22"/>
        </w:rPr>
        <w:t xml:space="preserve"> </w:t>
      </w:r>
    </w:p>
    <w:p w14:paraId="1B5C8374" w14:textId="5A279E8E" w:rsidR="000B4664" w:rsidRPr="00A17B1B" w:rsidRDefault="009D2C0C" w:rsidP="000B4664">
      <w:pPr>
        <w:pStyle w:val="Heading1"/>
      </w:pPr>
      <w:bookmarkStart w:id="5" w:name="_Toc181713877"/>
      <w:bookmarkEnd w:id="3"/>
      <w:bookmarkEnd w:id="4"/>
      <w:r>
        <w:lastRenderedPageBreak/>
        <w:t>What is the policy problem?</w:t>
      </w:r>
      <w:bookmarkEnd w:id="5"/>
    </w:p>
    <w:p w14:paraId="60B467B7" w14:textId="77777777" w:rsidR="00E82FD2" w:rsidRDefault="00E82FD2" w:rsidP="00E66F9C">
      <w:pPr>
        <w:pStyle w:val="Heading2"/>
      </w:pPr>
      <w:bookmarkStart w:id="6" w:name="_Toc181713878"/>
      <w:r w:rsidRPr="00E82FD2">
        <w:t>The November 2023 Optus outage and its impacts</w:t>
      </w:r>
      <w:bookmarkEnd w:id="6"/>
      <w:r w:rsidRPr="00E82FD2">
        <w:t> </w:t>
      </w:r>
    </w:p>
    <w:p w14:paraId="03FBB020" w14:textId="60EDE3C2" w:rsidR="00E82FD2" w:rsidRPr="00E82FD2" w:rsidRDefault="00E82FD2" w:rsidP="00A32FE8">
      <w:pPr>
        <w:rPr>
          <w:sz w:val="22"/>
          <w:szCs w:val="22"/>
        </w:rPr>
      </w:pPr>
      <w:r w:rsidRPr="00E82FD2">
        <w:rPr>
          <w:sz w:val="22"/>
          <w:szCs w:val="22"/>
        </w:rPr>
        <w:t>At around 4:05am AEDT on 8 November 2023, the Optus network suffered a major outage affecting fixed-line and mobile services nation-wide. Services were restored gradually from approximately 10:40am, with the majority of services restored by 4pm that day.</w:t>
      </w:r>
      <w:r w:rsidR="007A6D64">
        <w:rPr>
          <w:rStyle w:val="FootnoteReference"/>
          <w:sz w:val="22"/>
          <w:szCs w:val="22"/>
        </w:rPr>
        <w:footnoteReference w:id="4"/>
      </w:r>
      <w:r w:rsidRPr="00E82FD2">
        <w:rPr>
          <w:sz w:val="22"/>
          <w:szCs w:val="22"/>
        </w:rPr>
        <w:t> </w:t>
      </w:r>
    </w:p>
    <w:p w14:paraId="69A06A87" w14:textId="20A8A46D" w:rsidR="00E82FD2" w:rsidRPr="00E82FD2" w:rsidRDefault="00E82FD2" w:rsidP="00A32FE8">
      <w:pPr>
        <w:rPr>
          <w:sz w:val="22"/>
          <w:szCs w:val="22"/>
        </w:rPr>
      </w:pPr>
      <w:r w:rsidRPr="00E82FD2">
        <w:rPr>
          <w:sz w:val="22"/>
          <w:szCs w:val="22"/>
        </w:rPr>
        <w:t xml:space="preserve">Optus is the second largest telco provider in Australia, delivering more than 10 million services across a range of telecommunications products and services, including mobile and fixed-line telephony and internet services to consumers and enterprises. The outage had major impacts, disrupting Optus fixed-line and mobile services, and preventing </w:t>
      </w:r>
      <w:r w:rsidR="00FE145F">
        <w:rPr>
          <w:sz w:val="22"/>
          <w:szCs w:val="22"/>
        </w:rPr>
        <w:t xml:space="preserve">some </w:t>
      </w:r>
      <w:r w:rsidRPr="00E82FD2">
        <w:rPr>
          <w:sz w:val="22"/>
          <w:szCs w:val="22"/>
        </w:rPr>
        <w:t>end-users from accessing Triple Zero. </w:t>
      </w:r>
    </w:p>
    <w:p w14:paraId="3D809DD8" w14:textId="18368FA2" w:rsidR="001F1AB7" w:rsidRPr="005D5C68" w:rsidRDefault="009B416F" w:rsidP="001F1AB7">
      <w:pPr>
        <w:rPr>
          <w:sz w:val="22"/>
          <w:szCs w:val="22"/>
        </w:rPr>
      </w:pPr>
      <w:r>
        <w:rPr>
          <w:sz w:val="22"/>
          <w:szCs w:val="22"/>
        </w:rPr>
        <w:t xml:space="preserve">Aside from </w:t>
      </w:r>
      <w:r w:rsidR="006C04EA">
        <w:rPr>
          <w:sz w:val="22"/>
          <w:szCs w:val="22"/>
        </w:rPr>
        <w:t>media coverage</w:t>
      </w:r>
      <w:r w:rsidR="008B0C76">
        <w:rPr>
          <w:sz w:val="22"/>
          <w:szCs w:val="22"/>
        </w:rPr>
        <w:t xml:space="preserve"> and information gleaned </w:t>
      </w:r>
      <w:r>
        <w:rPr>
          <w:sz w:val="22"/>
          <w:szCs w:val="22"/>
        </w:rPr>
        <w:t>f</w:t>
      </w:r>
      <w:r w:rsidR="00020ADE">
        <w:rPr>
          <w:sz w:val="22"/>
          <w:szCs w:val="22"/>
        </w:rPr>
        <w:t>r</w:t>
      </w:r>
      <w:r>
        <w:rPr>
          <w:sz w:val="22"/>
          <w:szCs w:val="22"/>
        </w:rPr>
        <w:t xml:space="preserve">om the Review </w:t>
      </w:r>
      <w:r w:rsidR="00202605">
        <w:rPr>
          <w:sz w:val="22"/>
          <w:szCs w:val="22"/>
        </w:rPr>
        <w:t>and from the Senate Standing Committee on Environment and Communications References Committee into the Optus Outage, t</w:t>
      </w:r>
      <w:r w:rsidR="00ED30A9">
        <w:rPr>
          <w:sz w:val="22"/>
          <w:szCs w:val="22"/>
        </w:rPr>
        <w:t xml:space="preserve">he </w:t>
      </w:r>
      <w:r w:rsidR="009131F4">
        <w:rPr>
          <w:sz w:val="22"/>
          <w:szCs w:val="22"/>
        </w:rPr>
        <w:t>impact specific to each</w:t>
      </w:r>
      <w:r w:rsidR="00841112">
        <w:rPr>
          <w:sz w:val="22"/>
          <w:szCs w:val="22"/>
        </w:rPr>
        <w:t xml:space="preserve"> stakeholder</w:t>
      </w:r>
      <w:r w:rsidR="009131F4">
        <w:rPr>
          <w:sz w:val="22"/>
          <w:szCs w:val="22"/>
        </w:rPr>
        <w:t xml:space="preserve"> cohort has been difficult to quantify</w:t>
      </w:r>
      <w:r w:rsidR="004E3FD1">
        <w:rPr>
          <w:sz w:val="22"/>
          <w:szCs w:val="22"/>
        </w:rPr>
        <w:t>. This is</w:t>
      </w:r>
      <w:r w:rsidR="009131F4">
        <w:rPr>
          <w:sz w:val="22"/>
          <w:szCs w:val="22"/>
        </w:rPr>
        <w:t xml:space="preserve"> </w:t>
      </w:r>
      <w:r w:rsidR="00965919">
        <w:rPr>
          <w:sz w:val="22"/>
          <w:szCs w:val="22"/>
        </w:rPr>
        <w:t>due to a lack of</w:t>
      </w:r>
      <w:r w:rsidR="001F71CA">
        <w:rPr>
          <w:sz w:val="22"/>
          <w:szCs w:val="22"/>
        </w:rPr>
        <w:t xml:space="preserve"> </w:t>
      </w:r>
      <w:r w:rsidR="009E13E1">
        <w:rPr>
          <w:sz w:val="22"/>
          <w:szCs w:val="22"/>
        </w:rPr>
        <w:t xml:space="preserve">available </w:t>
      </w:r>
      <w:r w:rsidR="00965919">
        <w:rPr>
          <w:sz w:val="22"/>
          <w:szCs w:val="22"/>
        </w:rPr>
        <w:t>dat</w:t>
      </w:r>
      <w:r w:rsidR="001F71CA">
        <w:rPr>
          <w:sz w:val="22"/>
          <w:szCs w:val="22"/>
        </w:rPr>
        <w:t xml:space="preserve">a from the telecommunication industry </w:t>
      </w:r>
      <w:r w:rsidR="00CE1E77">
        <w:rPr>
          <w:sz w:val="22"/>
          <w:szCs w:val="22"/>
        </w:rPr>
        <w:t xml:space="preserve">or </w:t>
      </w:r>
      <w:r w:rsidR="008274CC">
        <w:rPr>
          <w:sz w:val="22"/>
          <w:szCs w:val="22"/>
        </w:rPr>
        <w:t xml:space="preserve">the business sector </w:t>
      </w:r>
      <w:r w:rsidR="001F71CA">
        <w:rPr>
          <w:sz w:val="22"/>
          <w:szCs w:val="22"/>
        </w:rPr>
        <w:t xml:space="preserve">in relation to </w:t>
      </w:r>
      <w:r w:rsidR="00A4267B">
        <w:rPr>
          <w:sz w:val="22"/>
          <w:szCs w:val="22"/>
        </w:rPr>
        <w:t>the impact of outages</w:t>
      </w:r>
      <w:r w:rsidR="00865D47">
        <w:rPr>
          <w:sz w:val="22"/>
          <w:szCs w:val="22"/>
        </w:rPr>
        <w:t xml:space="preserve">, </w:t>
      </w:r>
      <w:r w:rsidR="00A80822">
        <w:rPr>
          <w:sz w:val="22"/>
          <w:szCs w:val="22"/>
        </w:rPr>
        <w:t xml:space="preserve">the number of outages caused annually and </w:t>
      </w:r>
      <w:r w:rsidR="00A4267B">
        <w:rPr>
          <w:sz w:val="22"/>
          <w:szCs w:val="22"/>
        </w:rPr>
        <w:t xml:space="preserve">the types and causal nature of </w:t>
      </w:r>
      <w:r w:rsidR="00A80822">
        <w:rPr>
          <w:sz w:val="22"/>
          <w:szCs w:val="22"/>
        </w:rPr>
        <w:t xml:space="preserve">the different </w:t>
      </w:r>
      <w:r w:rsidR="00A4267B">
        <w:rPr>
          <w:sz w:val="22"/>
          <w:szCs w:val="22"/>
        </w:rPr>
        <w:t xml:space="preserve">outages around Australia. </w:t>
      </w:r>
      <w:r w:rsidR="00965919">
        <w:rPr>
          <w:sz w:val="22"/>
          <w:szCs w:val="22"/>
        </w:rPr>
        <w:t xml:space="preserve"> </w:t>
      </w:r>
    </w:p>
    <w:p w14:paraId="6E6913CA" w14:textId="038D5AE7" w:rsidR="00362228" w:rsidRDefault="005B5949" w:rsidP="00A32FE8">
      <w:pPr>
        <w:rPr>
          <w:sz w:val="22"/>
          <w:szCs w:val="22"/>
        </w:rPr>
      </w:pPr>
      <w:r w:rsidRPr="13E93F1A">
        <w:rPr>
          <w:sz w:val="22"/>
          <w:szCs w:val="22"/>
        </w:rPr>
        <w:t>Based on available data and information reported widely,</w:t>
      </w:r>
      <w:r w:rsidR="00841112" w:rsidRPr="13E93F1A">
        <w:rPr>
          <w:sz w:val="22"/>
          <w:szCs w:val="22"/>
        </w:rPr>
        <w:t xml:space="preserve"> the </w:t>
      </w:r>
      <w:r w:rsidR="12A0D85A" w:rsidRPr="13E93F1A">
        <w:rPr>
          <w:sz w:val="22"/>
          <w:szCs w:val="22"/>
        </w:rPr>
        <w:t>o</w:t>
      </w:r>
      <w:r w:rsidR="00841112" w:rsidRPr="13E93F1A">
        <w:rPr>
          <w:sz w:val="22"/>
          <w:szCs w:val="22"/>
        </w:rPr>
        <w:t>utage impacted a wide range of Australians, affecting emergency services, government services, and individuals, including those experiencing vulnerability. </w:t>
      </w:r>
      <w:r w:rsidR="00E468A3" w:rsidRPr="13E93F1A">
        <w:rPr>
          <w:sz w:val="22"/>
          <w:szCs w:val="22"/>
        </w:rPr>
        <w:t xml:space="preserve">For individuals, some will experience minimal </w:t>
      </w:r>
      <w:r w:rsidR="007F189F" w:rsidRPr="13E93F1A">
        <w:rPr>
          <w:sz w:val="22"/>
          <w:szCs w:val="22"/>
        </w:rPr>
        <w:t>inconveni</w:t>
      </w:r>
      <w:r w:rsidR="00902099" w:rsidRPr="13E93F1A">
        <w:rPr>
          <w:sz w:val="22"/>
          <w:szCs w:val="22"/>
        </w:rPr>
        <w:t xml:space="preserve">ence and </w:t>
      </w:r>
      <w:r w:rsidR="002D30E4" w:rsidRPr="13E93F1A">
        <w:rPr>
          <w:sz w:val="22"/>
          <w:szCs w:val="22"/>
        </w:rPr>
        <w:t>other</w:t>
      </w:r>
      <w:r w:rsidR="004B5508" w:rsidRPr="13E93F1A">
        <w:rPr>
          <w:sz w:val="22"/>
          <w:szCs w:val="22"/>
        </w:rPr>
        <w:t>s</w:t>
      </w:r>
      <w:r w:rsidR="002D30E4" w:rsidRPr="13E93F1A">
        <w:rPr>
          <w:sz w:val="22"/>
          <w:szCs w:val="22"/>
        </w:rPr>
        <w:t xml:space="preserve"> significant</w:t>
      </w:r>
      <w:r w:rsidR="00C21AEB" w:rsidRPr="13E93F1A">
        <w:rPr>
          <w:sz w:val="22"/>
          <w:szCs w:val="22"/>
        </w:rPr>
        <w:t>. F</w:t>
      </w:r>
      <w:r w:rsidR="002D30E4" w:rsidRPr="13E93F1A">
        <w:rPr>
          <w:sz w:val="22"/>
          <w:szCs w:val="22"/>
        </w:rPr>
        <w:t>or example</w:t>
      </w:r>
      <w:r w:rsidR="00F33F14" w:rsidRPr="13E93F1A">
        <w:rPr>
          <w:sz w:val="22"/>
          <w:szCs w:val="22"/>
        </w:rPr>
        <w:t>,</w:t>
      </w:r>
      <w:r w:rsidR="002D30E4" w:rsidRPr="13E93F1A">
        <w:rPr>
          <w:sz w:val="22"/>
          <w:szCs w:val="22"/>
        </w:rPr>
        <w:t xml:space="preserve"> </w:t>
      </w:r>
      <w:r w:rsidR="00C21AEB" w:rsidRPr="13E93F1A">
        <w:rPr>
          <w:sz w:val="22"/>
          <w:szCs w:val="22"/>
        </w:rPr>
        <w:t xml:space="preserve">an individual that is </w:t>
      </w:r>
      <w:r w:rsidR="002D30E4" w:rsidRPr="13E93F1A">
        <w:rPr>
          <w:sz w:val="22"/>
          <w:szCs w:val="22"/>
        </w:rPr>
        <w:t>reliant on a telecommunications connecti</w:t>
      </w:r>
      <w:r w:rsidR="00E1566A" w:rsidRPr="13E93F1A">
        <w:rPr>
          <w:sz w:val="22"/>
          <w:szCs w:val="22"/>
        </w:rPr>
        <w:t>o</w:t>
      </w:r>
      <w:r w:rsidR="002D30E4" w:rsidRPr="13E93F1A">
        <w:rPr>
          <w:sz w:val="22"/>
          <w:szCs w:val="22"/>
        </w:rPr>
        <w:t>n to work from home</w:t>
      </w:r>
      <w:r w:rsidR="00E1566A" w:rsidRPr="13E93F1A">
        <w:rPr>
          <w:sz w:val="22"/>
          <w:szCs w:val="22"/>
        </w:rPr>
        <w:t xml:space="preserve"> </w:t>
      </w:r>
      <w:r w:rsidR="00C21AEB" w:rsidRPr="13E93F1A">
        <w:rPr>
          <w:sz w:val="22"/>
          <w:szCs w:val="22"/>
        </w:rPr>
        <w:t xml:space="preserve">may experience significant impact and inconvenience, which </w:t>
      </w:r>
      <w:r w:rsidR="00F33F14" w:rsidRPr="13E93F1A">
        <w:rPr>
          <w:sz w:val="22"/>
          <w:szCs w:val="22"/>
        </w:rPr>
        <w:t xml:space="preserve">will </w:t>
      </w:r>
      <w:r w:rsidR="00C21AEB" w:rsidRPr="13E93F1A">
        <w:rPr>
          <w:sz w:val="22"/>
          <w:szCs w:val="22"/>
        </w:rPr>
        <w:t>have a cost</w:t>
      </w:r>
      <w:r w:rsidR="002D30E4" w:rsidRPr="13E93F1A">
        <w:rPr>
          <w:sz w:val="22"/>
          <w:szCs w:val="22"/>
        </w:rPr>
        <w:t xml:space="preserve">. </w:t>
      </w:r>
      <w:r w:rsidR="004A67E2" w:rsidRPr="13E93F1A">
        <w:rPr>
          <w:sz w:val="22"/>
          <w:szCs w:val="22"/>
        </w:rPr>
        <w:t>The same applies to small business, government and large enterprise customers of telecommunications services – the impacts will vary</w:t>
      </w:r>
      <w:r w:rsidR="00362228" w:rsidRPr="13E93F1A">
        <w:rPr>
          <w:sz w:val="22"/>
          <w:szCs w:val="22"/>
        </w:rPr>
        <w:t xml:space="preserve"> from minimal, through to the inability to deliver some or all services or products that the business provides</w:t>
      </w:r>
      <w:r w:rsidR="004A67E2" w:rsidRPr="13E93F1A">
        <w:rPr>
          <w:sz w:val="22"/>
          <w:szCs w:val="22"/>
        </w:rPr>
        <w:t>,</w:t>
      </w:r>
    </w:p>
    <w:p w14:paraId="4A23B201" w14:textId="2FBC372C" w:rsidR="00E82FD2" w:rsidRPr="00E82FD2" w:rsidRDefault="00E82FD2" w:rsidP="00A32FE8">
      <w:pPr>
        <w:rPr>
          <w:sz w:val="22"/>
          <w:szCs w:val="22"/>
        </w:rPr>
      </w:pPr>
      <w:r w:rsidRPr="00E82FD2">
        <w:rPr>
          <w:sz w:val="22"/>
          <w:szCs w:val="22"/>
        </w:rPr>
        <w:t xml:space="preserve">The outage also affected businesses that rely on Optus for telecommunications services. Three of Australia’s largest banks were unable to make or receive calls from their call centres and their customers were unable to receive transaction verification text messages. Train services in Melbourne were severely delayed, and some important services such as hospitals were unable to make or receive calls. Many other large and small businesses were unable to process transactions because EFTPOS machines that used Optus SIM cards were offline. </w:t>
      </w:r>
      <w:r w:rsidR="00A03154">
        <w:rPr>
          <w:sz w:val="22"/>
          <w:szCs w:val="22"/>
        </w:rPr>
        <w:t>Customers</w:t>
      </w:r>
      <w:r w:rsidR="00A03154" w:rsidRPr="00E82FD2">
        <w:rPr>
          <w:sz w:val="22"/>
          <w:szCs w:val="22"/>
        </w:rPr>
        <w:t xml:space="preserve"> </w:t>
      </w:r>
      <w:r w:rsidRPr="00E82FD2">
        <w:rPr>
          <w:sz w:val="22"/>
          <w:szCs w:val="22"/>
        </w:rPr>
        <w:t>of Optus</w:t>
      </w:r>
      <w:r w:rsidR="00A03154">
        <w:rPr>
          <w:sz w:val="22"/>
          <w:szCs w:val="22"/>
        </w:rPr>
        <w:t>’</w:t>
      </w:r>
      <w:r w:rsidRPr="00E82FD2">
        <w:rPr>
          <w:sz w:val="22"/>
          <w:szCs w:val="22"/>
        </w:rPr>
        <w:t xml:space="preserve"> resellers such as Amaysim and Dodo were also impacted</w:t>
      </w:r>
      <w:r w:rsidR="00957D4A">
        <w:rPr>
          <w:sz w:val="22"/>
          <w:szCs w:val="22"/>
        </w:rPr>
        <w:t xml:space="preserve"> as they rely on the Optus network for their </w:t>
      </w:r>
      <w:r w:rsidR="00971AE3">
        <w:rPr>
          <w:sz w:val="22"/>
          <w:szCs w:val="22"/>
        </w:rPr>
        <w:t>customers</w:t>
      </w:r>
      <w:r w:rsidR="00D06284">
        <w:rPr>
          <w:sz w:val="22"/>
          <w:szCs w:val="22"/>
        </w:rPr>
        <w:t>’</w:t>
      </w:r>
      <w:r w:rsidR="00971AE3">
        <w:rPr>
          <w:sz w:val="22"/>
          <w:szCs w:val="22"/>
        </w:rPr>
        <w:t xml:space="preserve"> own communications</w:t>
      </w:r>
      <w:r w:rsidRPr="00E82FD2">
        <w:rPr>
          <w:sz w:val="22"/>
          <w:szCs w:val="22"/>
        </w:rPr>
        <w:t>.</w:t>
      </w:r>
      <w:r w:rsidR="00DF2EC6">
        <w:rPr>
          <w:rStyle w:val="FootnoteReference"/>
          <w:sz w:val="22"/>
          <w:szCs w:val="22"/>
        </w:rPr>
        <w:footnoteReference w:id="5"/>
      </w:r>
      <w:r w:rsidRPr="00E82FD2">
        <w:rPr>
          <w:sz w:val="22"/>
          <w:szCs w:val="22"/>
        </w:rPr>
        <w:t> </w:t>
      </w:r>
    </w:p>
    <w:p w14:paraId="5670BEF5" w14:textId="12A97F58" w:rsidR="00E82FD2" w:rsidRPr="00E82FD2" w:rsidRDefault="00E82FD2" w:rsidP="00A32FE8">
      <w:pPr>
        <w:rPr>
          <w:sz w:val="22"/>
          <w:szCs w:val="22"/>
        </w:rPr>
      </w:pPr>
      <w:r w:rsidRPr="13E93F1A">
        <w:rPr>
          <w:sz w:val="22"/>
          <w:szCs w:val="22"/>
        </w:rPr>
        <w:t xml:space="preserve">The Telecommunications Industry Ombudsman’s (TIO) submission to the Senate </w:t>
      </w:r>
      <w:r w:rsidR="00D313CB" w:rsidRPr="13E93F1A">
        <w:rPr>
          <w:sz w:val="22"/>
          <w:szCs w:val="22"/>
        </w:rPr>
        <w:t xml:space="preserve">Standing Committee on </w:t>
      </w:r>
      <w:r w:rsidR="00EC4F96" w:rsidRPr="13E93F1A">
        <w:rPr>
          <w:sz w:val="22"/>
          <w:szCs w:val="22"/>
        </w:rPr>
        <w:t xml:space="preserve">Environment and Communications References Committee </w:t>
      </w:r>
      <w:r w:rsidR="0090386C" w:rsidRPr="13E93F1A">
        <w:rPr>
          <w:sz w:val="22"/>
          <w:szCs w:val="22"/>
        </w:rPr>
        <w:t xml:space="preserve">into the Optus Outage </w:t>
      </w:r>
      <w:r w:rsidRPr="13E93F1A">
        <w:rPr>
          <w:sz w:val="22"/>
          <w:szCs w:val="22"/>
        </w:rPr>
        <w:t xml:space="preserve">advised that, as </w:t>
      </w:r>
      <w:r w:rsidR="003E669F" w:rsidRPr="13E93F1A">
        <w:rPr>
          <w:sz w:val="22"/>
          <w:szCs w:val="22"/>
        </w:rPr>
        <w:t>of</w:t>
      </w:r>
      <w:r w:rsidRPr="13E93F1A">
        <w:rPr>
          <w:sz w:val="22"/>
          <w:szCs w:val="22"/>
        </w:rPr>
        <w:t xml:space="preserve"> 14 November 2023, it was experiencing a 30% increase in contacts to its office above usual volumes as a result of the outage. By the end of 2023, the TIO had received 919 complaints from consumers who were impacted by the Optus </w:t>
      </w:r>
      <w:r w:rsidR="729B02F9" w:rsidRPr="13E93F1A">
        <w:rPr>
          <w:sz w:val="22"/>
          <w:szCs w:val="22"/>
        </w:rPr>
        <w:t>O</w:t>
      </w:r>
      <w:r w:rsidRPr="13E93F1A">
        <w:rPr>
          <w:sz w:val="22"/>
          <w:szCs w:val="22"/>
        </w:rPr>
        <w:t>utage, with 20 percent of those from small businesses. Harms consumers reported to the TIO included being unable to:  </w:t>
      </w:r>
    </w:p>
    <w:p w14:paraId="3E5A9ABD" w14:textId="77777777" w:rsidR="00E82FD2" w:rsidRPr="00E82FD2" w:rsidRDefault="00E82FD2" w:rsidP="009E58FA">
      <w:pPr>
        <w:numPr>
          <w:ilvl w:val="0"/>
          <w:numId w:val="42"/>
        </w:numPr>
        <w:spacing w:after="120" w:line="240" w:lineRule="auto"/>
        <w:ind w:left="709" w:hanging="425"/>
        <w:textAlignment w:val="baseline"/>
        <w:rPr>
          <w:rFonts w:cs="Arial"/>
          <w:sz w:val="22"/>
          <w:szCs w:val="22"/>
        </w:rPr>
      </w:pPr>
      <w:r w:rsidRPr="00E82FD2">
        <w:rPr>
          <w:rFonts w:cs="Arial"/>
          <w:sz w:val="22"/>
          <w:szCs w:val="22"/>
        </w:rPr>
        <w:t>work due to the lack of internet and phone connection </w:t>
      </w:r>
    </w:p>
    <w:p w14:paraId="34EF276B" w14:textId="77777777" w:rsidR="00E82FD2" w:rsidRPr="00E82FD2" w:rsidRDefault="00E82FD2" w:rsidP="009E58FA">
      <w:pPr>
        <w:numPr>
          <w:ilvl w:val="0"/>
          <w:numId w:val="42"/>
        </w:numPr>
        <w:spacing w:after="120" w:line="240" w:lineRule="auto"/>
        <w:ind w:left="709" w:hanging="425"/>
        <w:textAlignment w:val="baseline"/>
        <w:rPr>
          <w:rFonts w:cs="Arial"/>
          <w:sz w:val="22"/>
          <w:szCs w:val="22"/>
        </w:rPr>
      </w:pPr>
      <w:r w:rsidRPr="00E82FD2">
        <w:rPr>
          <w:rFonts w:cs="Arial"/>
          <w:sz w:val="22"/>
          <w:szCs w:val="22"/>
        </w:rPr>
        <w:t>make sales or otherwise operate their small business </w:t>
      </w:r>
    </w:p>
    <w:p w14:paraId="55C7F6C8" w14:textId="77777777" w:rsidR="00E82FD2" w:rsidRPr="00E82FD2" w:rsidRDefault="00E82FD2" w:rsidP="009E58FA">
      <w:pPr>
        <w:numPr>
          <w:ilvl w:val="0"/>
          <w:numId w:val="42"/>
        </w:numPr>
        <w:spacing w:after="120" w:line="240" w:lineRule="auto"/>
        <w:ind w:left="709" w:hanging="425"/>
        <w:textAlignment w:val="baseline"/>
        <w:rPr>
          <w:rFonts w:cs="Arial"/>
          <w:sz w:val="22"/>
          <w:szCs w:val="22"/>
        </w:rPr>
      </w:pPr>
      <w:r w:rsidRPr="00E82FD2">
        <w:rPr>
          <w:rFonts w:cs="Arial"/>
          <w:sz w:val="22"/>
          <w:szCs w:val="22"/>
        </w:rPr>
        <w:lastRenderedPageBreak/>
        <w:t>pay for food, bills and other essentials </w:t>
      </w:r>
    </w:p>
    <w:p w14:paraId="7353385C" w14:textId="77777777" w:rsidR="00E82FD2" w:rsidRPr="00E82FD2" w:rsidRDefault="00E82FD2" w:rsidP="009E58FA">
      <w:pPr>
        <w:numPr>
          <w:ilvl w:val="0"/>
          <w:numId w:val="42"/>
        </w:numPr>
        <w:spacing w:after="120" w:line="240" w:lineRule="auto"/>
        <w:ind w:left="709" w:hanging="425"/>
        <w:textAlignment w:val="baseline"/>
        <w:rPr>
          <w:rFonts w:cs="Arial"/>
          <w:sz w:val="22"/>
          <w:szCs w:val="22"/>
        </w:rPr>
      </w:pPr>
      <w:r w:rsidRPr="00E82FD2">
        <w:rPr>
          <w:rFonts w:cs="Arial"/>
          <w:sz w:val="22"/>
          <w:szCs w:val="22"/>
        </w:rPr>
        <w:t>attend, make or reschedule medical or other appointments </w:t>
      </w:r>
    </w:p>
    <w:p w14:paraId="5AA61C3A" w14:textId="77777777" w:rsidR="00E82FD2" w:rsidRPr="00E82FD2" w:rsidRDefault="00E82FD2" w:rsidP="009E58FA">
      <w:pPr>
        <w:numPr>
          <w:ilvl w:val="0"/>
          <w:numId w:val="42"/>
        </w:numPr>
        <w:spacing w:after="120" w:line="240" w:lineRule="auto"/>
        <w:ind w:left="709" w:hanging="425"/>
        <w:textAlignment w:val="baseline"/>
        <w:rPr>
          <w:rFonts w:cs="Arial"/>
          <w:sz w:val="22"/>
          <w:szCs w:val="22"/>
        </w:rPr>
      </w:pPr>
      <w:r w:rsidRPr="00E82FD2">
        <w:rPr>
          <w:rFonts w:cs="Arial"/>
          <w:sz w:val="22"/>
          <w:szCs w:val="22"/>
        </w:rPr>
        <w:t>contact friends, family and support services </w:t>
      </w:r>
    </w:p>
    <w:p w14:paraId="3195D22F" w14:textId="77777777" w:rsidR="00E82FD2" w:rsidRPr="00E82FD2" w:rsidRDefault="00E82FD2" w:rsidP="009E58FA">
      <w:pPr>
        <w:numPr>
          <w:ilvl w:val="0"/>
          <w:numId w:val="42"/>
        </w:numPr>
        <w:spacing w:after="120" w:line="240" w:lineRule="auto"/>
        <w:ind w:left="709" w:hanging="425"/>
        <w:textAlignment w:val="baseline"/>
        <w:rPr>
          <w:rFonts w:cs="Arial"/>
          <w:sz w:val="22"/>
          <w:szCs w:val="22"/>
        </w:rPr>
      </w:pPr>
      <w:r w:rsidRPr="00E82FD2">
        <w:rPr>
          <w:rFonts w:cs="Arial"/>
          <w:sz w:val="22"/>
          <w:szCs w:val="22"/>
        </w:rPr>
        <w:t>study for exams or assignments at school or university </w:t>
      </w:r>
    </w:p>
    <w:p w14:paraId="5BAD2B3E" w14:textId="77777777" w:rsidR="00E82FD2" w:rsidRPr="00E82FD2" w:rsidRDefault="00E82FD2" w:rsidP="009E58FA">
      <w:pPr>
        <w:numPr>
          <w:ilvl w:val="0"/>
          <w:numId w:val="42"/>
        </w:numPr>
        <w:spacing w:after="120" w:line="240" w:lineRule="auto"/>
        <w:ind w:left="709" w:hanging="425"/>
        <w:textAlignment w:val="baseline"/>
        <w:rPr>
          <w:rFonts w:cs="Arial"/>
          <w:sz w:val="22"/>
          <w:szCs w:val="22"/>
        </w:rPr>
      </w:pPr>
      <w:r w:rsidRPr="00E82FD2">
        <w:rPr>
          <w:rFonts w:cs="Arial"/>
          <w:sz w:val="22"/>
          <w:szCs w:val="22"/>
        </w:rPr>
        <w:t>get information or a response from Optus about the outage and when it would be resolved. </w:t>
      </w:r>
    </w:p>
    <w:p w14:paraId="1D60BF05" w14:textId="7D777ADA" w:rsidR="00E82FD2" w:rsidRPr="00E82FD2" w:rsidRDefault="00E82FD2" w:rsidP="00A32FE8">
      <w:pPr>
        <w:rPr>
          <w:sz w:val="22"/>
          <w:szCs w:val="22"/>
        </w:rPr>
      </w:pPr>
      <w:r w:rsidRPr="00E82FD2">
        <w:rPr>
          <w:sz w:val="22"/>
          <w:szCs w:val="22"/>
        </w:rPr>
        <w:t>Most consumers sought outcomes including credits, a refunded or discounted service, financial compensation, exiting a contract early, or apologies from the telco.</w:t>
      </w:r>
      <w:r w:rsidR="00007DAB">
        <w:rPr>
          <w:rStyle w:val="FootnoteReference"/>
          <w:sz w:val="22"/>
          <w:szCs w:val="22"/>
        </w:rPr>
        <w:footnoteReference w:id="6"/>
      </w:r>
      <w:r w:rsidRPr="00E82FD2">
        <w:rPr>
          <w:sz w:val="22"/>
          <w:szCs w:val="22"/>
          <w:vertAlign w:val="superscript"/>
        </w:rPr>
        <w:t> </w:t>
      </w:r>
    </w:p>
    <w:p w14:paraId="238CDFF6" w14:textId="77777777" w:rsidR="00E82FD2" w:rsidRPr="00E82FD2" w:rsidRDefault="00E82FD2" w:rsidP="00E66F9C">
      <w:pPr>
        <w:pStyle w:val="Heading2"/>
      </w:pPr>
      <w:bookmarkStart w:id="7" w:name="_Toc181713879"/>
      <w:r w:rsidRPr="00E82FD2">
        <w:t>Optus’ communications about the outage</w:t>
      </w:r>
      <w:bookmarkEnd w:id="7"/>
      <w:r w:rsidRPr="00E82FD2">
        <w:t> </w:t>
      </w:r>
    </w:p>
    <w:p w14:paraId="6E789C3B" w14:textId="042751CD" w:rsidR="00E82FD2" w:rsidRDefault="00E82FD2" w:rsidP="00A32FE8">
      <w:pPr>
        <w:rPr>
          <w:sz w:val="22"/>
          <w:szCs w:val="22"/>
        </w:rPr>
      </w:pPr>
      <w:r w:rsidRPr="00E82FD2">
        <w:rPr>
          <w:sz w:val="22"/>
          <w:szCs w:val="22"/>
        </w:rPr>
        <w:t xml:space="preserve">There was widespread confusion and frustration amongst Optus customers as the outage </w:t>
      </w:r>
      <w:r w:rsidR="006E69C4">
        <w:rPr>
          <w:sz w:val="22"/>
          <w:szCs w:val="22"/>
        </w:rPr>
        <w:t>progressed</w:t>
      </w:r>
      <w:r w:rsidRPr="00E82FD2">
        <w:rPr>
          <w:sz w:val="22"/>
          <w:szCs w:val="22"/>
        </w:rPr>
        <w:t>, with only limited information being made available about the cause of the outage and its expected resolution. Being unable to contact the company via the usual means, many customers resorted to gathering at Optus stores. </w:t>
      </w:r>
    </w:p>
    <w:p w14:paraId="3BB5F9EE" w14:textId="4D26DDB0" w:rsidR="00E96BD5" w:rsidRDefault="00231360" w:rsidP="00A32FE8">
      <w:pPr>
        <w:rPr>
          <w:sz w:val="22"/>
          <w:szCs w:val="22"/>
        </w:rPr>
      </w:pPr>
      <w:r>
        <w:rPr>
          <w:sz w:val="22"/>
          <w:szCs w:val="22"/>
        </w:rPr>
        <w:t xml:space="preserve">Optus did undertake some communications activities, including media statements, interviews and social media posts. </w:t>
      </w:r>
      <w:r w:rsidR="003E669F">
        <w:rPr>
          <w:sz w:val="22"/>
          <w:szCs w:val="22"/>
        </w:rPr>
        <w:t>However,</w:t>
      </w:r>
      <w:r>
        <w:rPr>
          <w:sz w:val="22"/>
          <w:szCs w:val="22"/>
        </w:rPr>
        <w:t xml:space="preserve"> the Optus Outage Review found this to be </w:t>
      </w:r>
      <w:r w:rsidR="00E96BD5">
        <w:rPr>
          <w:sz w:val="22"/>
          <w:szCs w:val="22"/>
        </w:rPr>
        <w:t>inadequate.</w:t>
      </w:r>
      <w:r w:rsidR="00E96BD5" w:rsidRPr="00E82FD2">
        <w:rPr>
          <w:sz w:val="22"/>
          <w:szCs w:val="22"/>
        </w:rPr>
        <w:t xml:space="preserve"> The</w:t>
      </w:r>
      <w:r w:rsidR="00E82FD2" w:rsidRPr="00E82FD2">
        <w:rPr>
          <w:sz w:val="22"/>
          <w:szCs w:val="22"/>
        </w:rPr>
        <w:t xml:space="preserve"> Review received submissions from personal and business customers expressing their dissatisfaction with Optus’ handling of </w:t>
      </w:r>
      <w:r w:rsidR="00A03154">
        <w:rPr>
          <w:sz w:val="22"/>
          <w:szCs w:val="22"/>
        </w:rPr>
        <w:t xml:space="preserve">communications about </w:t>
      </w:r>
      <w:r w:rsidR="00E82FD2" w:rsidRPr="00E82FD2">
        <w:rPr>
          <w:sz w:val="22"/>
          <w:szCs w:val="22"/>
        </w:rPr>
        <w:t>the outage. A large number of letters and emails were also sent to the Minister for Communications by members of the public, universally expressing dissatisfaction with communications from Optus.</w:t>
      </w:r>
      <w:r w:rsidR="00007DAB">
        <w:rPr>
          <w:rStyle w:val="FootnoteReference"/>
          <w:sz w:val="22"/>
          <w:szCs w:val="22"/>
        </w:rPr>
        <w:footnoteReference w:id="7"/>
      </w:r>
      <w:r w:rsidR="00E82FD2" w:rsidRPr="00E82FD2">
        <w:rPr>
          <w:sz w:val="22"/>
          <w:szCs w:val="22"/>
        </w:rPr>
        <w:t> </w:t>
      </w:r>
      <w:r w:rsidR="00E96BD5">
        <w:rPr>
          <w:sz w:val="22"/>
          <w:szCs w:val="22"/>
        </w:rPr>
        <w:t xml:space="preserve"> </w:t>
      </w:r>
    </w:p>
    <w:p w14:paraId="5FA05B4F" w14:textId="74B2961F" w:rsidR="00A03154" w:rsidRDefault="00E96BD5" w:rsidP="00A32FE8">
      <w:pPr>
        <w:rPr>
          <w:sz w:val="22"/>
          <w:szCs w:val="22"/>
        </w:rPr>
      </w:pPr>
      <w:r>
        <w:rPr>
          <w:sz w:val="22"/>
          <w:szCs w:val="22"/>
        </w:rPr>
        <w:t>There was also widespread media coverage raising concerns about the lack of communication by Optus of the cause of the outage, its impact and rectification timeframes. This included confused communications from Optus in regard to the ability to access Triple Zero services during the outage.</w:t>
      </w:r>
    </w:p>
    <w:p w14:paraId="6A055510" w14:textId="044FEE94" w:rsidR="00055911" w:rsidRPr="00E82FD2" w:rsidRDefault="00055911" w:rsidP="00A32FE8">
      <w:pPr>
        <w:rPr>
          <w:sz w:val="22"/>
          <w:szCs w:val="22"/>
        </w:rPr>
      </w:pPr>
      <w:r>
        <w:rPr>
          <w:sz w:val="22"/>
          <w:szCs w:val="22"/>
        </w:rPr>
        <w:t xml:space="preserve">Optus </w:t>
      </w:r>
      <w:r w:rsidR="00540816">
        <w:rPr>
          <w:sz w:val="22"/>
          <w:szCs w:val="22"/>
        </w:rPr>
        <w:t>did not follow</w:t>
      </w:r>
      <w:r>
        <w:rPr>
          <w:sz w:val="22"/>
          <w:szCs w:val="22"/>
        </w:rPr>
        <w:t xml:space="preserve"> the voluntary industry guideline</w:t>
      </w:r>
      <w:r w:rsidR="00130629">
        <w:rPr>
          <w:sz w:val="22"/>
          <w:szCs w:val="22"/>
        </w:rPr>
        <w:t xml:space="preserve"> </w:t>
      </w:r>
      <w:r w:rsidR="00540816">
        <w:rPr>
          <w:sz w:val="22"/>
          <w:szCs w:val="22"/>
        </w:rPr>
        <w:t xml:space="preserve">or other existing protocols </w:t>
      </w:r>
      <w:r w:rsidR="00150E06">
        <w:rPr>
          <w:sz w:val="22"/>
          <w:szCs w:val="22"/>
        </w:rPr>
        <w:t xml:space="preserve">outlined below </w:t>
      </w:r>
      <w:r w:rsidR="00540816">
        <w:rPr>
          <w:sz w:val="22"/>
          <w:szCs w:val="22"/>
        </w:rPr>
        <w:t>about communications</w:t>
      </w:r>
      <w:r w:rsidR="00150E06">
        <w:rPr>
          <w:sz w:val="22"/>
          <w:szCs w:val="22"/>
        </w:rPr>
        <w:t xml:space="preserve"> with stakeholders </w:t>
      </w:r>
      <w:r w:rsidR="00540816">
        <w:rPr>
          <w:sz w:val="22"/>
          <w:szCs w:val="22"/>
        </w:rPr>
        <w:t>during the outage.</w:t>
      </w:r>
      <w:r>
        <w:rPr>
          <w:sz w:val="22"/>
          <w:szCs w:val="22"/>
        </w:rPr>
        <w:t xml:space="preserve"> </w:t>
      </w:r>
    </w:p>
    <w:p w14:paraId="5C9D6D5F" w14:textId="77777777" w:rsidR="00E82FD2" w:rsidRPr="00E82FD2" w:rsidRDefault="00E82FD2" w:rsidP="00E66F9C">
      <w:pPr>
        <w:pStyle w:val="Heading2"/>
      </w:pPr>
      <w:bookmarkStart w:id="8" w:name="_Toc181713880"/>
      <w:r w:rsidRPr="00E82FD2">
        <w:t>Existing arrangements</w:t>
      </w:r>
      <w:bookmarkEnd w:id="8"/>
      <w:r w:rsidRPr="00E82FD2">
        <w:t> </w:t>
      </w:r>
    </w:p>
    <w:p w14:paraId="1E79B546" w14:textId="27658BA7" w:rsidR="00E82FD2" w:rsidRPr="00E82FD2" w:rsidRDefault="00E82FD2" w:rsidP="00A32FE8">
      <w:pPr>
        <w:rPr>
          <w:sz w:val="22"/>
          <w:szCs w:val="22"/>
        </w:rPr>
      </w:pPr>
      <w:r w:rsidRPr="00E82FD2">
        <w:rPr>
          <w:sz w:val="22"/>
          <w:szCs w:val="22"/>
        </w:rPr>
        <w:t xml:space="preserve">The key instrument that currently details how telecommunications providers should communicate with stakeholders in the event of a major outage is the Communications Alliance Emergency Communications Protocol – Industry Guideline G663:2022 (the </w:t>
      </w:r>
      <w:r w:rsidRPr="00E82FD2">
        <w:rPr>
          <w:b/>
          <w:bCs/>
          <w:sz w:val="22"/>
          <w:szCs w:val="22"/>
        </w:rPr>
        <w:t>Guideline</w:t>
      </w:r>
      <w:r w:rsidRPr="00E82FD2">
        <w:rPr>
          <w:sz w:val="22"/>
          <w:szCs w:val="22"/>
        </w:rPr>
        <w:t>).</w:t>
      </w:r>
      <w:r w:rsidR="004E3A72">
        <w:rPr>
          <w:rStyle w:val="FootnoteReference"/>
          <w:sz w:val="22"/>
          <w:szCs w:val="22"/>
        </w:rPr>
        <w:footnoteReference w:id="8"/>
      </w:r>
      <w:r w:rsidRPr="00E82FD2">
        <w:rPr>
          <w:sz w:val="22"/>
          <w:szCs w:val="22"/>
        </w:rPr>
        <w:t>  </w:t>
      </w:r>
    </w:p>
    <w:p w14:paraId="3E2BF727" w14:textId="441174A9" w:rsidR="00E82FD2" w:rsidRPr="00E82FD2" w:rsidRDefault="00E82FD2" w:rsidP="00A32FE8">
      <w:pPr>
        <w:rPr>
          <w:sz w:val="22"/>
          <w:szCs w:val="22"/>
        </w:rPr>
      </w:pPr>
      <w:r w:rsidRPr="00E82FD2">
        <w:rPr>
          <w:sz w:val="22"/>
          <w:szCs w:val="22"/>
        </w:rPr>
        <w:t>The Guideline identifies that the relevant stakeholders are consumers, the emergency call person</w:t>
      </w:r>
      <w:r w:rsidR="001042F3">
        <w:rPr>
          <w:sz w:val="22"/>
          <w:szCs w:val="22"/>
        </w:rPr>
        <w:t xml:space="preserve"> (Telstra for 000/112)</w:t>
      </w:r>
      <w:r w:rsidRPr="00E82FD2">
        <w:rPr>
          <w:sz w:val="22"/>
          <w:szCs w:val="22"/>
        </w:rPr>
        <w:t>, emergency service organisations, Government, regulatory bodies, telecommunications dependencies (e.g. utilities and data centre providers) and telecommunications suppliers, and industry bodies. When a carrier or carriage service provider (</w:t>
      </w:r>
      <w:r w:rsidRPr="00325ED4">
        <w:rPr>
          <w:b/>
          <w:bCs/>
          <w:sz w:val="22"/>
          <w:szCs w:val="22"/>
        </w:rPr>
        <w:t>CSP</w:t>
      </w:r>
      <w:r w:rsidRPr="00E82FD2">
        <w:rPr>
          <w:sz w:val="22"/>
          <w:szCs w:val="22"/>
        </w:rPr>
        <w:t>) becomes aware of a major disruption, it determines the most suitable mechanism for relaying information to stakeholders, based on a severity matrix included in the Guideline.  </w:t>
      </w:r>
    </w:p>
    <w:p w14:paraId="37B559E7" w14:textId="631CE8FD" w:rsidR="00E82FD2" w:rsidRPr="00E82FD2" w:rsidRDefault="00E82FD2" w:rsidP="00A32FE8">
      <w:pPr>
        <w:rPr>
          <w:sz w:val="22"/>
          <w:szCs w:val="22"/>
        </w:rPr>
      </w:pPr>
      <w:r w:rsidRPr="08C2E780">
        <w:rPr>
          <w:sz w:val="22"/>
          <w:szCs w:val="22"/>
        </w:rPr>
        <w:lastRenderedPageBreak/>
        <w:t>Importantly, the Guideline states that above all a provider’s priority lies with restoring and maintaining communications capabilities of its customers to the best of its abilities. The Guideline notes that, where appropriate, the public will be informed about how to obtain further information on the impacts of an outage. This may be via a variety of radio networks, emergency warnings from broadcasters and via public media announcements, stakeholder websites and social media channels. The parties are expected to work together to ensure information communicated to the public is clear and promotes community confidence in the telecommunications sector.  </w:t>
      </w:r>
    </w:p>
    <w:p w14:paraId="4346B860" w14:textId="77777777" w:rsidR="00E82FD2" w:rsidRDefault="00E82FD2" w:rsidP="00A32FE8">
      <w:pPr>
        <w:rPr>
          <w:sz w:val="22"/>
          <w:szCs w:val="22"/>
        </w:rPr>
      </w:pPr>
      <w:r w:rsidRPr="00E82FD2">
        <w:rPr>
          <w:sz w:val="22"/>
          <w:szCs w:val="22"/>
        </w:rPr>
        <w:t>The Guideline is limited, and compliance is voluntary. It therefore operates entirely at the providers’ discretion. </w:t>
      </w:r>
    </w:p>
    <w:p w14:paraId="40056C3D" w14:textId="71B12E4E" w:rsidR="00880D5F" w:rsidRDefault="00024332" w:rsidP="00A32FE8">
      <w:pPr>
        <w:rPr>
          <w:sz w:val="22"/>
          <w:szCs w:val="22"/>
        </w:rPr>
      </w:pPr>
      <w:r>
        <w:rPr>
          <w:sz w:val="22"/>
          <w:szCs w:val="22"/>
        </w:rPr>
        <w:t xml:space="preserve">The three </w:t>
      </w:r>
      <w:r w:rsidR="00682A71">
        <w:rPr>
          <w:sz w:val="22"/>
          <w:szCs w:val="22"/>
        </w:rPr>
        <w:t xml:space="preserve">main </w:t>
      </w:r>
      <w:r>
        <w:rPr>
          <w:sz w:val="22"/>
          <w:szCs w:val="22"/>
        </w:rPr>
        <w:t xml:space="preserve">carriers (Optus, Telstra and TPG Telecom) also support the Triple Zero Disruption Protocols (TZDPs). The TZDPs </w:t>
      </w:r>
      <w:r w:rsidR="00D13236">
        <w:rPr>
          <w:sz w:val="22"/>
          <w:szCs w:val="22"/>
        </w:rPr>
        <w:t xml:space="preserve">were developed after </w:t>
      </w:r>
      <w:r w:rsidR="00105385">
        <w:rPr>
          <w:sz w:val="22"/>
          <w:szCs w:val="22"/>
        </w:rPr>
        <w:t xml:space="preserve">a disruption to the Telstra network on 3 and 4 May 2018 resulted in some Triple Zero calls </w:t>
      </w:r>
      <w:r w:rsidR="00942F4B">
        <w:rPr>
          <w:sz w:val="22"/>
          <w:szCs w:val="22"/>
        </w:rPr>
        <w:t xml:space="preserve">not being successfully carried to </w:t>
      </w:r>
      <w:r w:rsidR="00880D5F">
        <w:rPr>
          <w:sz w:val="22"/>
          <w:szCs w:val="22"/>
        </w:rPr>
        <w:t xml:space="preserve">the Emergency Call Person (Telstra) or Emergency Service Organisations (police, fire, ambulance). </w:t>
      </w:r>
    </w:p>
    <w:p w14:paraId="131FC8D1" w14:textId="354A4BDE" w:rsidR="00880D5F" w:rsidRDefault="00880D5F" w:rsidP="00A32FE8">
      <w:pPr>
        <w:rPr>
          <w:sz w:val="22"/>
          <w:szCs w:val="22"/>
        </w:rPr>
      </w:pPr>
      <w:r w:rsidRPr="13E93F1A">
        <w:rPr>
          <w:sz w:val="22"/>
          <w:szCs w:val="22"/>
        </w:rPr>
        <w:t xml:space="preserve">The TZDPs are </w:t>
      </w:r>
      <w:r w:rsidR="005D45F5" w:rsidRPr="13E93F1A">
        <w:rPr>
          <w:sz w:val="22"/>
          <w:szCs w:val="22"/>
        </w:rPr>
        <w:t>‘endorsed’ by carriers, the Australian Government (DITRD</w:t>
      </w:r>
      <w:r w:rsidR="003A06D5" w:rsidRPr="13E93F1A">
        <w:rPr>
          <w:sz w:val="22"/>
          <w:szCs w:val="22"/>
        </w:rPr>
        <w:t>C</w:t>
      </w:r>
      <w:r w:rsidR="005D45F5" w:rsidRPr="13E93F1A">
        <w:rPr>
          <w:sz w:val="22"/>
          <w:szCs w:val="22"/>
        </w:rPr>
        <w:t>A and ACMA) and ESOs through arrangements under DI</w:t>
      </w:r>
      <w:r w:rsidR="00963E03" w:rsidRPr="13E93F1A">
        <w:rPr>
          <w:sz w:val="22"/>
          <w:szCs w:val="22"/>
        </w:rPr>
        <w:t>T</w:t>
      </w:r>
      <w:r w:rsidR="005D45F5" w:rsidRPr="13E93F1A">
        <w:rPr>
          <w:sz w:val="22"/>
          <w:szCs w:val="22"/>
        </w:rPr>
        <w:t xml:space="preserve">RDCA’s Triple Zero Coordination Committee (TZCC). </w:t>
      </w:r>
      <w:r w:rsidR="00963E03" w:rsidRPr="13E93F1A">
        <w:rPr>
          <w:sz w:val="22"/>
          <w:szCs w:val="22"/>
        </w:rPr>
        <w:t xml:space="preserve">The TZDP’s include pre-scripted media messaging </w:t>
      </w:r>
      <w:r w:rsidR="0021499C" w:rsidRPr="13E93F1A">
        <w:rPr>
          <w:sz w:val="22"/>
          <w:szCs w:val="22"/>
        </w:rPr>
        <w:t xml:space="preserve">that can be used by carriers and CSPs during a disruption to services. The TZDPs </w:t>
      </w:r>
      <w:r w:rsidR="006D21D5" w:rsidRPr="13E93F1A">
        <w:rPr>
          <w:sz w:val="22"/>
          <w:szCs w:val="22"/>
        </w:rPr>
        <w:t xml:space="preserve">pre-scripted media messaging was not utilised during the Optus outage, nor were arrangements </w:t>
      </w:r>
      <w:r w:rsidR="00390963" w:rsidRPr="13E93F1A">
        <w:rPr>
          <w:sz w:val="22"/>
          <w:szCs w:val="22"/>
        </w:rPr>
        <w:t>that would enable any CSP to convene a partner bridge teleconference that would all</w:t>
      </w:r>
      <w:r w:rsidR="00F77097" w:rsidRPr="13E93F1A">
        <w:rPr>
          <w:sz w:val="22"/>
          <w:szCs w:val="22"/>
        </w:rPr>
        <w:t>ow</w:t>
      </w:r>
      <w:r w:rsidR="00390963" w:rsidRPr="13E93F1A">
        <w:rPr>
          <w:sz w:val="22"/>
          <w:szCs w:val="22"/>
        </w:rPr>
        <w:t xml:space="preserve"> the impacted CSP to update participants in the eco-system including the ECP, </w:t>
      </w:r>
      <w:r w:rsidR="00E64E72" w:rsidRPr="13E93F1A">
        <w:rPr>
          <w:sz w:val="22"/>
          <w:szCs w:val="22"/>
        </w:rPr>
        <w:t>ESOs and other CSPs.</w:t>
      </w:r>
    </w:p>
    <w:p w14:paraId="0B1C2354" w14:textId="77777777" w:rsidR="00E82FD2" w:rsidRPr="00E82FD2" w:rsidRDefault="00E82FD2" w:rsidP="00E66F9C">
      <w:pPr>
        <w:pStyle w:val="Heading2"/>
      </w:pPr>
      <w:bookmarkStart w:id="9" w:name="_Toc181713881"/>
      <w:r w:rsidRPr="00E82FD2">
        <w:t>Areas for improvement and change</w:t>
      </w:r>
      <w:bookmarkEnd w:id="9"/>
      <w:r w:rsidRPr="00E82FD2">
        <w:t> </w:t>
      </w:r>
    </w:p>
    <w:p w14:paraId="518408EF" w14:textId="176ADF8F" w:rsidR="00E82FD2" w:rsidRPr="00E82FD2" w:rsidRDefault="00E82FD2" w:rsidP="00A32FE8">
      <w:pPr>
        <w:rPr>
          <w:sz w:val="22"/>
          <w:szCs w:val="22"/>
        </w:rPr>
      </w:pPr>
      <w:r w:rsidRPr="00E82FD2">
        <w:rPr>
          <w:sz w:val="22"/>
          <w:szCs w:val="22"/>
        </w:rPr>
        <w:t xml:space="preserve">The </w:t>
      </w:r>
      <w:r w:rsidR="00B052CB">
        <w:rPr>
          <w:sz w:val="22"/>
          <w:szCs w:val="22"/>
        </w:rPr>
        <w:t>F</w:t>
      </w:r>
      <w:r w:rsidRPr="00E82FD2">
        <w:rPr>
          <w:sz w:val="22"/>
          <w:szCs w:val="22"/>
        </w:rPr>
        <w:t xml:space="preserve">inal </w:t>
      </w:r>
      <w:r w:rsidR="00B052CB">
        <w:rPr>
          <w:sz w:val="22"/>
          <w:szCs w:val="22"/>
        </w:rPr>
        <w:t>R</w:t>
      </w:r>
      <w:r w:rsidRPr="00E82FD2">
        <w:rPr>
          <w:sz w:val="22"/>
          <w:szCs w:val="22"/>
        </w:rPr>
        <w:t>eport of the Department’s Review into the Optus Outage was published on 30 April 2024. It found that communication during the Optus outage was inadequate, stating:  </w:t>
      </w:r>
    </w:p>
    <w:p w14:paraId="5157943C" w14:textId="77777777" w:rsidR="00E82FD2" w:rsidRPr="00E82FD2" w:rsidRDefault="00E82FD2" w:rsidP="00A32FE8">
      <w:pPr>
        <w:rPr>
          <w:i/>
          <w:iCs/>
          <w:sz w:val="22"/>
          <w:szCs w:val="22"/>
        </w:rPr>
      </w:pPr>
      <w:r w:rsidRPr="00E82FD2">
        <w:rPr>
          <w:i/>
          <w:iCs/>
          <w:sz w:val="22"/>
          <w:szCs w:val="22"/>
        </w:rPr>
        <w:t>Consumer advocates assert the need for clear communication guidelines, or indeed enforceable rules, for telecommunications providers to follow in response to unplanned outages. They consider Optus’ communications with its customers during the outage were not adequate, with the lack of timely and clear information causing considerable distress. They have also noted that when an outage like this occurs, it has a greater impact on the more vulnerable members of our communities who already face challenges in accessing communications services, including those living with disabilities or on lower incomes, as well as those living in regional, rural or remote areas. </w:t>
      </w:r>
    </w:p>
    <w:p w14:paraId="7748D2E2" w14:textId="28451516" w:rsidR="004B2960" w:rsidRPr="009E58FA" w:rsidRDefault="00192867" w:rsidP="009E58FA">
      <w:pPr>
        <w:rPr>
          <w:sz w:val="22"/>
          <w:szCs w:val="22"/>
        </w:rPr>
      </w:pPr>
      <w:r>
        <w:rPr>
          <w:sz w:val="22"/>
          <w:szCs w:val="22"/>
        </w:rPr>
        <w:t xml:space="preserve">The </w:t>
      </w:r>
      <w:r w:rsidR="00742C98">
        <w:rPr>
          <w:sz w:val="22"/>
          <w:szCs w:val="22"/>
        </w:rPr>
        <w:t>communication failure</w:t>
      </w:r>
      <w:r>
        <w:rPr>
          <w:sz w:val="22"/>
          <w:szCs w:val="22"/>
        </w:rPr>
        <w:t xml:space="preserve"> demonstrated during the </w:t>
      </w:r>
      <w:r w:rsidR="00E75761">
        <w:rPr>
          <w:sz w:val="22"/>
          <w:szCs w:val="22"/>
        </w:rPr>
        <w:t>Optus outage support</w:t>
      </w:r>
      <w:r w:rsidR="00742C98">
        <w:rPr>
          <w:sz w:val="22"/>
          <w:szCs w:val="22"/>
        </w:rPr>
        <w:t>s</w:t>
      </w:r>
      <w:r w:rsidR="00E75761">
        <w:rPr>
          <w:sz w:val="22"/>
          <w:szCs w:val="22"/>
        </w:rPr>
        <w:t xml:space="preserve"> the need for more </w:t>
      </w:r>
      <w:r w:rsidR="00AF391C">
        <w:rPr>
          <w:sz w:val="22"/>
          <w:szCs w:val="22"/>
        </w:rPr>
        <w:t>clear</w:t>
      </w:r>
      <w:r w:rsidR="00742C98">
        <w:rPr>
          <w:sz w:val="22"/>
          <w:szCs w:val="22"/>
        </w:rPr>
        <w:t>ly defined</w:t>
      </w:r>
      <w:r w:rsidR="00AF391C">
        <w:rPr>
          <w:sz w:val="22"/>
          <w:szCs w:val="22"/>
        </w:rPr>
        <w:t xml:space="preserve"> and</w:t>
      </w:r>
      <w:r w:rsidR="00186343">
        <w:rPr>
          <w:sz w:val="22"/>
          <w:szCs w:val="22"/>
        </w:rPr>
        <w:t xml:space="preserve"> </w:t>
      </w:r>
      <w:r w:rsidR="00742C98">
        <w:rPr>
          <w:sz w:val="22"/>
          <w:szCs w:val="22"/>
        </w:rPr>
        <w:t>enforceable</w:t>
      </w:r>
      <w:r w:rsidR="00AF391C">
        <w:rPr>
          <w:sz w:val="22"/>
          <w:szCs w:val="22"/>
        </w:rPr>
        <w:t xml:space="preserve"> obligations on the telecommunications industry</w:t>
      </w:r>
      <w:r w:rsidR="00742C98">
        <w:rPr>
          <w:sz w:val="22"/>
          <w:szCs w:val="22"/>
        </w:rPr>
        <w:t>.</w:t>
      </w:r>
      <w:r w:rsidR="00476E9A">
        <w:rPr>
          <w:sz w:val="22"/>
          <w:szCs w:val="22"/>
        </w:rPr>
        <w:t xml:space="preserve"> </w:t>
      </w:r>
    </w:p>
    <w:p w14:paraId="0A65261A" w14:textId="0B5D77CD" w:rsidR="004B2960" w:rsidRDefault="00F65962" w:rsidP="004B2960">
      <w:pPr>
        <w:pStyle w:val="Heading1"/>
      </w:pPr>
      <w:bookmarkStart w:id="10" w:name="_Toc181713882"/>
      <w:bookmarkStart w:id="11" w:name="_Toc348105641"/>
      <w:r>
        <w:lastRenderedPageBreak/>
        <w:t>Why is g</w:t>
      </w:r>
      <w:r w:rsidR="00B624AB">
        <w:t>overnment action needed?</w:t>
      </w:r>
      <w:bookmarkEnd w:id="10"/>
      <w:r w:rsidR="00B624AB">
        <w:t xml:space="preserve"> </w:t>
      </w:r>
    </w:p>
    <w:p w14:paraId="1CDB9682" w14:textId="77777777" w:rsidR="000521FE" w:rsidRPr="009E58FA" w:rsidRDefault="000521FE" w:rsidP="000521FE">
      <w:pPr>
        <w:rPr>
          <w:sz w:val="22"/>
          <w:szCs w:val="22"/>
        </w:rPr>
      </w:pPr>
      <w:r w:rsidRPr="009E58FA">
        <w:rPr>
          <w:sz w:val="22"/>
          <w:szCs w:val="22"/>
        </w:rPr>
        <w:t xml:space="preserve">Customers’ dissatisfaction with Optus’ messaging during the outage highlighted a disparity between community sentiments about the importance of customer communications during outages and the priority that telcos place on those communications. </w:t>
      </w:r>
    </w:p>
    <w:p w14:paraId="2F29BDB6" w14:textId="06925860" w:rsidR="000521FE" w:rsidRPr="009E58FA" w:rsidRDefault="000521FE" w:rsidP="000521FE">
      <w:pPr>
        <w:rPr>
          <w:sz w:val="22"/>
          <w:szCs w:val="22"/>
        </w:rPr>
      </w:pPr>
      <w:r w:rsidRPr="009E58FA">
        <w:rPr>
          <w:sz w:val="22"/>
          <w:szCs w:val="22"/>
        </w:rPr>
        <w:t xml:space="preserve">The </w:t>
      </w:r>
      <w:r w:rsidR="00764C7B">
        <w:rPr>
          <w:sz w:val="22"/>
          <w:szCs w:val="22"/>
        </w:rPr>
        <w:t>F</w:t>
      </w:r>
      <w:r w:rsidRPr="009E58FA">
        <w:rPr>
          <w:sz w:val="22"/>
          <w:szCs w:val="22"/>
        </w:rPr>
        <w:t xml:space="preserve">inal </w:t>
      </w:r>
      <w:r w:rsidR="00764C7B">
        <w:rPr>
          <w:sz w:val="22"/>
          <w:szCs w:val="22"/>
        </w:rPr>
        <w:t>R</w:t>
      </w:r>
      <w:r w:rsidRPr="009E58FA">
        <w:rPr>
          <w:sz w:val="22"/>
          <w:szCs w:val="22"/>
        </w:rPr>
        <w:t>eport of the Department’s Review noted:</w:t>
      </w:r>
    </w:p>
    <w:p w14:paraId="6F5FC9B4" w14:textId="77777777" w:rsidR="000521FE" w:rsidRPr="009E58FA" w:rsidRDefault="000521FE" w:rsidP="004C7627">
      <w:pPr>
        <w:ind w:left="284"/>
        <w:rPr>
          <w:i/>
          <w:iCs/>
          <w:sz w:val="22"/>
          <w:szCs w:val="22"/>
        </w:rPr>
      </w:pPr>
      <w:r w:rsidRPr="009E58FA">
        <w:rPr>
          <w:i/>
          <w:iCs/>
          <w:sz w:val="22"/>
          <w:szCs w:val="22"/>
        </w:rPr>
        <w:t xml:space="preserve">There are currently no set requirements for the way in which service providers communicate with their customers. Each provider has its own approach. Competitive pressures alone do not appear to be improving consumer communications and consumer outcomes through the course of recent crises. </w:t>
      </w:r>
    </w:p>
    <w:p w14:paraId="48C9EF62" w14:textId="77777777" w:rsidR="000521FE" w:rsidRPr="009E58FA" w:rsidRDefault="000521FE" w:rsidP="004C7627">
      <w:pPr>
        <w:ind w:left="284"/>
        <w:rPr>
          <w:i/>
          <w:iCs/>
          <w:sz w:val="22"/>
          <w:szCs w:val="22"/>
        </w:rPr>
      </w:pPr>
      <w:r w:rsidRPr="009E58FA">
        <w:rPr>
          <w:i/>
          <w:iCs/>
          <w:sz w:val="22"/>
          <w:szCs w:val="22"/>
        </w:rPr>
        <w:t xml:space="preserve">The combination of the delays in advising customers, the lack of detailed answers and explanations as to the cause and impact of the outage across the day and the absence of timeframes regarding its rectification, call into question the adequacy of the current voluntary communication guidance. </w:t>
      </w:r>
    </w:p>
    <w:p w14:paraId="05F15926" w14:textId="77777777" w:rsidR="000521FE" w:rsidRPr="00374377" w:rsidRDefault="000521FE" w:rsidP="004C7627">
      <w:pPr>
        <w:ind w:left="284"/>
      </w:pPr>
      <w:r w:rsidRPr="009E58FA">
        <w:rPr>
          <w:i/>
          <w:iCs/>
          <w:sz w:val="22"/>
          <w:szCs w:val="22"/>
        </w:rPr>
        <w:t>In response, mandatory communication requirements should be established requiring providers to take specified steps during major outages.</w:t>
      </w:r>
      <w:r w:rsidRPr="009E58FA">
        <w:rPr>
          <w:rStyle w:val="FootnoteReference"/>
          <w:i/>
          <w:iCs/>
          <w:sz w:val="22"/>
          <w:szCs w:val="22"/>
        </w:rPr>
        <w:footnoteReference w:id="9"/>
      </w:r>
    </w:p>
    <w:p w14:paraId="2F3F5D93" w14:textId="061DCF64" w:rsidR="005214E4" w:rsidRDefault="00902240" w:rsidP="000521FE">
      <w:pPr>
        <w:rPr>
          <w:sz w:val="22"/>
          <w:szCs w:val="22"/>
        </w:rPr>
      </w:pPr>
      <w:r w:rsidRPr="13E93F1A">
        <w:rPr>
          <w:sz w:val="22"/>
          <w:szCs w:val="22"/>
        </w:rPr>
        <w:t>Part of th</w:t>
      </w:r>
      <w:r w:rsidR="000A6981" w:rsidRPr="13E93F1A">
        <w:rPr>
          <w:sz w:val="22"/>
          <w:szCs w:val="22"/>
        </w:rPr>
        <w:t xml:space="preserve">e underlying problem </w:t>
      </w:r>
      <w:r w:rsidR="0071732A" w:rsidRPr="13E93F1A">
        <w:rPr>
          <w:sz w:val="22"/>
          <w:szCs w:val="22"/>
        </w:rPr>
        <w:t xml:space="preserve">of the existing guidelines being largely </w:t>
      </w:r>
      <w:r w:rsidR="000A2D04" w:rsidRPr="13E93F1A">
        <w:rPr>
          <w:sz w:val="22"/>
          <w:szCs w:val="22"/>
        </w:rPr>
        <w:t xml:space="preserve">ineffective </w:t>
      </w:r>
      <w:r w:rsidR="00A725FA" w:rsidRPr="13E93F1A">
        <w:rPr>
          <w:sz w:val="22"/>
          <w:szCs w:val="22"/>
        </w:rPr>
        <w:t xml:space="preserve">can be attributed </w:t>
      </w:r>
      <w:r w:rsidR="7DFCE5DC" w:rsidRPr="13E93F1A">
        <w:rPr>
          <w:sz w:val="22"/>
          <w:szCs w:val="22"/>
        </w:rPr>
        <w:t xml:space="preserve">to </w:t>
      </w:r>
      <w:r w:rsidR="00585BB9" w:rsidRPr="13E93F1A">
        <w:rPr>
          <w:sz w:val="22"/>
          <w:szCs w:val="22"/>
        </w:rPr>
        <w:t xml:space="preserve">the lack of communication among industry </w:t>
      </w:r>
      <w:r w:rsidR="00C43081" w:rsidRPr="13E93F1A">
        <w:rPr>
          <w:sz w:val="22"/>
          <w:szCs w:val="22"/>
        </w:rPr>
        <w:t>during the outage. The Department’s Review identified that O</w:t>
      </w:r>
      <w:r w:rsidR="00CE7F9C" w:rsidRPr="13E93F1A">
        <w:rPr>
          <w:sz w:val="22"/>
          <w:szCs w:val="22"/>
        </w:rPr>
        <w:t>ptus and Telstra each held information about what was occurring</w:t>
      </w:r>
      <w:r w:rsidR="0091288D" w:rsidRPr="13E93F1A">
        <w:rPr>
          <w:sz w:val="22"/>
          <w:szCs w:val="22"/>
        </w:rPr>
        <w:t xml:space="preserve"> as the outage unfolded</w:t>
      </w:r>
      <w:r w:rsidR="00CE7F9C" w:rsidRPr="13E93F1A">
        <w:rPr>
          <w:sz w:val="22"/>
          <w:szCs w:val="22"/>
        </w:rPr>
        <w:t xml:space="preserve"> on the </w:t>
      </w:r>
      <w:r w:rsidR="002D39D6" w:rsidRPr="13E93F1A">
        <w:rPr>
          <w:sz w:val="22"/>
          <w:szCs w:val="22"/>
        </w:rPr>
        <w:t xml:space="preserve">day, </w:t>
      </w:r>
      <w:r w:rsidR="00E901BB" w:rsidRPr="13E93F1A">
        <w:rPr>
          <w:sz w:val="22"/>
          <w:szCs w:val="22"/>
        </w:rPr>
        <w:t xml:space="preserve">however neither </w:t>
      </w:r>
      <w:r w:rsidR="00CF6F64" w:rsidRPr="13E93F1A">
        <w:rPr>
          <w:sz w:val="22"/>
          <w:szCs w:val="22"/>
        </w:rPr>
        <w:t>entity h</w:t>
      </w:r>
      <w:r w:rsidR="002D39D6" w:rsidRPr="13E93F1A">
        <w:rPr>
          <w:sz w:val="22"/>
          <w:szCs w:val="22"/>
        </w:rPr>
        <w:t xml:space="preserve">ad full visibility of the scale and nature of the outage. </w:t>
      </w:r>
      <w:r w:rsidR="002F229F" w:rsidRPr="13E93F1A">
        <w:rPr>
          <w:sz w:val="22"/>
          <w:szCs w:val="22"/>
        </w:rPr>
        <w:t xml:space="preserve">Optus </w:t>
      </w:r>
      <w:r w:rsidR="00275743" w:rsidRPr="13E93F1A">
        <w:rPr>
          <w:sz w:val="22"/>
          <w:szCs w:val="22"/>
        </w:rPr>
        <w:t xml:space="preserve">had the capacity to initiate a partner bridge </w:t>
      </w:r>
      <w:r w:rsidR="00581C6A" w:rsidRPr="13E93F1A">
        <w:rPr>
          <w:sz w:val="22"/>
          <w:szCs w:val="22"/>
        </w:rPr>
        <w:t>(a</w:t>
      </w:r>
      <w:r w:rsidR="00480E06" w:rsidRPr="13E93F1A">
        <w:rPr>
          <w:sz w:val="22"/>
          <w:szCs w:val="22"/>
        </w:rPr>
        <w:t xml:space="preserve"> requirement set out in the TZDPs) </w:t>
      </w:r>
      <w:r w:rsidR="00275743" w:rsidRPr="13E93F1A">
        <w:rPr>
          <w:sz w:val="22"/>
          <w:szCs w:val="22"/>
        </w:rPr>
        <w:t xml:space="preserve">to discuss </w:t>
      </w:r>
      <w:r w:rsidR="00581C6A" w:rsidRPr="13E93F1A">
        <w:rPr>
          <w:sz w:val="22"/>
          <w:szCs w:val="22"/>
        </w:rPr>
        <w:t xml:space="preserve">the </w:t>
      </w:r>
      <w:r w:rsidR="00275743" w:rsidRPr="13E93F1A">
        <w:rPr>
          <w:sz w:val="22"/>
          <w:szCs w:val="22"/>
        </w:rPr>
        <w:t xml:space="preserve">outage </w:t>
      </w:r>
      <w:r w:rsidR="00D232B0" w:rsidRPr="13E93F1A">
        <w:rPr>
          <w:sz w:val="22"/>
          <w:szCs w:val="22"/>
        </w:rPr>
        <w:t xml:space="preserve">with </w:t>
      </w:r>
      <w:r w:rsidR="00A5737A" w:rsidRPr="13E93F1A">
        <w:rPr>
          <w:sz w:val="22"/>
          <w:szCs w:val="22"/>
        </w:rPr>
        <w:t>other carriers, emergency service organisations and the emergency call person, but this did not occur</w:t>
      </w:r>
      <w:r w:rsidR="002B6550" w:rsidRPr="13E93F1A">
        <w:rPr>
          <w:sz w:val="22"/>
          <w:szCs w:val="22"/>
        </w:rPr>
        <w:t xml:space="preserve"> (likely because Optus staff did not necessarily have alternative telecommunications services they could use)</w:t>
      </w:r>
      <w:r w:rsidR="00A5737A" w:rsidRPr="13E93F1A">
        <w:rPr>
          <w:sz w:val="22"/>
          <w:szCs w:val="22"/>
        </w:rPr>
        <w:t xml:space="preserve">. </w:t>
      </w:r>
    </w:p>
    <w:p w14:paraId="5BAEEBA5" w14:textId="159C7BA0" w:rsidR="007C1A87" w:rsidRDefault="00334281" w:rsidP="000521FE">
      <w:pPr>
        <w:rPr>
          <w:sz w:val="22"/>
          <w:szCs w:val="22"/>
        </w:rPr>
      </w:pPr>
      <w:r>
        <w:rPr>
          <w:sz w:val="22"/>
          <w:szCs w:val="22"/>
        </w:rPr>
        <w:t>The report concludes that</w:t>
      </w:r>
      <w:r w:rsidR="007D3F9B">
        <w:rPr>
          <w:sz w:val="22"/>
          <w:szCs w:val="22"/>
        </w:rPr>
        <w:t xml:space="preserve"> this failure to communicate </w:t>
      </w:r>
      <w:r w:rsidR="006E5991">
        <w:rPr>
          <w:sz w:val="22"/>
          <w:szCs w:val="22"/>
        </w:rPr>
        <w:t>between carriers and CSPs</w:t>
      </w:r>
      <w:r>
        <w:rPr>
          <w:sz w:val="22"/>
          <w:szCs w:val="22"/>
        </w:rPr>
        <w:t xml:space="preserve"> ‘sig</w:t>
      </w:r>
      <w:r w:rsidR="001F5035">
        <w:rPr>
          <w:sz w:val="22"/>
          <w:szCs w:val="22"/>
        </w:rPr>
        <w:t>nificantly hampered the dissemination of accurate and timely advice to the community’.</w:t>
      </w:r>
      <w:r w:rsidR="00783B59">
        <w:rPr>
          <w:sz w:val="22"/>
          <w:szCs w:val="22"/>
        </w:rPr>
        <w:t xml:space="preserve"> </w:t>
      </w:r>
    </w:p>
    <w:p w14:paraId="09092492" w14:textId="77777777" w:rsidR="005E5431" w:rsidRDefault="00FB5BBC" w:rsidP="000521FE">
      <w:pPr>
        <w:rPr>
          <w:sz w:val="22"/>
          <w:szCs w:val="22"/>
        </w:rPr>
      </w:pPr>
      <w:r>
        <w:rPr>
          <w:sz w:val="22"/>
          <w:szCs w:val="22"/>
        </w:rPr>
        <w:t xml:space="preserve">It is unclear </w:t>
      </w:r>
      <w:r w:rsidR="00480E06">
        <w:rPr>
          <w:sz w:val="22"/>
          <w:szCs w:val="22"/>
        </w:rPr>
        <w:t>from the Government’s Review why this did not occur</w:t>
      </w:r>
      <w:r w:rsidR="00996190">
        <w:rPr>
          <w:sz w:val="22"/>
          <w:szCs w:val="22"/>
        </w:rPr>
        <w:t xml:space="preserve"> and whether there were </w:t>
      </w:r>
      <w:r w:rsidR="00EE42EF">
        <w:rPr>
          <w:sz w:val="22"/>
          <w:szCs w:val="22"/>
        </w:rPr>
        <w:t xml:space="preserve">any </w:t>
      </w:r>
      <w:r w:rsidR="00996190">
        <w:rPr>
          <w:sz w:val="22"/>
          <w:szCs w:val="22"/>
        </w:rPr>
        <w:t>systemic constraints on communications</w:t>
      </w:r>
      <w:r w:rsidR="00EE42EF">
        <w:rPr>
          <w:sz w:val="22"/>
          <w:szCs w:val="22"/>
        </w:rPr>
        <w:t xml:space="preserve"> at play (</w:t>
      </w:r>
      <w:r w:rsidR="00A15C7A">
        <w:rPr>
          <w:sz w:val="22"/>
          <w:szCs w:val="22"/>
        </w:rPr>
        <w:t>such as s</w:t>
      </w:r>
      <w:r w:rsidR="00D8471A">
        <w:rPr>
          <w:sz w:val="22"/>
          <w:szCs w:val="22"/>
        </w:rPr>
        <w:t xml:space="preserve">kills and </w:t>
      </w:r>
      <w:r w:rsidR="00A15C7A">
        <w:rPr>
          <w:sz w:val="22"/>
          <w:szCs w:val="22"/>
        </w:rPr>
        <w:t>available resources</w:t>
      </w:r>
      <w:r w:rsidR="00EE42EF">
        <w:rPr>
          <w:sz w:val="22"/>
          <w:szCs w:val="22"/>
        </w:rPr>
        <w:t>)</w:t>
      </w:r>
      <w:r w:rsidR="00A15C7A">
        <w:rPr>
          <w:sz w:val="22"/>
          <w:szCs w:val="22"/>
        </w:rPr>
        <w:t xml:space="preserve">. </w:t>
      </w:r>
    </w:p>
    <w:p w14:paraId="4A469453" w14:textId="0971592A" w:rsidR="000A2D04" w:rsidRDefault="00DB6CAE" w:rsidP="000521FE">
      <w:pPr>
        <w:rPr>
          <w:sz w:val="22"/>
          <w:szCs w:val="22"/>
        </w:rPr>
      </w:pPr>
      <w:r w:rsidRPr="13E93F1A">
        <w:rPr>
          <w:sz w:val="22"/>
          <w:szCs w:val="22"/>
        </w:rPr>
        <w:t>It is possible (and indeed likely</w:t>
      </w:r>
      <w:r w:rsidR="00CD0DCC" w:rsidRPr="13E93F1A">
        <w:rPr>
          <w:sz w:val="22"/>
          <w:szCs w:val="22"/>
        </w:rPr>
        <w:t xml:space="preserve"> given the commercial incentive to maintain a good relationship with consumers</w:t>
      </w:r>
      <w:r w:rsidRPr="13E93F1A">
        <w:rPr>
          <w:sz w:val="22"/>
          <w:szCs w:val="22"/>
        </w:rPr>
        <w:t>) that b</w:t>
      </w:r>
      <w:r w:rsidR="005E5431" w:rsidRPr="13E93F1A">
        <w:rPr>
          <w:sz w:val="22"/>
          <w:szCs w:val="22"/>
        </w:rPr>
        <w:t xml:space="preserve">ased on </w:t>
      </w:r>
      <w:r w:rsidR="000A2D04" w:rsidRPr="13E93F1A">
        <w:rPr>
          <w:sz w:val="22"/>
          <w:szCs w:val="22"/>
        </w:rPr>
        <w:t>hindsight</w:t>
      </w:r>
      <w:r w:rsidR="00CD0DCC" w:rsidRPr="13E93F1A">
        <w:rPr>
          <w:sz w:val="22"/>
          <w:szCs w:val="22"/>
        </w:rPr>
        <w:t xml:space="preserve"> </w:t>
      </w:r>
      <w:r w:rsidR="002C416F" w:rsidRPr="13E93F1A">
        <w:rPr>
          <w:sz w:val="22"/>
          <w:szCs w:val="22"/>
        </w:rPr>
        <w:t xml:space="preserve">CSPs </w:t>
      </w:r>
      <w:r w:rsidR="002F5F25" w:rsidRPr="13E93F1A">
        <w:rPr>
          <w:sz w:val="22"/>
          <w:szCs w:val="22"/>
        </w:rPr>
        <w:t xml:space="preserve">have </w:t>
      </w:r>
      <w:r w:rsidR="002C416F" w:rsidRPr="13E93F1A">
        <w:rPr>
          <w:sz w:val="22"/>
          <w:szCs w:val="22"/>
        </w:rPr>
        <w:t>pu</w:t>
      </w:r>
      <w:r w:rsidR="004C2475" w:rsidRPr="13E93F1A">
        <w:rPr>
          <w:sz w:val="22"/>
          <w:szCs w:val="22"/>
        </w:rPr>
        <w:t>t</w:t>
      </w:r>
      <w:r w:rsidR="002C416F" w:rsidRPr="13E93F1A">
        <w:rPr>
          <w:sz w:val="22"/>
          <w:szCs w:val="22"/>
        </w:rPr>
        <w:t xml:space="preserve"> in place additional communications methods</w:t>
      </w:r>
      <w:r w:rsidR="00276962" w:rsidRPr="13E93F1A">
        <w:rPr>
          <w:sz w:val="22"/>
          <w:szCs w:val="22"/>
        </w:rPr>
        <w:t xml:space="preserve"> following such a large-scale outage</w:t>
      </w:r>
      <w:r w:rsidR="002C416F" w:rsidRPr="13E93F1A">
        <w:rPr>
          <w:sz w:val="22"/>
          <w:szCs w:val="22"/>
        </w:rPr>
        <w:t>.</w:t>
      </w:r>
      <w:r w:rsidR="001C5529" w:rsidRPr="13E93F1A">
        <w:rPr>
          <w:sz w:val="22"/>
          <w:szCs w:val="22"/>
        </w:rPr>
        <w:t xml:space="preserve"> </w:t>
      </w:r>
      <w:r w:rsidR="00276962" w:rsidRPr="13E93F1A">
        <w:rPr>
          <w:sz w:val="22"/>
          <w:szCs w:val="22"/>
        </w:rPr>
        <w:t xml:space="preserve">However, </w:t>
      </w:r>
      <w:r w:rsidR="000F710C" w:rsidRPr="13E93F1A">
        <w:rPr>
          <w:sz w:val="22"/>
          <w:szCs w:val="22"/>
        </w:rPr>
        <w:t xml:space="preserve">evidence suggests </w:t>
      </w:r>
      <w:r w:rsidR="00276962" w:rsidRPr="13E93F1A">
        <w:rPr>
          <w:sz w:val="22"/>
          <w:szCs w:val="22"/>
        </w:rPr>
        <w:t>there is minimal likelihood that any additional measures</w:t>
      </w:r>
      <w:r w:rsidR="001C5529" w:rsidRPr="13E93F1A">
        <w:rPr>
          <w:sz w:val="22"/>
          <w:szCs w:val="22"/>
        </w:rPr>
        <w:t xml:space="preserve"> would be followed</w:t>
      </w:r>
      <w:r w:rsidR="00276962" w:rsidRPr="13E93F1A">
        <w:rPr>
          <w:sz w:val="22"/>
          <w:szCs w:val="22"/>
        </w:rPr>
        <w:t xml:space="preserve"> in the future</w:t>
      </w:r>
      <w:r w:rsidR="001C5529" w:rsidRPr="13E93F1A">
        <w:rPr>
          <w:sz w:val="22"/>
          <w:szCs w:val="22"/>
        </w:rPr>
        <w:t xml:space="preserve">. </w:t>
      </w:r>
      <w:r w:rsidR="00CA2858" w:rsidRPr="13E93F1A">
        <w:rPr>
          <w:sz w:val="22"/>
          <w:szCs w:val="22"/>
        </w:rPr>
        <w:t xml:space="preserve"> Available</w:t>
      </w:r>
      <w:r w:rsidR="00E01209" w:rsidRPr="13E93F1A">
        <w:rPr>
          <w:sz w:val="22"/>
          <w:szCs w:val="22"/>
        </w:rPr>
        <w:t xml:space="preserve"> ACMA</w:t>
      </w:r>
      <w:r w:rsidR="00CA2858" w:rsidRPr="13E93F1A">
        <w:rPr>
          <w:sz w:val="22"/>
          <w:szCs w:val="22"/>
        </w:rPr>
        <w:t xml:space="preserve"> data </w:t>
      </w:r>
      <w:r w:rsidR="00E01209" w:rsidRPr="13E93F1A">
        <w:rPr>
          <w:sz w:val="22"/>
          <w:szCs w:val="22"/>
        </w:rPr>
        <w:t xml:space="preserve">indicates that </w:t>
      </w:r>
      <w:r w:rsidR="00B1199F" w:rsidRPr="13E93F1A">
        <w:rPr>
          <w:sz w:val="22"/>
          <w:szCs w:val="22"/>
        </w:rPr>
        <w:t>on average, o</w:t>
      </w:r>
      <w:r w:rsidR="00B55116" w:rsidRPr="13E93F1A">
        <w:rPr>
          <w:sz w:val="22"/>
          <w:szCs w:val="22"/>
        </w:rPr>
        <w:t xml:space="preserve">ne major </w:t>
      </w:r>
      <w:r w:rsidR="009778F2" w:rsidRPr="13E93F1A">
        <w:rPr>
          <w:sz w:val="22"/>
          <w:szCs w:val="22"/>
        </w:rPr>
        <w:t xml:space="preserve">network outage </w:t>
      </w:r>
      <w:r w:rsidR="003247A5" w:rsidRPr="13E93F1A">
        <w:rPr>
          <w:sz w:val="22"/>
          <w:szCs w:val="22"/>
        </w:rPr>
        <w:t xml:space="preserve">will </w:t>
      </w:r>
      <w:r w:rsidR="00B55116" w:rsidRPr="13E93F1A">
        <w:rPr>
          <w:sz w:val="22"/>
          <w:szCs w:val="22"/>
        </w:rPr>
        <w:t>occur annually</w:t>
      </w:r>
      <w:r w:rsidR="00B1199F" w:rsidRPr="13E93F1A">
        <w:rPr>
          <w:sz w:val="22"/>
          <w:szCs w:val="22"/>
        </w:rPr>
        <w:t xml:space="preserve"> in Australia</w:t>
      </w:r>
      <w:r w:rsidR="000606A6" w:rsidRPr="13E93F1A">
        <w:rPr>
          <w:sz w:val="22"/>
          <w:szCs w:val="22"/>
        </w:rPr>
        <w:t>.</w:t>
      </w:r>
      <w:r w:rsidR="002F5F25">
        <w:rPr>
          <w:rStyle w:val="FootnoteReference"/>
          <w:sz w:val="22"/>
          <w:szCs w:val="22"/>
        </w:rPr>
        <w:footnoteReference w:id="10"/>
      </w:r>
      <w:r w:rsidR="000606A6" w:rsidRPr="13E93F1A">
        <w:rPr>
          <w:sz w:val="22"/>
          <w:szCs w:val="22"/>
        </w:rPr>
        <w:t xml:space="preserve"> </w:t>
      </w:r>
      <w:r w:rsidR="00B1199F" w:rsidRPr="13E93F1A">
        <w:rPr>
          <w:sz w:val="22"/>
          <w:szCs w:val="22"/>
        </w:rPr>
        <w:t>In the past, t</w:t>
      </w:r>
      <w:r w:rsidR="000606A6" w:rsidRPr="13E93F1A">
        <w:rPr>
          <w:sz w:val="22"/>
          <w:szCs w:val="22"/>
        </w:rPr>
        <w:t>hese outages have</w:t>
      </w:r>
      <w:r w:rsidR="009623FA" w:rsidRPr="13E93F1A">
        <w:rPr>
          <w:sz w:val="22"/>
          <w:szCs w:val="22"/>
        </w:rPr>
        <w:t xml:space="preserve"> prompted the development of </w:t>
      </w:r>
      <w:r w:rsidR="000606A6" w:rsidRPr="13E93F1A">
        <w:rPr>
          <w:sz w:val="22"/>
          <w:szCs w:val="22"/>
        </w:rPr>
        <w:t xml:space="preserve">Protocols and </w:t>
      </w:r>
      <w:r w:rsidR="009623FA" w:rsidRPr="13E93F1A">
        <w:rPr>
          <w:sz w:val="22"/>
          <w:szCs w:val="22"/>
        </w:rPr>
        <w:t>G</w:t>
      </w:r>
      <w:r w:rsidR="000606A6" w:rsidRPr="13E93F1A">
        <w:rPr>
          <w:sz w:val="22"/>
          <w:szCs w:val="22"/>
        </w:rPr>
        <w:t xml:space="preserve">uidelines </w:t>
      </w:r>
      <w:r w:rsidR="009623FA" w:rsidRPr="13E93F1A">
        <w:rPr>
          <w:sz w:val="22"/>
          <w:szCs w:val="22"/>
        </w:rPr>
        <w:t xml:space="preserve">to enable </w:t>
      </w:r>
      <w:r w:rsidR="00B1199F" w:rsidRPr="13E93F1A">
        <w:rPr>
          <w:sz w:val="22"/>
          <w:szCs w:val="22"/>
        </w:rPr>
        <w:t xml:space="preserve">better </w:t>
      </w:r>
      <w:r w:rsidR="009623FA" w:rsidRPr="13E93F1A">
        <w:rPr>
          <w:sz w:val="22"/>
          <w:szCs w:val="22"/>
        </w:rPr>
        <w:t>communi</w:t>
      </w:r>
      <w:r w:rsidR="00B53135" w:rsidRPr="13E93F1A">
        <w:rPr>
          <w:sz w:val="22"/>
          <w:szCs w:val="22"/>
        </w:rPr>
        <w:t>cations among the telecommunications community to aid the management of the</w:t>
      </w:r>
      <w:r w:rsidR="001456EF" w:rsidRPr="13E93F1A">
        <w:rPr>
          <w:sz w:val="22"/>
          <w:szCs w:val="22"/>
        </w:rPr>
        <w:t xml:space="preserve"> </w:t>
      </w:r>
      <w:r w:rsidR="00B53135" w:rsidRPr="13E93F1A">
        <w:rPr>
          <w:sz w:val="22"/>
          <w:szCs w:val="22"/>
        </w:rPr>
        <w:t>outages</w:t>
      </w:r>
      <w:r w:rsidR="00D0778E" w:rsidRPr="13E93F1A">
        <w:rPr>
          <w:sz w:val="22"/>
          <w:szCs w:val="22"/>
        </w:rPr>
        <w:t xml:space="preserve">. For example, the TZDPs were developed following the Telstra outage </w:t>
      </w:r>
      <w:r w:rsidR="008E6B7C" w:rsidRPr="13E93F1A">
        <w:rPr>
          <w:sz w:val="22"/>
          <w:szCs w:val="22"/>
        </w:rPr>
        <w:t>of 4 and 26 May 2018.</w:t>
      </w:r>
      <w:r w:rsidR="008E6B7C">
        <w:rPr>
          <w:rStyle w:val="FootnoteReference"/>
          <w:sz w:val="22"/>
          <w:szCs w:val="22"/>
        </w:rPr>
        <w:footnoteReference w:id="11"/>
      </w:r>
      <w:r w:rsidR="002C416F" w:rsidRPr="13E93F1A">
        <w:rPr>
          <w:sz w:val="22"/>
          <w:szCs w:val="22"/>
        </w:rPr>
        <w:t xml:space="preserve"> </w:t>
      </w:r>
      <w:r w:rsidR="00C6355B" w:rsidRPr="13E93F1A">
        <w:rPr>
          <w:sz w:val="22"/>
          <w:szCs w:val="22"/>
        </w:rPr>
        <w:t xml:space="preserve">Despite these efforts, </w:t>
      </w:r>
      <w:r w:rsidR="00100604" w:rsidRPr="13E93F1A">
        <w:rPr>
          <w:sz w:val="22"/>
          <w:szCs w:val="22"/>
        </w:rPr>
        <w:t>the protocol was not followed by Optus</w:t>
      </w:r>
      <w:r w:rsidR="005C6F88" w:rsidRPr="13E93F1A">
        <w:rPr>
          <w:sz w:val="22"/>
          <w:szCs w:val="22"/>
        </w:rPr>
        <w:t xml:space="preserve"> during the November 2023 </w:t>
      </w:r>
      <w:r w:rsidR="59E0736B" w:rsidRPr="13E93F1A">
        <w:rPr>
          <w:sz w:val="22"/>
          <w:szCs w:val="22"/>
        </w:rPr>
        <w:t>o</w:t>
      </w:r>
      <w:r w:rsidR="005C6F88" w:rsidRPr="13E93F1A">
        <w:rPr>
          <w:sz w:val="22"/>
          <w:szCs w:val="22"/>
        </w:rPr>
        <w:t>utage</w:t>
      </w:r>
      <w:r w:rsidR="00100604" w:rsidRPr="13E93F1A">
        <w:rPr>
          <w:sz w:val="22"/>
          <w:szCs w:val="22"/>
        </w:rPr>
        <w:t xml:space="preserve">. </w:t>
      </w:r>
    </w:p>
    <w:p w14:paraId="16F5B26A" w14:textId="5C7642F3" w:rsidR="000521FE" w:rsidRPr="009E58FA" w:rsidRDefault="000521FE" w:rsidP="000521FE">
      <w:pPr>
        <w:rPr>
          <w:sz w:val="22"/>
          <w:szCs w:val="22"/>
        </w:rPr>
      </w:pPr>
      <w:r w:rsidRPr="009E58FA">
        <w:rPr>
          <w:sz w:val="22"/>
          <w:szCs w:val="22"/>
        </w:rPr>
        <w:lastRenderedPageBreak/>
        <w:t>The objective of government action</w:t>
      </w:r>
      <w:r w:rsidR="004549A5">
        <w:rPr>
          <w:sz w:val="22"/>
          <w:szCs w:val="22"/>
        </w:rPr>
        <w:t xml:space="preserve"> as is stipulated in the Direction </w:t>
      </w:r>
      <w:r w:rsidRPr="009E58FA">
        <w:rPr>
          <w:sz w:val="22"/>
          <w:szCs w:val="22"/>
        </w:rPr>
        <w:t>is to place clear obligations on carriers and CSPs to prioritise customer communications during outages and to ensure that:</w:t>
      </w:r>
    </w:p>
    <w:p w14:paraId="6ACA5B68" w14:textId="1DE87E9F" w:rsidR="000521FE" w:rsidRPr="00826435" w:rsidRDefault="000521FE" w:rsidP="009E58FA">
      <w:pPr>
        <w:numPr>
          <w:ilvl w:val="0"/>
          <w:numId w:val="42"/>
        </w:numPr>
        <w:spacing w:after="120" w:line="240" w:lineRule="auto"/>
        <w:ind w:left="709" w:hanging="425"/>
        <w:textAlignment w:val="baseline"/>
        <w:rPr>
          <w:sz w:val="22"/>
          <w:szCs w:val="22"/>
        </w:rPr>
      </w:pPr>
      <w:r w:rsidRPr="00826435">
        <w:rPr>
          <w:rFonts w:cs="Arial"/>
          <w:sz w:val="22"/>
          <w:szCs w:val="22"/>
        </w:rPr>
        <w:t>communication</w:t>
      </w:r>
      <w:r w:rsidRPr="00826435">
        <w:rPr>
          <w:sz w:val="22"/>
          <w:szCs w:val="22"/>
        </w:rPr>
        <w:t xml:space="preserve"> with end-users in relation to outages </w:t>
      </w:r>
      <w:r w:rsidR="003456AE" w:rsidRPr="00826435">
        <w:rPr>
          <w:sz w:val="22"/>
          <w:szCs w:val="22"/>
        </w:rPr>
        <w:t>will:</w:t>
      </w:r>
    </w:p>
    <w:p w14:paraId="702188E2" w14:textId="1354E7B5" w:rsidR="000521FE" w:rsidRPr="009E58FA" w:rsidRDefault="3214A3C0" w:rsidP="004C7627">
      <w:pPr>
        <w:pStyle w:val="ListParagraph"/>
        <w:numPr>
          <w:ilvl w:val="1"/>
          <w:numId w:val="74"/>
        </w:numPr>
        <w:spacing w:after="160" w:line="259" w:lineRule="auto"/>
        <w:rPr>
          <w:sz w:val="22"/>
          <w:szCs w:val="22"/>
        </w:rPr>
      </w:pPr>
      <w:r w:rsidRPr="70349D15">
        <w:rPr>
          <w:sz w:val="22"/>
          <w:szCs w:val="22"/>
        </w:rPr>
        <w:t>b</w:t>
      </w:r>
      <w:r w:rsidR="5B892842" w:rsidRPr="70349D15">
        <w:rPr>
          <w:sz w:val="22"/>
          <w:szCs w:val="22"/>
        </w:rPr>
        <w:t>e</w:t>
      </w:r>
      <w:r w:rsidR="5B892842" w:rsidRPr="7C0D791E">
        <w:rPr>
          <w:sz w:val="22"/>
          <w:szCs w:val="22"/>
        </w:rPr>
        <w:t xml:space="preserve"> </w:t>
      </w:r>
      <w:r w:rsidR="000521FE" w:rsidRPr="7C0D791E">
        <w:rPr>
          <w:sz w:val="22"/>
          <w:szCs w:val="22"/>
        </w:rPr>
        <w:t>timely</w:t>
      </w:r>
      <w:r w:rsidR="000521FE" w:rsidRPr="009E58FA">
        <w:rPr>
          <w:sz w:val="22"/>
          <w:szCs w:val="22"/>
        </w:rPr>
        <w:t xml:space="preserve"> and up-to-date</w:t>
      </w:r>
    </w:p>
    <w:p w14:paraId="518D39B7" w14:textId="77777777" w:rsidR="000521FE" w:rsidRPr="009E58FA" w:rsidRDefault="000521FE" w:rsidP="004C7627">
      <w:pPr>
        <w:pStyle w:val="ListParagraph"/>
        <w:numPr>
          <w:ilvl w:val="1"/>
          <w:numId w:val="74"/>
        </w:numPr>
        <w:spacing w:after="160" w:line="259" w:lineRule="auto"/>
        <w:rPr>
          <w:sz w:val="22"/>
          <w:szCs w:val="22"/>
        </w:rPr>
      </w:pPr>
      <w:r w:rsidRPr="009E58FA">
        <w:rPr>
          <w:sz w:val="22"/>
          <w:szCs w:val="22"/>
        </w:rPr>
        <w:t>accessible and made through a mix of public and direct communication channels</w:t>
      </w:r>
    </w:p>
    <w:p w14:paraId="46A7B85B" w14:textId="1E6723A9" w:rsidR="000521FE" w:rsidRPr="003456AE" w:rsidRDefault="000521FE" w:rsidP="003456AE">
      <w:pPr>
        <w:pStyle w:val="ListParagraph"/>
        <w:numPr>
          <w:ilvl w:val="1"/>
          <w:numId w:val="74"/>
        </w:numPr>
        <w:spacing w:after="160" w:line="259" w:lineRule="auto"/>
        <w:rPr>
          <w:sz w:val="22"/>
          <w:szCs w:val="22"/>
        </w:rPr>
      </w:pPr>
      <w:r w:rsidRPr="009E58FA">
        <w:rPr>
          <w:sz w:val="22"/>
          <w:szCs w:val="22"/>
        </w:rPr>
        <w:t>identify, as appropriate, methods for end-users to seek a real-time or near real-time update or assistance</w:t>
      </w:r>
    </w:p>
    <w:p w14:paraId="2B5852F3" w14:textId="2A00A7A1" w:rsidR="000521FE" w:rsidRPr="009E58FA" w:rsidRDefault="005944D3" w:rsidP="004C7627">
      <w:pPr>
        <w:pStyle w:val="ListParagraph"/>
        <w:numPr>
          <w:ilvl w:val="1"/>
          <w:numId w:val="74"/>
        </w:numPr>
        <w:spacing w:after="160" w:line="259" w:lineRule="auto"/>
        <w:rPr>
          <w:sz w:val="22"/>
          <w:szCs w:val="22"/>
        </w:rPr>
      </w:pPr>
      <w:r>
        <w:rPr>
          <w:sz w:val="22"/>
          <w:szCs w:val="22"/>
        </w:rPr>
        <w:t xml:space="preserve">inform end-users and the public about </w:t>
      </w:r>
      <w:r w:rsidR="000521FE" w:rsidRPr="009E58FA">
        <w:rPr>
          <w:sz w:val="22"/>
          <w:szCs w:val="22"/>
        </w:rPr>
        <w:t>the status, scale, cause, and estimated timing for rectification of the outage</w:t>
      </w:r>
    </w:p>
    <w:p w14:paraId="76731096" w14:textId="397F441D" w:rsidR="000521FE" w:rsidRPr="009E58FA" w:rsidRDefault="000521FE" w:rsidP="004C7627">
      <w:pPr>
        <w:pStyle w:val="ListParagraph"/>
        <w:numPr>
          <w:ilvl w:val="1"/>
          <w:numId w:val="74"/>
        </w:numPr>
        <w:spacing w:after="160" w:line="259" w:lineRule="auto"/>
        <w:rPr>
          <w:sz w:val="22"/>
          <w:szCs w:val="22"/>
        </w:rPr>
      </w:pPr>
      <w:r w:rsidRPr="009E58FA">
        <w:rPr>
          <w:sz w:val="22"/>
          <w:szCs w:val="22"/>
        </w:rPr>
        <w:t xml:space="preserve">provide prompt notification when services are </w:t>
      </w:r>
      <w:r w:rsidR="003456AE" w:rsidRPr="009E58FA">
        <w:rPr>
          <w:sz w:val="22"/>
          <w:szCs w:val="22"/>
        </w:rPr>
        <w:t>restored.</w:t>
      </w:r>
    </w:p>
    <w:p w14:paraId="3750424E" w14:textId="03189514" w:rsidR="000521FE" w:rsidRPr="009E58FA" w:rsidRDefault="000521FE" w:rsidP="009E58FA">
      <w:pPr>
        <w:numPr>
          <w:ilvl w:val="0"/>
          <w:numId w:val="42"/>
        </w:numPr>
        <w:spacing w:after="120" w:line="240" w:lineRule="auto"/>
        <w:ind w:left="709" w:hanging="425"/>
        <w:textAlignment w:val="baseline"/>
        <w:rPr>
          <w:rFonts w:cs="Arial"/>
          <w:sz w:val="22"/>
          <w:szCs w:val="22"/>
        </w:rPr>
      </w:pPr>
      <w:r w:rsidRPr="009E58FA">
        <w:rPr>
          <w:rFonts w:cs="Arial"/>
          <w:sz w:val="22"/>
          <w:szCs w:val="22"/>
        </w:rPr>
        <w:t xml:space="preserve">carriers and CSPs share information about outages with each other and relevant stakeholders to enable effective communication with end-users affected by the </w:t>
      </w:r>
      <w:r w:rsidR="00837186" w:rsidRPr="009E58FA">
        <w:rPr>
          <w:rFonts w:cs="Arial"/>
          <w:sz w:val="22"/>
          <w:szCs w:val="22"/>
        </w:rPr>
        <w:t>outage.</w:t>
      </w:r>
    </w:p>
    <w:p w14:paraId="1D0C6EE6" w14:textId="77777777" w:rsidR="000521FE" w:rsidRPr="009D7C42" w:rsidRDefault="000521FE" w:rsidP="009E58FA">
      <w:pPr>
        <w:numPr>
          <w:ilvl w:val="0"/>
          <w:numId w:val="42"/>
        </w:numPr>
        <w:spacing w:after="120" w:line="240" w:lineRule="auto"/>
        <w:ind w:left="709" w:hanging="425"/>
        <w:textAlignment w:val="baseline"/>
      </w:pPr>
      <w:r w:rsidRPr="009E58FA">
        <w:rPr>
          <w:rFonts w:cs="Arial"/>
          <w:sz w:val="22"/>
          <w:szCs w:val="22"/>
        </w:rPr>
        <w:t xml:space="preserve">carriers and CSPs make information about their process for communicating about outages publicly </w:t>
      </w:r>
      <w:r w:rsidRPr="0086376F">
        <w:rPr>
          <w:rFonts w:cs="Arial"/>
          <w:sz w:val="22"/>
          <w:szCs w:val="22"/>
        </w:rPr>
        <w:t>available</w:t>
      </w:r>
      <w:r w:rsidRPr="006B2110">
        <w:rPr>
          <w:sz w:val="22"/>
          <w:szCs w:val="22"/>
        </w:rPr>
        <w:t xml:space="preserve"> and easily accessible.</w:t>
      </w:r>
      <w:r w:rsidRPr="006B2110">
        <w:rPr>
          <w:rStyle w:val="FootnoteReference"/>
          <w:sz w:val="22"/>
          <w:szCs w:val="22"/>
        </w:rPr>
        <w:footnoteReference w:id="12"/>
      </w:r>
    </w:p>
    <w:p w14:paraId="010728C1" w14:textId="4FBB9BE8" w:rsidR="000521FE" w:rsidRPr="009E58FA" w:rsidRDefault="000521FE" w:rsidP="000521FE">
      <w:pPr>
        <w:rPr>
          <w:sz w:val="22"/>
          <w:szCs w:val="22"/>
        </w:rPr>
      </w:pPr>
      <w:r w:rsidRPr="0A220127">
        <w:rPr>
          <w:sz w:val="22"/>
          <w:szCs w:val="22"/>
        </w:rPr>
        <w:t>Potential barriers and risks associated with government intervention to achieve the stated objectives are expected to be</w:t>
      </w:r>
      <w:r w:rsidR="009E6AF2">
        <w:rPr>
          <w:sz w:val="22"/>
          <w:szCs w:val="22"/>
        </w:rPr>
        <w:t xml:space="preserve"> </w:t>
      </w:r>
      <w:r w:rsidR="00E709DA">
        <w:rPr>
          <w:sz w:val="22"/>
          <w:szCs w:val="22"/>
        </w:rPr>
        <w:t>moderate</w:t>
      </w:r>
      <w:r w:rsidRPr="0A220127">
        <w:rPr>
          <w:sz w:val="22"/>
          <w:szCs w:val="22"/>
        </w:rPr>
        <w:t xml:space="preserve">. </w:t>
      </w:r>
      <w:r w:rsidR="00C7264E">
        <w:rPr>
          <w:sz w:val="22"/>
          <w:szCs w:val="22"/>
        </w:rPr>
        <w:t>T</w:t>
      </w:r>
      <w:r w:rsidRPr="0A220127">
        <w:rPr>
          <w:sz w:val="22"/>
          <w:szCs w:val="22"/>
        </w:rPr>
        <w:t>he telecommunications sector may be concerned about additional regulatory responsibilities</w:t>
      </w:r>
      <w:r w:rsidR="00C7264E">
        <w:rPr>
          <w:sz w:val="22"/>
          <w:szCs w:val="22"/>
        </w:rPr>
        <w:t xml:space="preserve"> noting that the notifications requirements </w:t>
      </w:r>
      <w:r w:rsidR="00762B47">
        <w:rPr>
          <w:sz w:val="22"/>
          <w:szCs w:val="22"/>
        </w:rPr>
        <w:t>imposed in the</w:t>
      </w:r>
      <w:r w:rsidRPr="0A220127">
        <w:rPr>
          <w:sz w:val="22"/>
          <w:szCs w:val="22"/>
        </w:rPr>
        <w:t xml:space="preserve"> proposed regulation</w:t>
      </w:r>
      <w:r w:rsidR="0022040C">
        <w:rPr>
          <w:sz w:val="22"/>
          <w:szCs w:val="22"/>
        </w:rPr>
        <w:t xml:space="preserve"> </w:t>
      </w:r>
      <w:r w:rsidR="00762B47">
        <w:rPr>
          <w:sz w:val="22"/>
          <w:szCs w:val="22"/>
        </w:rPr>
        <w:t xml:space="preserve">may </w:t>
      </w:r>
      <w:r w:rsidRPr="0A220127">
        <w:rPr>
          <w:sz w:val="22"/>
          <w:szCs w:val="22"/>
        </w:rPr>
        <w:t xml:space="preserve">require </w:t>
      </w:r>
      <w:r w:rsidR="00A378CA">
        <w:rPr>
          <w:sz w:val="22"/>
          <w:szCs w:val="22"/>
        </w:rPr>
        <w:t xml:space="preserve">significant </w:t>
      </w:r>
      <w:r w:rsidR="002A3186">
        <w:rPr>
          <w:sz w:val="22"/>
          <w:szCs w:val="22"/>
        </w:rPr>
        <w:t>additional</w:t>
      </w:r>
      <w:r w:rsidRPr="0A220127">
        <w:rPr>
          <w:sz w:val="22"/>
          <w:szCs w:val="22"/>
        </w:rPr>
        <w:t xml:space="preserve"> costs or changes to systems. </w:t>
      </w:r>
      <w:r w:rsidR="00D83EDC">
        <w:rPr>
          <w:sz w:val="22"/>
          <w:szCs w:val="22"/>
        </w:rPr>
        <w:t>This risk however is mitigated</w:t>
      </w:r>
      <w:r w:rsidR="003E3C0E">
        <w:rPr>
          <w:sz w:val="22"/>
          <w:szCs w:val="22"/>
        </w:rPr>
        <w:t xml:space="preserve"> by the fact </w:t>
      </w:r>
      <w:r w:rsidR="002B0055">
        <w:rPr>
          <w:sz w:val="22"/>
          <w:szCs w:val="22"/>
        </w:rPr>
        <w:t>t</w:t>
      </w:r>
      <w:r w:rsidRPr="0A220127">
        <w:rPr>
          <w:sz w:val="22"/>
          <w:szCs w:val="22"/>
        </w:rPr>
        <w:t>elcos</w:t>
      </w:r>
      <w:r w:rsidR="002A3186">
        <w:rPr>
          <w:sz w:val="22"/>
          <w:szCs w:val="22"/>
        </w:rPr>
        <w:t xml:space="preserve"> </w:t>
      </w:r>
      <w:r w:rsidRPr="0A220127">
        <w:rPr>
          <w:sz w:val="22"/>
          <w:szCs w:val="22"/>
        </w:rPr>
        <w:t xml:space="preserve">are already capable of communicating with customers and the general public through various established channels. The industry will be able to use </w:t>
      </w:r>
      <w:r w:rsidR="002B0055">
        <w:rPr>
          <w:sz w:val="22"/>
          <w:szCs w:val="22"/>
        </w:rPr>
        <w:t xml:space="preserve">some of </w:t>
      </w:r>
      <w:r w:rsidRPr="0A220127">
        <w:rPr>
          <w:sz w:val="22"/>
          <w:szCs w:val="22"/>
        </w:rPr>
        <w:t xml:space="preserve">these same channels to meet the new requirements. </w:t>
      </w:r>
    </w:p>
    <w:p w14:paraId="131CFEE6" w14:textId="04DC9061" w:rsidR="000521FE" w:rsidRDefault="000521FE" w:rsidP="0A220127">
      <w:pPr>
        <w:spacing w:after="120" w:line="240" w:lineRule="auto"/>
        <w:textAlignment w:val="baseline"/>
        <w:rPr>
          <w:sz w:val="22"/>
          <w:szCs w:val="22"/>
        </w:rPr>
      </w:pPr>
      <w:r w:rsidRPr="0A220127">
        <w:rPr>
          <w:sz w:val="22"/>
          <w:szCs w:val="22"/>
        </w:rPr>
        <w:t>Success will be measured by the following:</w:t>
      </w:r>
    </w:p>
    <w:p w14:paraId="7B3771DD" w14:textId="4A019527" w:rsidR="007063E5" w:rsidRPr="009E58FA" w:rsidRDefault="00FF6CD5" w:rsidP="009E58FA">
      <w:pPr>
        <w:numPr>
          <w:ilvl w:val="0"/>
          <w:numId w:val="42"/>
        </w:numPr>
        <w:spacing w:after="120" w:line="240" w:lineRule="auto"/>
        <w:ind w:left="709" w:hanging="425"/>
        <w:textAlignment w:val="baseline"/>
        <w:rPr>
          <w:rFonts w:cs="Arial"/>
          <w:sz w:val="22"/>
          <w:szCs w:val="22"/>
        </w:rPr>
      </w:pPr>
      <w:r w:rsidRPr="13E93F1A">
        <w:rPr>
          <w:rFonts w:cs="Arial"/>
          <w:sz w:val="22"/>
          <w:szCs w:val="22"/>
        </w:rPr>
        <w:t xml:space="preserve">Carriers and CSPs </w:t>
      </w:r>
      <w:r w:rsidR="007063E5" w:rsidRPr="13E93F1A">
        <w:rPr>
          <w:rFonts w:cs="Arial"/>
          <w:sz w:val="22"/>
          <w:szCs w:val="22"/>
        </w:rPr>
        <w:t xml:space="preserve">having </w:t>
      </w:r>
      <w:r w:rsidR="00866890" w:rsidRPr="13E93F1A">
        <w:rPr>
          <w:rFonts w:cs="Arial"/>
          <w:sz w:val="22"/>
          <w:szCs w:val="22"/>
        </w:rPr>
        <w:t>written procedures in place</w:t>
      </w:r>
      <w:r w:rsidR="002466DC" w:rsidRPr="13E93F1A">
        <w:rPr>
          <w:rFonts w:cs="Arial"/>
          <w:sz w:val="22"/>
          <w:szCs w:val="22"/>
        </w:rPr>
        <w:t xml:space="preserve">, and available </w:t>
      </w:r>
      <w:r w:rsidR="003D72C6" w:rsidRPr="13E93F1A">
        <w:rPr>
          <w:rFonts w:cs="Arial"/>
          <w:sz w:val="22"/>
          <w:szCs w:val="22"/>
        </w:rPr>
        <w:t xml:space="preserve">on their website, </w:t>
      </w:r>
      <w:r w:rsidR="00837186" w:rsidRPr="13E93F1A">
        <w:rPr>
          <w:rFonts w:cs="Arial"/>
          <w:sz w:val="22"/>
          <w:szCs w:val="22"/>
        </w:rPr>
        <w:t>which</w:t>
      </w:r>
      <w:r w:rsidR="00C2085B" w:rsidRPr="13E93F1A">
        <w:rPr>
          <w:rFonts w:cs="Arial"/>
          <w:sz w:val="22"/>
          <w:szCs w:val="22"/>
        </w:rPr>
        <w:t xml:space="preserve"> outline how they will </w:t>
      </w:r>
      <w:r w:rsidR="00761101" w:rsidRPr="13E93F1A">
        <w:rPr>
          <w:rFonts w:cs="Arial"/>
          <w:sz w:val="22"/>
          <w:szCs w:val="22"/>
        </w:rPr>
        <w:t>communicate with end-users, the public</w:t>
      </w:r>
      <w:r w:rsidR="00B46CED" w:rsidRPr="13E93F1A">
        <w:rPr>
          <w:rFonts w:cs="Arial"/>
          <w:sz w:val="22"/>
          <w:szCs w:val="22"/>
        </w:rPr>
        <w:t xml:space="preserve">, other carriers and </w:t>
      </w:r>
      <w:r w:rsidR="06A5A88F" w:rsidRPr="13E93F1A">
        <w:rPr>
          <w:rFonts w:cs="Arial"/>
          <w:sz w:val="22"/>
          <w:szCs w:val="22"/>
        </w:rPr>
        <w:t>CSPs</w:t>
      </w:r>
      <w:r w:rsidR="00FE680E" w:rsidRPr="13E93F1A">
        <w:rPr>
          <w:rFonts w:cs="Arial"/>
          <w:sz w:val="22"/>
          <w:szCs w:val="22"/>
        </w:rPr>
        <w:t xml:space="preserve"> during major or significant local outages.</w:t>
      </w:r>
    </w:p>
    <w:p w14:paraId="68CBFF61" w14:textId="40B812D1" w:rsidR="00E948E6" w:rsidRDefault="00E948E6" w:rsidP="009E58FA">
      <w:pPr>
        <w:numPr>
          <w:ilvl w:val="0"/>
          <w:numId w:val="42"/>
        </w:numPr>
        <w:spacing w:after="120" w:line="240" w:lineRule="auto"/>
        <w:ind w:left="709" w:hanging="425"/>
        <w:textAlignment w:val="baseline"/>
        <w:rPr>
          <w:rFonts w:cs="Arial"/>
          <w:sz w:val="22"/>
          <w:szCs w:val="22"/>
        </w:rPr>
      </w:pPr>
      <w:r>
        <w:rPr>
          <w:rFonts w:cs="Arial"/>
          <w:sz w:val="22"/>
          <w:szCs w:val="22"/>
        </w:rPr>
        <w:t>Carriers and CSPs complying with their written procedures</w:t>
      </w:r>
      <w:r w:rsidR="00F42984">
        <w:rPr>
          <w:rFonts w:cs="Arial"/>
          <w:sz w:val="22"/>
          <w:szCs w:val="22"/>
        </w:rPr>
        <w:t xml:space="preserve"> and </w:t>
      </w:r>
      <w:r w:rsidR="00592CA2">
        <w:rPr>
          <w:rFonts w:cs="Arial"/>
          <w:sz w:val="22"/>
          <w:szCs w:val="22"/>
        </w:rPr>
        <w:t>the requirements of the Industry Standard</w:t>
      </w:r>
      <w:r w:rsidR="00C505BD">
        <w:rPr>
          <w:rFonts w:cs="Arial"/>
          <w:sz w:val="22"/>
          <w:szCs w:val="22"/>
        </w:rPr>
        <w:t>.</w:t>
      </w:r>
    </w:p>
    <w:p w14:paraId="5A6B7124" w14:textId="1E5B6638" w:rsidR="000521FE" w:rsidRPr="009E58FA" w:rsidRDefault="000521FE" w:rsidP="009E58FA">
      <w:pPr>
        <w:numPr>
          <w:ilvl w:val="0"/>
          <w:numId w:val="42"/>
        </w:numPr>
        <w:spacing w:after="120" w:line="240" w:lineRule="auto"/>
        <w:ind w:left="709" w:hanging="425"/>
        <w:textAlignment w:val="baseline"/>
        <w:rPr>
          <w:rFonts w:cs="Arial"/>
          <w:sz w:val="22"/>
          <w:szCs w:val="22"/>
        </w:rPr>
      </w:pPr>
      <w:r w:rsidRPr="009E58FA">
        <w:rPr>
          <w:rFonts w:cs="Arial"/>
          <w:sz w:val="22"/>
          <w:szCs w:val="22"/>
        </w:rPr>
        <w:t xml:space="preserve">Feedback from </w:t>
      </w:r>
      <w:r w:rsidR="00C505BD">
        <w:rPr>
          <w:rFonts w:cs="Arial"/>
          <w:sz w:val="22"/>
          <w:szCs w:val="22"/>
        </w:rPr>
        <w:t xml:space="preserve">end-users, </w:t>
      </w:r>
      <w:r w:rsidRPr="009E58FA">
        <w:rPr>
          <w:rFonts w:cs="Arial"/>
          <w:sz w:val="22"/>
          <w:szCs w:val="22"/>
        </w:rPr>
        <w:t>consumer groups and community organisations that consumers have been notified of outages as required.</w:t>
      </w:r>
    </w:p>
    <w:p w14:paraId="22032C5E" w14:textId="66E06162" w:rsidR="32D41117" w:rsidRPr="008F550D" w:rsidRDefault="000521FE" w:rsidP="009E58FA">
      <w:pPr>
        <w:numPr>
          <w:ilvl w:val="0"/>
          <w:numId w:val="42"/>
        </w:numPr>
        <w:spacing w:after="120" w:line="240" w:lineRule="auto"/>
        <w:ind w:left="709" w:hanging="425"/>
        <w:textAlignment w:val="baseline"/>
        <w:rPr>
          <w:sz w:val="22"/>
          <w:szCs w:val="22"/>
        </w:rPr>
      </w:pPr>
      <w:r w:rsidRPr="008F550D">
        <w:rPr>
          <w:sz w:val="22"/>
          <w:szCs w:val="22"/>
        </w:rPr>
        <w:t xml:space="preserve">Reduced complaints to the TIO from </w:t>
      </w:r>
      <w:r w:rsidRPr="008F550D">
        <w:rPr>
          <w:rFonts w:cs="Arial"/>
          <w:sz w:val="22"/>
          <w:szCs w:val="22"/>
        </w:rPr>
        <w:t>customers</w:t>
      </w:r>
      <w:r w:rsidRPr="008F550D">
        <w:rPr>
          <w:sz w:val="22"/>
          <w:szCs w:val="22"/>
        </w:rPr>
        <w:t xml:space="preserve"> of telcos that have experienced an outage.</w:t>
      </w:r>
    </w:p>
    <w:p w14:paraId="4DE1332C" w14:textId="2280F4B4" w:rsidR="00571965" w:rsidRDefault="00571965" w:rsidP="00B624AB">
      <w:pPr>
        <w:pStyle w:val="Heading1"/>
      </w:pPr>
      <w:bookmarkStart w:id="12" w:name="_Toc181713883"/>
      <w:r w:rsidRPr="00571965">
        <w:lastRenderedPageBreak/>
        <w:t>What policy options are you considering?</w:t>
      </w:r>
      <w:bookmarkEnd w:id="12"/>
    </w:p>
    <w:p w14:paraId="3378B964" w14:textId="34850767" w:rsidR="00C91E44" w:rsidRPr="00454120" w:rsidRDefault="00C91E44" w:rsidP="00C91E44">
      <w:pPr>
        <w:rPr>
          <w:sz w:val="22"/>
          <w:szCs w:val="22"/>
        </w:rPr>
      </w:pPr>
      <w:r>
        <w:rPr>
          <w:sz w:val="22"/>
          <w:szCs w:val="22"/>
        </w:rPr>
        <w:t xml:space="preserve">The following four options have been considered based on the options available to the ACMA to undertake regulatory intervention with existing powers. </w:t>
      </w:r>
    </w:p>
    <w:p w14:paraId="3B3F221F" w14:textId="7F05141C" w:rsidR="006A0868" w:rsidRDefault="006A0868" w:rsidP="006A0868">
      <w:pPr>
        <w:pStyle w:val="Heading2"/>
      </w:pPr>
      <w:bookmarkStart w:id="13" w:name="_Toc181713884"/>
      <w:r w:rsidRPr="006A0868">
        <w:t>Option 1 – Status quo</w:t>
      </w:r>
      <w:bookmarkEnd w:id="13"/>
    </w:p>
    <w:p w14:paraId="000CCC98" w14:textId="77777777" w:rsidR="006A0868" w:rsidRPr="002564E1" w:rsidRDefault="006A0868" w:rsidP="006A0868">
      <w:pPr>
        <w:rPr>
          <w:sz w:val="22"/>
          <w:szCs w:val="22"/>
        </w:rPr>
      </w:pPr>
      <w:r w:rsidRPr="002564E1">
        <w:rPr>
          <w:sz w:val="22"/>
          <w:szCs w:val="22"/>
        </w:rPr>
        <w:t xml:space="preserve">Under this option the government retains the status quo, refraining from introducing new regulation and relying on the current Guideline. </w:t>
      </w:r>
    </w:p>
    <w:p w14:paraId="061181B8" w14:textId="7102561A" w:rsidR="006A0868" w:rsidRPr="002564E1" w:rsidRDefault="006A0868" w:rsidP="006A0868">
      <w:pPr>
        <w:rPr>
          <w:sz w:val="22"/>
          <w:szCs w:val="22"/>
        </w:rPr>
      </w:pPr>
      <w:r w:rsidRPr="002564E1">
        <w:rPr>
          <w:sz w:val="22"/>
          <w:szCs w:val="22"/>
        </w:rPr>
        <w:t>This means that carriers and CSPs would continue to use their own discretion to determine the severity of an outage and, based on that assessment, to decide what information to provide their customers, when to provide it, and by what mechanism. Customers of different telcos would experience different levels of interaction depending on how each telco applies the principles of the Guideline to the circumstances of the outage.</w:t>
      </w:r>
      <w:r w:rsidR="00E55EEE">
        <w:rPr>
          <w:sz w:val="22"/>
          <w:szCs w:val="22"/>
        </w:rPr>
        <w:t xml:space="preserve"> </w:t>
      </w:r>
      <w:r w:rsidR="0015749A">
        <w:rPr>
          <w:sz w:val="22"/>
          <w:szCs w:val="22"/>
        </w:rPr>
        <w:t>While these</w:t>
      </w:r>
      <w:r w:rsidR="00E55EEE">
        <w:rPr>
          <w:sz w:val="22"/>
          <w:szCs w:val="22"/>
        </w:rPr>
        <w:t xml:space="preserve"> differences are not </w:t>
      </w:r>
      <w:r w:rsidR="00331581">
        <w:rPr>
          <w:sz w:val="22"/>
          <w:szCs w:val="22"/>
        </w:rPr>
        <w:t>inherently problematic</w:t>
      </w:r>
      <w:r w:rsidR="002D5AA8">
        <w:rPr>
          <w:sz w:val="22"/>
          <w:szCs w:val="22"/>
        </w:rPr>
        <w:t>, the adequacy and t</w:t>
      </w:r>
      <w:r w:rsidR="00BD6619">
        <w:rPr>
          <w:sz w:val="22"/>
          <w:szCs w:val="22"/>
        </w:rPr>
        <w:t xml:space="preserve">imeliness of the </w:t>
      </w:r>
      <w:r w:rsidR="0020535B">
        <w:rPr>
          <w:sz w:val="22"/>
          <w:szCs w:val="22"/>
        </w:rPr>
        <w:t>interaction</w:t>
      </w:r>
      <w:r w:rsidR="009F2ED0">
        <w:rPr>
          <w:sz w:val="22"/>
          <w:szCs w:val="22"/>
        </w:rPr>
        <w:t>s</w:t>
      </w:r>
      <w:r w:rsidR="0020535B">
        <w:rPr>
          <w:sz w:val="22"/>
          <w:szCs w:val="22"/>
        </w:rPr>
        <w:t xml:space="preserve"> </w:t>
      </w:r>
      <w:r w:rsidR="00EC28A1">
        <w:rPr>
          <w:sz w:val="22"/>
          <w:szCs w:val="22"/>
        </w:rPr>
        <w:t>and</w:t>
      </w:r>
      <w:r w:rsidR="0020535B">
        <w:rPr>
          <w:sz w:val="22"/>
          <w:szCs w:val="22"/>
        </w:rPr>
        <w:t xml:space="preserve"> </w:t>
      </w:r>
      <w:r w:rsidR="006B0F7E">
        <w:rPr>
          <w:sz w:val="22"/>
          <w:szCs w:val="22"/>
        </w:rPr>
        <w:t>communication</w:t>
      </w:r>
      <w:r w:rsidR="00B9442E">
        <w:rPr>
          <w:sz w:val="22"/>
          <w:szCs w:val="22"/>
        </w:rPr>
        <w:t xml:space="preserve"> </w:t>
      </w:r>
      <w:r w:rsidR="00A378CA">
        <w:rPr>
          <w:sz w:val="22"/>
          <w:szCs w:val="22"/>
        </w:rPr>
        <w:t>may</w:t>
      </w:r>
      <w:r w:rsidR="00B9442E">
        <w:rPr>
          <w:sz w:val="22"/>
          <w:szCs w:val="22"/>
        </w:rPr>
        <w:t xml:space="preserve"> vary</w:t>
      </w:r>
      <w:r w:rsidR="003A12B1">
        <w:rPr>
          <w:sz w:val="22"/>
          <w:szCs w:val="22"/>
        </w:rPr>
        <w:t xml:space="preserve"> and</w:t>
      </w:r>
      <w:r w:rsidR="00A378CA">
        <w:rPr>
          <w:sz w:val="22"/>
          <w:szCs w:val="22"/>
        </w:rPr>
        <w:t>,</w:t>
      </w:r>
      <w:r w:rsidR="003A12B1">
        <w:rPr>
          <w:sz w:val="22"/>
          <w:szCs w:val="22"/>
        </w:rPr>
        <w:t xml:space="preserve"> in some cases</w:t>
      </w:r>
      <w:r w:rsidR="005F2113">
        <w:rPr>
          <w:sz w:val="22"/>
          <w:szCs w:val="22"/>
        </w:rPr>
        <w:t xml:space="preserve">, </w:t>
      </w:r>
      <w:r w:rsidR="00B40FBF">
        <w:rPr>
          <w:sz w:val="22"/>
          <w:szCs w:val="22"/>
        </w:rPr>
        <w:t>be</w:t>
      </w:r>
      <w:r w:rsidR="005F2113">
        <w:rPr>
          <w:sz w:val="22"/>
          <w:szCs w:val="22"/>
        </w:rPr>
        <w:t xml:space="preserve"> inadequate</w:t>
      </w:r>
      <w:r w:rsidR="0020535B">
        <w:rPr>
          <w:sz w:val="22"/>
          <w:szCs w:val="22"/>
        </w:rPr>
        <w:t xml:space="preserve">. </w:t>
      </w:r>
    </w:p>
    <w:p w14:paraId="68AA208C" w14:textId="77777777" w:rsidR="006A0868" w:rsidRPr="002564E1" w:rsidRDefault="006A0868" w:rsidP="006A0868">
      <w:pPr>
        <w:rPr>
          <w:sz w:val="22"/>
          <w:szCs w:val="22"/>
        </w:rPr>
      </w:pPr>
      <w:r w:rsidRPr="002564E1">
        <w:rPr>
          <w:sz w:val="22"/>
          <w:szCs w:val="22"/>
        </w:rPr>
        <w:t>No compliance requirements or enforcement options would apply. It is not possible for the ACMA to take action for non-compliance of an Industry Guideline, no matter how significant.</w:t>
      </w:r>
    </w:p>
    <w:p w14:paraId="61AF84E6" w14:textId="324D6272" w:rsidR="006A0868" w:rsidRPr="002564E1" w:rsidRDefault="006A0868" w:rsidP="006A0868">
      <w:pPr>
        <w:rPr>
          <w:sz w:val="22"/>
          <w:szCs w:val="22"/>
        </w:rPr>
      </w:pPr>
      <w:r w:rsidRPr="002564E1">
        <w:rPr>
          <w:sz w:val="22"/>
          <w:szCs w:val="22"/>
        </w:rPr>
        <w:t>Under this option the distress experienced by Optus customers during the November 2023 outage caused by inadequate messaging may recur in the event of future network outages. The TIO’s resources may also be stretched by a spike in complaints from dissatisfied telco customers who may be more likely to complain due to a lack of clear and timely information about an outage.</w:t>
      </w:r>
    </w:p>
    <w:p w14:paraId="10AA382C" w14:textId="2F7F4B52" w:rsidR="006A0868" w:rsidRDefault="70512797" w:rsidP="71A72972">
      <w:pPr>
        <w:rPr>
          <w:sz w:val="22"/>
          <w:szCs w:val="22"/>
        </w:rPr>
      </w:pPr>
      <w:r w:rsidRPr="71A72972">
        <w:rPr>
          <w:sz w:val="22"/>
          <w:szCs w:val="22"/>
        </w:rPr>
        <w:t xml:space="preserve">The ACMA </w:t>
      </w:r>
      <w:r w:rsidRPr="71A72972">
        <w:rPr>
          <w:i/>
          <w:iCs/>
          <w:sz w:val="22"/>
          <w:szCs w:val="22"/>
        </w:rPr>
        <w:t>must</w:t>
      </w:r>
      <w:r w:rsidRPr="71A72972">
        <w:rPr>
          <w:sz w:val="22"/>
          <w:szCs w:val="22"/>
        </w:rPr>
        <w:t xml:space="preserve"> determine an industry standard if directed by the Minister. Retaining the status quo is therefore not a live option.</w:t>
      </w:r>
    </w:p>
    <w:p w14:paraId="258A64B7" w14:textId="77777777" w:rsidR="006A0868" w:rsidRDefault="006A0868" w:rsidP="006A0868">
      <w:pPr>
        <w:pStyle w:val="Heading2"/>
      </w:pPr>
      <w:bookmarkStart w:id="14" w:name="_Toc181713885"/>
      <w:r w:rsidRPr="006A0868">
        <w:t>Option 2 – Direct regulation (Industry Standard)</w:t>
      </w:r>
      <w:bookmarkEnd w:id="14"/>
    </w:p>
    <w:p w14:paraId="49468F4E" w14:textId="77777777" w:rsidR="006A0868" w:rsidRPr="001B6113" w:rsidRDefault="006A0868" w:rsidP="006A0868">
      <w:pPr>
        <w:rPr>
          <w:sz w:val="22"/>
          <w:szCs w:val="22"/>
        </w:rPr>
      </w:pPr>
      <w:r w:rsidRPr="001B6113">
        <w:rPr>
          <w:sz w:val="22"/>
          <w:szCs w:val="22"/>
        </w:rPr>
        <w:t>The final report of the Department’s Review made 18 recommendations to address structural issues within the broader telecommunications ecosystem highlighted by the Optus outage. Notably, recommendation 10 states:</w:t>
      </w:r>
    </w:p>
    <w:p w14:paraId="32F48079" w14:textId="762BA45A" w:rsidR="006A0868" w:rsidRPr="0000675E" w:rsidRDefault="006A0868" w:rsidP="006A0868">
      <w:pPr>
        <w:ind w:left="284"/>
      </w:pPr>
      <w:r w:rsidRPr="001B6113">
        <w:rPr>
          <w:i/>
          <w:iCs/>
          <w:sz w:val="22"/>
          <w:szCs w:val="22"/>
        </w:rPr>
        <w:t>The ACMA should develop a standard or determination requiring carriers to communicate specific information to customers during and about outages. The Communications Alliance Emergency Communications Protocol – Industry Guideline G663:2022 or one or more of the carriers’ existing internal communications protocols could be used as a base but there needs to be an explicit focus on communications between the affected network provider and its customers as well as other stakeholders.</w:t>
      </w:r>
      <w:r w:rsidRPr="00896BA9">
        <w:rPr>
          <w:rStyle w:val="FootnoteReference"/>
          <w:i/>
          <w:iCs/>
          <w:sz w:val="22"/>
          <w:szCs w:val="22"/>
        </w:rPr>
        <w:footnoteReference w:id="13"/>
      </w:r>
    </w:p>
    <w:p w14:paraId="68F17354" w14:textId="77777777" w:rsidR="006A0868" w:rsidRPr="001B6113" w:rsidRDefault="006A0868" w:rsidP="006A0868">
      <w:pPr>
        <w:rPr>
          <w:sz w:val="22"/>
          <w:szCs w:val="22"/>
        </w:rPr>
      </w:pPr>
      <w:r w:rsidRPr="001B6113">
        <w:rPr>
          <w:sz w:val="22"/>
          <w:szCs w:val="22"/>
        </w:rPr>
        <w:t>The Government accepted all 18 recommendations in its response, stating in response to recommendation 10:</w:t>
      </w:r>
    </w:p>
    <w:p w14:paraId="11E24166" w14:textId="77777777" w:rsidR="006A0868" w:rsidRPr="00896BA9" w:rsidRDefault="006A0868" w:rsidP="006A0868">
      <w:pPr>
        <w:ind w:left="284"/>
        <w:rPr>
          <w:i/>
          <w:iCs/>
          <w:sz w:val="22"/>
          <w:szCs w:val="22"/>
        </w:rPr>
      </w:pPr>
      <w:r w:rsidRPr="00896BA9">
        <w:rPr>
          <w:i/>
          <w:iCs/>
          <w:sz w:val="22"/>
          <w:szCs w:val="22"/>
        </w:rPr>
        <w:t xml:space="preserve">The Government acknowledges the public's considerable dissatisfaction with Optus' communications on the day of the outage. The strong reliance on communications services for health and safety, work, business activities, and education. The disruption an </w:t>
      </w:r>
      <w:r w:rsidRPr="00896BA9">
        <w:rPr>
          <w:i/>
          <w:iCs/>
          <w:sz w:val="22"/>
          <w:szCs w:val="22"/>
        </w:rPr>
        <w:lastRenderedPageBreak/>
        <w:t xml:space="preserve">outage brings to people's lives is understandably frustrating and there is a strong, and reasonable demand for service providers to communicate with customers in a timely manner about outages. This enables consumers to make what alternative arrangements they can and helps alleviate the uncertainty that develops without this information. </w:t>
      </w:r>
    </w:p>
    <w:p w14:paraId="2FF39E67" w14:textId="506D2C5F" w:rsidR="006A0868" w:rsidRDefault="006A0868" w:rsidP="006A0868">
      <w:pPr>
        <w:ind w:left="284"/>
      </w:pPr>
      <w:r w:rsidRPr="13E93F1A">
        <w:rPr>
          <w:i/>
          <w:iCs/>
          <w:sz w:val="22"/>
          <w:szCs w:val="22"/>
        </w:rPr>
        <w:t xml:space="preserve">The Government will </w:t>
      </w:r>
      <w:r w:rsidR="33A0B5FE" w:rsidRPr="13E93F1A">
        <w:rPr>
          <w:i/>
          <w:iCs/>
          <w:sz w:val="22"/>
          <w:szCs w:val="22"/>
        </w:rPr>
        <w:t>d</w:t>
      </w:r>
      <w:r w:rsidRPr="13E93F1A">
        <w:rPr>
          <w:i/>
          <w:iCs/>
          <w:sz w:val="22"/>
          <w:szCs w:val="22"/>
        </w:rPr>
        <w:t>irect the ACMA to develop an industry standard requiring telecommunications providers (carriers and carriage service providers) to communicate specific information to customers, during and about outages. The Government's expectation is that this standard should be in place within twelve months of commencement of drafting.</w:t>
      </w:r>
      <w:r w:rsidRPr="00896BA9">
        <w:rPr>
          <w:sz w:val="22"/>
          <w:szCs w:val="22"/>
        </w:rPr>
        <w:t xml:space="preserve"> </w:t>
      </w:r>
      <w:r w:rsidRPr="00896BA9">
        <w:rPr>
          <w:rStyle w:val="FootnoteReference"/>
          <w:sz w:val="22"/>
          <w:szCs w:val="22"/>
        </w:rPr>
        <w:footnoteReference w:id="14"/>
      </w:r>
      <w:r>
        <w:t xml:space="preserve"> </w:t>
      </w:r>
    </w:p>
    <w:p w14:paraId="30109FAC" w14:textId="77448B78" w:rsidR="006A0868" w:rsidRDefault="006A0868" w:rsidP="006A0868">
      <w:r w:rsidRPr="00896BA9">
        <w:rPr>
          <w:sz w:val="22"/>
          <w:szCs w:val="22"/>
        </w:rPr>
        <w:t>Accordingly, on 21 August 2024, the Minister for Communications directed the ACMA to make an industry standard under subsection 125AA</w:t>
      </w:r>
      <w:r w:rsidR="005F79CC">
        <w:rPr>
          <w:sz w:val="22"/>
          <w:szCs w:val="22"/>
        </w:rPr>
        <w:t xml:space="preserve"> </w:t>
      </w:r>
      <w:r w:rsidRPr="00896BA9">
        <w:rPr>
          <w:sz w:val="22"/>
          <w:szCs w:val="22"/>
        </w:rPr>
        <w:t xml:space="preserve">(4) of the </w:t>
      </w:r>
      <w:r w:rsidR="00AE0565" w:rsidRPr="00F73FDD">
        <w:rPr>
          <w:sz w:val="22"/>
          <w:szCs w:val="22"/>
        </w:rPr>
        <w:t>Telco</w:t>
      </w:r>
      <w:r w:rsidRPr="00F73FDD">
        <w:rPr>
          <w:sz w:val="22"/>
          <w:szCs w:val="22"/>
        </w:rPr>
        <w:t xml:space="preserve"> Act</w:t>
      </w:r>
      <w:r w:rsidRPr="00896BA9">
        <w:rPr>
          <w:sz w:val="22"/>
          <w:szCs w:val="22"/>
        </w:rPr>
        <w:t xml:space="preserve"> that deals with information to be provided, or made available, by carriers and carriage service providers relating to major outages that impact a telecommunications network used to supply carriage services to end-users (the </w:t>
      </w:r>
      <w:r w:rsidRPr="003E392F">
        <w:rPr>
          <w:b/>
          <w:bCs/>
          <w:sz w:val="22"/>
          <w:szCs w:val="22"/>
        </w:rPr>
        <w:t>Direction</w:t>
      </w:r>
      <w:r w:rsidRPr="00896BA9">
        <w:rPr>
          <w:sz w:val="22"/>
          <w:szCs w:val="22"/>
        </w:rPr>
        <w:t>).</w:t>
      </w:r>
      <w:r w:rsidRPr="002F333D">
        <w:rPr>
          <w:rStyle w:val="FootnoteReference"/>
          <w:sz w:val="22"/>
          <w:szCs w:val="22"/>
        </w:rPr>
        <w:footnoteReference w:id="15"/>
      </w:r>
    </w:p>
    <w:p w14:paraId="08CA638D" w14:textId="6A00D14B" w:rsidR="006A0868" w:rsidRPr="002F333D" w:rsidRDefault="006A0868" w:rsidP="006A0868">
      <w:pPr>
        <w:rPr>
          <w:sz w:val="22"/>
          <w:szCs w:val="22"/>
        </w:rPr>
      </w:pPr>
      <w:r w:rsidRPr="002F333D">
        <w:rPr>
          <w:sz w:val="22"/>
          <w:szCs w:val="22"/>
        </w:rPr>
        <w:t xml:space="preserve">The ACMA </w:t>
      </w:r>
      <w:r w:rsidRPr="002F333D">
        <w:rPr>
          <w:i/>
          <w:iCs/>
          <w:sz w:val="22"/>
          <w:szCs w:val="22"/>
        </w:rPr>
        <w:t>must</w:t>
      </w:r>
      <w:r w:rsidRPr="002F333D">
        <w:rPr>
          <w:sz w:val="22"/>
          <w:szCs w:val="22"/>
        </w:rPr>
        <w:t xml:space="preserve"> determine an industry standard if directed by the </w:t>
      </w:r>
      <w:r w:rsidR="00B116DD" w:rsidRPr="622F0729">
        <w:rPr>
          <w:sz w:val="22"/>
          <w:szCs w:val="22"/>
        </w:rPr>
        <w:t>M</w:t>
      </w:r>
      <w:r w:rsidRPr="622F0729">
        <w:rPr>
          <w:sz w:val="22"/>
          <w:szCs w:val="22"/>
        </w:rPr>
        <w:t>inister.</w:t>
      </w:r>
      <w:r w:rsidRPr="002F333D">
        <w:rPr>
          <w:sz w:val="22"/>
          <w:szCs w:val="22"/>
        </w:rPr>
        <w:t xml:space="preserve"> </w:t>
      </w:r>
      <w:r w:rsidR="00DC64FF">
        <w:rPr>
          <w:sz w:val="22"/>
          <w:szCs w:val="22"/>
        </w:rPr>
        <w:t>T</w:t>
      </w:r>
      <w:r w:rsidR="3A5119B7" w:rsidRPr="622F0729">
        <w:rPr>
          <w:sz w:val="22"/>
          <w:szCs w:val="22"/>
        </w:rPr>
        <w:t>he</w:t>
      </w:r>
      <w:r w:rsidRPr="002F333D">
        <w:rPr>
          <w:sz w:val="22"/>
          <w:szCs w:val="22"/>
        </w:rPr>
        <w:t xml:space="preserve"> </w:t>
      </w:r>
      <w:r w:rsidR="3A5119B7" w:rsidRPr="2530985B">
        <w:rPr>
          <w:sz w:val="22"/>
          <w:szCs w:val="22"/>
        </w:rPr>
        <w:t>other three options are</w:t>
      </w:r>
      <w:r w:rsidRPr="002F333D">
        <w:rPr>
          <w:sz w:val="22"/>
          <w:szCs w:val="22"/>
        </w:rPr>
        <w:t xml:space="preserve"> therefore not live </w:t>
      </w:r>
      <w:r w:rsidRPr="2530985B">
        <w:rPr>
          <w:sz w:val="22"/>
          <w:szCs w:val="22"/>
        </w:rPr>
        <w:t>option</w:t>
      </w:r>
      <w:r w:rsidR="40879EE2" w:rsidRPr="2530985B">
        <w:rPr>
          <w:sz w:val="22"/>
          <w:szCs w:val="22"/>
        </w:rPr>
        <w:t>s</w:t>
      </w:r>
      <w:r w:rsidRPr="002F333D">
        <w:rPr>
          <w:sz w:val="22"/>
          <w:szCs w:val="22"/>
        </w:rPr>
        <w:t>.</w:t>
      </w:r>
    </w:p>
    <w:p w14:paraId="2CD10DB7" w14:textId="77777777" w:rsidR="006A0868" w:rsidRPr="002F333D" w:rsidRDefault="006A0868" w:rsidP="002F333D">
      <w:pPr>
        <w:rPr>
          <w:i/>
          <w:iCs/>
          <w:sz w:val="22"/>
          <w:szCs w:val="22"/>
        </w:rPr>
      </w:pPr>
      <w:r w:rsidRPr="002F333D">
        <w:rPr>
          <w:i/>
          <w:iCs/>
          <w:sz w:val="22"/>
          <w:szCs w:val="22"/>
        </w:rPr>
        <w:t>Implementing the Direction</w:t>
      </w:r>
    </w:p>
    <w:p w14:paraId="6B07F4D4" w14:textId="5351F1B4" w:rsidR="006A0868" w:rsidRPr="002F333D" w:rsidRDefault="006A0868" w:rsidP="006A0868">
      <w:pPr>
        <w:rPr>
          <w:sz w:val="22"/>
          <w:szCs w:val="22"/>
        </w:rPr>
      </w:pPr>
      <w:r w:rsidRPr="002F333D">
        <w:rPr>
          <w:sz w:val="22"/>
          <w:szCs w:val="22"/>
        </w:rPr>
        <w:t xml:space="preserve">The Direction provides the legal authority to make a new industry standard under section 125AA of the </w:t>
      </w:r>
      <w:r w:rsidR="00CB26CC">
        <w:rPr>
          <w:sz w:val="22"/>
          <w:szCs w:val="22"/>
        </w:rPr>
        <w:t xml:space="preserve">Telco </w:t>
      </w:r>
      <w:r w:rsidRPr="002F333D">
        <w:rPr>
          <w:sz w:val="22"/>
          <w:szCs w:val="22"/>
        </w:rPr>
        <w:t>Act.</w:t>
      </w:r>
    </w:p>
    <w:p w14:paraId="2B485091" w14:textId="77777777" w:rsidR="006A0868" w:rsidRPr="002F333D" w:rsidRDefault="006A0868" w:rsidP="006A0868">
      <w:pPr>
        <w:rPr>
          <w:sz w:val="22"/>
          <w:szCs w:val="22"/>
        </w:rPr>
      </w:pPr>
      <w:r w:rsidRPr="002F333D">
        <w:rPr>
          <w:sz w:val="22"/>
          <w:szCs w:val="22"/>
        </w:rPr>
        <w:t>An industry standard applies to participants in a particular section of the telecommunications industry; and deals with one or more matters relating to the telecommunications activities of those participants. The Direction specifies that the Standard is to apply to carriers and CSPs.</w:t>
      </w:r>
    </w:p>
    <w:p w14:paraId="1047A5B8" w14:textId="77777777" w:rsidR="006A0868" w:rsidRPr="002F333D" w:rsidRDefault="006A0868" w:rsidP="006A0868">
      <w:pPr>
        <w:rPr>
          <w:sz w:val="22"/>
          <w:szCs w:val="22"/>
        </w:rPr>
      </w:pPr>
      <w:r w:rsidRPr="002F333D">
        <w:rPr>
          <w:sz w:val="22"/>
          <w:szCs w:val="22"/>
        </w:rPr>
        <w:t xml:space="preserve">The Standard must require carriers and CSPs to ensure that communications with end-users during or in relation to a major outage or a significant local outage will be timely, up-to-date, and accessible through a mix of public and direct communication channels. The Standard must also identify methods for consumers to contact their provider in real-time or near real-time. </w:t>
      </w:r>
    </w:p>
    <w:p w14:paraId="27AD2B8F" w14:textId="77777777" w:rsidR="006A0868" w:rsidRPr="002F333D" w:rsidRDefault="006A0868" w:rsidP="006A0868">
      <w:pPr>
        <w:rPr>
          <w:sz w:val="22"/>
          <w:szCs w:val="22"/>
        </w:rPr>
      </w:pPr>
      <w:r w:rsidRPr="002F333D">
        <w:rPr>
          <w:sz w:val="22"/>
          <w:szCs w:val="22"/>
        </w:rPr>
        <w:t>Outlined within the Direction are objectives the Standard must give effect to (clause 6(1)) and a range of matters that the Standard may include (clause 6(2)). To fulfill these objectives, rules addressing the matters in clause 6(2) are necessary. While the Direction’s content in clause 6(2) is detailed, indicating an intention for rules, the ACMA retains some flexibility in drafting rules on various aspects, such as the:</w:t>
      </w:r>
    </w:p>
    <w:p w14:paraId="396CCAC4" w14:textId="77777777" w:rsidR="006A0868" w:rsidRPr="000D3984" w:rsidRDefault="006A0868" w:rsidP="000D3984">
      <w:pPr>
        <w:numPr>
          <w:ilvl w:val="0"/>
          <w:numId w:val="42"/>
        </w:numPr>
        <w:spacing w:after="120" w:line="240" w:lineRule="auto"/>
        <w:ind w:left="709" w:hanging="425"/>
        <w:textAlignment w:val="baseline"/>
        <w:rPr>
          <w:rFonts w:cs="Arial"/>
          <w:sz w:val="22"/>
          <w:szCs w:val="22"/>
        </w:rPr>
      </w:pPr>
      <w:r w:rsidRPr="000D3984">
        <w:rPr>
          <w:rFonts w:cs="Arial"/>
          <w:sz w:val="22"/>
          <w:szCs w:val="22"/>
        </w:rPr>
        <w:t>definition of any terms considered appropriate or necessary (such as major outage and significant local outage)</w:t>
      </w:r>
    </w:p>
    <w:p w14:paraId="1DAB956D" w14:textId="77777777" w:rsidR="006A0868" w:rsidRPr="000D3984" w:rsidRDefault="006A0868" w:rsidP="000D3984">
      <w:pPr>
        <w:numPr>
          <w:ilvl w:val="0"/>
          <w:numId w:val="42"/>
        </w:numPr>
        <w:spacing w:after="120" w:line="240" w:lineRule="auto"/>
        <w:ind w:left="709" w:hanging="425"/>
        <w:textAlignment w:val="baseline"/>
        <w:rPr>
          <w:rFonts w:cs="Arial"/>
          <w:sz w:val="22"/>
          <w:szCs w:val="22"/>
        </w:rPr>
      </w:pPr>
      <w:r w:rsidRPr="000D3984">
        <w:rPr>
          <w:rFonts w:cs="Arial"/>
          <w:sz w:val="22"/>
          <w:szCs w:val="22"/>
        </w:rPr>
        <w:t>frequency and channels of communications</w:t>
      </w:r>
    </w:p>
    <w:p w14:paraId="5A90305E" w14:textId="77777777" w:rsidR="006A0868" w:rsidRPr="000D3984" w:rsidRDefault="006A0868" w:rsidP="000D3984">
      <w:pPr>
        <w:numPr>
          <w:ilvl w:val="0"/>
          <w:numId w:val="42"/>
        </w:numPr>
        <w:spacing w:after="120" w:line="240" w:lineRule="auto"/>
        <w:ind w:left="709" w:hanging="425"/>
        <w:textAlignment w:val="baseline"/>
        <w:rPr>
          <w:rFonts w:cs="Arial"/>
          <w:sz w:val="22"/>
          <w:szCs w:val="22"/>
        </w:rPr>
      </w:pPr>
      <w:r w:rsidRPr="000D3984">
        <w:rPr>
          <w:rFonts w:cs="Arial"/>
          <w:sz w:val="22"/>
          <w:szCs w:val="22"/>
        </w:rPr>
        <w:t>content of communications.</w:t>
      </w:r>
    </w:p>
    <w:p w14:paraId="689C61B5" w14:textId="77777777" w:rsidR="006A0868" w:rsidRDefault="006A0868" w:rsidP="006A0868">
      <w:pPr>
        <w:rPr>
          <w:sz w:val="22"/>
          <w:szCs w:val="22"/>
        </w:rPr>
      </w:pPr>
      <w:r w:rsidRPr="000D3984">
        <w:rPr>
          <w:sz w:val="22"/>
          <w:szCs w:val="22"/>
        </w:rPr>
        <w:t xml:space="preserve">Supported by the findings of the Department’s Review, there is a case for addressing gaps and deficiencies in the voluntary Guideline related to how CSPs and carriers engage with end-users during outages. </w:t>
      </w:r>
    </w:p>
    <w:p w14:paraId="511C0FA8" w14:textId="6BBC1AF0" w:rsidR="00F93F6D" w:rsidRDefault="00E91B85" w:rsidP="006A0868">
      <w:pPr>
        <w:rPr>
          <w:sz w:val="22"/>
          <w:szCs w:val="22"/>
        </w:rPr>
      </w:pPr>
      <w:r>
        <w:rPr>
          <w:sz w:val="22"/>
          <w:szCs w:val="22"/>
        </w:rPr>
        <w:lastRenderedPageBreak/>
        <w:t>The Telc</w:t>
      </w:r>
      <w:r w:rsidR="00CB26CC">
        <w:rPr>
          <w:sz w:val="22"/>
          <w:szCs w:val="22"/>
        </w:rPr>
        <w:t>o Act</w:t>
      </w:r>
      <w:r w:rsidR="00E50591">
        <w:rPr>
          <w:sz w:val="22"/>
          <w:szCs w:val="22"/>
        </w:rPr>
        <w:t xml:space="preserve"> contains mandatory </w:t>
      </w:r>
      <w:r w:rsidR="00F93F6D">
        <w:rPr>
          <w:sz w:val="22"/>
          <w:szCs w:val="22"/>
        </w:rPr>
        <w:t>consultation requirements including</w:t>
      </w:r>
      <w:r w:rsidR="00014A99">
        <w:rPr>
          <w:sz w:val="22"/>
          <w:szCs w:val="22"/>
        </w:rPr>
        <w:t xml:space="preserve"> relating to the making of the Standard, which are set out in subsection 125AA</w:t>
      </w:r>
      <w:r w:rsidR="00FB40F5">
        <w:rPr>
          <w:sz w:val="22"/>
          <w:szCs w:val="22"/>
        </w:rPr>
        <w:t xml:space="preserve"> </w:t>
      </w:r>
      <w:r w:rsidR="00014A99">
        <w:rPr>
          <w:sz w:val="22"/>
          <w:szCs w:val="22"/>
        </w:rPr>
        <w:t xml:space="preserve">(3) and sections 132, 133, 134 and 135 of the Telco Act. Before making the Standard, the ACMA must: </w:t>
      </w:r>
    </w:p>
    <w:p w14:paraId="4273647C" w14:textId="77777777" w:rsidR="00A05A3D" w:rsidRPr="00A05A3D" w:rsidRDefault="00A05A3D" w:rsidP="004C7627">
      <w:pPr>
        <w:numPr>
          <w:ilvl w:val="0"/>
          <w:numId w:val="42"/>
        </w:numPr>
        <w:spacing w:after="120" w:line="240" w:lineRule="auto"/>
        <w:ind w:left="709" w:hanging="425"/>
        <w:textAlignment w:val="baseline"/>
        <w:rPr>
          <w:rFonts w:cs="Arial"/>
          <w:sz w:val="22"/>
          <w:szCs w:val="22"/>
        </w:rPr>
      </w:pPr>
      <w:r w:rsidRPr="00A05A3D">
        <w:rPr>
          <w:rFonts w:cs="Arial"/>
          <w:sz w:val="22"/>
          <w:szCs w:val="22"/>
        </w:rPr>
        <w:t>publish a public notice in a newspaper circulating in each State and Territory (it is considered that publication in The Australian would satisfy this requirement) </w:t>
      </w:r>
    </w:p>
    <w:p w14:paraId="5FE2C1FC" w14:textId="0A3E7F09" w:rsidR="00A05A3D" w:rsidRPr="00A05A3D" w:rsidRDefault="00A05A3D" w:rsidP="004C7627">
      <w:pPr>
        <w:numPr>
          <w:ilvl w:val="0"/>
          <w:numId w:val="42"/>
        </w:numPr>
        <w:spacing w:after="120" w:line="240" w:lineRule="auto"/>
        <w:ind w:left="709" w:hanging="425"/>
        <w:textAlignment w:val="baseline"/>
        <w:rPr>
          <w:rFonts w:cs="Arial"/>
          <w:sz w:val="22"/>
          <w:szCs w:val="22"/>
        </w:rPr>
      </w:pPr>
      <w:r w:rsidRPr="004C7627">
        <w:rPr>
          <w:rFonts w:cs="Arial"/>
          <w:sz w:val="22"/>
          <w:szCs w:val="22"/>
        </w:rPr>
        <w:t xml:space="preserve">publicly consult for a period of at least 30 days after the publication of the </w:t>
      </w:r>
      <w:r w:rsidR="00837186" w:rsidRPr="004C7627">
        <w:rPr>
          <w:rFonts w:cs="Arial"/>
          <w:sz w:val="22"/>
          <w:szCs w:val="22"/>
        </w:rPr>
        <w:t>notice.</w:t>
      </w:r>
      <w:r w:rsidRPr="13E93F1A">
        <w:rPr>
          <w:rFonts w:cs="Arial"/>
          <w:sz w:val="22"/>
          <w:szCs w:val="22"/>
        </w:rPr>
        <w:t> </w:t>
      </w:r>
    </w:p>
    <w:p w14:paraId="220B174A" w14:textId="074BC5BA" w:rsidR="006F0CAF" w:rsidRPr="00A05A3D" w:rsidRDefault="00A05A3D" w:rsidP="004C7627">
      <w:pPr>
        <w:spacing w:after="120" w:line="240" w:lineRule="auto"/>
        <w:textAlignment w:val="baseline"/>
        <w:rPr>
          <w:rFonts w:cs="Arial"/>
          <w:sz w:val="22"/>
          <w:szCs w:val="22"/>
        </w:rPr>
      </w:pPr>
      <w:r w:rsidRPr="004C7627">
        <w:rPr>
          <w:rFonts w:cs="Arial"/>
          <w:sz w:val="22"/>
          <w:szCs w:val="22"/>
        </w:rPr>
        <w:t>consult with the Australian Competition and Consumer Commission, the TIO, the Information Commissioner, a body the ACMA is satisfied represents the telecommunications industry and at least one consumer body.</w:t>
      </w:r>
      <w:r w:rsidRPr="13E93F1A">
        <w:rPr>
          <w:rFonts w:cs="Arial"/>
          <w:sz w:val="22"/>
          <w:szCs w:val="22"/>
        </w:rPr>
        <w:t> </w:t>
      </w:r>
      <w:r w:rsidR="008049D5" w:rsidRPr="13E93F1A">
        <w:rPr>
          <w:rFonts w:cs="Arial"/>
          <w:sz w:val="22"/>
          <w:szCs w:val="22"/>
        </w:rPr>
        <w:t>These mandatory consultation processes were adhered to and based on feedback received</w:t>
      </w:r>
      <w:r w:rsidR="00B90AC3" w:rsidRPr="13E93F1A">
        <w:rPr>
          <w:rFonts w:cs="Arial"/>
          <w:sz w:val="22"/>
          <w:szCs w:val="22"/>
        </w:rPr>
        <w:t xml:space="preserve"> (explored below under Q</w:t>
      </w:r>
      <w:r w:rsidR="00E859C7" w:rsidRPr="13E93F1A">
        <w:rPr>
          <w:rFonts w:cs="Arial"/>
          <w:sz w:val="22"/>
          <w:szCs w:val="22"/>
        </w:rPr>
        <w:t xml:space="preserve">uestion 5) the </w:t>
      </w:r>
      <w:r w:rsidR="00B413D5" w:rsidRPr="13E93F1A">
        <w:rPr>
          <w:rFonts w:cs="Arial"/>
          <w:sz w:val="22"/>
          <w:szCs w:val="22"/>
        </w:rPr>
        <w:t xml:space="preserve">ACMA has chosen to </w:t>
      </w:r>
      <w:r w:rsidR="00DF2993" w:rsidRPr="13E93F1A">
        <w:rPr>
          <w:rFonts w:cs="Arial"/>
          <w:sz w:val="22"/>
          <w:szCs w:val="22"/>
        </w:rPr>
        <w:t xml:space="preserve">focus the current proposed Standard on major outages (to be determined by 14 November 2024) and </w:t>
      </w:r>
      <w:r w:rsidR="00B413D5" w:rsidRPr="13E93F1A">
        <w:rPr>
          <w:rFonts w:cs="Arial"/>
          <w:sz w:val="22"/>
          <w:szCs w:val="22"/>
        </w:rPr>
        <w:t xml:space="preserve">adopt the </w:t>
      </w:r>
      <w:r w:rsidR="00930859" w:rsidRPr="13E93F1A">
        <w:rPr>
          <w:rFonts w:cs="Arial"/>
          <w:sz w:val="22"/>
          <w:szCs w:val="22"/>
        </w:rPr>
        <w:t xml:space="preserve">longer timeframe </w:t>
      </w:r>
      <w:r w:rsidR="00B26266" w:rsidRPr="13E93F1A">
        <w:rPr>
          <w:rFonts w:cs="Arial"/>
          <w:sz w:val="22"/>
          <w:szCs w:val="22"/>
        </w:rPr>
        <w:t>set out within the Direction t</w:t>
      </w:r>
      <w:r w:rsidR="00A82A93" w:rsidRPr="13E93F1A">
        <w:rPr>
          <w:rFonts w:cs="Arial"/>
          <w:sz w:val="22"/>
          <w:szCs w:val="22"/>
        </w:rPr>
        <w:t xml:space="preserve">o determine the </w:t>
      </w:r>
      <w:r w:rsidR="35602F1C" w:rsidRPr="13E93F1A">
        <w:rPr>
          <w:rFonts w:cs="Arial"/>
          <w:sz w:val="22"/>
          <w:szCs w:val="22"/>
        </w:rPr>
        <w:t>S</w:t>
      </w:r>
      <w:r w:rsidR="00A82A93" w:rsidRPr="13E93F1A">
        <w:rPr>
          <w:rFonts w:cs="Arial"/>
          <w:sz w:val="22"/>
          <w:szCs w:val="22"/>
        </w:rPr>
        <w:t xml:space="preserve">tandard in relation to significant local outages (by 30 April 2025). </w:t>
      </w:r>
      <w:r w:rsidR="00B26266" w:rsidRPr="13E93F1A">
        <w:rPr>
          <w:rFonts w:cs="Arial"/>
          <w:sz w:val="22"/>
          <w:szCs w:val="22"/>
        </w:rPr>
        <w:t xml:space="preserve">As such, Option 2 is confined to the development of a </w:t>
      </w:r>
      <w:r w:rsidR="7697AF9C" w:rsidRPr="13E93F1A">
        <w:rPr>
          <w:rFonts w:cs="Arial"/>
          <w:sz w:val="22"/>
          <w:szCs w:val="22"/>
        </w:rPr>
        <w:t>S</w:t>
      </w:r>
      <w:r w:rsidR="00B26266" w:rsidRPr="13E93F1A">
        <w:rPr>
          <w:rFonts w:cs="Arial"/>
          <w:sz w:val="22"/>
          <w:szCs w:val="22"/>
        </w:rPr>
        <w:t xml:space="preserve">tandard in relation to </w:t>
      </w:r>
      <w:r w:rsidR="5591B6A2" w:rsidRPr="13E93F1A">
        <w:rPr>
          <w:rFonts w:cs="Arial"/>
          <w:sz w:val="22"/>
          <w:szCs w:val="22"/>
        </w:rPr>
        <w:t>m</w:t>
      </w:r>
      <w:r w:rsidR="00830B32" w:rsidRPr="13E93F1A">
        <w:rPr>
          <w:rFonts w:cs="Arial"/>
          <w:sz w:val="22"/>
          <w:szCs w:val="22"/>
        </w:rPr>
        <w:t xml:space="preserve">ajor </w:t>
      </w:r>
      <w:r w:rsidR="2EBC066D" w:rsidRPr="13E93F1A">
        <w:rPr>
          <w:rFonts w:cs="Arial"/>
          <w:sz w:val="22"/>
          <w:szCs w:val="22"/>
        </w:rPr>
        <w:t>o</w:t>
      </w:r>
      <w:r w:rsidR="00830B32" w:rsidRPr="13E93F1A">
        <w:rPr>
          <w:rFonts w:cs="Arial"/>
          <w:sz w:val="22"/>
          <w:szCs w:val="22"/>
        </w:rPr>
        <w:t xml:space="preserve">utages only. </w:t>
      </w:r>
    </w:p>
    <w:p w14:paraId="525D5B9B" w14:textId="77777777" w:rsidR="006A0868" w:rsidRDefault="006A0868" w:rsidP="006A0868">
      <w:pPr>
        <w:pStyle w:val="Heading2"/>
      </w:pPr>
      <w:bookmarkStart w:id="15" w:name="_Toc181713886"/>
      <w:r w:rsidRPr="006A0868">
        <w:t>Option 3 – Direct regulation (amend the Emergency Call Service Determination)</w:t>
      </w:r>
      <w:bookmarkEnd w:id="15"/>
    </w:p>
    <w:p w14:paraId="62903700" w14:textId="77777777" w:rsidR="006A0868" w:rsidRPr="000D3984" w:rsidRDefault="006A0868" w:rsidP="006A0868">
      <w:pPr>
        <w:rPr>
          <w:sz w:val="22"/>
          <w:szCs w:val="22"/>
        </w:rPr>
      </w:pPr>
      <w:r w:rsidRPr="000D3984">
        <w:rPr>
          <w:sz w:val="22"/>
          <w:szCs w:val="22"/>
        </w:rPr>
        <w:t>Recommendation 10 from the Department’s Review included the option for the ACMA to develop a determination requiring carriers to communicate specific information to customers during and about outages, instead of an Industry Standard.</w:t>
      </w:r>
    </w:p>
    <w:p w14:paraId="519AF834" w14:textId="77777777" w:rsidR="006A0868" w:rsidRDefault="006A0868" w:rsidP="006A0868">
      <w:r w:rsidRPr="000D3984">
        <w:rPr>
          <w:sz w:val="22"/>
          <w:szCs w:val="22"/>
        </w:rPr>
        <w:t xml:space="preserve">Under section 147 of the Telecommunications (Consumer Protection and Service Standards) Act 1999 (the </w:t>
      </w:r>
      <w:r w:rsidRPr="009B4FF2">
        <w:rPr>
          <w:b/>
          <w:bCs/>
          <w:sz w:val="22"/>
          <w:szCs w:val="22"/>
        </w:rPr>
        <w:t>TCPSS Act</w:t>
      </w:r>
      <w:r w:rsidRPr="000D3984">
        <w:rPr>
          <w:sz w:val="22"/>
          <w:szCs w:val="22"/>
        </w:rPr>
        <w:t xml:space="preserve">), the ACMA must make a determination imposing requirements on any or all of carriers, CSPs and emergency call persons in relation to emergency call services. This Determination is the Telecommunications (Emergency Call Service) Determination 2019 (the </w:t>
      </w:r>
      <w:r w:rsidRPr="00322F42">
        <w:rPr>
          <w:b/>
          <w:bCs/>
          <w:sz w:val="22"/>
          <w:szCs w:val="22"/>
        </w:rPr>
        <w:t>ECSD</w:t>
      </w:r>
      <w:r w:rsidRPr="009B4FF2">
        <w:rPr>
          <w:sz w:val="22"/>
          <w:szCs w:val="22"/>
        </w:rPr>
        <w:t>).</w:t>
      </w:r>
      <w:r w:rsidRPr="009B4FF2">
        <w:rPr>
          <w:rStyle w:val="FootnoteReference"/>
          <w:sz w:val="22"/>
          <w:szCs w:val="22"/>
        </w:rPr>
        <w:footnoteReference w:id="16"/>
      </w:r>
    </w:p>
    <w:p w14:paraId="4130D0BC" w14:textId="77777777" w:rsidR="006A0868" w:rsidRPr="00322F42" w:rsidRDefault="006A0868" w:rsidP="006A0868">
      <w:pPr>
        <w:rPr>
          <w:sz w:val="22"/>
          <w:szCs w:val="22"/>
        </w:rPr>
      </w:pPr>
      <w:r w:rsidRPr="00322F42">
        <w:rPr>
          <w:sz w:val="22"/>
          <w:szCs w:val="22"/>
        </w:rPr>
        <w:t xml:space="preserve">The ECSD currently includes the following definition of a </w:t>
      </w:r>
      <w:r w:rsidRPr="00322F42">
        <w:rPr>
          <w:i/>
          <w:iCs/>
          <w:sz w:val="22"/>
          <w:szCs w:val="22"/>
        </w:rPr>
        <w:t>significant network outage</w:t>
      </w:r>
      <w:r w:rsidRPr="00322F42">
        <w:rPr>
          <w:sz w:val="22"/>
          <w:szCs w:val="22"/>
        </w:rPr>
        <w:t>:</w:t>
      </w:r>
    </w:p>
    <w:p w14:paraId="08C4A114" w14:textId="77777777" w:rsidR="006A0868" w:rsidRPr="00322F42" w:rsidRDefault="006A0868" w:rsidP="006A0868">
      <w:pPr>
        <w:ind w:left="284"/>
        <w:rPr>
          <w:i/>
          <w:iCs/>
          <w:sz w:val="22"/>
          <w:szCs w:val="22"/>
        </w:rPr>
      </w:pPr>
      <w:r w:rsidRPr="00322F42">
        <w:rPr>
          <w:i/>
          <w:iCs/>
          <w:sz w:val="22"/>
          <w:szCs w:val="22"/>
        </w:rPr>
        <w:t>an unscheduled network failure that adversely affects the carriage of emergency calls over that network in a significant way, having regard to:</w:t>
      </w:r>
    </w:p>
    <w:p w14:paraId="7A643B80" w14:textId="77777777" w:rsidR="006A0868" w:rsidRPr="00322F42" w:rsidRDefault="006A0868" w:rsidP="006A0868">
      <w:pPr>
        <w:pStyle w:val="ListParagraph"/>
        <w:numPr>
          <w:ilvl w:val="0"/>
          <w:numId w:val="44"/>
        </w:numPr>
        <w:spacing w:after="160" w:line="259" w:lineRule="auto"/>
        <w:rPr>
          <w:i/>
          <w:iCs/>
          <w:sz w:val="22"/>
          <w:szCs w:val="22"/>
        </w:rPr>
      </w:pPr>
      <w:r w:rsidRPr="00322F42">
        <w:rPr>
          <w:i/>
          <w:iCs/>
          <w:sz w:val="22"/>
          <w:szCs w:val="22"/>
        </w:rPr>
        <w:t>the number of customers impacted by the outage;</w:t>
      </w:r>
    </w:p>
    <w:p w14:paraId="724BA963" w14:textId="77777777" w:rsidR="006A0868" w:rsidRPr="00322F42" w:rsidRDefault="006A0868" w:rsidP="006A0868">
      <w:pPr>
        <w:pStyle w:val="ListParagraph"/>
        <w:numPr>
          <w:ilvl w:val="0"/>
          <w:numId w:val="44"/>
        </w:numPr>
        <w:spacing w:after="160" w:line="259" w:lineRule="auto"/>
        <w:rPr>
          <w:i/>
          <w:iCs/>
          <w:sz w:val="22"/>
          <w:szCs w:val="22"/>
        </w:rPr>
      </w:pPr>
      <w:r w:rsidRPr="00322F42">
        <w:rPr>
          <w:i/>
          <w:iCs/>
          <w:sz w:val="22"/>
          <w:szCs w:val="22"/>
        </w:rPr>
        <w:t>the likely amount of time it will take to restore carriage services disrupted by the outage; and</w:t>
      </w:r>
    </w:p>
    <w:p w14:paraId="5BAE3FF6" w14:textId="77777777" w:rsidR="006A0868" w:rsidRPr="00322F42" w:rsidRDefault="006A0868" w:rsidP="006A0868">
      <w:pPr>
        <w:pStyle w:val="ListParagraph"/>
        <w:numPr>
          <w:ilvl w:val="0"/>
          <w:numId w:val="44"/>
        </w:numPr>
        <w:spacing w:after="160" w:line="259" w:lineRule="auto"/>
        <w:rPr>
          <w:i/>
          <w:iCs/>
          <w:sz w:val="22"/>
          <w:szCs w:val="22"/>
        </w:rPr>
      </w:pPr>
      <w:r w:rsidRPr="00322F42">
        <w:rPr>
          <w:i/>
          <w:iCs/>
          <w:sz w:val="22"/>
          <w:szCs w:val="22"/>
        </w:rPr>
        <w:t>the availability of other carriage services that can be used by affected customers to make and receive calls.</w:t>
      </w:r>
    </w:p>
    <w:p w14:paraId="46D8AA17" w14:textId="77777777" w:rsidR="006A0868" w:rsidRPr="00322F42" w:rsidRDefault="006A0868" w:rsidP="006A0868">
      <w:pPr>
        <w:rPr>
          <w:sz w:val="22"/>
          <w:szCs w:val="22"/>
        </w:rPr>
      </w:pPr>
      <w:r w:rsidRPr="00322F42">
        <w:rPr>
          <w:sz w:val="22"/>
          <w:szCs w:val="22"/>
        </w:rPr>
        <w:t>In the event of a significant network outage, the ECSD requires:</w:t>
      </w:r>
    </w:p>
    <w:p w14:paraId="01021983" w14:textId="06127F52" w:rsidR="006A0868" w:rsidRPr="00322F42" w:rsidRDefault="006A0868" w:rsidP="00322F42">
      <w:pPr>
        <w:numPr>
          <w:ilvl w:val="0"/>
          <w:numId w:val="42"/>
        </w:numPr>
        <w:spacing w:after="120" w:line="240" w:lineRule="auto"/>
        <w:ind w:left="709" w:hanging="425"/>
        <w:textAlignment w:val="baseline"/>
        <w:rPr>
          <w:rFonts w:cs="Arial"/>
          <w:sz w:val="22"/>
          <w:szCs w:val="22"/>
        </w:rPr>
      </w:pPr>
      <w:r w:rsidRPr="00322F42">
        <w:rPr>
          <w:rFonts w:cs="Arial"/>
          <w:sz w:val="22"/>
          <w:szCs w:val="22"/>
        </w:rPr>
        <w:t xml:space="preserve">carriers and CSPs to, as soon as possible after becoming aware of the outage, notify the emergency call persons and CSPs that </w:t>
      </w:r>
      <w:r w:rsidR="000C73D2">
        <w:rPr>
          <w:rFonts w:cs="Arial"/>
          <w:sz w:val="22"/>
          <w:szCs w:val="22"/>
        </w:rPr>
        <w:t xml:space="preserve">utilise that </w:t>
      </w:r>
      <w:r w:rsidRPr="00322F42">
        <w:rPr>
          <w:rFonts w:cs="Arial"/>
          <w:sz w:val="22"/>
          <w:szCs w:val="22"/>
        </w:rPr>
        <w:t>network about the outage</w:t>
      </w:r>
    </w:p>
    <w:p w14:paraId="4899724F" w14:textId="77777777" w:rsidR="006A0868" w:rsidRPr="00322F42" w:rsidRDefault="006A0868" w:rsidP="00322F42">
      <w:pPr>
        <w:numPr>
          <w:ilvl w:val="0"/>
          <w:numId w:val="42"/>
        </w:numPr>
        <w:spacing w:after="120" w:line="240" w:lineRule="auto"/>
        <w:ind w:left="709" w:hanging="425"/>
        <w:textAlignment w:val="baseline"/>
        <w:rPr>
          <w:rFonts w:cs="Arial"/>
          <w:sz w:val="22"/>
          <w:szCs w:val="22"/>
        </w:rPr>
      </w:pPr>
      <w:r w:rsidRPr="00322F42">
        <w:rPr>
          <w:rFonts w:cs="Arial"/>
          <w:sz w:val="22"/>
          <w:szCs w:val="22"/>
        </w:rPr>
        <w:t>CSPs to conduct welfare checks on an end-user who made an unsuccessful emergency call during the outage using a service supplied by the CSP.</w:t>
      </w:r>
    </w:p>
    <w:p w14:paraId="41C311A0" w14:textId="77777777" w:rsidR="006A0868" w:rsidRPr="00322F42" w:rsidRDefault="006A0868" w:rsidP="006A0868">
      <w:pPr>
        <w:rPr>
          <w:sz w:val="22"/>
          <w:szCs w:val="22"/>
        </w:rPr>
      </w:pPr>
      <w:r w:rsidRPr="00322F42">
        <w:rPr>
          <w:sz w:val="22"/>
          <w:szCs w:val="22"/>
        </w:rPr>
        <w:t xml:space="preserve">Under this option, the ACMA would achieve the objectives of government action by amending the ECSD to: </w:t>
      </w:r>
    </w:p>
    <w:p w14:paraId="7387ECA8" w14:textId="77777777" w:rsidR="006A0868" w:rsidRPr="00322F42" w:rsidRDefault="006A0868" w:rsidP="00322F42">
      <w:pPr>
        <w:numPr>
          <w:ilvl w:val="0"/>
          <w:numId w:val="42"/>
        </w:numPr>
        <w:spacing w:after="120" w:line="240" w:lineRule="auto"/>
        <w:ind w:left="709" w:hanging="425"/>
        <w:textAlignment w:val="baseline"/>
        <w:rPr>
          <w:rFonts w:cs="Arial"/>
          <w:sz w:val="22"/>
          <w:szCs w:val="22"/>
        </w:rPr>
      </w:pPr>
      <w:r w:rsidRPr="00322F42">
        <w:rPr>
          <w:rFonts w:cs="Arial"/>
          <w:sz w:val="22"/>
          <w:szCs w:val="22"/>
        </w:rPr>
        <w:t xml:space="preserve">more explicitly define a significant network outage or add new definitions to capture major outages </w:t>
      </w:r>
    </w:p>
    <w:p w14:paraId="408ED873" w14:textId="77777777" w:rsidR="006A0868" w:rsidRPr="00322F42" w:rsidRDefault="006A0868" w:rsidP="00322F42">
      <w:pPr>
        <w:numPr>
          <w:ilvl w:val="0"/>
          <w:numId w:val="42"/>
        </w:numPr>
        <w:spacing w:after="120" w:line="240" w:lineRule="auto"/>
        <w:ind w:left="709" w:hanging="425"/>
        <w:textAlignment w:val="baseline"/>
        <w:rPr>
          <w:rFonts w:cs="Arial"/>
          <w:sz w:val="22"/>
          <w:szCs w:val="22"/>
        </w:rPr>
      </w:pPr>
      <w:r w:rsidRPr="00322F42">
        <w:rPr>
          <w:rFonts w:cs="Arial"/>
          <w:sz w:val="22"/>
          <w:szCs w:val="22"/>
        </w:rPr>
        <w:lastRenderedPageBreak/>
        <w:t>add requirements to communicate with customers, including specifying the frequency and methods of communication</w:t>
      </w:r>
    </w:p>
    <w:p w14:paraId="43129183" w14:textId="77777777" w:rsidR="006A0868" w:rsidRPr="00322F42" w:rsidRDefault="006A0868" w:rsidP="00322F42">
      <w:pPr>
        <w:numPr>
          <w:ilvl w:val="0"/>
          <w:numId w:val="42"/>
        </w:numPr>
        <w:spacing w:after="120" w:line="240" w:lineRule="auto"/>
        <w:ind w:left="709" w:hanging="425"/>
        <w:textAlignment w:val="baseline"/>
        <w:rPr>
          <w:rFonts w:cs="Arial"/>
          <w:sz w:val="22"/>
          <w:szCs w:val="22"/>
        </w:rPr>
      </w:pPr>
      <w:r w:rsidRPr="00322F42">
        <w:rPr>
          <w:rFonts w:cs="Arial"/>
          <w:sz w:val="22"/>
          <w:szCs w:val="22"/>
        </w:rPr>
        <w:t xml:space="preserve">expand requirements for carriers and CSPs to share information about outages with each other. </w:t>
      </w:r>
    </w:p>
    <w:p w14:paraId="3A653159" w14:textId="1BAD181A" w:rsidR="006A0868" w:rsidRPr="00322F42" w:rsidRDefault="006A0868" w:rsidP="006A0868">
      <w:pPr>
        <w:rPr>
          <w:sz w:val="22"/>
          <w:szCs w:val="22"/>
        </w:rPr>
      </w:pPr>
      <w:r w:rsidRPr="00322F42">
        <w:rPr>
          <w:sz w:val="22"/>
          <w:szCs w:val="22"/>
        </w:rPr>
        <w:t xml:space="preserve">An amended ECSD could include substantially similar requirements as an Industry Standard. We note that, in accordance with section 147 of the TCPSS Act, requirements in the ECSD could only apply to outages that adversely affect the carriage of </w:t>
      </w:r>
      <w:r w:rsidRPr="0000411B">
        <w:rPr>
          <w:i/>
          <w:sz w:val="22"/>
          <w:szCs w:val="22"/>
        </w:rPr>
        <w:t>emergency calls</w:t>
      </w:r>
      <w:r w:rsidRPr="00322F42">
        <w:rPr>
          <w:sz w:val="22"/>
          <w:szCs w:val="22"/>
        </w:rPr>
        <w:t xml:space="preserve"> over telecommunications networks. </w:t>
      </w:r>
      <w:r w:rsidR="004E086F">
        <w:rPr>
          <w:sz w:val="22"/>
          <w:szCs w:val="22"/>
        </w:rPr>
        <w:t xml:space="preserve">Requirements </w:t>
      </w:r>
      <w:r w:rsidR="000926A8">
        <w:rPr>
          <w:sz w:val="22"/>
          <w:szCs w:val="22"/>
        </w:rPr>
        <w:t xml:space="preserve">on CSPs and carriers can only be made in relation to the provision of the Emergency Call Service. </w:t>
      </w:r>
      <w:r w:rsidR="00945758">
        <w:rPr>
          <w:sz w:val="22"/>
          <w:szCs w:val="22"/>
        </w:rPr>
        <w:t xml:space="preserve">Therefore, </w:t>
      </w:r>
      <w:r w:rsidR="00C40CD5">
        <w:rPr>
          <w:sz w:val="22"/>
          <w:szCs w:val="22"/>
        </w:rPr>
        <w:t xml:space="preserve">amending the Determination under section 147 of the TCPSS Act </w:t>
      </w:r>
      <w:r w:rsidR="00A23555">
        <w:rPr>
          <w:sz w:val="22"/>
          <w:szCs w:val="22"/>
        </w:rPr>
        <w:t xml:space="preserve">allows limited scope </w:t>
      </w:r>
      <w:r w:rsidR="00931A9C">
        <w:rPr>
          <w:sz w:val="22"/>
          <w:szCs w:val="22"/>
        </w:rPr>
        <w:t xml:space="preserve">in defining the nature of outages and impacts on end-users, </w:t>
      </w:r>
      <w:r w:rsidR="00107D1C">
        <w:rPr>
          <w:sz w:val="22"/>
          <w:szCs w:val="22"/>
        </w:rPr>
        <w:t xml:space="preserve">and is not fit-for-purpose. </w:t>
      </w:r>
      <w:r w:rsidR="00ED0EA8">
        <w:rPr>
          <w:sz w:val="22"/>
          <w:szCs w:val="22"/>
        </w:rPr>
        <w:t xml:space="preserve"> In comparison, an Industry Standard </w:t>
      </w:r>
      <w:r w:rsidR="00671EDB">
        <w:rPr>
          <w:sz w:val="22"/>
          <w:szCs w:val="22"/>
        </w:rPr>
        <w:t xml:space="preserve">under section 125AA of the Act </w:t>
      </w:r>
      <w:r w:rsidR="00857DC3">
        <w:rPr>
          <w:sz w:val="22"/>
          <w:szCs w:val="22"/>
        </w:rPr>
        <w:t xml:space="preserve">is </w:t>
      </w:r>
      <w:r w:rsidR="00431EE1">
        <w:rPr>
          <w:sz w:val="22"/>
          <w:szCs w:val="22"/>
        </w:rPr>
        <w:t>less limited in scope</w:t>
      </w:r>
      <w:r w:rsidR="00440A5D">
        <w:rPr>
          <w:sz w:val="22"/>
          <w:szCs w:val="22"/>
        </w:rPr>
        <w:t xml:space="preserve"> </w:t>
      </w:r>
      <w:r w:rsidR="001E4CD3">
        <w:rPr>
          <w:sz w:val="22"/>
          <w:szCs w:val="22"/>
        </w:rPr>
        <w:t xml:space="preserve">because it is able to deal </w:t>
      </w:r>
      <w:r w:rsidR="004619C6">
        <w:rPr>
          <w:sz w:val="22"/>
          <w:szCs w:val="22"/>
        </w:rPr>
        <w:t xml:space="preserve">broadly </w:t>
      </w:r>
      <w:r w:rsidR="001E4CD3">
        <w:rPr>
          <w:sz w:val="22"/>
          <w:szCs w:val="22"/>
        </w:rPr>
        <w:t>with matter</w:t>
      </w:r>
      <w:r w:rsidR="004619C6">
        <w:rPr>
          <w:sz w:val="22"/>
          <w:szCs w:val="22"/>
        </w:rPr>
        <w:t>s</w:t>
      </w:r>
      <w:r w:rsidR="001E4CD3">
        <w:rPr>
          <w:sz w:val="22"/>
          <w:szCs w:val="22"/>
        </w:rPr>
        <w:t xml:space="preserve"> relating t</w:t>
      </w:r>
      <w:r w:rsidR="00715C40">
        <w:rPr>
          <w:sz w:val="22"/>
          <w:szCs w:val="22"/>
        </w:rPr>
        <w:t>o</w:t>
      </w:r>
      <w:r w:rsidR="001E4CD3">
        <w:rPr>
          <w:sz w:val="22"/>
          <w:szCs w:val="22"/>
        </w:rPr>
        <w:t xml:space="preserve"> telecommunications activities</w:t>
      </w:r>
      <w:r w:rsidR="00715C40">
        <w:rPr>
          <w:sz w:val="22"/>
          <w:szCs w:val="22"/>
        </w:rPr>
        <w:t>.</w:t>
      </w:r>
    </w:p>
    <w:p w14:paraId="17391E74" w14:textId="327EB1DA" w:rsidR="006A0868" w:rsidRDefault="6889DEA7">
      <w:pPr>
        <w:rPr>
          <w:sz w:val="22"/>
          <w:szCs w:val="22"/>
        </w:rPr>
      </w:pPr>
      <w:r w:rsidRPr="00332365">
        <w:rPr>
          <w:sz w:val="22"/>
          <w:szCs w:val="22"/>
        </w:rPr>
        <w:t>In any event, t</w:t>
      </w:r>
      <w:r w:rsidR="6500573B" w:rsidRPr="00332365">
        <w:rPr>
          <w:sz w:val="22"/>
          <w:szCs w:val="22"/>
        </w:rPr>
        <w:t>he</w:t>
      </w:r>
      <w:r w:rsidR="6500573B" w:rsidRPr="2008E9BD">
        <w:rPr>
          <w:sz w:val="22"/>
          <w:szCs w:val="22"/>
        </w:rPr>
        <w:t xml:space="preserve"> ACMA </w:t>
      </w:r>
      <w:r w:rsidR="6500573B" w:rsidRPr="2008E9BD">
        <w:rPr>
          <w:i/>
          <w:iCs/>
          <w:sz w:val="22"/>
          <w:szCs w:val="22"/>
        </w:rPr>
        <w:t>must</w:t>
      </w:r>
      <w:r w:rsidR="6500573B" w:rsidRPr="2008E9BD">
        <w:rPr>
          <w:sz w:val="22"/>
          <w:szCs w:val="22"/>
        </w:rPr>
        <w:t xml:space="preserve"> determine an industry standard if directed by the Minister. Amending the ECS Determination is therefore not a live option.</w:t>
      </w:r>
    </w:p>
    <w:p w14:paraId="5722E63E" w14:textId="77777777" w:rsidR="006A0868" w:rsidRDefault="006A0868" w:rsidP="006A0868">
      <w:pPr>
        <w:pStyle w:val="Heading2"/>
      </w:pPr>
      <w:bookmarkStart w:id="16" w:name="_Toc181713887"/>
      <w:r w:rsidRPr="006A0868">
        <w:t>Option 4 – Co-regulation (Industry Code)</w:t>
      </w:r>
      <w:bookmarkEnd w:id="16"/>
    </w:p>
    <w:p w14:paraId="70E7BA3A" w14:textId="0EAB3253" w:rsidR="006A0868" w:rsidRPr="00322F42" w:rsidRDefault="006A0868" w:rsidP="006A0868">
      <w:pPr>
        <w:rPr>
          <w:sz w:val="22"/>
          <w:szCs w:val="22"/>
        </w:rPr>
      </w:pPr>
      <w:r w:rsidRPr="00322F42">
        <w:rPr>
          <w:sz w:val="22"/>
          <w:szCs w:val="22"/>
        </w:rPr>
        <w:t>Under section 1</w:t>
      </w:r>
      <w:r w:rsidR="00AD344D">
        <w:rPr>
          <w:sz w:val="22"/>
          <w:szCs w:val="22"/>
        </w:rPr>
        <w:t>1</w:t>
      </w:r>
      <w:r w:rsidRPr="00322F42">
        <w:rPr>
          <w:sz w:val="22"/>
          <w:szCs w:val="22"/>
        </w:rPr>
        <w:t>8 of the Act, the ACMA can request a body or association that represents a section of the telecommunications industry to develop an industry code that applies to participants in that section of the industry. The ACMA can make such a request if the development of the code is necessary or convenient in order to provide appropriate community safeguards or otherwise deal with the performance or conduct of participants in that section of the industry.</w:t>
      </w:r>
    </w:p>
    <w:p w14:paraId="04E03DE2" w14:textId="690D8B76" w:rsidR="006A0868" w:rsidRDefault="006A0868" w:rsidP="006A0868">
      <w:pPr>
        <w:rPr>
          <w:sz w:val="22"/>
          <w:szCs w:val="22"/>
        </w:rPr>
      </w:pPr>
      <w:r w:rsidRPr="00322F42">
        <w:rPr>
          <w:sz w:val="22"/>
          <w:szCs w:val="22"/>
        </w:rPr>
        <w:t>Under this option, the ACMA would request Communications Alliance to develop a code that places obligations on carriers and CSPs in relation to customer communications during major outages. The drafting of the code would be determined by Communications Alliance. While the ACMA can provide feedback on the draft code, it cannot dictate the wording of the clauses or definitions. This makes an industry code a less precise instrument for achieving the objectives of government action.</w:t>
      </w:r>
    </w:p>
    <w:p w14:paraId="53A45DDC" w14:textId="1BF5F721" w:rsidR="00C02BB3" w:rsidRPr="00322F42" w:rsidRDefault="00C02BB3" w:rsidP="006A0868">
      <w:pPr>
        <w:rPr>
          <w:sz w:val="22"/>
          <w:szCs w:val="22"/>
        </w:rPr>
      </w:pPr>
      <w:r>
        <w:rPr>
          <w:sz w:val="22"/>
          <w:szCs w:val="22"/>
        </w:rPr>
        <w:t>Development of an industry code can also be a slower process than other direct regulation options, as the Telco Act specifies that an industry body must have at least 120 days to develop the industry code. If the ACMA pursued this option now, an industry code may not be developed until March 2025 at the earliest. This would present a risk to the community that appropriate safeguards are not in place for consumers impacted by major outages.</w:t>
      </w:r>
    </w:p>
    <w:p w14:paraId="29B2AF7D" w14:textId="77777777" w:rsidR="006A0868" w:rsidRPr="00322F42" w:rsidRDefault="006A0868" w:rsidP="006A0868">
      <w:pPr>
        <w:rPr>
          <w:sz w:val="22"/>
          <w:szCs w:val="22"/>
        </w:rPr>
      </w:pPr>
      <w:r w:rsidRPr="00322F42">
        <w:rPr>
          <w:sz w:val="22"/>
          <w:szCs w:val="22"/>
        </w:rPr>
        <w:t>Additionally, there are already existing protocols and guidelines developed by industry that deal with how telecommunications providers should communicate with stakeholders in the event of a major outage. As shown in the Department’s Review, these protocols proved to be largely ineffective during the Optus outage.</w:t>
      </w:r>
    </w:p>
    <w:p w14:paraId="47032494" w14:textId="5A826B7B" w:rsidR="006A0868" w:rsidRDefault="006A0868" w:rsidP="006A0868">
      <w:pPr>
        <w:rPr>
          <w:sz w:val="22"/>
          <w:szCs w:val="22"/>
        </w:rPr>
      </w:pPr>
      <w:r w:rsidRPr="00322F42">
        <w:rPr>
          <w:sz w:val="22"/>
          <w:szCs w:val="22"/>
        </w:rPr>
        <w:t xml:space="preserve">We note that, unlike an industry guideline, </w:t>
      </w:r>
      <w:r w:rsidR="00064D37" w:rsidRPr="004C7627">
        <w:rPr>
          <w:sz w:val="22"/>
          <w:szCs w:val="22"/>
        </w:rPr>
        <w:t xml:space="preserve">once a provider has decided to participate </w:t>
      </w:r>
      <w:r w:rsidR="00D51645" w:rsidRPr="004C7627">
        <w:rPr>
          <w:sz w:val="22"/>
          <w:szCs w:val="22"/>
        </w:rPr>
        <w:t xml:space="preserve">in </w:t>
      </w:r>
      <w:r w:rsidR="00941799" w:rsidRPr="004C7627">
        <w:rPr>
          <w:sz w:val="22"/>
          <w:szCs w:val="22"/>
        </w:rPr>
        <w:t>developing an industry code</w:t>
      </w:r>
      <w:r w:rsidR="007C44B4" w:rsidRPr="004C7627">
        <w:rPr>
          <w:sz w:val="22"/>
          <w:szCs w:val="22"/>
        </w:rPr>
        <w:t xml:space="preserve"> and it is registered by the ACMA, the</w:t>
      </w:r>
      <w:r w:rsidR="00D51645" w:rsidRPr="004C7627">
        <w:rPr>
          <w:sz w:val="22"/>
          <w:szCs w:val="22"/>
        </w:rPr>
        <w:t xml:space="preserve">, </w:t>
      </w:r>
      <w:r w:rsidRPr="00322F42">
        <w:rPr>
          <w:sz w:val="22"/>
          <w:szCs w:val="22"/>
        </w:rPr>
        <w:t>industry code is enforceable. However, breaches of an industry code require the ACMA to direct a carrier or CSP to comply with the code and identify further non-compliance before it can access the full range of its stronger enforcement actions.</w:t>
      </w:r>
    </w:p>
    <w:p w14:paraId="65240A1C" w14:textId="051A00BD" w:rsidR="002455FE" w:rsidRDefault="002455FE" w:rsidP="006A0868">
      <w:pPr>
        <w:rPr>
          <w:sz w:val="22"/>
          <w:szCs w:val="22"/>
        </w:rPr>
      </w:pPr>
      <w:r w:rsidRPr="004C7627">
        <w:rPr>
          <w:sz w:val="22"/>
          <w:szCs w:val="22"/>
        </w:rPr>
        <w:t>As part of the development of the Ministerial Direction, the ACMA understands that the DITRD</w:t>
      </w:r>
      <w:r w:rsidR="52DB9B29" w:rsidRPr="13E93F1A">
        <w:rPr>
          <w:sz w:val="22"/>
          <w:szCs w:val="22"/>
        </w:rPr>
        <w:t>C</w:t>
      </w:r>
      <w:r w:rsidRPr="004C7627">
        <w:rPr>
          <w:sz w:val="22"/>
          <w:szCs w:val="22"/>
        </w:rPr>
        <w:t xml:space="preserve">A considered industry self-regulation options, but determined they provided insufficient safeguards for consumers during outages. This was specifically demonstrated within the Review which pointed to the need for provisions that can immediately come into </w:t>
      </w:r>
      <w:r w:rsidRPr="004C7627">
        <w:rPr>
          <w:sz w:val="22"/>
          <w:szCs w:val="22"/>
        </w:rPr>
        <w:lastRenderedPageBreak/>
        <w:t>effect to promote compliance that provides assurance of end user access to information about outages.</w:t>
      </w:r>
    </w:p>
    <w:p w14:paraId="0EF31810" w14:textId="44E7C039" w:rsidR="00264622" w:rsidRDefault="00264622" w:rsidP="00264622">
      <w:pPr>
        <w:pStyle w:val="Paragraph"/>
        <w:spacing w:after="0" w:line="240" w:lineRule="auto"/>
        <w:rPr>
          <w:rFonts w:eastAsia="Arial"/>
          <w:color w:val="000000" w:themeColor="text2"/>
        </w:rPr>
      </w:pPr>
      <w:r>
        <w:rPr>
          <w:rFonts w:eastAsia="Arial"/>
          <w:color w:val="000000" w:themeColor="text2"/>
        </w:rPr>
        <w:t>G</w:t>
      </w:r>
      <w:r w:rsidRPr="1638F3F5">
        <w:rPr>
          <w:rFonts w:eastAsia="Arial"/>
          <w:color w:val="000000" w:themeColor="text2"/>
        </w:rPr>
        <w:t xml:space="preserve">iven the immediacy of action required, </w:t>
      </w:r>
      <w:r>
        <w:rPr>
          <w:rFonts w:eastAsia="Arial"/>
          <w:color w:val="000000" w:themeColor="text2"/>
        </w:rPr>
        <w:t xml:space="preserve">with </w:t>
      </w:r>
      <w:r w:rsidR="00DC33E3">
        <w:rPr>
          <w:rFonts w:eastAsia="Arial"/>
          <w:color w:val="000000" w:themeColor="text2"/>
        </w:rPr>
        <w:t xml:space="preserve">the Minister’s direction stipulating a Standard be determined by 14 November, </w:t>
      </w:r>
      <w:r w:rsidRPr="1638F3F5">
        <w:rPr>
          <w:rFonts w:eastAsia="Arial"/>
          <w:color w:val="000000" w:themeColor="text2"/>
        </w:rPr>
        <w:t>amending the Code is not the preferred option.</w:t>
      </w:r>
      <w:r w:rsidR="0006786A">
        <w:rPr>
          <w:rFonts w:eastAsia="Arial"/>
          <w:color w:val="000000" w:themeColor="text2"/>
        </w:rPr>
        <w:t xml:space="preserve"> </w:t>
      </w:r>
    </w:p>
    <w:p w14:paraId="1EEECA9F" w14:textId="77777777" w:rsidR="00264622" w:rsidRDefault="00264622" w:rsidP="00264622">
      <w:pPr>
        <w:pStyle w:val="Paragraph"/>
        <w:spacing w:after="0" w:line="240" w:lineRule="auto"/>
        <w:rPr>
          <w:rFonts w:eastAsia="Arial"/>
          <w:color w:val="000000" w:themeColor="text2"/>
        </w:rPr>
      </w:pPr>
    </w:p>
    <w:p w14:paraId="150D1A33" w14:textId="6466D472" w:rsidR="006A0868" w:rsidRDefault="4C7A0428">
      <w:pPr>
        <w:rPr>
          <w:sz w:val="22"/>
          <w:szCs w:val="22"/>
        </w:rPr>
      </w:pPr>
      <w:r w:rsidRPr="622F0729">
        <w:rPr>
          <w:sz w:val="22"/>
          <w:szCs w:val="22"/>
        </w:rPr>
        <w:t xml:space="preserve">The ACMA </w:t>
      </w:r>
      <w:r w:rsidRPr="622F0729">
        <w:rPr>
          <w:i/>
          <w:iCs/>
          <w:sz w:val="22"/>
          <w:szCs w:val="22"/>
        </w:rPr>
        <w:t>must</w:t>
      </w:r>
      <w:r w:rsidRPr="622F0729">
        <w:rPr>
          <w:sz w:val="22"/>
          <w:szCs w:val="22"/>
        </w:rPr>
        <w:t xml:space="preserve"> determine an industry standard if directed by the Minister. Co-regulation is therefore not a live option.</w:t>
      </w:r>
    </w:p>
    <w:p w14:paraId="3EA96FDF" w14:textId="0276256F" w:rsidR="0012102C" w:rsidRPr="004C7627" w:rsidRDefault="0012102C" w:rsidP="004C7627">
      <w:pPr>
        <w:pStyle w:val="Heading2"/>
      </w:pPr>
      <w:bookmarkStart w:id="17" w:name="_Toc181713888"/>
      <w:r w:rsidRPr="004C7627">
        <w:t>International experience</w:t>
      </w:r>
      <w:bookmarkEnd w:id="17"/>
    </w:p>
    <w:p w14:paraId="4B2DA9AF" w14:textId="3EBAAAF7" w:rsidR="622F0729" w:rsidRDefault="00660961" w:rsidP="622F0729">
      <w:pPr>
        <w:rPr>
          <w:rFonts w:eastAsia="Arial" w:cs="Arial"/>
          <w:color w:val="000000" w:themeColor="text2"/>
          <w:sz w:val="22"/>
        </w:rPr>
      </w:pPr>
      <w:r w:rsidRPr="004C7627">
        <w:rPr>
          <w:rFonts w:eastAsia="Arial" w:cs="Arial"/>
          <w:color w:val="000000" w:themeColor="text2"/>
          <w:sz w:val="22"/>
        </w:rPr>
        <w:t xml:space="preserve">In examining the regulatory landscape surrounding </w:t>
      </w:r>
      <w:r w:rsidR="00E606A5" w:rsidRPr="004C7627">
        <w:rPr>
          <w:rFonts w:eastAsia="Arial" w:cs="Arial"/>
          <w:color w:val="000000" w:themeColor="text2"/>
          <w:sz w:val="22"/>
        </w:rPr>
        <w:t>customer communications during outages</w:t>
      </w:r>
      <w:r w:rsidRPr="004C7627">
        <w:rPr>
          <w:rFonts w:eastAsia="Arial" w:cs="Arial"/>
          <w:color w:val="000000" w:themeColor="text2"/>
          <w:sz w:val="22"/>
        </w:rPr>
        <w:t xml:space="preserve"> within the telecommunications sector, the ACMA investigated measures adopted by other countries and sectors to address similar challenges.</w:t>
      </w:r>
    </w:p>
    <w:p w14:paraId="3F0F52E1" w14:textId="16D82557" w:rsidR="00460794" w:rsidRDefault="0032081C" w:rsidP="622F0729">
      <w:pPr>
        <w:rPr>
          <w:rFonts w:eastAsia="Arial" w:cs="Arial"/>
          <w:color w:val="000000" w:themeColor="text2"/>
          <w:sz w:val="22"/>
        </w:rPr>
      </w:pPr>
      <w:r>
        <w:rPr>
          <w:rFonts w:eastAsia="Arial" w:cs="Arial"/>
          <w:color w:val="000000" w:themeColor="text2"/>
          <w:sz w:val="22"/>
        </w:rPr>
        <w:t>Canada</w:t>
      </w:r>
      <w:r w:rsidR="009026BD">
        <w:rPr>
          <w:rFonts w:eastAsia="Arial" w:cs="Arial"/>
          <w:color w:val="000000" w:themeColor="text2"/>
          <w:sz w:val="22"/>
        </w:rPr>
        <w:t xml:space="preserve"> adopts an </w:t>
      </w:r>
      <w:r w:rsidR="009026BD" w:rsidRPr="004C7627">
        <w:rPr>
          <w:rFonts w:eastAsia="Arial" w:cs="Arial"/>
          <w:color w:val="000000" w:themeColor="text2"/>
          <w:sz w:val="22"/>
        </w:rPr>
        <w:t>Emergency Network Outage Communications Protocol</w:t>
      </w:r>
      <w:r w:rsidR="00086C48">
        <w:rPr>
          <w:rFonts w:eastAsia="Arial" w:cs="Arial"/>
          <w:color w:val="000000" w:themeColor="text2"/>
          <w:sz w:val="22"/>
        </w:rPr>
        <w:t xml:space="preserve"> </w:t>
      </w:r>
      <w:r w:rsidR="00BC49A5">
        <w:rPr>
          <w:rFonts w:eastAsia="Arial" w:cs="Arial"/>
          <w:color w:val="000000" w:themeColor="text2"/>
          <w:sz w:val="22"/>
        </w:rPr>
        <w:t>which</w:t>
      </w:r>
      <w:r w:rsidR="00086C48">
        <w:rPr>
          <w:rFonts w:eastAsia="Arial" w:cs="Arial"/>
          <w:color w:val="000000" w:themeColor="text2"/>
          <w:sz w:val="22"/>
        </w:rPr>
        <w:t xml:space="preserve"> deals with mandatory reporting and notification of outages</w:t>
      </w:r>
      <w:r w:rsidR="0042028C">
        <w:rPr>
          <w:rFonts w:eastAsia="Arial" w:cs="Arial"/>
          <w:color w:val="000000" w:themeColor="text2"/>
          <w:sz w:val="22"/>
        </w:rPr>
        <w:t xml:space="preserve"> to the </w:t>
      </w:r>
      <w:r w:rsidR="007C4741">
        <w:rPr>
          <w:rFonts w:eastAsia="Arial" w:cs="Arial"/>
          <w:color w:val="000000" w:themeColor="text2"/>
          <w:sz w:val="22"/>
        </w:rPr>
        <w:t xml:space="preserve">Canadian Radio-Television </w:t>
      </w:r>
      <w:r w:rsidR="006A3E31">
        <w:rPr>
          <w:rFonts w:eastAsia="Arial" w:cs="Arial"/>
          <w:color w:val="000000" w:themeColor="text2"/>
          <w:sz w:val="22"/>
        </w:rPr>
        <w:t xml:space="preserve">and </w:t>
      </w:r>
      <w:r w:rsidR="005D2710">
        <w:rPr>
          <w:rFonts w:eastAsia="Arial" w:cs="Arial"/>
          <w:color w:val="000000" w:themeColor="text2"/>
          <w:sz w:val="22"/>
        </w:rPr>
        <w:t>Telecommunications</w:t>
      </w:r>
      <w:r w:rsidR="006A3E31">
        <w:rPr>
          <w:rFonts w:eastAsia="Arial" w:cs="Arial"/>
          <w:color w:val="000000" w:themeColor="text2"/>
          <w:sz w:val="22"/>
        </w:rPr>
        <w:t xml:space="preserve"> </w:t>
      </w:r>
      <w:r w:rsidR="0042028C">
        <w:rPr>
          <w:rFonts w:eastAsia="Arial" w:cs="Arial"/>
          <w:color w:val="000000" w:themeColor="text2"/>
          <w:sz w:val="22"/>
        </w:rPr>
        <w:t>Commission</w:t>
      </w:r>
      <w:r w:rsidR="006A3E31">
        <w:rPr>
          <w:rFonts w:eastAsia="Arial" w:cs="Arial"/>
          <w:color w:val="000000" w:themeColor="text2"/>
          <w:sz w:val="22"/>
        </w:rPr>
        <w:t xml:space="preserve"> (CRTC)</w:t>
      </w:r>
      <w:r w:rsidR="0045578C">
        <w:rPr>
          <w:rFonts w:eastAsia="Arial" w:cs="Arial"/>
          <w:color w:val="000000" w:themeColor="text2"/>
          <w:sz w:val="22"/>
        </w:rPr>
        <w:t xml:space="preserve">. </w:t>
      </w:r>
      <w:r w:rsidR="00FD063D">
        <w:rPr>
          <w:rFonts w:eastAsia="Arial" w:cs="Arial"/>
          <w:color w:val="000000" w:themeColor="text2"/>
          <w:sz w:val="22"/>
        </w:rPr>
        <w:t xml:space="preserve">The Protocol forms part </w:t>
      </w:r>
      <w:r w:rsidR="00D60A41">
        <w:rPr>
          <w:rFonts w:eastAsia="Arial" w:cs="Arial"/>
          <w:color w:val="000000" w:themeColor="text2"/>
          <w:sz w:val="22"/>
        </w:rPr>
        <w:t xml:space="preserve">of a MOU </w:t>
      </w:r>
      <w:r w:rsidR="00C97C2C">
        <w:rPr>
          <w:rFonts w:eastAsia="Arial" w:cs="Arial"/>
          <w:color w:val="000000" w:themeColor="text2"/>
          <w:sz w:val="22"/>
        </w:rPr>
        <w:t>(Memorandum of Understanding on Telecommunications Reliability)</w:t>
      </w:r>
      <w:r w:rsidR="00885907">
        <w:rPr>
          <w:rStyle w:val="FootnoteReference"/>
          <w:rFonts w:eastAsia="Arial" w:cs="Arial"/>
          <w:color w:val="000000" w:themeColor="text2"/>
          <w:sz w:val="22"/>
        </w:rPr>
        <w:footnoteReference w:id="17"/>
      </w:r>
      <w:r w:rsidR="00C97C2C">
        <w:rPr>
          <w:rFonts w:eastAsia="Arial" w:cs="Arial"/>
          <w:color w:val="000000" w:themeColor="text2"/>
          <w:sz w:val="22"/>
        </w:rPr>
        <w:t xml:space="preserve"> </w:t>
      </w:r>
      <w:r w:rsidR="0060770D">
        <w:rPr>
          <w:rFonts w:eastAsia="Arial" w:cs="Arial"/>
          <w:color w:val="000000" w:themeColor="text2"/>
          <w:sz w:val="22"/>
        </w:rPr>
        <w:t>entered into</w:t>
      </w:r>
      <w:r w:rsidR="00A96930">
        <w:rPr>
          <w:rFonts w:eastAsia="Arial" w:cs="Arial"/>
          <w:color w:val="000000" w:themeColor="text2"/>
          <w:sz w:val="22"/>
        </w:rPr>
        <w:t xml:space="preserve"> by 12 Canadian telcos</w:t>
      </w:r>
      <w:r w:rsidR="0060770D">
        <w:rPr>
          <w:rFonts w:eastAsia="Arial" w:cs="Arial"/>
          <w:color w:val="000000" w:themeColor="text2"/>
          <w:sz w:val="22"/>
        </w:rPr>
        <w:t xml:space="preserve"> in September 2022</w:t>
      </w:r>
      <w:r w:rsidR="00703E37">
        <w:rPr>
          <w:rFonts w:eastAsia="Arial" w:cs="Arial"/>
          <w:color w:val="000000" w:themeColor="text2"/>
          <w:sz w:val="22"/>
        </w:rPr>
        <w:t xml:space="preserve"> following a ma</w:t>
      </w:r>
      <w:r w:rsidR="00662CED">
        <w:rPr>
          <w:rFonts w:eastAsia="Arial" w:cs="Arial"/>
          <w:color w:val="000000" w:themeColor="text2"/>
          <w:sz w:val="22"/>
        </w:rPr>
        <w:t>j</w:t>
      </w:r>
      <w:r w:rsidR="00703E37">
        <w:rPr>
          <w:rFonts w:eastAsia="Arial" w:cs="Arial"/>
          <w:color w:val="000000" w:themeColor="text2"/>
          <w:sz w:val="22"/>
        </w:rPr>
        <w:t>or outage</w:t>
      </w:r>
      <w:r w:rsidR="005C3703">
        <w:rPr>
          <w:rFonts w:eastAsia="Arial" w:cs="Arial"/>
          <w:color w:val="000000" w:themeColor="text2"/>
          <w:sz w:val="22"/>
        </w:rPr>
        <w:t xml:space="preserve"> by Canadian telco</w:t>
      </w:r>
      <w:r w:rsidR="00703E37">
        <w:rPr>
          <w:rFonts w:eastAsia="Arial" w:cs="Arial"/>
          <w:color w:val="000000" w:themeColor="text2"/>
          <w:sz w:val="22"/>
        </w:rPr>
        <w:t>, Roger</w:t>
      </w:r>
      <w:r w:rsidR="007E5B1D">
        <w:rPr>
          <w:rFonts w:eastAsia="Arial" w:cs="Arial"/>
          <w:color w:val="000000" w:themeColor="text2"/>
          <w:sz w:val="22"/>
        </w:rPr>
        <w:t>s</w:t>
      </w:r>
      <w:r w:rsidR="00703E37">
        <w:rPr>
          <w:rFonts w:eastAsia="Arial" w:cs="Arial"/>
          <w:color w:val="000000" w:themeColor="text2"/>
          <w:sz w:val="22"/>
        </w:rPr>
        <w:t xml:space="preserve">, in July 2022. </w:t>
      </w:r>
      <w:r w:rsidR="00662CED">
        <w:rPr>
          <w:rFonts w:eastAsia="Arial" w:cs="Arial"/>
          <w:color w:val="000000" w:themeColor="text2"/>
          <w:sz w:val="22"/>
        </w:rPr>
        <w:t>As part of the MOU, telcos</w:t>
      </w:r>
      <w:r w:rsidR="00D60A41">
        <w:rPr>
          <w:rFonts w:eastAsia="Arial" w:cs="Arial"/>
          <w:color w:val="000000" w:themeColor="text2"/>
          <w:sz w:val="22"/>
        </w:rPr>
        <w:t xml:space="preserve"> agreed to inform the public and governmental authorities about key network outage information in accordance with their respective action plans.</w:t>
      </w:r>
      <w:r w:rsidR="0045578C">
        <w:rPr>
          <w:rFonts w:eastAsia="Arial" w:cs="Arial"/>
          <w:color w:val="000000" w:themeColor="text2"/>
          <w:sz w:val="22"/>
        </w:rPr>
        <w:t xml:space="preserve"> </w:t>
      </w:r>
    </w:p>
    <w:p w14:paraId="18A82E97" w14:textId="53D3AB93" w:rsidR="0032081C" w:rsidRDefault="00311E0D" w:rsidP="622F0729">
      <w:pPr>
        <w:rPr>
          <w:rFonts w:eastAsia="Arial" w:cs="Arial"/>
          <w:color w:val="000000" w:themeColor="text2"/>
          <w:sz w:val="22"/>
        </w:rPr>
      </w:pPr>
      <w:r>
        <w:rPr>
          <w:rFonts w:eastAsia="Arial" w:cs="Arial"/>
          <w:color w:val="000000" w:themeColor="text2"/>
          <w:sz w:val="22"/>
        </w:rPr>
        <w:t>In February 2023, a</w:t>
      </w:r>
      <w:r w:rsidR="003241CE">
        <w:rPr>
          <w:rFonts w:eastAsia="Arial" w:cs="Arial"/>
          <w:color w:val="000000" w:themeColor="text2"/>
          <w:sz w:val="22"/>
        </w:rPr>
        <w:t xml:space="preserve"> public consultatio</w:t>
      </w:r>
      <w:r w:rsidR="000F34F8">
        <w:rPr>
          <w:rFonts w:eastAsia="Arial" w:cs="Arial"/>
          <w:color w:val="000000" w:themeColor="text2"/>
          <w:sz w:val="22"/>
        </w:rPr>
        <w:t>n</w:t>
      </w:r>
      <w:r w:rsidR="003241CE">
        <w:rPr>
          <w:rFonts w:eastAsia="Arial" w:cs="Arial"/>
          <w:color w:val="000000" w:themeColor="text2"/>
          <w:sz w:val="22"/>
        </w:rPr>
        <w:t xml:space="preserve"> was held</w:t>
      </w:r>
      <w:r w:rsidR="00D10879">
        <w:rPr>
          <w:rStyle w:val="FootnoteReference"/>
          <w:rFonts w:eastAsia="Arial" w:cs="Arial"/>
          <w:color w:val="000000" w:themeColor="text2"/>
          <w:sz w:val="22"/>
        </w:rPr>
        <w:footnoteReference w:id="18"/>
      </w:r>
      <w:r w:rsidR="00636DEE">
        <w:rPr>
          <w:rFonts w:eastAsia="Arial" w:cs="Arial"/>
          <w:color w:val="000000" w:themeColor="text2"/>
          <w:sz w:val="22"/>
        </w:rPr>
        <w:t xml:space="preserve"> by the C</w:t>
      </w:r>
      <w:r w:rsidR="00087DFB">
        <w:rPr>
          <w:rFonts w:eastAsia="Arial" w:cs="Arial"/>
          <w:color w:val="000000" w:themeColor="text2"/>
          <w:sz w:val="22"/>
        </w:rPr>
        <w:t>RTC</w:t>
      </w:r>
      <w:r w:rsidR="00803F8E">
        <w:rPr>
          <w:rFonts w:eastAsia="Arial" w:cs="Arial"/>
          <w:color w:val="000000" w:themeColor="text2"/>
          <w:sz w:val="22"/>
        </w:rPr>
        <w:t xml:space="preserve">, </w:t>
      </w:r>
      <w:r w:rsidR="00460794">
        <w:rPr>
          <w:rFonts w:eastAsia="Arial" w:cs="Arial"/>
          <w:color w:val="000000" w:themeColor="text2"/>
          <w:sz w:val="22"/>
        </w:rPr>
        <w:t xml:space="preserve">which called for comment </w:t>
      </w:r>
      <w:r w:rsidR="004B3809">
        <w:rPr>
          <w:rFonts w:eastAsia="Arial" w:cs="Arial"/>
          <w:color w:val="000000" w:themeColor="text2"/>
          <w:sz w:val="22"/>
        </w:rPr>
        <w:t>on the development of a regulatory framework to improve network reliability and resiliency</w:t>
      </w:r>
      <w:r w:rsidR="00D67A61">
        <w:rPr>
          <w:rFonts w:eastAsia="Arial" w:cs="Arial"/>
          <w:color w:val="000000" w:themeColor="text2"/>
          <w:sz w:val="22"/>
        </w:rPr>
        <w:t xml:space="preserve"> </w:t>
      </w:r>
      <w:r w:rsidR="005D2710">
        <w:rPr>
          <w:rFonts w:eastAsia="Arial" w:cs="Arial"/>
          <w:color w:val="000000" w:themeColor="text2"/>
          <w:sz w:val="22"/>
        </w:rPr>
        <w:t>and mandatory</w:t>
      </w:r>
      <w:r w:rsidR="00D67A61">
        <w:rPr>
          <w:rFonts w:eastAsia="Arial" w:cs="Arial"/>
          <w:color w:val="000000" w:themeColor="text2"/>
          <w:sz w:val="22"/>
        </w:rPr>
        <w:t xml:space="preserve"> notification and reporting about major telecommunications service outages. </w:t>
      </w:r>
      <w:r w:rsidR="008C2CD3">
        <w:rPr>
          <w:rFonts w:eastAsia="Arial" w:cs="Arial"/>
          <w:color w:val="000000" w:themeColor="text2"/>
          <w:sz w:val="22"/>
        </w:rPr>
        <w:t>Comments w</w:t>
      </w:r>
      <w:r w:rsidR="00C9695F">
        <w:rPr>
          <w:rFonts w:eastAsia="Arial" w:cs="Arial"/>
          <w:color w:val="000000" w:themeColor="text2"/>
          <w:sz w:val="22"/>
        </w:rPr>
        <w:t>e</w:t>
      </w:r>
      <w:r w:rsidR="008C2CD3">
        <w:rPr>
          <w:rFonts w:eastAsia="Arial" w:cs="Arial"/>
          <w:color w:val="000000" w:themeColor="text2"/>
          <w:sz w:val="22"/>
        </w:rPr>
        <w:t xml:space="preserve">re sought on </w:t>
      </w:r>
      <w:r w:rsidR="00C9695F">
        <w:rPr>
          <w:rFonts w:eastAsia="Arial" w:cs="Arial"/>
          <w:color w:val="000000" w:themeColor="text2"/>
          <w:sz w:val="22"/>
        </w:rPr>
        <w:t>proposed requirements</w:t>
      </w:r>
      <w:r w:rsidR="008C2CD3">
        <w:rPr>
          <w:rFonts w:eastAsia="Arial" w:cs="Arial"/>
          <w:color w:val="000000" w:themeColor="text2"/>
          <w:sz w:val="22"/>
        </w:rPr>
        <w:t xml:space="preserve"> </w:t>
      </w:r>
      <w:r w:rsidR="00E23DE3">
        <w:rPr>
          <w:rFonts w:eastAsia="Arial" w:cs="Arial"/>
          <w:color w:val="000000" w:themeColor="text2"/>
          <w:sz w:val="22"/>
        </w:rPr>
        <w:t xml:space="preserve">for </w:t>
      </w:r>
      <w:r w:rsidR="00E67BA3">
        <w:rPr>
          <w:rFonts w:eastAsia="Arial" w:cs="Arial"/>
          <w:color w:val="000000" w:themeColor="text2"/>
          <w:sz w:val="22"/>
        </w:rPr>
        <w:t xml:space="preserve">carriers to report to </w:t>
      </w:r>
      <w:r w:rsidR="006F6E12">
        <w:rPr>
          <w:rFonts w:eastAsia="Arial" w:cs="Arial"/>
          <w:color w:val="000000" w:themeColor="text2"/>
          <w:sz w:val="22"/>
        </w:rPr>
        <w:t>CRTC</w:t>
      </w:r>
      <w:r w:rsidR="005D2710">
        <w:rPr>
          <w:rFonts w:eastAsia="Arial" w:cs="Arial"/>
          <w:color w:val="000000" w:themeColor="text2"/>
          <w:sz w:val="22"/>
        </w:rPr>
        <w:t xml:space="preserve"> </w:t>
      </w:r>
      <w:r w:rsidR="00E04484">
        <w:rPr>
          <w:rFonts w:eastAsia="Arial" w:cs="Arial"/>
          <w:color w:val="000000" w:themeColor="text2"/>
          <w:sz w:val="22"/>
        </w:rPr>
        <w:t>and relevant authorities when a major outage is detected</w:t>
      </w:r>
      <w:r w:rsidR="006F6E12">
        <w:rPr>
          <w:rFonts w:eastAsia="Arial" w:cs="Arial"/>
          <w:color w:val="000000" w:themeColor="text2"/>
          <w:sz w:val="22"/>
        </w:rPr>
        <w:t>, however no rules have yet been made by CRTC</w:t>
      </w:r>
      <w:r w:rsidR="00E04484">
        <w:rPr>
          <w:rFonts w:eastAsia="Arial" w:cs="Arial"/>
          <w:color w:val="000000" w:themeColor="text2"/>
          <w:sz w:val="22"/>
        </w:rPr>
        <w:t xml:space="preserve">. </w:t>
      </w:r>
    </w:p>
    <w:p w14:paraId="4A5006E1" w14:textId="7BA484E2" w:rsidR="006A0868" w:rsidRPr="004C7627" w:rsidRDefault="00CA2279" w:rsidP="006A0868">
      <w:pPr>
        <w:tabs>
          <w:tab w:val="left" w:pos="2690"/>
        </w:tabs>
        <w:rPr>
          <w:rFonts w:eastAsia="Arial" w:cs="Arial"/>
          <w:color w:val="000000" w:themeColor="text2"/>
          <w:sz w:val="22"/>
        </w:rPr>
      </w:pPr>
      <w:r>
        <w:rPr>
          <w:rFonts w:eastAsia="Arial" w:cs="Arial"/>
          <w:color w:val="000000" w:themeColor="text2"/>
          <w:sz w:val="22"/>
        </w:rPr>
        <w:t>The</w:t>
      </w:r>
      <w:r w:rsidRPr="004C7627">
        <w:rPr>
          <w:rFonts w:eastAsia="Arial" w:cs="Arial"/>
          <w:color w:val="000000" w:themeColor="text2"/>
          <w:sz w:val="22"/>
        </w:rPr>
        <w:t xml:space="preserve"> UK's regulatory framework, overseen by the UK regulator Ofcom</w:t>
      </w:r>
      <w:r w:rsidR="00204CC8">
        <w:rPr>
          <w:rFonts w:eastAsia="Arial" w:cs="Arial"/>
          <w:color w:val="000000" w:themeColor="text2"/>
          <w:sz w:val="22"/>
        </w:rPr>
        <w:t>, is set out under the Communications Act</w:t>
      </w:r>
      <w:r w:rsidR="006C2DC3">
        <w:rPr>
          <w:rFonts w:eastAsia="Arial" w:cs="Arial"/>
          <w:color w:val="000000" w:themeColor="text2"/>
          <w:sz w:val="22"/>
        </w:rPr>
        <w:t xml:space="preserve"> 2003</w:t>
      </w:r>
      <w:r w:rsidR="00917788">
        <w:rPr>
          <w:rFonts w:eastAsia="Arial" w:cs="Arial"/>
          <w:color w:val="000000" w:themeColor="text2"/>
          <w:sz w:val="22"/>
        </w:rPr>
        <w:t>. Under that Act, telco companies are subject to an overarching obligation to protect the security of the network or services they provide</w:t>
      </w:r>
      <w:r w:rsidR="005E0A5B">
        <w:rPr>
          <w:rFonts w:eastAsia="Arial" w:cs="Arial"/>
          <w:color w:val="000000" w:themeColor="text2"/>
          <w:sz w:val="22"/>
        </w:rPr>
        <w:t>.</w:t>
      </w:r>
      <w:r w:rsidR="00C72C3C">
        <w:rPr>
          <w:rFonts w:eastAsia="Arial" w:cs="Arial"/>
          <w:color w:val="000000" w:themeColor="text2"/>
          <w:sz w:val="22"/>
        </w:rPr>
        <w:t xml:space="preserve"> This includes taking steps to ensure that the impact of any security incidents on customers is prevented.</w:t>
      </w:r>
      <w:r w:rsidR="00295A1B">
        <w:rPr>
          <w:rStyle w:val="FootnoteReference"/>
          <w:rFonts w:eastAsia="Arial" w:cs="Arial"/>
          <w:color w:val="000000" w:themeColor="text2"/>
          <w:sz w:val="22"/>
        </w:rPr>
        <w:footnoteReference w:id="19"/>
      </w:r>
      <w:r w:rsidR="00B37A79">
        <w:rPr>
          <w:rFonts w:eastAsia="Arial" w:cs="Arial"/>
          <w:color w:val="000000" w:themeColor="text2"/>
          <w:sz w:val="22"/>
        </w:rPr>
        <w:t xml:space="preserve"> In the UK framework security incidents includes any network outage</w:t>
      </w:r>
      <w:r w:rsidR="00DE7FBE">
        <w:rPr>
          <w:rFonts w:eastAsia="Arial" w:cs="Arial"/>
          <w:color w:val="000000" w:themeColor="text2"/>
          <w:sz w:val="22"/>
        </w:rPr>
        <w:t xml:space="preserve">. Ofcom has established </w:t>
      </w:r>
      <w:r w:rsidR="00D837BB">
        <w:rPr>
          <w:rFonts w:eastAsia="Arial" w:cs="Arial"/>
          <w:color w:val="000000" w:themeColor="text2"/>
          <w:sz w:val="22"/>
        </w:rPr>
        <w:t xml:space="preserve">numerical </w:t>
      </w:r>
      <w:r w:rsidR="00DE7FBE">
        <w:rPr>
          <w:rFonts w:eastAsia="Arial" w:cs="Arial"/>
          <w:color w:val="000000" w:themeColor="text2"/>
          <w:sz w:val="22"/>
        </w:rPr>
        <w:t xml:space="preserve">reporting thresholds for outages </w:t>
      </w:r>
      <w:r w:rsidR="00D837BB">
        <w:rPr>
          <w:rFonts w:eastAsia="Arial" w:cs="Arial"/>
          <w:color w:val="000000" w:themeColor="text2"/>
          <w:sz w:val="22"/>
        </w:rPr>
        <w:t>on fixed and mobile networks that require</w:t>
      </w:r>
      <w:r w:rsidR="008A588F">
        <w:rPr>
          <w:rFonts w:eastAsia="Arial" w:cs="Arial"/>
          <w:color w:val="000000" w:themeColor="text2"/>
          <w:sz w:val="22"/>
        </w:rPr>
        <w:t xml:space="preserve"> reporting for outages of 100,000 </w:t>
      </w:r>
      <w:r w:rsidR="00CE032C">
        <w:rPr>
          <w:rFonts w:eastAsia="Arial" w:cs="Arial"/>
          <w:color w:val="000000" w:themeColor="text2"/>
          <w:sz w:val="22"/>
        </w:rPr>
        <w:t xml:space="preserve">services offered to </w:t>
      </w:r>
      <w:r w:rsidR="008A588F">
        <w:rPr>
          <w:rFonts w:eastAsia="Arial" w:cs="Arial"/>
          <w:color w:val="000000" w:themeColor="text2"/>
          <w:sz w:val="22"/>
        </w:rPr>
        <w:t xml:space="preserve">retail </w:t>
      </w:r>
      <w:r w:rsidR="00CE032C">
        <w:rPr>
          <w:rFonts w:eastAsia="Arial" w:cs="Arial"/>
          <w:color w:val="000000" w:themeColor="text2"/>
          <w:sz w:val="22"/>
        </w:rPr>
        <w:t xml:space="preserve">customers of one hour or more, or 10,000 services for eight hours or more. However, where an outage impacts </w:t>
      </w:r>
      <w:r w:rsidR="00CB0C05">
        <w:rPr>
          <w:rFonts w:eastAsia="Arial" w:cs="Arial"/>
          <w:color w:val="000000" w:themeColor="text2"/>
          <w:sz w:val="22"/>
        </w:rPr>
        <w:t>access to emergency services</w:t>
      </w:r>
      <w:r w:rsidR="00D30B35">
        <w:rPr>
          <w:rFonts w:eastAsia="Arial" w:cs="Arial"/>
          <w:color w:val="000000" w:themeColor="text2"/>
          <w:sz w:val="22"/>
        </w:rPr>
        <w:t>,</w:t>
      </w:r>
      <w:r w:rsidR="00CB0C05">
        <w:rPr>
          <w:rFonts w:eastAsia="Arial" w:cs="Arial"/>
          <w:color w:val="000000" w:themeColor="text2"/>
          <w:sz w:val="22"/>
        </w:rPr>
        <w:t xml:space="preserve"> </w:t>
      </w:r>
      <w:r w:rsidR="00F22ED8">
        <w:rPr>
          <w:rFonts w:eastAsia="Arial" w:cs="Arial"/>
          <w:color w:val="000000" w:themeColor="text2"/>
          <w:sz w:val="22"/>
        </w:rPr>
        <w:t xml:space="preserve">telcos must </w:t>
      </w:r>
      <w:r w:rsidR="00CB0C05">
        <w:rPr>
          <w:rFonts w:eastAsia="Arial" w:cs="Arial"/>
          <w:color w:val="000000" w:themeColor="text2"/>
          <w:sz w:val="22"/>
        </w:rPr>
        <w:t xml:space="preserve">report outages impacting 1,000 or more customers for one hour or more, </w:t>
      </w:r>
      <w:r w:rsidR="004B0D5A">
        <w:rPr>
          <w:rFonts w:eastAsia="Arial" w:cs="Arial"/>
          <w:color w:val="000000" w:themeColor="text2"/>
          <w:sz w:val="22"/>
        </w:rPr>
        <w:t>or an outage affecting 100,000 services for any duration.</w:t>
      </w:r>
      <w:r w:rsidR="00775816">
        <w:rPr>
          <w:rFonts w:eastAsia="Arial" w:cs="Arial"/>
          <w:color w:val="000000" w:themeColor="text2"/>
          <w:sz w:val="22"/>
        </w:rPr>
        <w:t xml:space="preserve">  </w:t>
      </w:r>
      <w:r w:rsidR="00A52C7B" w:rsidRPr="004C7627">
        <w:rPr>
          <w:rFonts w:eastAsia="Arial" w:cs="Arial"/>
          <w:color w:val="000000" w:themeColor="text2"/>
          <w:sz w:val="22"/>
        </w:rPr>
        <w:t>Considering the identified gaps in existing rules, the minister directed the ACMA on 21 August 2024 to make an industry standard requiring CSPs and carriers to communicate information to customers during and about major outages</w:t>
      </w:r>
      <w:r w:rsidR="00AA2C65">
        <w:rPr>
          <w:rFonts w:eastAsia="Arial" w:cs="Arial"/>
          <w:color w:val="000000" w:themeColor="text2"/>
          <w:sz w:val="22"/>
        </w:rPr>
        <w:t xml:space="preserve"> in a clear and timely manner</w:t>
      </w:r>
      <w:r w:rsidR="00A52C7B" w:rsidRPr="004C7627">
        <w:rPr>
          <w:rFonts w:eastAsia="Arial" w:cs="Arial"/>
          <w:color w:val="000000" w:themeColor="text2"/>
          <w:sz w:val="22"/>
        </w:rPr>
        <w:t xml:space="preserve">. </w:t>
      </w:r>
    </w:p>
    <w:p w14:paraId="4C211F13" w14:textId="77777777" w:rsidR="006A0868" w:rsidRPr="006A0868" w:rsidRDefault="006A0868" w:rsidP="006A0868"/>
    <w:p w14:paraId="26BA9060" w14:textId="2EA6BE59" w:rsidR="00B624AB" w:rsidRDefault="00B624AB" w:rsidP="00B624AB">
      <w:pPr>
        <w:pStyle w:val="Heading1"/>
      </w:pPr>
      <w:bookmarkStart w:id="18" w:name="_Toc181713889"/>
      <w:r>
        <w:lastRenderedPageBreak/>
        <w:t>What is the likely net benefit of each option?</w:t>
      </w:r>
      <w:bookmarkEnd w:id="18"/>
    </w:p>
    <w:p w14:paraId="2B09C748" w14:textId="16C056F2" w:rsidR="00B35828" w:rsidRDefault="00B35828" w:rsidP="00B35828">
      <w:pPr>
        <w:pStyle w:val="Paragraph"/>
      </w:pPr>
      <w:r>
        <w:t xml:space="preserve">The reform options that are set out in the previous section are </w:t>
      </w:r>
      <w:r w:rsidRPr="00951AAD">
        <w:t xml:space="preserve">summarised </w:t>
      </w:r>
      <w:r>
        <w:t>below, with th</w:t>
      </w:r>
      <w:r w:rsidR="00E502EB">
        <w:t xml:space="preserve">e </w:t>
      </w:r>
      <w:r>
        <w:t>key differences to the regulatory framework highlighted</w:t>
      </w:r>
      <w:r w:rsidRPr="009E41EB">
        <w:t>. The</w:t>
      </w:r>
      <w:r>
        <w:t xml:space="preserve"> impact of these differences </w:t>
      </w:r>
      <w:r w:rsidR="00D534F3">
        <w:t>has</w:t>
      </w:r>
      <w:r>
        <w:t xml:space="preserve"> been examined to gauge the relative benefits and costs of each option.</w:t>
      </w:r>
    </w:p>
    <w:p w14:paraId="312ED406" w14:textId="77777777" w:rsidR="00B35828" w:rsidRDefault="00B35828" w:rsidP="00B35828">
      <w:pPr>
        <w:pStyle w:val="Paragraph"/>
      </w:pPr>
      <w:r>
        <w:t>In the previous section, four options were identified and have been considered.</w:t>
      </w:r>
    </w:p>
    <w:p w14:paraId="6C88ACDD" w14:textId="77777777" w:rsidR="005F274C" w:rsidRDefault="005F274C" w:rsidP="005F274C">
      <w:pPr>
        <w:pStyle w:val="Paragraph"/>
      </w:pPr>
      <w:r>
        <w:t>Option 1 – Status Quo (base case)</w:t>
      </w:r>
    </w:p>
    <w:p w14:paraId="525C8D73" w14:textId="77777777" w:rsidR="005F274C" w:rsidRDefault="005F274C" w:rsidP="005F274C">
      <w:pPr>
        <w:pStyle w:val="Paragraph"/>
      </w:pPr>
      <w:r>
        <w:t>Option 2 – Direct regulation (industry standard)</w:t>
      </w:r>
    </w:p>
    <w:p w14:paraId="43AB55A9" w14:textId="77777777" w:rsidR="00B35828" w:rsidRDefault="00B35828" w:rsidP="00B35828">
      <w:pPr>
        <w:pStyle w:val="Paragraph"/>
      </w:pPr>
      <w:r w:rsidRPr="00A42D02">
        <w:t>Option 3 – Direct regulation (amend the Emergency Call Service Determination)</w:t>
      </w:r>
    </w:p>
    <w:p w14:paraId="1F0208EA" w14:textId="77777777" w:rsidR="00B35828" w:rsidRDefault="00B35828" w:rsidP="00B35828">
      <w:pPr>
        <w:pStyle w:val="Paragraph"/>
      </w:pPr>
      <w:r w:rsidRPr="00A42D02">
        <w:t>Option 4 – Co-regulation (Industry Code)</w:t>
      </w:r>
    </w:p>
    <w:p w14:paraId="6830A7BE" w14:textId="77777777" w:rsidR="00B35828" w:rsidRDefault="00B35828" w:rsidP="00B35828">
      <w:pPr>
        <w:pStyle w:val="Heading3"/>
      </w:pPr>
      <w:bookmarkStart w:id="19" w:name="_Toc181713890"/>
      <w:r>
        <w:t>Option 2</w:t>
      </w:r>
      <w:bookmarkEnd w:id="19"/>
    </w:p>
    <w:p w14:paraId="2DA02461" w14:textId="1998DBD2" w:rsidR="00B35828" w:rsidRDefault="00B35828" w:rsidP="00B35828">
      <w:pPr>
        <w:pStyle w:val="Paragraph"/>
      </w:pPr>
      <w:r>
        <w:t xml:space="preserve">Option 2 is the implementation of the direction made by the Minister. The code would impose establishment and ongoing costs on the ACMA, and on both </w:t>
      </w:r>
      <w:r w:rsidR="00ED6EA2">
        <w:t>Carriers</w:t>
      </w:r>
      <w:r>
        <w:t xml:space="preserve"> and Carriage Service Providers.</w:t>
      </w:r>
    </w:p>
    <w:p w14:paraId="73A0567B" w14:textId="77777777" w:rsidR="00B35828" w:rsidRDefault="00B35828" w:rsidP="00B35828">
      <w:pPr>
        <w:pStyle w:val="Heading3"/>
      </w:pPr>
      <w:bookmarkStart w:id="20" w:name="_Toc181713891"/>
      <w:r>
        <w:t>Option 3</w:t>
      </w:r>
      <w:bookmarkEnd w:id="20"/>
    </w:p>
    <w:p w14:paraId="6922A431" w14:textId="64D276D9" w:rsidR="00B35828" w:rsidRDefault="00B35828" w:rsidP="00B35828">
      <w:pPr>
        <w:pStyle w:val="Paragraph"/>
      </w:pPr>
      <w:r>
        <w:t xml:space="preserve">Option 3 is similar to Option 2 in that it relates to direct regulation but focuses on the Emergency Call Service Determination (ECSD). As described in the previous section, this determination only relates to outages that affect </w:t>
      </w:r>
      <w:r w:rsidRPr="00322F42">
        <w:rPr>
          <w:szCs w:val="22"/>
        </w:rPr>
        <w:t>emergency calls over telecommunications networks</w:t>
      </w:r>
      <w:r>
        <w:t xml:space="preserve">. </w:t>
      </w:r>
    </w:p>
    <w:p w14:paraId="7101E136" w14:textId="79264C1A" w:rsidR="00B35828" w:rsidRDefault="00B35828" w:rsidP="00B35828">
      <w:pPr>
        <w:pStyle w:val="Paragraph"/>
      </w:pPr>
      <w:r>
        <w:t>Following consultation with stakeholders, the ACMA considers that this option would have similar establishment costs to Option 2 but would have lower benefits. The lower benefits would arise from outages that impact data networks being excluded from the determination.</w:t>
      </w:r>
    </w:p>
    <w:p w14:paraId="7029C6A8" w14:textId="77777777" w:rsidR="00B35828" w:rsidRDefault="00B35828" w:rsidP="00B35828">
      <w:pPr>
        <w:rPr>
          <w:sz w:val="22"/>
          <w:szCs w:val="22"/>
        </w:rPr>
      </w:pPr>
      <w:r w:rsidRPr="00322F42">
        <w:rPr>
          <w:sz w:val="22"/>
          <w:szCs w:val="22"/>
        </w:rPr>
        <w:t>An amended ECSD could include substantially similar requirements as an Industry Standard. We note that, in accordance with section 147 of the TCPSS Act, requirements in the ECSD could only apply to outages that adversely affect the carriage of emergency calls over telecommunications networks. However, in practice this would capture almost all outages.</w:t>
      </w:r>
      <w:r>
        <w:rPr>
          <w:sz w:val="22"/>
          <w:szCs w:val="22"/>
        </w:rPr>
        <w:t xml:space="preserve"> </w:t>
      </w:r>
    </w:p>
    <w:p w14:paraId="0DB7068F" w14:textId="77777777" w:rsidR="00B35828" w:rsidRPr="00322F42" w:rsidRDefault="00B35828" w:rsidP="00B35828">
      <w:pPr>
        <w:rPr>
          <w:sz w:val="22"/>
          <w:szCs w:val="22"/>
        </w:rPr>
      </w:pPr>
      <w:r>
        <w:rPr>
          <w:sz w:val="22"/>
          <w:szCs w:val="22"/>
        </w:rPr>
        <w:t>In comparison, an Industry Standard under section 125AA of the Act is less limited in scope because it is able to deal broadly with matters relating to telecommunications activities.</w:t>
      </w:r>
    </w:p>
    <w:p w14:paraId="4183423D" w14:textId="77777777" w:rsidR="00B35828" w:rsidRDefault="00B35828" w:rsidP="00B35828">
      <w:pPr>
        <w:pStyle w:val="Heading3"/>
      </w:pPr>
      <w:bookmarkStart w:id="21" w:name="_Toc181713892"/>
      <w:r>
        <w:t>Option 4</w:t>
      </w:r>
      <w:bookmarkEnd w:id="21"/>
    </w:p>
    <w:p w14:paraId="6390F107" w14:textId="1835B4C6" w:rsidR="00B35828" w:rsidRDefault="00B35828" w:rsidP="00B35828">
      <w:pPr>
        <w:pStyle w:val="Paragraph"/>
      </w:pPr>
      <w:r>
        <w:t xml:space="preserve">As noted in the previous section, under Option 4, the </w:t>
      </w:r>
      <w:r w:rsidRPr="00092AD6">
        <w:t xml:space="preserve">ACMA </w:t>
      </w:r>
      <w:r>
        <w:t xml:space="preserve">would </w:t>
      </w:r>
      <w:r w:rsidRPr="00092AD6">
        <w:t xml:space="preserve">request </w:t>
      </w:r>
      <w:r>
        <w:t xml:space="preserve">the </w:t>
      </w:r>
      <w:r w:rsidRPr="00092AD6">
        <w:t>Communications Alliance to develop a code that places obligations on carriers and CSPs in relation to customer communications during major outages</w:t>
      </w:r>
      <w:r>
        <w:t xml:space="preserve">. Through this process the code would be developed by industry players, with Government only providing an advisory role during its development. Once a code is agreed by industry and proposed, the ACMA may choose not to </w:t>
      </w:r>
      <w:r w:rsidR="005E10A4">
        <w:t xml:space="preserve">register </w:t>
      </w:r>
      <w:r>
        <w:t>it.</w:t>
      </w:r>
    </w:p>
    <w:p w14:paraId="0CA26167" w14:textId="77777777" w:rsidR="00601C07" w:rsidRDefault="00601C07" w:rsidP="00B35828">
      <w:pPr>
        <w:pStyle w:val="Paragraph"/>
      </w:pPr>
    </w:p>
    <w:p w14:paraId="14508B84" w14:textId="77777777" w:rsidR="00390F3D" w:rsidRDefault="00390F3D" w:rsidP="00390F3D">
      <w:pPr>
        <w:pStyle w:val="Paragraph"/>
      </w:pPr>
      <w:r>
        <w:lastRenderedPageBreak/>
        <w:t>This process has several implications:</w:t>
      </w:r>
    </w:p>
    <w:p w14:paraId="710514CD" w14:textId="77777777" w:rsidR="00390F3D" w:rsidRDefault="00390F3D" w:rsidP="00390F3D">
      <w:pPr>
        <w:pStyle w:val="Bulletlevel1"/>
      </w:pPr>
      <w:r>
        <w:t>The timeframe for developing the code would be significantly longer than implementing the direction made by the Minister. The timeframe for developing the code is estimated to be around six to twelve months.</w:t>
      </w:r>
    </w:p>
    <w:p w14:paraId="6AFBF21C" w14:textId="77777777" w:rsidR="00390F3D" w:rsidRDefault="00390F3D" w:rsidP="00390F3D">
      <w:pPr>
        <w:pStyle w:val="Bulletlevel1"/>
      </w:pPr>
      <w:r>
        <w:t xml:space="preserve">Option 4 would involve higher development costs, as it would involve extensive negotiation between industry participants. </w:t>
      </w:r>
    </w:p>
    <w:p w14:paraId="5E83FCE7" w14:textId="42307ACD" w:rsidR="00390F3D" w:rsidRDefault="00390F3D" w:rsidP="00390F3D">
      <w:pPr>
        <w:pStyle w:val="Bulletlevel1"/>
      </w:pPr>
      <w:r>
        <w:t xml:space="preserve">The final implementation approach for option 4 is largely unknown. It may be cheaper to </w:t>
      </w:r>
      <w:r w:rsidR="00D534F3">
        <w:t>implement but</w:t>
      </w:r>
      <w:r>
        <w:t xml:space="preserve"> may not be effective in addressing the policy problem.  </w:t>
      </w:r>
    </w:p>
    <w:p w14:paraId="088A16F1" w14:textId="77777777" w:rsidR="00390F3D" w:rsidRDefault="00390F3D" w:rsidP="00390F3D">
      <w:pPr>
        <w:pStyle w:val="Bulletlevel1"/>
      </w:pPr>
      <w:r>
        <w:t>There is also a realistic chance that industry would propose a code that the Government does not consider is sufficient, and so does not endorse.</w:t>
      </w:r>
    </w:p>
    <w:p w14:paraId="4D1F9E34" w14:textId="4BE25922" w:rsidR="00390F3D" w:rsidRDefault="00390F3D" w:rsidP="00390F3D">
      <w:pPr>
        <w:pStyle w:val="Paragraph"/>
      </w:pPr>
      <w:r>
        <w:t xml:space="preserve">It is important to note that there are existing </w:t>
      </w:r>
      <w:r w:rsidRPr="00917EF1">
        <w:t>protocols and guidelines</w:t>
      </w:r>
      <w:r>
        <w:t>,</w:t>
      </w:r>
      <w:r w:rsidRPr="00917EF1">
        <w:t xml:space="preserve"> developed by industry</w:t>
      </w:r>
      <w:r>
        <w:t>,</w:t>
      </w:r>
      <w:r w:rsidRPr="00917EF1">
        <w:t xml:space="preserve"> that </w:t>
      </w:r>
      <w:r>
        <w:t>frame</w:t>
      </w:r>
      <w:r w:rsidRPr="00917EF1">
        <w:t xml:space="preserve"> how telecommunications providers should communicate with stakeholders in the event of a major outage</w:t>
      </w:r>
      <w:r>
        <w:t>. However, the Departmental Review found these industry</w:t>
      </w:r>
      <w:r w:rsidR="00601C07">
        <w:t>-</w:t>
      </w:r>
      <w:r>
        <w:t>led arrangements were ineffective during the Optus outage.  For this reason, the ACMA considers that industry co-regulation has been attempted and has proven ineffective.</w:t>
      </w:r>
    </w:p>
    <w:p w14:paraId="5105124C" w14:textId="77777777" w:rsidR="00390F3D" w:rsidRDefault="00390F3D" w:rsidP="00390F3D">
      <w:pPr>
        <w:pStyle w:val="Heading3"/>
      </w:pPr>
      <w:bookmarkStart w:id="22" w:name="_Toc181713893"/>
      <w:r>
        <w:t>Summary of options considered qualitatively</w:t>
      </w:r>
      <w:bookmarkEnd w:id="22"/>
    </w:p>
    <w:p w14:paraId="4A9BCC8B" w14:textId="2BBDCC3A" w:rsidR="00390F3D" w:rsidRDefault="00390F3D" w:rsidP="00390F3D">
      <w:pPr>
        <w:pStyle w:val="Paragraph"/>
      </w:pPr>
      <w:r>
        <w:t>The points made above are summarised in Table 1 below.  A comparison of Options 2, 3 and 4 highlights that the costs are anticipated to be similar between these options, while the benefits are expected to be lower for Options 3 and 4 compared to Option 2. In addition, Option 3 does not fully address the policy problem identified, while Option 4 risks not addressing the problem</w:t>
      </w:r>
      <w:r w:rsidR="00737680">
        <w:t xml:space="preserve"> (depending on the </w:t>
      </w:r>
      <w:r w:rsidR="00D17779">
        <w:t>effectiveness of the proposed industry code)</w:t>
      </w:r>
      <w:r>
        <w:t>. Further, Option 4 would delay the implementation of any reforms while the code is being developed.</w:t>
      </w:r>
    </w:p>
    <w:p w14:paraId="518D55A0" w14:textId="77777777" w:rsidR="0057414D" w:rsidRPr="00B55BF4" w:rsidRDefault="0057414D" w:rsidP="0057414D">
      <w:pPr>
        <w:pStyle w:val="Tableheading"/>
      </w:pPr>
      <w:r>
        <w:t>Summary comparison of the costs and benefits of each reform option against option 2</w:t>
      </w:r>
    </w:p>
    <w:tbl>
      <w:tblPr>
        <w:tblStyle w:val="ACMAtablestyle"/>
        <w:tblW w:w="9634" w:type="dxa"/>
        <w:tblLook w:val="04A0" w:firstRow="1" w:lastRow="0" w:firstColumn="1" w:lastColumn="0" w:noHBand="0" w:noVBand="1"/>
      </w:tblPr>
      <w:tblGrid>
        <w:gridCol w:w="865"/>
        <w:gridCol w:w="2107"/>
        <w:gridCol w:w="2220"/>
        <w:gridCol w:w="2221"/>
        <w:gridCol w:w="2221"/>
      </w:tblGrid>
      <w:tr w:rsidR="002C0ED9" w:rsidRPr="00112FFA" w14:paraId="1A848196" w14:textId="77777777" w:rsidTr="004E0D3E">
        <w:trPr>
          <w:cnfStyle w:val="100000000000" w:firstRow="1" w:lastRow="0" w:firstColumn="0" w:lastColumn="0" w:oddVBand="0" w:evenVBand="0" w:oddHBand="0" w:evenHBand="0" w:firstRowFirstColumn="0" w:firstRowLastColumn="0" w:lastRowFirstColumn="0" w:lastRowLastColumn="0"/>
        </w:trPr>
        <w:tc>
          <w:tcPr>
            <w:tcW w:w="865" w:type="dxa"/>
          </w:tcPr>
          <w:p w14:paraId="1B9F5994" w14:textId="77777777" w:rsidR="002C0ED9" w:rsidRPr="00112FFA" w:rsidRDefault="002C0ED9" w:rsidP="004E0D3E">
            <w:pPr>
              <w:pStyle w:val="Tableheaderrow"/>
            </w:pPr>
            <w:r w:rsidRPr="00112FFA">
              <w:t xml:space="preserve">Option </w:t>
            </w:r>
          </w:p>
        </w:tc>
        <w:tc>
          <w:tcPr>
            <w:tcW w:w="2107" w:type="dxa"/>
          </w:tcPr>
          <w:p w14:paraId="4B3C3DCF" w14:textId="77777777" w:rsidR="002C0ED9" w:rsidRPr="00112FFA" w:rsidRDefault="002C0ED9" w:rsidP="004E0D3E">
            <w:pPr>
              <w:pStyle w:val="Tableheaderrow"/>
            </w:pPr>
            <w:r w:rsidRPr="00112FFA">
              <w:t>Description</w:t>
            </w:r>
          </w:p>
        </w:tc>
        <w:tc>
          <w:tcPr>
            <w:tcW w:w="2220" w:type="dxa"/>
          </w:tcPr>
          <w:p w14:paraId="611C0D22" w14:textId="77777777" w:rsidR="002C0ED9" w:rsidRPr="00112FFA" w:rsidRDefault="002C0ED9" w:rsidP="004E0D3E">
            <w:pPr>
              <w:pStyle w:val="Tableheaderrow"/>
            </w:pPr>
            <w:r w:rsidRPr="00112FFA">
              <w:t xml:space="preserve">Costs </w:t>
            </w:r>
          </w:p>
        </w:tc>
        <w:tc>
          <w:tcPr>
            <w:tcW w:w="2221" w:type="dxa"/>
          </w:tcPr>
          <w:p w14:paraId="0C30B084" w14:textId="77777777" w:rsidR="002C0ED9" w:rsidRPr="00112FFA" w:rsidRDefault="002C0ED9" w:rsidP="004E0D3E">
            <w:pPr>
              <w:pStyle w:val="Tableheaderrow"/>
            </w:pPr>
            <w:r w:rsidRPr="00112FFA">
              <w:t>Benefits</w:t>
            </w:r>
          </w:p>
        </w:tc>
        <w:tc>
          <w:tcPr>
            <w:tcW w:w="2221" w:type="dxa"/>
          </w:tcPr>
          <w:p w14:paraId="42F05F4A" w14:textId="77777777" w:rsidR="002C0ED9" w:rsidRPr="00112FFA" w:rsidRDefault="002C0ED9" w:rsidP="004E0D3E">
            <w:pPr>
              <w:pStyle w:val="Tableheaderrow"/>
            </w:pPr>
            <w:r>
              <w:t xml:space="preserve">Comment </w:t>
            </w:r>
          </w:p>
        </w:tc>
      </w:tr>
      <w:tr w:rsidR="008C7B3B" w:rsidRPr="00112FFA" w14:paraId="219B4CF8" w14:textId="77777777" w:rsidTr="00CD29B2">
        <w:trPr>
          <w:cnfStyle w:val="000000100000" w:firstRow="0" w:lastRow="0" w:firstColumn="0" w:lastColumn="0" w:oddVBand="0" w:evenVBand="0" w:oddHBand="1" w:evenHBand="0" w:firstRowFirstColumn="0" w:firstRowLastColumn="0" w:lastRowFirstColumn="0" w:lastRowLastColumn="0"/>
        </w:trPr>
        <w:tc>
          <w:tcPr>
            <w:tcW w:w="865" w:type="dxa"/>
          </w:tcPr>
          <w:p w14:paraId="686C19F4" w14:textId="77777777" w:rsidR="008C7B3B" w:rsidRPr="00112FFA" w:rsidRDefault="008C7B3B" w:rsidP="004E0D3E">
            <w:pPr>
              <w:pStyle w:val="TableBody"/>
            </w:pPr>
            <w:r w:rsidRPr="00112FFA">
              <w:t>1</w:t>
            </w:r>
          </w:p>
        </w:tc>
        <w:tc>
          <w:tcPr>
            <w:tcW w:w="2107" w:type="dxa"/>
          </w:tcPr>
          <w:p w14:paraId="162C83E7" w14:textId="77777777" w:rsidR="008C7B3B" w:rsidRPr="00112FFA" w:rsidRDefault="008C7B3B" w:rsidP="004E0D3E">
            <w:pPr>
              <w:pStyle w:val="TableBody"/>
            </w:pPr>
            <w:r w:rsidRPr="00112FFA">
              <w:t>Status Quo (base case)</w:t>
            </w:r>
          </w:p>
        </w:tc>
        <w:tc>
          <w:tcPr>
            <w:tcW w:w="2220" w:type="dxa"/>
          </w:tcPr>
          <w:p w14:paraId="35F5C71D" w14:textId="77777777" w:rsidR="008C7B3B" w:rsidRPr="00112FFA" w:rsidRDefault="008C7B3B" w:rsidP="004E0D3E">
            <w:pPr>
              <w:pStyle w:val="TableBody"/>
            </w:pPr>
            <w:r>
              <w:t>Reference case – so costs and benefits are $0</w:t>
            </w:r>
          </w:p>
        </w:tc>
        <w:tc>
          <w:tcPr>
            <w:tcW w:w="2221" w:type="dxa"/>
          </w:tcPr>
          <w:p w14:paraId="44CCFBBA" w14:textId="717E32A2" w:rsidR="008C7B3B" w:rsidRPr="00112FFA" w:rsidRDefault="008C7B3B" w:rsidP="004E0D3E">
            <w:pPr>
              <w:pStyle w:val="TableBody"/>
            </w:pPr>
            <w:r>
              <w:t>Reference case – so costs and benefits are $0</w:t>
            </w:r>
          </w:p>
        </w:tc>
        <w:tc>
          <w:tcPr>
            <w:tcW w:w="2221" w:type="dxa"/>
          </w:tcPr>
          <w:p w14:paraId="06E1DB00" w14:textId="77777777" w:rsidR="008C7B3B" w:rsidRPr="00112FFA" w:rsidRDefault="008C7B3B" w:rsidP="004E0D3E">
            <w:pPr>
              <w:pStyle w:val="TableBody"/>
            </w:pPr>
          </w:p>
        </w:tc>
      </w:tr>
      <w:tr w:rsidR="002C0ED9" w:rsidRPr="00112FFA" w14:paraId="2ABABBC9" w14:textId="77777777" w:rsidTr="004E0D3E">
        <w:trPr>
          <w:cnfStyle w:val="000000010000" w:firstRow="0" w:lastRow="0" w:firstColumn="0" w:lastColumn="0" w:oddVBand="0" w:evenVBand="0" w:oddHBand="0" w:evenHBand="1" w:firstRowFirstColumn="0" w:firstRowLastColumn="0" w:lastRowFirstColumn="0" w:lastRowLastColumn="0"/>
        </w:trPr>
        <w:tc>
          <w:tcPr>
            <w:tcW w:w="865" w:type="dxa"/>
          </w:tcPr>
          <w:p w14:paraId="5DE481E3" w14:textId="77777777" w:rsidR="002C0ED9" w:rsidRPr="00112FFA" w:rsidRDefault="002C0ED9" w:rsidP="004E0D3E">
            <w:pPr>
              <w:pStyle w:val="TableBody"/>
            </w:pPr>
            <w:r w:rsidRPr="00112FFA">
              <w:t>2</w:t>
            </w:r>
          </w:p>
        </w:tc>
        <w:tc>
          <w:tcPr>
            <w:tcW w:w="2107" w:type="dxa"/>
          </w:tcPr>
          <w:p w14:paraId="2257B95C" w14:textId="77777777" w:rsidR="002C0ED9" w:rsidRPr="00112FFA" w:rsidRDefault="002C0ED9" w:rsidP="004E0D3E">
            <w:pPr>
              <w:pStyle w:val="TableBody"/>
            </w:pPr>
            <w:r w:rsidRPr="00112FFA">
              <w:t>Direct regulation (industry standard)</w:t>
            </w:r>
          </w:p>
        </w:tc>
        <w:tc>
          <w:tcPr>
            <w:tcW w:w="2220" w:type="dxa"/>
          </w:tcPr>
          <w:p w14:paraId="1A6EB45F" w14:textId="77777777" w:rsidR="002C0ED9" w:rsidRPr="00112FFA" w:rsidRDefault="002C0ED9" w:rsidP="004E0D3E">
            <w:pPr>
              <w:pStyle w:val="TableBody"/>
            </w:pPr>
            <w:r>
              <w:t>Costs are considered in detail below</w:t>
            </w:r>
          </w:p>
        </w:tc>
        <w:tc>
          <w:tcPr>
            <w:tcW w:w="2221" w:type="dxa"/>
          </w:tcPr>
          <w:p w14:paraId="240A71F6" w14:textId="77777777" w:rsidR="002C0ED9" w:rsidRPr="00112FFA" w:rsidRDefault="002C0ED9" w:rsidP="004E0D3E">
            <w:pPr>
              <w:pStyle w:val="TableBody"/>
            </w:pPr>
            <w:r>
              <w:t>Benefits are considered in detail below</w:t>
            </w:r>
          </w:p>
        </w:tc>
        <w:tc>
          <w:tcPr>
            <w:tcW w:w="2221" w:type="dxa"/>
          </w:tcPr>
          <w:p w14:paraId="3FC2AEDA" w14:textId="77777777" w:rsidR="002C0ED9" w:rsidRPr="00112FFA" w:rsidRDefault="002C0ED9" w:rsidP="004E0D3E">
            <w:pPr>
              <w:pStyle w:val="TableBody"/>
            </w:pPr>
          </w:p>
        </w:tc>
      </w:tr>
      <w:tr w:rsidR="002C0ED9" w:rsidRPr="00112FFA" w14:paraId="36831DAC" w14:textId="77777777" w:rsidTr="004E0D3E">
        <w:trPr>
          <w:cnfStyle w:val="000000100000" w:firstRow="0" w:lastRow="0" w:firstColumn="0" w:lastColumn="0" w:oddVBand="0" w:evenVBand="0" w:oddHBand="1" w:evenHBand="0" w:firstRowFirstColumn="0" w:firstRowLastColumn="0" w:lastRowFirstColumn="0" w:lastRowLastColumn="0"/>
        </w:trPr>
        <w:tc>
          <w:tcPr>
            <w:tcW w:w="865" w:type="dxa"/>
          </w:tcPr>
          <w:p w14:paraId="58C2D8A6" w14:textId="77777777" w:rsidR="002C0ED9" w:rsidRPr="00112FFA" w:rsidRDefault="002C0ED9" w:rsidP="004E0D3E">
            <w:pPr>
              <w:pStyle w:val="TableBody"/>
            </w:pPr>
            <w:r w:rsidRPr="00112FFA">
              <w:t>3</w:t>
            </w:r>
          </w:p>
        </w:tc>
        <w:tc>
          <w:tcPr>
            <w:tcW w:w="2107" w:type="dxa"/>
          </w:tcPr>
          <w:p w14:paraId="45FE2ED9" w14:textId="77777777" w:rsidR="002C0ED9" w:rsidRPr="00112FFA" w:rsidRDefault="002C0ED9" w:rsidP="004E0D3E">
            <w:pPr>
              <w:pStyle w:val="TableBody"/>
            </w:pPr>
            <w:r w:rsidRPr="00112FFA">
              <w:t>Direct regulation (amend the Emergency Call Service Determination)</w:t>
            </w:r>
          </w:p>
        </w:tc>
        <w:tc>
          <w:tcPr>
            <w:tcW w:w="2220" w:type="dxa"/>
          </w:tcPr>
          <w:p w14:paraId="43580CCE" w14:textId="77777777" w:rsidR="002C0ED9" w:rsidRPr="00112FFA" w:rsidRDefault="002C0ED9" w:rsidP="004E0D3E">
            <w:pPr>
              <w:pStyle w:val="TableBody"/>
            </w:pPr>
            <w:r>
              <w:t>Costs are anticipated to be similar to Option 2</w:t>
            </w:r>
          </w:p>
        </w:tc>
        <w:tc>
          <w:tcPr>
            <w:tcW w:w="2221" w:type="dxa"/>
          </w:tcPr>
          <w:p w14:paraId="23F009BD" w14:textId="77777777" w:rsidR="002C0ED9" w:rsidRPr="00112FFA" w:rsidRDefault="002C0ED9" w:rsidP="004E0D3E">
            <w:pPr>
              <w:pStyle w:val="TableBody"/>
            </w:pPr>
            <w:r>
              <w:t>Benefits would be lower than Option 2, as it would not affect data outages.</w:t>
            </w:r>
          </w:p>
        </w:tc>
        <w:tc>
          <w:tcPr>
            <w:tcW w:w="2221" w:type="dxa"/>
          </w:tcPr>
          <w:p w14:paraId="4AB25567" w14:textId="77777777" w:rsidR="002C0ED9" w:rsidRPr="00112FFA" w:rsidRDefault="002C0ED9" w:rsidP="004E0D3E">
            <w:pPr>
              <w:pStyle w:val="TableBody"/>
            </w:pPr>
            <w:r>
              <w:t>Does not fully address the policy problem, as it would not impact data outages.</w:t>
            </w:r>
          </w:p>
        </w:tc>
      </w:tr>
      <w:tr w:rsidR="002C0ED9" w:rsidRPr="00112FFA" w14:paraId="266B5797" w14:textId="77777777" w:rsidTr="004E0D3E">
        <w:trPr>
          <w:cnfStyle w:val="000000010000" w:firstRow="0" w:lastRow="0" w:firstColumn="0" w:lastColumn="0" w:oddVBand="0" w:evenVBand="0" w:oddHBand="0" w:evenHBand="1" w:firstRowFirstColumn="0" w:firstRowLastColumn="0" w:lastRowFirstColumn="0" w:lastRowLastColumn="0"/>
        </w:trPr>
        <w:tc>
          <w:tcPr>
            <w:tcW w:w="865" w:type="dxa"/>
          </w:tcPr>
          <w:p w14:paraId="5F160D60" w14:textId="77777777" w:rsidR="002C0ED9" w:rsidRPr="00112FFA" w:rsidRDefault="002C0ED9" w:rsidP="004E0D3E">
            <w:pPr>
              <w:pStyle w:val="TableBody"/>
            </w:pPr>
            <w:r w:rsidRPr="00112FFA">
              <w:t>4</w:t>
            </w:r>
          </w:p>
        </w:tc>
        <w:tc>
          <w:tcPr>
            <w:tcW w:w="2107" w:type="dxa"/>
          </w:tcPr>
          <w:p w14:paraId="6C0BF70F" w14:textId="77777777" w:rsidR="002C0ED9" w:rsidRPr="00112FFA" w:rsidRDefault="002C0ED9" w:rsidP="004E0D3E">
            <w:pPr>
              <w:pStyle w:val="TableBody"/>
            </w:pPr>
            <w:r w:rsidRPr="00112FFA">
              <w:t>Co-regulation (Industry Code)</w:t>
            </w:r>
          </w:p>
        </w:tc>
        <w:tc>
          <w:tcPr>
            <w:tcW w:w="2220" w:type="dxa"/>
          </w:tcPr>
          <w:p w14:paraId="2211FCD4" w14:textId="77777777" w:rsidR="002C0ED9" w:rsidRDefault="002C0ED9" w:rsidP="004E0D3E">
            <w:pPr>
              <w:pStyle w:val="TableBody"/>
            </w:pPr>
            <w:r>
              <w:t>Higher development costs.</w:t>
            </w:r>
          </w:p>
          <w:p w14:paraId="271D0697" w14:textId="77777777" w:rsidR="002C0ED9" w:rsidRDefault="002C0ED9" w:rsidP="004E0D3E">
            <w:pPr>
              <w:pStyle w:val="TableBody"/>
            </w:pPr>
          </w:p>
          <w:p w14:paraId="1F92A3D4" w14:textId="77777777" w:rsidR="002C0ED9" w:rsidRPr="00112FFA" w:rsidRDefault="002C0ED9" w:rsidP="004E0D3E">
            <w:pPr>
              <w:pStyle w:val="TableBody"/>
            </w:pPr>
            <w:r>
              <w:t>Implementation costs are unknown, but if the code is effective, then it is likely the substantive compliance costs would be similar to Option 2.</w:t>
            </w:r>
          </w:p>
        </w:tc>
        <w:tc>
          <w:tcPr>
            <w:tcW w:w="2221" w:type="dxa"/>
          </w:tcPr>
          <w:p w14:paraId="57A3AEBE" w14:textId="77777777" w:rsidR="002C0ED9" w:rsidRDefault="002C0ED9" w:rsidP="004E0D3E">
            <w:pPr>
              <w:pStyle w:val="TableBody"/>
            </w:pPr>
            <w:r>
              <w:t xml:space="preserve">If the </w:t>
            </w:r>
            <w:r w:rsidRPr="00112FFA">
              <w:t>Co-regulation</w:t>
            </w:r>
            <w:r>
              <w:t xml:space="preserve"> were fully effective, then the benefits would be similar to Option 2.</w:t>
            </w:r>
          </w:p>
          <w:p w14:paraId="3D7387BD" w14:textId="77777777" w:rsidR="002C0ED9" w:rsidRDefault="002C0ED9" w:rsidP="004E0D3E">
            <w:pPr>
              <w:pStyle w:val="TableBody"/>
            </w:pPr>
          </w:p>
          <w:p w14:paraId="142B39E6" w14:textId="77777777" w:rsidR="002C0ED9" w:rsidRPr="00112FFA" w:rsidRDefault="002C0ED9" w:rsidP="004E0D3E">
            <w:pPr>
              <w:pStyle w:val="TableBody"/>
            </w:pPr>
            <w:r>
              <w:t>Risk that the code proposed by industry does not address the policy problem – so the benefits are reduced.</w:t>
            </w:r>
          </w:p>
        </w:tc>
        <w:tc>
          <w:tcPr>
            <w:tcW w:w="2221" w:type="dxa"/>
          </w:tcPr>
          <w:p w14:paraId="5958F708" w14:textId="77777777" w:rsidR="002C0ED9" w:rsidRDefault="002C0ED9" w:rsidP="004E0D3E">
            <w:pPr>
              <w:pStyle w:val="TableBody"/>
            </w:pPr>
            <w:r>
              <w:t>Would delay the implementation of any changes.</w:t>
            </w:r>
          </w:p>
          <w:p w14:paraId="4509DCE0" w14:textId="77777777" w:rsidR="002C0ED9" w:rsidRPr="00112FFA" w:rsidRDefault="002C0ED9" w:rsidP="004E0D3E">
            <w:pPr>
              <w:pStyle w:val="TableBody"/>
            </w:pPr>
          </w:p>
        </w:tc>
      </w:tr>
    </w:tbl>
    <w:p w14:paraId="7B71C153" w14:textId="77777777" w:rsidR="00892DCB" w:rsidRDefault="00892DCB" w:rsidP="00892DCB">
      <w:pPr>
        <w:pStyle w:val="Heading2"/>
      </w:pPr>
      <w:bookmarkStart w:id="23" w:name="_Toc180405665"/>
      <w:bookmarkStart w:id="24" w:name="_Toc181713894"/>
      <w:r>
        <w:lastRenderedPageBreak/>
        <w:t>Options considered quantitatively</w:t>
      </w:r>
      <w:bookmarkEnd w:id="23"/>
      <w:bookmarkEnd w:id="24"/>
    </w:p>
    <w:p w14:paraId="56128C3B" w14:textId="77777777" w:rsidR="00892DCB" w:rsidRDefault="00892DCB" w:rsidP="00892DCB">
      <w:pPr>
        <w:pStyle w:val="Paragraph"/>
      </w:pPr>
      <w:r>
        <w:t>As discussed above, Option 2 is considered quantitatively against Option 1 (the base case).</w:t>
      </w:r>
    </w:p>
    <w:p w14:paraId="209A8FAC" w14:textId="77777777" w:rsidR="00892DCB" w:rsidRDefault="00892DCB" w:rsidP="00892DCB">
      <w:pPr>
        <w:pStyle w:val="Paragraph"/>
      </w:pPr>
      <w:r>
        <w:t>Option 1 – Status Quo (base case)</w:t>
      </w:r>
    </w:p>
    <w:p w14:paraId="648683F6" w14:textId="77777777" w:rsidR="00892DCB" w:rsidRDefault="00892DCB" w:rsidP="00892DCB">
      <w:pPr>
        <w:pStyle w:val="Paragraph"/>
      </w:pPr>
      <w:r>
        <w:t>Option 2 – Direct regulation (industry standard)</w:t>
      </w:r>
    </w:p>
    <w:p w14:paraId="17816357" w14:textId="77777777" w:rsidR="00892DCB" w:rsidRDefault="00892DCB" w:rsidP="00892DCB">
      <w:pPr>
        <w:pStyle w:val="Paragraphbeforelist"/>
      </w:pPr>
      <w:r>
        <w:t xml:space="preserve">The other reform options (Option 3 and Option 4) are not considered quantitatively as they are considered to be less suitable for the reasons set out above. </w:t>
      </w:r>
    </w:p>
    <w:p w14:paraId="59CCB474" w14:textId="77777777" w:rsidR="00892DCB" w:rsidRDefault="00892DCB" w:rsidP="00892DCB">
      <w:pPr>
        <w:rPr>
          <w:rFonts w:eastAsia="Arial" w:cs="Arial"/>
          <w:sz w:val="22"/>
          <w:szCs w:val="22"/>
        </w:rPr>
      </w:pPr>
      <w:r w:rsidRPr="58F67273">
        <w:rPr>
          <w:rFonts w:eastAsia="Arial" w:cs="Arial"/>
          <w:sz w:val="22"/>
          <w:szCs w:val="22"/>
        </w:rPr>
        <w:t xml:space="preserve">By assessing the quantifiable costs and </w:t>
      </w:r>
      <w:r w:rsidRPr="007C0D90">
        <w:rPr>
          <w:rFonts w:eastAsia="Arial" w:cs="Arial"/>
          <w:sz w:val="22"/>
          <w:szCs w:val="22"/>
        </w:rPr>
        <w:t xml:space="preserve">benefits of reform Option 2 over a ten-year period, Option 2 is expected to be net beneficial. </w:t>
      </w:r>
      <w:r>
        <w:rPr>
          <w:rFonts w:eastAsia="Arial" w:cs="Arial"/>
          <w:sz w:val="22"/>
          <w:szCs w:val="22"/>
        </w:rPr>
        <w:t>As the exact value of the benefits are not able to be estimated with precision, a range within low and high bounds was identified.</w:t>
      </w:r>
    </w:p>
    <w:p w14:paraId="1D33BAA8" w14:textId="77777777" w:rsidR="00892DCB" w:rsidRPr="007C0D90" w:rsidRDefault="00892DCB" w:rsidP="00892DCB">
      <w:r w:rsidRPr="007C0D90">
        <w:rPr>
          <w:rFonts w:eastAsia="Arial" w:cs="Arial"/>
          <w:sz w:val="22"/>
          <w:szCs w:val="22"/>
        </w:rPr>
        <w:t xml:space="preserve">Table </w:t>
      </w:r>
      <w:r>
        <w:rPr>
          <w:rFonts w:eastAsia="Arial" w:cs="Arial"/>
          <w:sz w:val="22"/>
          <w:szCs w:val="22"/>
        </w:rPr>
        <w:t>2</w:t>
      </w:r>
      <w:r w:rsidRPr="007C0D90">
        <w:rPr>
          <w:rFonts w:eastAsia="Arial" w:cs="Arial"/>
          <w:sz w:val="22"/>
          <w:szCs w:val="22"/>
        </w:rPr>
        <w:t xml:space="preserve"> summarises the </w:t>
      </w:r>
      <w:r>
        <w:rPr>
          <w:rFonts w:eastAsia="Arial" w:cs="Arial"/>
          <w:sz w:val="22"/>
          <w:szCs w:val="22"/>
        </w:rPr>
        <w:t>comparison of the quantified</w:t>
      </w:r>
      <w:r w:rsidRPr="007C0D90">
        <w:rPr>
          <w:rFonts w:eastAsia="Arial" w:cs="Arial"/>
          <w:sz w:val="22"/>
          <w:szCs w:val="22"/>
        </w:rPr>
        <w:t xml:space="preserve"> costs </w:t>
      </w:r>
      <w:r>
        <w:rPr>
          <w:rFonts w:eastAsia="Arial" w:cs="Arial"/>
          <w:sz w:val="22"/>
          <w:szCs w:val="22"/>
        </w:rPr>
        <w:t xml:space="preserve">and benefits </w:t>
      </w:r>
      <w:r w:rsidRPr="007C0D90">
        <w:rPr>
          <w:rFonts w:eastAsia="Arial" w:cs="Arial"/>
          <w:sz w:val="22"/>
          <w:szCs w:val="22"/>
        </w:rPr>
        <w:t>for Option 2</w:t>
      </w:r>
      <w:r>
        <w:rPr>
          <w:rFonts w:eastAsia="Arial" w:cs="Arial"/>
          <w:sz w:val="22"/>
          <w:szCs w:val="22"/>
        </w:rPr>
        <w:t xml:space="preserve"> </w:t>
      </w:r>
      <w:r w:rsidRPr="007C0D90">
        <w:rPr>
          <w:rFonts w:eastAsia="Arial" w:cs="Arial"/>
          <w:sz w:val="22"/>
          <w:szCs w:val="22"/>
        </w:rPr>
        <w:t xml:space="preserve">relative to </w:t>
      </w:r>
      <w:r>
        <w:rPr>
          <w:rFonts w:eastAsia="Arial" w:cs="Arial"/>
          <w:sz w:val="22"/>
          <w:szCs w:val="22"/>
        </w:rPr>
        <w:t>Option 1 (</w:t>
      </w:r>
      <w:r w:rsidRPr="007C0D90">
        <w:rPr>
          <w:rFonts w:eastAsia="Arial" w:cs="Arial"/>
          <w:sz w:val="22"/>
          <w:szCs w:val="22"/>
        </w:rPr>
        <w:t>the status quo</w:t>
      </w:r>
      <w:r>
        <w:rPr>
          <w:rFonts w:eastAsia="Arial" w:cs="Arial"/>
          <w:sz w:val="22"/>
          <w:szCs w:val="22"/>
        </w:rPr>
        <w:t>)</w:t>
      </w:r>
      <w:r w:rsidRPr="007C0D90">
        <w:rPr>
          <w:rFonts w:eastAsia="Arial" w:cs="Arial"/>
          <w:sz w:val="22"/>
          <w:szCs w:val="22"/>
        </w:rPr>
        <w:t xml:space="preserve">. </w:t>
      </w:r>
    </w:p>
    <w:p w14:paraId="648C83D0" w14:textId="77777777" w:rsidR="005F274C" w:rsidRPr="007C0D90" w:rsidRDefault="00892DCB" w:rsidP="00892DCB">
      <w:pPr>
        <w:pStyle w:val="Tableheading"/>
        <w:numPr>
          <w:ilvl w:val="0"/>
          <w:numId w:val="0"/>
        </w:numPr>
        <w:ind w:left="964" w:hanging="964"/>
        <w:rPr>
          <w:rFonts w:eastAsia="Arial" w:cs="Arial"/>
          <w:b w:val="0"/>
          <w:u w:val="single"/>
          <w:vertAlign w:val="superscript"/>
        </w:rPr>
      </w:pPr>
      <w:r w:rsidRPr="007C0D90">
        <w:rPr>
          <w:rFonts w:eastAsia="Arial" w:cs="Arial"/>
        </w:rPr>
        <w:t xml:space="preserve">Table </w:t>
      </w:r>
      <w:r>
        <w:rPr>
          <w:rFonts w:eastAsia="Arial" w:cs="Arial"/>
        </w:rPr>
        <w:t>2</w:t>
      </w:r>
      <w:r w:rsidRPr="007C0D90">
        <w:rPr>
          <w:rFonts w:eastAsia="Arial" w:cs="Arial"/>
        </w:rPr>
        <w:t>: Summary of expected benefits relative to the status quo</w:t>
      </w:r>
      <w:hyperlink r:id="rId25" w:anchor="_ftn1">
        <w:r w:rsidR="005F274C" w:rsidRPr="007C0D90">
          <w:rPr>
            <w:rStyle w:val="Hyperlink"/>
            <w:rFonts w:eastAsia="Arial" w:cs="Arial"/>
            <w:color w:val="323232"/>
            <w:vertAlign w:val="superscript"/>
          </w:rPr>
          <w:t>[1]</w:t>
        </w:r>
      </w:hyperlink>
    </w:p>
    <w:tbl>
      <w:tblPr>
        <w:tblStyle w:val="TableGrid"/>
        <w:tblW w:w="0" w:type="auto"/>
        <w:tblLayout w:type="fixed"/>
        <w:tblLook w:val="04A0" w:firstRow="1" w:lastRow="0" w:firstColumn="1" w:lastColumn="0" w:noHBand="0" w:noVBand="1"/>
      </w:tblPr>
      <w:tblGrid>
        <w:gridCol w:w="4992"/>
        <w:gridCol w:w="1756"/>
      </w:tblGrid>
      <w:tr w:rsidR="00832037" w:rsidRPr="007C0D90" w14:paraId="6C3B6D42" w14:textId="77777777" w:rsidTr="004E0D3E">
        <w:trPr>
          <w:trHeight w:val="300"/>
        </w:trPr>
        <w:tc>
          <w:tcPr>
            <w:tcW w:w="4992" w:type="dxa"/>
            <w:tcBorders>
              <w:top w:val="single" w:sz="8" w:space="0" w:color="auto"/>
              <w:left w:val="single" w:sz="8" w:space="0" w:color="auto"/>
              <w:bottom w:val="single" w:sz="8" w:space="0" w:color="auto"/>
              <w:right w:val="nil"/>
            </w:tcBorders>
            <w:shd w:val="clear" w:color="auto" w:fill="404040" w:themeFill="text2" w:themeFillTint="BF"/>
            <w:tcMar>
              <w:top w:w="85" w:type="dxa"/>
              <w:left w:w="57" w:type="dxa"/>
              <w:bottom w:w="85" w:type="dxa"/>
              <w:right w:w="57" w:type="dxa"/>
            </w:tcMar>
          </w:tcPr>
          <w:p w14:paraId="1BB37251" w14:textId="77777777" w:rsidR="00832037" w:rsidRPr="007C0D90" w:rsidRDefault="00832037" w:rsidP="004E0D3E">
            <w:pPr>
              <w:spacing w:after="0"/>
            </w:pPr>
          </w:p>
        </w:tc>
        <w:tc>
          <w:tcPr>
            <w:tcW w:w="1756" w:type="dxa"/>
            <w:tcBorders>
              <w:top w:val="single" w:sz="8" w:space="0" w:color="auto"/>
              <w:left w:val="nil"/>
              <w:bottom w:val="single" w:sz="8" w:space="0" w:color="auto"/>
              <w:right w:val="single" w:sz="8" w:space="0" w:color="auto"/>
            </w:tcBorders>
            <w:shd w:val="clear" w:color="auto" w:fill="404040" w:themeFill="text2" w:themeFillTint="BF"/>
            <w:tcMar>
              <w:top w:w="85" w:type="dxa"/>
              <w:left w:w="57" w:type="dxa"/>
              <w:bottom w:w="85" w:type="dxa"/>
              <w:right w:w="57" w:type="dxa"/>
            </w:tcMar>
          </w:tcPr>
          <w:p w14:paraId="4E354240" w14:textId="77777777" w:rsidR="00832037" w:rsidRPr="002446B2" w:rsidRDefault="00832037" w:rsidP="004E0D3E">
            <w:pPr>
              <w:spacing w:after="0"/>
              <w:jc w:val="right"/>
            </w:pPr>
            <w:r w:rsidRPr="002446B2">
              <w:rPr>
                <w:rFonts w:eastAsia="Arial" w:cs="Arial"/>
                <w:color w:val="FFFFFF" w:themeColor="background2"/>
                <w:szCs w:val="20"/>
              </w:rPr>
              <w:t>Option 2</w:t>
            </w:r>
          </w:p>
        </w:tc>
      </w:tr>
      <w:tr w:rsidR="00832037" w:rsidRPr="0096049D" w14:paraId="169D40CE" w14:textId="77777777" w:rsidTr="004E0D3E">
        <w:trPr>
          <w:trHeight w:val="300"/>
        </w:trPr>
        <w:tc>
          <w:tcPr>
            <w:tcW w:w="499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3EDB7F47" w14:textId="77777777" w:rsidR="00832037" w:rsidRPr="00F428B3" w:rsidRDefault="00832037" w:rsidP="004E0D3E">
            <w:pPr>
              <w:spacing w:after="0"/>
            </w:pPr>
            <w:r w:rsidRPr="00F428B3">
              <w:rPr>
                <w:rFonts w:eastAsia="Arial" w:cs="Arial"/>
                <w:szCs w:val="20"/>
              </w:rPr>
              <w:t xml:space="preserve">Total </w:t>
            </w:r>
            <w:r>
              <w:rPr>
                <w:rFonts w:eastAsia="Arial" w:cs="Arial"/>
                <w:szCs w:val="20"/>
              </w:rPr>
              <w:t>costs</w:t>
            </w:r>
            <w:r w:rsidRPr="00F428B3">
              <w:rPr>
                <w:rFonts w:eastAsia="Arial" w:cs="Arial"/>
                <w:szCs w:val="20"/>
              </w:rPr>
              <w:t xml:space="preserve"> (NPV)</w:t>
            </w:r>
          </w:p>
        </w:tc>
        <w:tc>
          <w:tcPr>
            <w:tcW w:w="1756"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5AE9BD7" w14:textId="77777777" w:rsidR="00832037" w:rsidRPr="0096049D" w:rsidRDefault="00832037" w:rsidP="004E0D3E">
            <w:pPr>
              <w:spacing w:after="0" w:line="240" w:lineRule="auto"/>
              <w:jc w:val="right"/>
              <w:rPr>
                <w:highlight w:val="red"/>
              </w:rPr>
            </w:pPr>
            <w:r>
              <w:rPr>
                <w:rFonts w:ascii="Aptos Narrow" w:hAnsi="Aptos Narrow"/>
                <w:color w:val="000000"/>
                <w:sz w:val="22"/>
                <w:szCs w:val="22"/>
              </w:rPr>
              <w:t>$117,043,000</w:t>
            </w:r>
          </w:p>
        </w:tc>
      </w:tr>
      <w:tr w:rsidR="00832037" w:rsidRPr="0096049D" w14:paraId="7390C956" w14:textId="77777777" w:rsidTr="004E0D3E">
        <w:trPr>
          <w:trHeight w:val="300"/>
        </w:trPr>
        <w:tc>
          <w:tcPr>
            <w:tcW w:w="4992"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29CBCD12" w14:textId="77777777" w:rsidR="00832037" w:rsidRPr="00F428B3" w:rsidRDefault="00832037" w:rsidP="004E0D3E">
            <w:pPr>
              <w:spacing w:after="0"/>
              <w:rPr>
                <w:rFonts w:eastAsia="Arial" w:cs="Arial"/>
                <w:szCs w:val="20"/>
              </w:rPr>
            </w:pPr>
            <w:r>
              <w:rPr>
                <w:rFonts w:ascii="Aptos Narrow" w:hAnsi="Aptos Narrow"/>
                <w:color w:val="000000"/>
                <w:sz w:val="22"/>
                <w:szCs w:val="22"/>
              </w:rPr>
              <w:t>Low annual benefit estimate</w:t>
            </w:r>
          </w:p>
        </w:tc>
        <w:tc>
          <w:tcPr>
            <w:tcW w:w="1756"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vAlign w:val="bottom"/>
          </w:tcPr>
          <w:p w14:paraId="0A86E1CA" w14:textId="77777777" w:rsidR="00832037" w:rsidRDefault="00832037" w:rsidP="004E0D3E">
            <w:pPr>
              <w:spacing w:after="0"/>
              <w:jc w:val="right"/>
              <w:rPr>
                <w:highlight w:val="red"/>
              </w:rPr>
            </w:pPr>
            <w:r>
              <w:rPr>
                <w:rFonts w:ascii="Aptos Narrow" w:hAnsi="Aptos Narrow"/>
                <w:color w:val="000000"/>
                <w:sz w:val="22"/>
                <w:szCs w:val="22"/>
              </w:rPr>
              <w:t>$2,794,260</w:t>
            </w:r>
          </w:p>
        </w:tc>
      </w:tr>
      <w:tr w:rsidR="00832037" w:rsidRPr="007C0D90" w14:paraId="33EFDD5C" w14:textId="77777777" w:rsidTr="004E0D3E">
        <w:trPr>
          <w:trHeight w:val="300"/>
        </w:trPr>
        <w:tc>
          <w:tcPr>
            <w:tcW w:w="4992" w:type="dxa"/>
            <w:tcBorders>
              <w:top w:val="single" w:sz="8" w:space="0" w:color="auto"/>
              <w:left w:val="single" w:sz="8" w:space="0" w:color="auto"/>
              <w:bottom w:val="single" w:sz="8" w:space="0" w:color="auto"/>
              <w:right w:val="single" w:sz="8" w:space="0" w:color="auto"/>
            </w:tcBorders>
            <w:shd w:val="clear" w:color="auto" w:fill="F2F2F2" w:themeFill="background2" w:themeFillShade="F2"/>
            <w:tcMar>
              <w:top w:w="85" w:type="dxa"/>
              <w:left w:w="57" w:type="dxa"/>
              <w:bottom w:w="85" w:type="dxa"/>
              <w:right w:w="57" w:type="dxa"/>
            </w:tcMar>
            <w:vAlign w:val="bottom"/>
          </w:tcPr>
          <w:p w14:paraId="1488E8F9" w14:textId="77777777" w:rsidR="00832037" w:rsidRPr="00F428B3" w:rsidRDefault="00832037" w:rsidP="004E0D3E">
            <w:pPr>
              <w:spacing w:after="0"/>
            </w:pPr>
            <w:r>
              <w:rPr>
                <w:rFonts w:ascii="Aptos Narrow" w:hAnsi="Aptos Narrow"/>
                <w:color w:val="000000"/>
                <w:sz w:val="22"/>
                <w:szCs w:val="22"/>
              </w:rPr>
              <w:t>High annual benefit estimate</w:t>
            </w:r>
          </w:p>
        </w:tc>
        <w:tc>
          <w:tcPr>
            <w:tcW w:w="1756" w:type="dxa"/>
            <w:tcBorders>
              <w:top w:val="single" w:sz="8" w:space="0" w:color="auto"/>
              <w:left w:val="single" w:sz="8" w:space="0" w:color="auto"/>
              <w:bottom w:val="single" w:sz="8" w:space="0" w:color="auto"/>
              <w:right w:val="single" w:sz="8" w:space="0" w:color="auto"/>
            </w:tcBorders>
            <w:shd w:val="clear" w:color="auto" w:fill="F2F2F2" w:themeFill="background2" w:themeFillShade="F2"/>
            <w:tcMar>
              <w:top w:w="85" w:type="dxa"/>
              <w:left w:w="57" w:type="dxa"/>
              <w:bottom w:w="85" w:type="dxa"/>
              <w:right w:w="57" w:type="dxa"/>
            </w:tcMar>
            <w:vAlign w:val="bottom"/>
          </w:tcPr>
          <w:p w14:paraId="635E4E54" w14:textId="77777777" w:rsidR="00832037" w:rsidRPr="007C0D90" w:rsidRDefault="00832037" w:rsidP="004E0D3E">
            <w:pPr>
              <w:spacing w:after="0"/>
              <w:jc w:val="right"/>
            </w:pPr>
            <w:r>
              <w:rPr>
                <w:rFonts w:ascii="Aptos Narrow" w:hAnsi="Aptos Narrow"/>
                <w:color w:val="000000"/>
                <w:sz w:val="22"/>
                <w:szCs w:val="22"/>
              </w:rPr>
              <w:t>$54,288,480</w:t>
            </w:r>
          </w:p>
        </w:tc>
      </w:tr>
      <w:tr w:rsidR="00832037" w:rsidRPr="007C0D90" w14:paraId="625861A0" w14:textId="77777777" w:rsidTr="004E0D3E">
        <w:trPr>
          <w:trHeight w:val="300"/>
        </w:trPr>
        <w:tc>
          <w:tcPr>
            <w:tcW w:w="4992" w:type="dxa"/>
            <w:tcBorders>
              <w:top w:val="single" w:sz="8" w:space="0" w:color="auto"/>
              <w:left w:val="single" w:sz="8" w:space="0" w:color="auto"/>
              <w:bottom w:val="single" w:sz="8" w:space="0" w:color="auto"/>
              <w:right w:val="single" w:sz="8" w:space="0" w:color="auto"/>
            </w:tcBorders>
            <w:shd w:val="clear" w:color="auto" w:fill="F2F2F2" w:themeFill="background2" w:themeFillShade="F2"/>
            <w:tcMar>
              <w:top w:w="85" w:type="dxa"/>
              <w:left w:w="57" w:type="dxa"/>
              <w:bottom w:w="85" w:type="dxa"/>
              <w:right w:w="57" w:type="dxa"/>
            </w:tcMar>
          </w:tcPr>
          <w:p w14:paraId="140BDB08" w14:textId="77777777" w:rsidR="00832037" w:rsidRPr="00F428B3" w:rsidRDefault="00832037" w:rsidP="004E0D3E">
            <w:pPr>
              <w:spacing w:after="0"/>
              <w:rPr>
                <w:rFonts w:eastAsia="Arial" w:cs="Arial"/>
                <w:color w:val="000000" w:themeColor="text2"/>
                <w:szCs w:val="20"/>
              </w:rPr>
            </w:pPr>
            <w:r w:rsidRPr="00EB45D1">
              <w:t>Likel</w:t>
            </w:r>
            <w:r>
              <w:t>ihood</w:t>
            </w:r>
            <w:r w:rsidRPr="00EB45D1">
              <w:t xml:space="preserve"> that the benefits outweigh the costs</w:t>
            </w:r>
          </w:p>
        </w:tc>
        <w:tc>
          <w:tcPr>
            <w:tcW w:w="1756" w:type="dxa"/>
            <w:tcBorders>
              <w:top w:val="single" w:sz="8" w:space="0" w:color="auto"/>
              <w:left w:val="single" w:sz="8" w:space="0" w:color="auto"/>
              <w:bottom w:val="single" w:sz="8" w:space="0" w:color="auto"/>
              <w:right w:val="single" w:sz="8" w:space="0" w:color="auto"/>
            </w:tcBorders>
            <w:shd w:val="clear" w:color="auto" w:fill="F2F2F2" w:themeFill="background2" w:themeFillShade="F2"/>
            <w:tcMar>
              <w:top w:w="85" w:type="dxa"/>
              <w:left w:w="57" w:type="dxa"/>
              <w:bottom w:w="85" w:type="dxa"/>
              <w:right w:w="57" w:type="dxa"/>
            </w:tcMar>
          </w:tcPr>
          <w:p w14:paraId="25DE75C2" w14:textId="77777777" w:rsidR="00832037" w:rsidRDefault="00832037" w:rsidP="004E0D3E">
            <w:pPr>
              <w:spacing w:after="0"/>
              <w:jc w:val="right"/>
              <w:rPr>
                <w:highlight w:val="red"/>
              </w:rPr>
            </w:pPr>
            <w:r w:rsidRPr="00EB45D1">
              <w:t>79%</w:t>
            </w:r>
          </w:p>
        </w:tc>
      </w:tr>
    </w:tbl>
    <w:p w14:paraId="595F6447" w14:textId="77777777" w:rsidR="005F274C" w:rsidRPr="007C0D90" w:rsidRDefault="005F274C" w:rsidP="005F274C">
      <w:pPr>
        <w:spacing w:before="80" w:after="80"/>
      </w:pPr>
      <w:r w:rsidRPr="007C0D90">
        <w:rPr>
          <w:rFonts w:eastAsia="Arial" w:cs="Arial"/>
          <w:i/>
          <w:iCs/>
          <w:sz w:val="16"/>
          <w:szCs w:val="16"/>
        </w:rPr>
        <w:t>Based on 10</w:t>
      </w:r>
      <w:r>
        <w:rPr>
          <w:rFonts w:eastAsia="Arial" w:cs="Arial"/>
          <w:i/>
          <w:iCs/>
          <w:sz w:val="16"/>
          <w:szCs w:val="16"/>
        </w:rPr>
        <w:t>-</w:t>
      </w:r>
      <w:r w:rsidRPr="007C0D90">
        <w:rPr>
          <w:rFonts w:eastAsia="Arial" w:cs="Arial"/>
          <w:i/>
          <w:iCs/>
          <w:sz w:val="16"/>
          <w:szCs w:val="16"/>
        </w:rPr>
        <w:t>year analysis using a 7% discount and providing the results in 202</w:t>
      </w:r>
      <w:r>
        <w:rPr>
          <w:rFonts w:eastAsia="Arial" w:cs="Arial"/>
          <w:i/>
          <w:iCs/>
          <w:sz w:val="16"/>
          <w:szCs w:val="16"/>
        </w:rPr>
        <w:t>4</w:t>
      </w:r>
      <w:r w:rsidRPr="007C0D90">
        <w:rPr>
          <w:rFonts w:eastAsia="Arial" w:cs="Arial"/>
          <w:i/>
          <w:iCs/>
          <w:sz w:val="16"/>
          <w:szCs w:val="16"/>
        </w:rPr>
        <w:t xml:space="preserve"> values.</w:t>
      </w:r>
    </w:p>
    <w:p w14:paraId="3B96D408" w14:textId="2FDAFA3C" w:rsidR="005F274C" w:rsidRPr="007C0D90" w:rsidRDefault="005F274C" w:rsidP="005F274C">
      <w:pPr>
        <w:spacing w:before="80" w:after="80"/>
      </w:pPr>
    </w:p>
    <w:p w14:paraId="24510163" w14:textId="77777777" w:rsidR="005F274C" w:rsidRDefault="005F274C" w:rsidP="005F274C">
      <w:r w:rsidRPr="0A220127">
        <w:rPr>
          <w:rFonts w:eastAsia="Arial" w:cs="Arial"/>
          <w:sz w:val="22"/>
          <w:szCs w:val="22"/>
        </w:rPr>
        <w:t>Details of the costs and benefits for each option are presented in the next sections.</w:t>
      </w:r>
    </w:p>
    <w:p w14:paraId="52AEFB92" w14:textId="77777777" w:rsidR="005F274C" w:rsidRDefault="005F274C" w:rsidP="005F274C">
      <w:pPr>
        <w:pStyle w:val="Heading2"/>
      </w:pPr>
      <w:bookmarkStart w:id="25" w:name="_Toc180405666"/>
      <w:bookmarkStart w:id="26" w:name="_Toc181713895"/>
      <w:r>
        <w:t>Discussion of the economic impact of an outage to one provider</w:t>
      </w:r>
      <w:bookmarkEnd w:id="25"/>
      <w:bookmarkEnd w:id="26"/>
    </w:p>
    <w:p w14:paraId="1DF5EA41" w14:textId="77777777" w:rsidR="00E87A9F" w:rsidRDefault="00E87A9F" w:rsidP="00E87A9F">
      <w:pPr>
        <w:pStyle w:val="Paragraphbeforelist"/>
      </w:pPr>
      <w:r>
        <w:t>As noted earlier in this document, the impacts of outages on customers include an inability to:</w:t>
      </w:r>
    </w:p>
    <w:p w14:paraId="7E288DC3" w14:textId="77777777" w:rsidR="005F274C" w:rsidRPr="00E82FD2" w:rsidRDefault="005F274C" w:rsidP="005F274C">
      <w:pPr>
        <w:numPr>
          <w:ilvl w:val="0"/>
          <w:numId w:val="42"/>
        </w:numPr>
        <w:spacing w:after="120" w:line="240" w:lineRule="auto"/>
        <w:ind w:left="567"/>
        <w:textAlignment w:val="baseline"/>
        <w:rPr>
          <w:rFonts w:cs="Arial"/>
          <w:sz w:val="22"/>
          <w:szCs w:val="22"/>
        </w:rPr>
      </w:pPr>
      <w:r w:rsidRPr="00E82FD2">
        <w:rPr>
          <w:rFonts w:cs="Arial"/>
          <w:sz w:val="22"/>
          <w:szCs w:val="22"/>
        </w:rPr>
        <w:t>work due to the lack of internet and phone connection </w:t>
      </w:r>
    </w:p>
    <w:p w14:paraId="74D35CFC" w14:textId="77777777" w:rsidR="005F274C" w:rsidRPr="00E82FD2" w:rsidRDefault="005F274C" w:rsidP="005F274C">
      <w:pPr>
        <w:numPr>
          <w:ilvl w:val="0"/>
          <w:numId w:val="42"/>
        </w:numPr>
        <w:spacing w:after="120" w:line="240" w:lineRule="auto"/>
        <w:ind w:left="567"/>
        <w:textAlignment w:val="baseline"/>
        <w:rPr>
          <w:rFonts w:cs="Arial"/>
          <w:sz w:val="22"/>
          <w:szCs w:val="22"/>
        </w:rPr>
      </w:pPr>
      <w:r w:rsidRPr="00E82FD2">
        <w:rPr>
          <w:rFonts w:cs="Arial"/>
          <w:sz w:val="22"/>
          <w:szCs w:val="22"/>
        </w:rPr>
        <w:t>make sales or otherwise operate their small business </w:t>
      </w:r>
      <w:r>
        <w:rPr>
          <w:rFonts w:cs="Arial"/>
          <w:sz w:val="22"/>
          <w:szCs w:val="22"/>
        </w:rPr>
        <w:t xml:space="preserve">– would include </w:t>
      </w:r>
      <w:r w:rsidR="00E87A9F">
        <w:rPr>
          <w:rFonts w:cs="Arial"/>
          <w:sz w:val="22"/>
          <w:szCs w:val="22"/>
        </w:rPr>
        <w:t>business</w:t>
      </w:r>
      <w:r>
        <w:rPr>
          <w:rFonts w:cs="Arial"/>
          <w:sz w:val="22"/>
          <w:szCs w:val="22"/>
        </w:rPr>
        <w:t xml:space="preserve"> to business interactions, such as wholesale supplies.</w:t>
      </w:r>
    </w:p>
    <w:p w14:paraId="6BA32628" w14:textId="77777777" w:rsidR="005F274C" w:rsidRPr="00E82FD2" w:rsidRDefault="005F274C" w:rsidP="005F274C">
      <w:pPr>
        <w:numPr>
          <w:ilvl w:val="0"/>
          <w:numId w:val="42"/>
        </w:numPr>
        <w:spacing w:after="120" w:line="240" w:lineRule="auto"/>
        <w:ind w:left="567"/>
        <w:textAlignment w:val="baseline"/>
        <w:rPr>
          <w:rFonts w:cs="Arial"/>
          <w:sz w:val="22"/>
          <w:szCs w:val="22"/>
        </w:rPr>
      </w:pPr>
      <w:r w:rsidRPr="00E82FD2">
        <w:rPr>
          <w:rFonts w:cs="Arial"/>
          <w:sz w:val="22"/>
          <w:szCs w:val="22"/>
        </w:rPr>
        <w:t>pay for food, bills and other essentials </w:t>
      </w:r>
    </w:p>
    <w:p w14:paraId="6CFBBB0C" w14:textId="77777777" w:rsidR="005F274C" w:rsidRPr="00E82FD2" w:rsidRDefault="005F274C" w:rsidP="005F274C">
      <w:pPr>
        <w:numPr>
          <w:ilvl w:val="0"/>
          <w:numId w:val="42"/>
        </w:numPr>
        <w:spacing w:after="120" w:line="240" w:lineRule="auto"/>
        <w:ind w:left="567"/>
        <w:textAlignment w:val="baseline"/>
        <w:rPr>
          <w:rFonts w:cs="Arial"/>
          <w:sz w:val="22"/>
          <w:szCs w:val="22"/>
        </w:rPr>
      </w:pPr>
      <w:r w:rsidRPr="00E82FD2">
        <w:rPr>
          <w:rFonts w:cs="Arial"/>
          <w:sz w:val="22"/>
          <w:szCs w:val="22"/>
        </w:rPr>
        <w:t>attend, make or reschedule medical or other appointments </w:t>
      </w:r>
    </w:p>
    <w:p w14:paraId="1043B891" w14:textId="77777777" w:rsidR="005F274C" w:rsidRPr="00E82FD2" w:rsidRDefault="005F274C" w:rsidP="005F274C">
      <w:pPr>
        <w:numPr>
          <w:ilvl w:val="0"/>
          <w:numId w:val="42"/>
        </w:numPr>
        <w:spacing w:after="120" w:line="240" w:lineRule="auto"/>
        <w:ind w:left="567"/>
        <w:textAlignment w:val="baseline"/>
        <w:rPr>
          <w:rFonts w:cs="Arial"/>
          <w:sz w:val="22"/>
          <w:szCs w:val="22"/>
        </w:rPr>
      </w:pPr>
      <w:r w:rsidRPr="00E82FD2">
        <w:rPr>
          <w:rFonts w:cs="Arial"/>
          <w:sz w:val="22"/>
          <w:szCs w:val="22"/>
        </w:rPr>
        <w:t>contact friends, family and support services </w:t>
      </w:r>
    </w:p>
    <w:p w14:paraId="110C5A3C" w14:textId="77777777" w:rsidR="005F274C" w:rsidRPr="00E82FD2" w:rsidRDefault="005F274C" w:rsidP="005F274C">
      <w:pPr>
        <w:numPr>
          <w:ilvl w:val="0"/>
          <w:numId w:val="42"/>
        </w:numPr>
        <w:spacing w:after="120" w:line="240" w:lineRule="auto"/>
        <w:ind w:left="567"/>
        <w:textAlignment w:val="baseline"/>
        <w:rPr>
          <w:rFonts w:cs="Arial"/>
          <w:sz w:val="22"/>
          <w:szCs w:val="22"/>
        </w:rPr>
      </w:pPr>
      <w:r w:rsidRPr="00E82FD2">
        <w:rPr>
          <w:rFonts w:cs="Arial"/>
          <w:sz w:val="22"/>
          <w:szCs w:val="22"/>
        </w:rPr>
        <w:t>study for exams or assignments at school or university </w:t>
      </w:r>
    </w:p>
    <w:p w14:paraId="21EE752F" w14:textId="77777777" w:rsidR="00E87A9F" w:rsidRPr="00E82FD2" w:rsidRDefault="00E87A9F" w:rsidP="00E87A9F">
      <w:pPr>
        <w:numPr>
          <w:ilvl w:val="0"/>
          <w:numId w:val="42"/>
        </w:numPr>
        <w:spacing w:after="120" w:line="240" w:lineRule="auto"/>
        <w:ind w:left="567"/>
        <w:textAlignment w:val="baseline"/>
        <w:rPr>
          <w:rFonts w:cs="Arial"/>
          <w:sz w:val="22"/>
          <w:szCs w:val="22"/>
        </w:rPr>
      </w:pPr>
      <w:r w:rsidRPr="00E82FD2">
        <w:rPr>
          <w:rFonts w:cs="Arial"/>
          <w:sz w:val="22"/>
          <w:szCs w:val="22"/>
        </w:rPr>
        <w:t xml:space="preserve">get information from </w:t>
      </w:r>
      <w:r>
        <w:rPr>
          <w:rFonts w:cs="Arial"/>
          <w:sz w:val="22"/>
          <w:szCs w:val="22"/>
        </w:rPr>
        <w:t>the c</w:t>
      </w:r>
      <w:r w:rsidRPr="00B235DB">
        <w:rPr>
          <w:rFonts w:cs="Arial"/>
          <w:sz w:val="22"/>
          <w:szCs w:val="22"/>
        </w:rPr>
        <w:t xml:space="preserve">arriage </w:t>
      </w:r>
      <w:r>
        <w:rPr>
          <w:rFonts w:cs="Arial"/>
          <w:sz w:val="22"/>
          <w:szCs w:val="22"/>
        </w:rPr>
        <w:t>s</w:t>
      </w:r>
      <w:r w:rsidRPr="00B235DB">
        <w:rPr>
          <w:rFonts w:cs="Arial"/>
          <w:sz w:val="22"/>
          <w:szCs w:val="22"/>
        </w:rPr>
        <w:t xml:space="preserve">ervice </w:t>
      </w:r>
      <w:r>
        <w:rPr>
          <w:rFonts w:cs="Arial"/>
          <w:sz w:val="22"/>
          <w:szCs w:val="22"/>
        </w:rPr>
        <w:t>p</w:t>
      </w:r>
      <w:r w:rsidRPr="00B235DB">
        <w:rPr>
          <w:rFonts w:cs="Arial"/>
          <w:sz w:val="22"/>
          <w:szCs w:val="22"/>
        </w:rPr>
        <w:t xml:space="preserve">rovider </w:t>
      </w:r>
      <w:r w:rsidRPr="00E82FD2">
        <w:rPr>
          <w:rFonts w:cs="Arial"/>
          <w:sz w:val="22"/>
          <w:szCs w:val="22"/>
        </w:rPr>
        <w:t>about the outage and when it would be resolved. </w:t>
      </w:r>
    </w:p>
    <w:p w14:paraId="5C4208B4" w14:textId="402EA34D" w:rsidR="005F274C" w:rsidRDefault="005F274C" w:rsidP="005F274C">
      <w:pPr>
        <w:pStyle w:val="Paragraph"/>
      </w:pPr>
      <w:r>
        <w:t>Estimating the economic loss arising from a</w:t>
      </w:r>
      <w:r w:rsidR="005D134C">
        <w:t xml:space="preserve"> </w:t>
      </w:r>
      <w:r>
        <w:t xml:space="preserve">network outage for a </w:t>
      </w:r>
      <w:r w:rsidR="00B56589">
        <w:t xml:space="preserve">business </w:t>
      </w:r>
      <w:r>
        <w:t xml:space="preserve">is challenging.  There are limited studies that have estimated the value of an outage in recent years as telecommunications have become more important for business functions. </w:t>
      </w:r>
    </w:p>
    <w:p w14:paraId="241BAA4E" w14:textId="77777777" w:rsidR="005F274C" w:rsidRPr="00AF7E72" w:rsidRDefault="005F274C" w:rsidP="005F274C">
      <w:pPr>
        <w:pStyle w:val="Paragraph"/>
      </w:pPr>
      <w:r>
        <w:lastRenderedPageBreak/>
        <w:t>Some of the studies that do e</w:t>
      </w:r>
      <w:r w:rsidRPr="00AF7E72">
        <w:t>stimat</w:t>
      </w:r>
      <w:r>
        <w:t>e</w:t>
      </w:r>
      <w:r w:rsidRPr="00AF7E72">
        <w:t xml:space="preserve"> the value of lost telecoms connectivity</w:t>
      </w:r>
      <w:r>
        <w:t xml:space="preserve"> are relatively old,</w:t>
      </w:r>
      <w:r>
        <w:rPr>
          <w:rStyle w:val="FootnoteReference"/>
        </w:rPr>
        <w:footnoteReference w:id="20"/>
      </w:r>
      <w:r>
        <w:t xml:space="preserve"> while others focus on the loss of turnover</w:t>
      </w:r>
      <w:r>
        <w:rPr>
          <w:rStyle w:val="FootnoteReference"/>
        </w:rPr>
        <w:footnoteReference w:id="21"/>
      </w:r>
      <w:r>
        <w:t xml:space="preserve"> rather than economic loss – which is needed for a cost benefit analysis.</w:t>
      </w:r>
    </w:p>
    <w:p w14:paraId="54612A9B" w14:textId="77777777" w:rsidR="00571A20" w:rsidRDefault="00571A20" w:rsidP="00571A20">
      <w:pPr>
        <w:pStyle w:val="Paragraph"/>
      </w:pPr>
      <w:r>
        <w:t>The impact of a telecommunications outage is different from other utilities, such as electricity. The effect of an electricity outage is to all residents and businesses within a region, whereas a telecommunications outage may affect one household or business, but not a neighbouring one.</w:t>
      </w:r>
    </w:p>
    <w:p w14:paraId="2EAC65F5" w14:textId="77777777" w:rsidR="00571A20" w:rsidRDefault="00571A20" w:rsidP="00571A20">
      <w:pPr>
        <w:pStyle w:val="Paragraph"/>
      </w:pPr>
      <w:r>
        <w:t>In contrast, the outage of a single network will impact some residential properties, some users and some businesses – but not others.</w:t>
      </w:r>
    </w:p>
    <w:p w14:paraId="26D04631" w14:textId="77777777" w:rsidR="00571A20" w:rsidRDefault="00571A20" w:rsidP="00571A20">
      <w:pPr>
        <w:pStyle w:val="Heading3"/>
      </w:pPr>
      <w:bookmarkStart w:id="27" w:name="_Toc180405667"/>
      <w:bookmarkStart w:id="28" w:name="_Toc181713896"/>
      <w:r>
        <w:t>Estimate of the loss from the Optus outage</w:t>
      </w:r>
      <w:bookmarkEnd w:id="27"/>
      <w:bookmarkEnd w:id="28"/>
    </w:p>
    <w:p w14:paraId="1F2185A4" w14:textId="52B789FC" w:rsidR="00571A20" w:rsidRDefault="00571A20" w:rsidP="00571A20">
      <w:pPr>
        <w:pStyle w:val="Paragraph"/>
      </w:pPr>
      <w:r>
        <w:t xml:space="preserve">Following the Optus outage, a telecommunications </w:t>
      </w:r>
      <w:r w:rsidR="000C55C3">
        <w:t>academic</w:t>
      </w:r>
      <w:r>
        <w:t xml:space="preserve"> made a </w:t>
      </w:r>
      <w:r w:rsidR="00DE0BCC">
        <w:t>high-level</w:t>
      </w:r>
      <w:r>
        <w:t xml:space="preserve"> estimate of the outage having a total impact of $2 billion.</w:t>
      </w:r>
      <w:r>
        <w:rPr>
          <w:rStyle w:val="FootnoteReference"/>
        </w:rPr>
        <w:footnoteReference w:id="22"/>
      </w:r>
      <w:r>
        <w:t xml:space="preserve">  This estimate is based on the following inputs</w:t>
      </w:r>
      <w:r w:rsidR="00591AC1">
        <w:t>:</w:t>
      </w:r>
    </w:p>
    <w:p w14:paraId="6410B520" w14:textId="77777777" w:rsidR="005F274C" w:rsidRDefault="005F274C" w:rsidP="005F274C">
      <w:pPr>
        <w:pStyle w:val="Bulletlevel1"/>
      </w:pPr>
      <w:r>
        <w:t xml:space="preserve">400,000 </w:t>
      </w:r>
      <w:r w:rsidR="00571A20">
        <w:t xml:space="preserve">business customers </w:t>
      </w:r>
    </w:p>
    <w:p w14:paraId="70017094" w14:textId="77777777" w:rsidR="005F274C" w:rsidRDefault="005F274C" w:rsidP="005F274C">
      <w:pPr>
        <w:pStyle w:val="Bulletlevel1"/>
      </w:pPr>
      <w:r>
        <w:t>an average impact of $5,000 per business</w:t>
      </w:r>
      <w:r w:rsidR="00571A20">
        <w:t>.</w:t>
      </w:r>
      <w:r>
        <w:t xml:space="preserve"> </w:t>
      </w:r>
    </w:p>
    <w:p w14:paraId="0248C373" w14:textId="77777777" w:rsidR="005F274C" w:rsidRDefault="005F274C" w:rsidP="005F274C">
      <w:pPr>
        <w:pStyle w:val="Paragraph"/>
      </w:pPr>
      <w:r>
        <w:t>These inputs are multiplicative</w:t>
      </w:r>
      <w:r w:rsidR="00571A20">
        <w:t>,</w:t>
      </w:r>
      <w:r>
        <w:t xml:space="preserve"> so give $2 billion as the estimate of the impact on turnover.  The economic loss would be a portion of the impact on turnover and could be estimated through the percentage of value added.</w:t>
      </w:r>
    </w:p>
    <w:p w14:paraId="3C7EB29F" w14:textId="77777777" w:rsidR="00571A20" w:rsidRDefault="00571A20" w:rsidP="00571A20">
      <w:pPr>
        <w:pStyle w:val="Paragraph"/>
      </w:pPr>
      <w:r>
        <w:t>The $2 billion estimate can be sense checked against Australian Bureau of Statistics data</w:t>
      </w:r>
      <w:r>
        <w:rPr>
          <w:rStyle w:val="FootnoteReference"/>
        </w:rPr>
        <w:footnoteReference w:id="23"/>
      </w:r>
      <w:r>
        <w:t xml:space="preserve"> on total income for various industry sectors and industry value added.</w:t>
      </w:r>
    </w:p>
    <w:p w14:paraId="63975F2B" w14:textId="77777777" w:rsidR="00571A20" w:rsidRDefault="00571A20" w:rsidP="00571A20">
      <w:pPr>
        <w:pStyle w:val="Paragraph"/>
      </w:pPr>
      <w:r>
        <w:t>While a broad range of industries would be impacted by a telecommunications outage, the industries that may be most heavily impacted would be:</w:t>
      </w:r>
    </w:p>
    <w:p w14:paraId="412AEA8F" w14:textId="3DE34848" w:rsidR="00571A20" w:rsidRDefault="00571A20" w:rsidP="00571A20">
      <w:pPr>
        <w:pStyle w:val="Bulletlevel1"/>
      </w:pPr>
      <w:r>
        <w:t>Wholesale trade - particularly where it is reliant on business</w:t>
      </w:r>
      <w:r w:rsidR="005B57EF">
        <w:t>-</w:t>
      </w:r>
      <w:r>
        <w:t>to</w:t>
      </w:r>
      <w:r w:rsidR="005B57EF">
        <w:t>-</w:t>
      </w:r>
      <w:r>
        <w:t>business communications and/or rapid delivery</w:t>
      </w:r>
    </w:p>
    <w:p w14:paraId="2675460B" w14:textId="77777777" w:rsidR="00571A20" w:rsidRDefault="00571A20" w:rsidP="00571A20">
      <w:pPr>
        <w:pStyle w:val="Bulletlevel1"/>
      </w:pPr>
      <w:r>
        <w:t>Retail trade – customer facing businesses</w:t>
      </w:r>
    </w:p>
    <w:p w14:paraId="7C0CE285" w14:textId="77777777" w:rsidR="00571A20" w:rsidRDefault="00571A20" w:rsidP="00571A20">
      <w:pPr>
        <w:pStyle w:val="Bulletlevel1"/>
      </w:pPr>
      <w:r w:rsidRPr="00AF0A12">
        <w:t>Information media and telecommunications</w:t>
      </w:r>
    </w:p>
    <w:p w14:paraId="28533A19" w14:textId="07AAA77E" w:rsidR="005B57EF" w:rsidRDefault="00571A20" w:rsidP="00276874">
      <w:pPr>
        <w:pStyle w:val="Bulletlevel1"/>
      </w:pPr>
      <w:r w:rsidRPr="00495A16">
        <w:t>Professional, scientific and technical services</w:t>
      </w:r>
      <w:r>
        <w:t>.</w:t>
      </w:r>
    </w:p>
    <w:p w14:paraId="33C70B9F" w14:textId="282B8327" w:rsidR="005B57EF" w:rsidRDefault="005B57EF" w:rsidP="005B57EF">
      <w:pPr>
        <w:pStyle w:val="Bulletlevel1"/>
        <w:numPr>
          <w:ilvl w:val="0"/>
          <w:numId w:val="0"/>
        </w:numPr>
      </w:pPr>
      <w:r w:rsidRPr="00EC42C9">
        <w:t xml:space="preserve">This data is summarised in Table </w:t>
      </w:r>
      <w:r>
        <w:t>3</w:t>
      </w:r>
      <w:r w:rsidRPr="00EC42C9">
        <w:t>, both for the full year and an estimate of a single day (assuming all businesses operate five days a week only</w:t>
      </w:r>
      <w:r>
        <w:t>)</w:t>
      </w:r>
      <w:r w:rsidRPr="00EC42C9">
        <w:t>.</w:t>
      </w:r>
    </w:p>
    <w:p w14:paraId="63CD20D2" w14:textId="77777777" w:rsidR="005B57EF" w:rsidRDefault="005B57EF" w:rsidP="005B57EF">
      <w:pPr>
        <w:pStyle w:val="Bulletlevel1"/>
        <w:numPr>
          <w:ilvl w:val="0"/>
          <w:numId w:val="0"/>
        </w:numPr>
      </w:pPr>
    </w:p>
    <w:p w14:paraId="5CB3D27B" w14:textId="77777777" w:rsidR="00571A20" w:rsidRDefault="00571A20" w:rsidP="00571A20">
      <w:pPr>
        <w:spacing w:after="0" w:line="240" w:lineRule="auto"/>
        <w:rPr>
          <w:rFonts w:cs="Arial"/>
          <w:sz w:val="22"/>
        </w:rPr>
      </w:pPr>
    </w:p>
    <w:p w14:paraId="0BCD2D45" w14:textId="77777777" w:rsidR="007665CD" w:rsidRPr="008F2D4D" w:rsidRDefault="007665CD" w:rsidP="007665CD">
      <w:pPr>
        <w:pStyle w:val="Tableheading"/>
        <w:keepLines/>
        <w:numPr>
          <w:ilvl w:val="0"/>
          <w:numId w:val="0"/>
        </w:numPr>
        <w:ind w:left="964" w:hanging="964"/>
      </w:pPr>
      <w:r>
        <w:lastRenderedPageBreak/>
        <w:t xml:space="preserve">Table 3: </w:t>
      </w:r>
      <w:r>
        <w:tab/>
        <w:t xml:space="preserve">Australian </w:t>
      </w:r>
      <w:r w:rsidRPr="008F2D4D">
        <w:t xml:space="preserve">Bureau of Statistics data on Total income and Industry value added for selected industry sectors </w:t>
      </w:r>
    </w:p>
    <w:tbl>
      <w:tblPr>
        <w:tblStyle w:val="ACMAtablestyle"/>
        <w:tblW w:w="7158" w:type="dxa"/>
        <w:tblLook w:val="04A0" w:firstRow="1" w:lastRow="0" w:firstColumn="1" w:lastColumn="0" w:noHBand="0" w:noVBand="1"/>
      </w:tblPr>
      <w:tblGrid>
        <w:gridCol w:w="3500"/>
        <w:gridCol w:w="1598"/>
        <w:gridCol w:w="2060"/>
      </w:tblGrid>
      <w:tr w:rsidR="007665CD" w:rsidRPr="00C43CB4" w14:paraId="4FAC8C94" w14:textId="77777777" w:rsidTr="004E0D3E">
        <w:trPr>
          <w:cnfStyle w:val="100000000000" w:firstRow="1" w:lastRow="0" w:firstColumn="0" w:lastColumn="0" w:oddVBand="0" w:evenVBand="0" w:oddHBand="0" w:evenHBand="0" w:firstRowFirstColumn="0" w:firstRowLastColumn="0" w:lastRowFirstColumn="0" w:lastRowLastColumn="0"/>
          <w:trHeight w:val="600"/>
        </w:trPr>
        <w:tc>
          <w:tcPr>
            <w:tcW w:w="3500" w:type="dxa"/>
            <w:noWrap/>
            <w:hideMark/>
          </w:tcPr>
          <w:p w14:paraId="594E5A66" w14:textId="77777777" w:rsidR="007665CD" w:rsidRPr="00C43CB4" w:rsidRDefault="007665CD" w:rsidP="004E0D3E">
            <w:pPr>
              <w:pStyle w:val="Tableheaderrow"/>
              <w:keepNext/>
              <w:keepLines/>
            </w:pPr>
            <w:r w:rsidRPr="00C43CB4">
              <w:t xml:space="preserve">Industry </w:t>
            </w:r>
          </w:p>
        </w:tc>
        <w:tc>
          <w:tcPr>
            <w:tcW w:w="1598" w:type="dxa"/>
            <w:hideMark/>
          </w:tcPr>
          <w:p w14:paraId="2DEEECF2" w14:textId="77777777" w:rsidR="007665CD" w:rsidRPr="00C43CB4" w:rsidRDefault="007665CD" w:rsidP="004E0D3E">
            <w:pPr>
              <w:pStyle w:val="Tableheaderrow"/>
              <w:keepNext/>
              <w:keepLines/>
            </w:pPr>
            <w:r w:rsidRPr="00C43CB4">
              <w:t xml:space="preserve">Total income </w:t>
            </w:r>
            <w:r w:rsidRPr="00C43CB4">
              <w:br/>
              <w:t>($ millions)</w:t>
            </w:r>
          </w:p>
        </w:tc>
        <w:tc>
          <w:tcPr>
            <w:tcW w:w="2060" w:type="dxa"/>
            <w:hideMark/>
          </w:tcPr>
          <w:p w14:paraId="4204DD5A" w14:textId="66356202" w:rsidR="007665CD" w:rsidRPr="00C43CB4" w:rsidRDefault="007665CD" w:rsidP="004E0D3E">
            <w:pPr>
              <w:pStyle w:val="Tableheaderrow"/>
              <w:keepNext/>
              <w:keepLines/>
            </w:pPr>
            <w:r w:rsidRPr="00C43CB4">
              <w:t>Industry value added ($ millions)</w:t>
            </w:r>
          </w:p>
        </w:tc>
      </w:tr>
      <w:tr w:rsidR="007665CD" w:rsidRPr="00C43CB4" w14:paraId="211DD431"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3500" w:type="dxa"/>
            <w:noWrap/>
            <w:hideMark/>
          </w:tcPr>
          <w:p w14:paraId="2999DD2A" w14:textId="77777777" w:rsidR="007665CD" w:rsidRPr="00C43CB4" w:rsidRDefault="007665CD" w:rsidP="004E0D3E">
            <w:pPr>
              <w:pStyle w:val="TableBody"/>
              <w:keepNext/>
              <w:keepLines/>
            </w:pPr>
            <w:r w:rsidRPr="00C43CB4">
              <w:t>Wholesale trade</w:t>
            </w:r>
          </w:p>
        </w:tc>
        <w:tc>
          <w:tcPr>
            <w:tcW w:w="1598" w:type="dxa"/>
            <w:noWrap/>
            <w:hideMark/>
          </w:tcPr>
          <w:p w14:paraId="0EC64E1B" w14:textId="77777777" w:rsidR="007665CD" w:rsidRPr="00C43CB4" w:rsidRDefault="007665CD" w:rsidP="004E0D3E">
            <w:pPr>
              <w:pStyle w:val="TableBody"/>
              <w:keepNext/>
              <w:keepLines/>
            </w:pPr>
            <w:r w:rsidRPr="00C43CB4">
              <w:t>$770,448</w:t>
            </w:r>
          </w:p>
        </w:tc>
        <w:tc>
          <w:tcPr>
            <w:tcW w:w="2060" w:type="dxa"/>
            <w:noWrap/>
            <w:hideMark/>
          </w:tcPr>
          <w:p w14:paraId="68AF1DF9" w14:textId="77777777" w:rsidR="007665CD" w:rsidRPr="00C43CB4" w:rsidRDefault="007665CD" w:rsidP="004E0D3E">
            <w:pPr>
              <w:pStyle w:val="TableBody"/>
              <w:keepNext/>
              <w:keepLines/>
            </w:pPr>
            <w:r w:rsidRPr="00C43CB4">
              <w:t>$102,976</w:t>
            </w:r>
          </w:p>
        </w:tc>
      </w:tr>
      <w:tr w:rsidR="007665CD" w:rsidRPr="00C43CB4" w14:paraId="2A0896BC"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3500" w:type="dxa"/>
            <w:noWrap/>
            <w:hideMark/>
          </w:tcPr>
          <w:p w14:paraId="10622383" w14:textId="77777777" w:rsidR="007665CD" w:rsidRPr="00C43CB4" w:rsidRDefault="007665CD" w:rsidP="004E0D3E">
            <w:pPr>
              <w:pStyle w:val="TableBody"/>
              <w:keepNext/>
              <w:keepLines/>
            </w:pPr>
            <w:r w:rsidRPr="00C43CB4">
              <w:t>Retail trade</w:t>
            </w:r>
          </w:p>
        </w:tc>
        <w:tc>
          <w:tcPr>
            <w:tcW w:w="1598" w:type="dxa"/>
            <w:noWrap/>
            <w:hideMark/>
          </w:tcPr>
          <w:p w14:paraId="1FF9058D" w14:textId="77777777" w:rsidR="007665CD" w:rsidRPr="00C43CB4" w:rsidRDefault="007665CD" w:rsidP="004E0D3E">
            <w:pPr>
              <w:pStyle w:val="TableBody"/>
              <w:keepNext/>
              <w:keepLines/>
            </w:pPr>
            <w:r w:rsidRPr="00C43CB4">
              <w:t>$616,848</w:t>
            </w:r>
          </w:p>
        </w:tc>
        <w:tc>
          <w:tcPr>
            <w:tcW w:w="2060" w:type="dxa"/>
            <w:noWrap/>
            <w:hideMark/>
          </w:tcPr>
          <w:p w14:paraId="2F56A51A" w14:textId="77777777" w:rsidR="007665CD" w:rsidRPr="00C43CB4" w:rsidRDefault="007665CD" w:rsidP="004E0D3E">
            <w:pPr>
              <w:pStyle w:val="TableBody"/>
              <w:keepNext/>
              <w:keepLines/>
            </w:pPr>
            <w:r w:rsidRPr="00C43CB4">
              <w:t>$117,479</w:t>
            </w:r>
          </w:p>
        </w:tc>
      </w:tr>
      <w:tr w:rsidR="007665CD" w:rsidRPr="00C43CB4" w14:paraId="21BAB878"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3500" w:type="dxa"/>
            <w:noWrap/>
            <w:hideMark/>
          </w:tcPr>
          <w:p w14:paraId="268B7E4B" w14:textId="77777777" w:rsidR="007665CD" w:rsidRPr="00C43CB4" w:rsidRDefault="007665CD" w:rsidP="004E0D3E">
            <w:pPr>
              <w:pStyle w:val="TableBody"/>
              <w:keepNext/>
              <w:keepLines/>
            </w:pPr>
            <w:r w:rsidRPr="00C43CB4">
              <w:t>Information media and telecommunications</w:t>
            </w:r>
          </w:p>
        </w:tc>
        <w:tc>
          <w:tcPr>
            <w:tcW w:w="1598" w:type="dxa"/>
            <w:noWrap/>
            <w:hideMark/>
          </w:tcPr>
          <w:p w14:paraId="5078CE79" w14:textId="77777777" w:rsidR="007665CD" w:rsidRPr="00C43CB4" w:rsidRDefault="007665CD" w:rsidP="004E0D3E">
            <w:pPr>
              <w:pStyle w:val="TableBody"/>
              <w:keepNext/>
              <w:keepLines/>
            </w:pPr>
            <w:r w:rsidRPr="00C43CB4">
              <w:t>$114,306</w:t>
            </w:r>
          </w:p>
        </w:tc>
        <w:tc>
          <w:tcPr>
            <w:tcW w:w="2060" w:type="dxa"/>
            <w:noWrap/>
            <w:hideMark/>
          </w:tcPr>
          <w:p w14:paraId="4595DFE2" w14:textId="77777777" w:rsidR="007665CD" w:rsidRPr="00C43CB4" w:rsidRDefault="007665CD" w:rsidP="004E0D3E">
            <w:pPr>
              <w:pStyle w:val="TableBody"/>
              <w:keepNext/>
              <w:keepLines/>
            </w:pPr>
            <w:r w:rsidRPr="00C43CB4">
              <w:t>$46,023</w:t>
            </w:r>
          </w:p>
        </w:tc>
      </w:tr>
      <w:tr w:rsidR="007665CD" w:rsidRPr="00C43CB4" w14:paraId="5EE22146"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3500" w:type="dxa"/>
            <w:noWrap/>
            <w:hideMark/>
          </w:tcPr>
          <w:p w14:paraId="1343A57E" w14:textId="77777777" w:rsidR="007665CD" w:rsidRPr="00C43CB4" w:rsidRDefault="007665CD" w:rsidP="004E0D3E">
            <w:pPr>
              <w:pStyle w:val="TableBody"/>
            </w:pPr>
            <w:r w:rsidRPr="00C43CB4">
              <w:t>Professional, scientific and technical services</w:t>
            </w:r>
          </w:p>
        </w:tc>
        <w:tc>
          <w:tcPr>
            <w:tcW w:w="1598" w:type="dxa"/>
            <w:noWrap/>
            <w:hideMark/>
          </w:tcPr>
          <w:p w14:paraId="25309AB5" w14:textId="77777777" w:rsidR="007665CD" w:rsidRPr="00C43CB4" w:rsidRDefault="007665CD" w:rsidP="004E0D3E">
            <w:pPr>
              <w:pStyle w:val="TableBody"/>
            </w:pPr>
            <w:r w:rsidRPr="00C43CB4">
              <w:t>$374,783</w:t>
            </w:r>
          </w:p>
        </w:tc>
        <w:tc>
          <w:tcPr>
            <w:tcW w:w="2060" w:type="dxa"/>
            <w:noWrap/>
            <w:hideMark/>
          </w:tcPr>
          <w:p w14:paraId="54ABD39D" w14:textId="77777777" w:rsidR="007665CD" w:rsidRPr="00C43CB4" w:rsidRDefault="007665CD" w:rsidP="004E0D3E">
            <w:pPr>
              <w:pStyle w:val="TableBody"/>
            </w:pPr>
            <w:r w:rsidRPr="00C43CB4">
              <w:t>$184,220</w:t>
            </w:r>
          </w:p>
        </w:tc>
      </w:tr>
      <w:tr w:rsidR="007665CD" w:rsidRPr="00C43CB4" w14:paraId="3B050EBD"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3500" w:type="dxa"/>
            <w:noWrap/>
            <w:hideMark/>
          </w:tcPr>
          <w:p w14:paraId="24236235" w14:textId="77777777" w:rsidR="007665CD" w:rsidRPr="00C43CB4" w:rsidRDefault="007665CD" w:rsidP="004E0D3E">
            <w:pPr>
              <w:pStyle w:val="TableBody"/>
              <w:rPr>
                <w:b/>
                <w:bCs/>
              </w:rPr>
            </w:pPr>
            <w:r w:rsidRPr="00C43CB4">
              <w:rPr>
                <w:b/>
                <w:bCs/>
              </w:rPr>
              <w:t>Total</w:t>
            </w:r>
          </w:p>
        </w:tc>
        <w:tc>
          <w:tcPr>
            <w:tcW w:w="1598" w:type="dxa"/>
            <w:noWrap/>
            <w:hideMark/>
          </w:tcPr>
          <w:p w14:paraId="7C7B54AE" w14:textId="77777777" w:rsidR="007665CD" w:rsidRPr="00C43CB4" w:rsidRDefault="007665CD" w:rsidP="004E0D3E">
            <w:pPr>
              <w:pStyle w:val="TableBody"/>
              <w:rPr>
                <w:rFonts w:ascii="Aptos Narrow" w:hAnsi="Aptos Narrow"/>
                <w:b/>
                <w:bCs/>
                <w:sz w:val="22"/>
                <w:szCs w:val="22"/>
              </w:rPr>
            </w:pPr>
            <w:r w:rsidRPr="00C43CB4">
              <w:rPr>
                <w:rFonts w:ascii="Aptos Narrow" w:hAnsi="Aptos Narrow"/>
                <w:b/>
                <w:bCs/>
                <w:sz w:val="22"/>
                <w:szCs w:val="22"/>
              </w:rPr>
              <w:t>$1,876,385</w:t>
            </w:r>
          </w:p>
        </w:tc>
        <w:tc>
          <w:tcPr>
            <w:tcW w:w="2060" w:type="dxa"/>
            <w:noWrap/>
            <w:hideMark/>
          </w:tcPr>
          <w:p w14:paraId="226C97B7" w14:textId="77777777" w:rsidR="007665CD" w:rsidRPr="00C43CB4" w:rsidRDefault="007665CD" w:rsidP="004E0D3E">
            <w:pPr>
              <w:pStyle w:val="TableBody"/>
              <w:rPr>
                <w:rFonts w:ascii="Aptos Narrow" w:hAnsi="Aptos Narrow"/>
                <w:b/>
                <w:bCs/>
                <w:sz w:val="22"/>
                <w:szCs w:val="22"/>
              </w:rPr>
            </w:pPr>
            <w:r w:rsidRPr="00C43CB4">
              <w:rPr>
                <w:rFonts w:ascii="Aptos Narrow" w:hAnsi="Aptos Narrow"/>
                <w:b/>
                <w:bCs/>
                <w:sz w:val="22"/>
                <w:szCs w:val="22"/>
              </w:rPr>
              <w:t>$450,698</w:t>
            </w:r>
          </w:p>
        </w:tc>
      </w:tr>
      <w:tr w:rsidR="007665CD" w:rsidRPr="008C5632" w14:paraId="775BDD21"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3500" w:type="dxa"/>
            <w:noWrap/>
            <w:hideMark/>
          </w:tcPr>
          <w:p w14:paraId="4C133889" w14:textId="77777777" w:rsidR="007665CD" w:rsidRPr="00C43CB4" w:rsidRDefault="007665CD" w:rsidP="004E0D3E">
            <w:pPr>
              <w:pStyle w:val="TableBody"/>
            </w:pPr>
            <w:r w:rsidRPr="00C43CB4">
              <w:t>Per business day</w:t>
            </w:r>
          </w:p>
        </w:tc>
        <w:tc>
          <w:tcPr>
            <w:tcW w:w="1598" w:type="dxa"/>
            <w:noWrap/>
            <w:hideMark/>
          </w:tcPr>
          <w:p w14:paraId="186CAB60" w14:textId="77777777" w:rsidR="007665CD" w:rsidRPr="00C43CB4" w:rsidRDefault="007665CD" w:rsidP="004E0D3E">
            <w:pPr>
              <w:pStyle w:val="TableBody"/>
              <w:rPr>
                <w:rFonts w:ascii="Aptos Narrow" w:hAnsi="Aptos Narrow"/>
                <w:sz w:val="22"/>
                <w:szCs w:val="22"/>
              </w:rPr>
            </w:pPr>
            <w:r w:rsidRPr="00C43CB4">
              <w:rPr>
                <w:rFonts w:ascii="Aptos Narrow" w:hAnsi="Aptos Narrow"/>
                <w:sz w:val="22"/>
                <w:szCs w:val="22"/>
              </w:rPr>
              <w:t>$7,506</w:t>
            </w:r>
          </w:p>
        </w:tc>
        <w:tc>
          <w:tcPr>
            <w:tcW w:w="2060" w:type="dxa"/>
            <w:noWrap/>
            <w:hideMark/>
          </w:tcPr>
          <w:p w14:paraId="1BF73FEB" w14:textId="77777777" w:rsidR="007665CD" w:rsidRPr="00C43CB4" w:rsidRDefault="007665CD" w:rsidP="004E0D3E">
            <w:pPr>
              <w:pStyle w:val="TableBody"/>
              <w:rPr>
                <w:rFonts w:ascii="Aptos Narrow" w:hAnsi="Aptos Narrow"/>
                <w:sz w:val="22"/>
                <w:szCs w:val="22"/>
              </w:rPr>
            </w:pPr>
            <w:r w:rsidRPr="00C43CB4">
              <w:rPr>
                <w:rFonts w:ascii="Aptos Narrow" w:hAnsi="Aptos Narrow"/>
                <w:sz w:val="22"/>
                <w:szCs w:val="22"/>
              </w:rPr>
              <w:t>$1,803</w:t>
            </w:r>
          </w:p>
        </w:tc>
      </w:tr>
    </w:tbl>
    <w:p w14:paraId="6999C365" w14:textId="77777777" w:rsidR="00591AC1" w:rsidRDefault="00591AC1" w:rsidP="00436B30">
      <w:pPr>
        <w:pStyle w:val="Paragraph"/>
      </w:pPr>
    </w:p>
    <w:p w14:paraId="5D625503" w14:textId="6F7B55DC" w:rsidR="00436B30" w:rsidRDefault="00436B30" w:rsidP="00436B30">
      <w:pPr>
        <w:pStyle w:val="Paragraph"/>
      </w:pPr>
      <w:r w:rsidRPr="00B1024A">
        <w:t>The total income for these sectors in 2022-23 was $1.876 Trillion</w:t>
      </w:r>
      <w:r>
        <w:t>,</w:t>
      </w:r>
      <w:r w:rsidRPr="00B1024A">
        <w:t xml:space="preserve"> with value added estimated</w:t>
      </w:r>
      <w:r>
        <w:t xml:space="preserve"> at $451 million.  Based on 250 business days per year</w:t>
      </w:r>
      <w:r>
        <w:rPr>
          <w:rStyle w:val="FootnoteReference"/>
        </w:rPr>
        <w:footnoteReference w:id="24"/>
      </w:r>
      <w:r>
        <w:t xml:space="preserve"> this would equate to $7.506 billion in turnover for the day. The estimate of $2 billion would imply that 27% of all businesses in these industries lost one day of trade, and potentially indicates that the estimate is high, but not by a gross margin.</w:t>
      </w:r>
    </w:p>
    <w:p w14:paraId="2064441C" w14:textId="77777777" w:rsidR="00436B30" w:rsidRDefault="00436B30" w:rsidP="00436B30">
      <w:pPr>
        <w:pStyle w:val="Paragraph"/>
      </w:pPr>
      <w:r>
        <w:t>However, the impact to the economy as a whole is quite complicated, as an outage of this kind would impact different businesses in different ways – some examples are shown in Table 4.</w:t>
      </w:r>
    </w:p>
    <w:p w14:paraId="4195AEDA" w14:textId="77777777" w:rsidR="00436B30" w:rsidRDefault="00436B30" w:rsidP="00436B30">
      <w:pPr>
        <w:pStyle w:val="Tableheading"/>
        <w:numPr>
          <w:ilvl w:val="0"/>
          <w:numId w:val="0"/>
        </w:numPr>
        <w:ind w:left="964" w:hanging="964"/>
      </w:pPr>
      <w:r>
        <w:t>Table 4: Examples of different impacts of an outage</w:t>
      </w:r>
    </w:p>
    <w:tbl>
      <w:tblPr>
        <w:tblStyle w:val="ACMAtablestyle"/>
        <w:tblW w:w="9067" w:type="dxa"/>
        <w:tblLook w:val="04A0" w:firstRow="1" w:lastRow="0" w:firstColumn="1" w:lastColumn="0" w:noHBand="0" w:noVBand="1"/>
      </w:tblPr>
      <w:tblGrid>
        <w:gridCol w:w="2689"/>
        <w:gridCol w:w="3543"/>
        <w:gridCol w:w="2835"/>
      </w:tblGrid>
      <w:tr w:rsidR="008E38AB" w14:paraId="35FB0DC7" w14:textId="77777777" w:rsidTr="004E0D3E">
        <w:trPr>
          <w:cnfStyle w:val="100000000000" w:firstRow="1" w:lastRow="0" w:firstColumn="0" w:lastColumn="0" w:oddVBand="0" w:evenVBand="0" w:oddHBand="0" w:evenHBand="0" w:firstRowFirstColumn="0" w:firstRowLastColumn="0" w:lastRowFirstColumn="0" w:lastRowLastColumn="0"/>
          <w:trHeight w:val="314"/>
        </w:trPr>
        <w:tc>
          <w:tcPr>
            <w:tcW w:w="2689" w:type="dxa"/>
          </w:tcPr>
          <w:p w14:paraId="21C1E5CF" w14:textId="77777777" w:rsidR="008E38AB" w:rsidRDefault="008E38AB" w:rsidP="004E0D3E">
            <w:pPr>
              <w:pStyle w:val="Tableheaderrow"/>
            </w:pPr>
            <w:r>
              <w:t>Impact on trade</w:t>
            </w:r>
          </w:p>
        </w:tc>
        <w:tc>
          <w:tcPr>
            <w:tcW w:w="3543" w:type="dxa"/>
          </w:tcPr>
          <w:p w14:paraId="2699FAC3" w14:textId="77777777" w:rsidR="008E38AB" w:rsidRDefault="008E38AB" w:rsidP="004E0D3E">
            <w:pPr>
              <w:pStyle w:val="Tableheaderrow"/>
            </w:pPr>
            <w:r>
              <w:t>Example</w:t>
            </w:r>
          </w:p>
        </w:tc>
        <w:tc>
          <w:tcPr>
            <w:tcW w:w="2835" w:type="dxa"/>
          </w:tcPr>
          <w:p w14:paraId="7C35C608" w14:textId="77777777" w:rsidR="008E38AB" w:rsidRDefault="008E38AB" w:rsidP="004E0D3E">
            <w:pPr>
              <w:pStyle w:val="Tableheaderrow"/>
            </w:pPr>
            <w:r>
              <w:t>Outcome</w:t>
            </w:r>
          </w:p>
        </w:tc>
      </w:tr>
      <w:tr w:rsidR="008E38AB" w14:paraId="635FDD8F" w14:textId="77777777" w:rsidTr="004E0D3E">
        <w:trPr>
          <w:cnfStyle w:val="000000100000" w:firstRow="0" w:lastRow="0" w:firstColumn="0" w:lastColumn="0" w:oddVBand="0" w:evenVBand="0" w:oddHBand="1" w:evenHBand="0" w:firstRowFirstColumn="0" w:firstRowLastColumn="0" w:lastRowFirstColumn="0" w:lastRowLastColumn="0"/>
          <w:trHeight w:val="891"/>
        </w:trPr>
        <w:tc>
          <w:tcPr>
            <w:tcW w:w="2689" w:type="dxa"/>
          </w:tcPr>
          <w:p w14:paraId="7B4C6248" w14:textId="77777777" w:rsidR="008E38AB" w:rsidRDefault="008E38AB" w:rsidP="004E0D3E">
            <w:pPr>
              <w:pStyle w:val="TableBody"/>
            </w:pPr>
            <w:r>
              <w:t>Retail trade would be undertaken, and payment would be made later</w:t>
            </w:r>
          </w:p>
        </w:tc>
        <w:tc>
          <w:tcPr>
            <w:tcW w:w="3543" w:type="dxa"/>
          </w:tcPr>
          <w:p w14:paraId="3C635FF0" w14:textId="77777777" w:rsidR="008E38AB" w:rsidRDefault="008E38AB" w:rsidP="004E0D3E">
            <w:pPr>
              <w:pStyle w:val="TableBody"/>
            </w:pPr>
            <w:r>
              <w:t>A mechanic servicing your car may complete the job and seek payment later</w:t>
            </w:r>
          </w:p>
        </w:tc>
        <w:tc>
          <w:tcPr>
            <w:tcW w:w="2835" w:type="dxa"/>
          </w:tcPr>
          <w:p w14:paraId="4B6456B9" w14:textId="77777777" w:rsidR="008E38AB" w:rsidRDefault="008E38AB" w:rsidP="004E0D3E">
            <w:pPr>
              <w:pStyle w:val="TableBody"/>
            </w:pPr>
            <w:r>
              <w:t>No loss of trade, payment is delayed.  Minimal lost time to chase payment later</w:t>
            </w:r>
          </w:p>
        </w:tc>
      </w:tr>
      <w:tr w:rsidR="008E38AB" w14:paraId="69164C1D" w14:textId="77777777" w:rsidTr="004E0D3E">
        <w:trPr>
          <w:cnfStyle w:val="000000010000" w:firstRow="0" w:lastRow="0" w:firstColumn="0" w:lastColumn="0" w:oddVBand="0" w:evenVBand="0" w:oddHBand="0" w:evenHBand="1" w:firstRowFirstColumn="0" w:firstRowLastColumn="0" w:lastRowFirstColumn="0" w:lastRowLastColumn="0"/>
        </w:trPr>
        <w:tc>
          <w:tcPr>
            <w:tcW w:w="2689" w:type="dxa"/>
          </w:tcPr>
          <w:p w14:paraId="6FC3956E" w14:textId="77777777" w:rsidR="008E38AB" w:rsidRDefault="008E38AB" w:rsidP="004E0D3E">
            <w:pPr>
              <w:pStyle w:val="TableBody"/>
            </w:pPr>
            <w:r>
              <w:t>Trade would be moved to another day</w:t>
            </w:r>
          </w:p>
        </w:tc>
        <w:tc>
          <w:tcPr>
            <w:tcW w:w="3543" w:type="dxa"/>
          </w:tcPr>
          <w:p w14:paraId="3D489F09" w14:textId="77777777" w:rsidR="008E38AB" w:rsidRDefault="008E38AB" w:rsidP="004E0D3E">
            <w:pPr>
              <w:pStyle w:val="TableBody"/>
            </w:pPr>
            <w:r>
              <w:t>If your usual barber/hairdresser is unable to take payment, you may choose to delay your haircut to another day</w:t>
            </w:r>
          </w:p>
        </w:tc>
        <w:tc>
          <w:tcPr>
            <w:tcW w:w="2835" w:type="dxa"/>
          </w:tcPr>
          <w:p w14:paraId="260A02B3" w14:textId="77777777" w:rsidR="008E38AB" w:rsidRDefault="008E38AB" w:rsidP="004E0D3E">
            <w:pPr>
              <w:pStyle w:val="TableBody"/>
            </w:pPr>
            <w:r>
              <w:t>No overall loss of trade.  Business activity is shifted in time, but not lost</w:t>
            </w:r>
          </w:p>
        </w:tc>
      </w:tr>
      <w:tr w:rsidR="008E38AB" w14:paraId="4B754535" w14:textId="77777777" w:rsidTr="004E0D3E">
        <w:trPr>
          <w:cnfStyle w:val="000000100000" w:firstRow="0" w:lastRow="0" w:firstColumn="0" w:lastColumn="0" w:oddVBand="0" w:evenVBand="0" w:oddHBand="1" w:evenHBand="0" w:firstRowFirstColumn="0" w:firstRowLastColumn="0" w:lastRowFirstColumn="0" w:lastRowLastColumn="0"/>
        </w:trPr>
        <w:tc>
          <w:tcPr>
            <w:tcW w:w="2689" w:type="dxa"/>
          </w:tcPr>
          <w:p w14:paraId="1772F27E" w14:textId="77777777" w:rsidR="008E38AB" w:rsidRDefault="008E38AB" w:rsidP="004E0D3E">
            <w:pPr>
              <w:pStyle w:val="TableBody"/>
            </w:pPr>
            <w:r>
              <w:t>Trade is transferred to another business</w:t>
            </w:r>
          </w:p>
        </w:tc>
        <w:tc>
          <w:tcPr>
            <w:tcW w:w="3543" w:type="dxa"/>
          </w:tcPr>
          <w:p w14:paraId="2FCD8C37" w14:textId="77777777" w:rsidR="008E38AB" w:rsidRDefault="008E38AB" w:rsidP="004E0D3E">
            <w:pPr>
              <w:pStyle w:val="TableBody"/>
            </w:pPr>
            <w:r>
              <w:t>If a petrol station is unable to take payment most customers will obtain petrol at the next service station that is not impacted</w:t>
            </w:r>
          </w:p>
        </w:tc>
        <w:tc>
          <w:tcPr>
            <w:tcW w:w="2835" w:type="dxa"/>
          </w:tcPr>
          <w:p w14:paraId="7B88D58C" w14:textId="77777777" w:rsidR="008E38AB" w:rsidRDefault="008E38AB" w:rsidP="004E0D3E">
            <w:pPr>
              <w:pStyle w:val="TableBody"/>
            </w:pPr>
            <w:r>
              <w:t>No economic loss to the economy, but some businesses lose while others win</w:t>
            </w:r>
          </w:p>
        </w:tc>
      </w:tr>
      <w:tr w:rsidR="008E38AB" w14:paraId="1E2CB05E" w14:textId="77777777" w:rsidTr="004E0D3E">
        <w:trPr>
          <w:cnfStyle w:val="000000010000" w:firstRow="0" w:lastRow="0" w:firstColumn="0" w:lastColumn="0" w:oddVBand="0" w:evenVBand="0" w:oddHBand="0" w:evenHBand="1" w:firstRowFirstColumn="0" w:firstRowLastColumn="0" w:lastRowFirstColumn="0" w:lastRowLastColumn="0"/>
        </w:trPr>
        <w:tc>
          <w:tcPr>
            <w:tcW w:w="2689" w:type="dxa"/>
          </w:tcPr>
          <w:p w14:paraId="6CECEB13" w14:textId="77777777" w:rsidR="008E38AB" w:rsidRDefault="008E38AB" w:rsidP="004E0D3E">
            <w:pPr>
              <w:pStyle w:val="TableBody"/>
            </w:pPr>
            <w:r>
              <w:t>Trade is reduced and not recovered later</w:t>
            </w:r>
          </w:p>
        </w:tc>
        <w:tc>
          <w:tcPr>
            <w:tcW w:w="3543" w:type="dxa"/>
          </w:tcPr>
          <w:p w14:paraId="58033C86" w14:textId="77777777" w:rsidR="008E38AB" w:rsidRDefault="008E38AB" w:rsidP="004E0D3E">
            <w:pPr>
              <w:pStyle w:val="TableBody"/>
            </w:pPr>
            <w:r>
              <w:t>If there are limited choices, a customer may go without a coffee rather than find an alternative.  They may be unlikely to have additional coffee tomorrow</w:t>
            </w:r>
          </w:p>
        </w:tc>
        <w:tc>
          <w:tcPr>
            <w:tcW w:w="2835" w:type="dxa"/>
          </w:tcPr>
          <w:p w14:paraId="0F35CE01" w14:textId="77777777" w:rsidR="008E38AB" w:rsidRDefault="008E38AB" w:rsidP="004E0D3E">
            <w:pPr>
              <w:pStyle w:val="TableBody"/>
            </w:pPr>
            <w:r>
              <w:t>Loss to the economy</w:t>
            </w:r>
          </w:p>
        </w:tc>
      </w:tr>
      <w:tr w:rsidR="008E38AB" w14:paraId="7A5541E1" w14:textId="77777777" w:rsidTr="004E0D3E">
        <w:trPr>
          <w:cnfStyle w:val="000000100000" w:firstRow="0" w:lastRow="0" w:firstColumn="0" w:lastColumn="0" w:oddVBand="0" w:evenVBand="0" w:oddHBand="1" w:evenHBand="0" w:firstRowFirstColumn="0" w:firstRowLastColumn="0" w:lastRowFirstColumn="0" w:lastRowLastColumn="0"/>
        </w:trPr>
        <w:tc>
          <w:tcPr>
            <w:tcW w:w="2689" w:type="dxa"/>
          </w:tcPr>
          <w:p w14:paraId="3376BBE0" w14:textId="77777777" w:rsidR="008E38AB" w:rsidRDefault="008E38AB" w:rsidP="004E0D3E">
            <w:pPr>
              <w:pStyle w:val="TableBody"/>
            </w:pPr>
            <w:r>
              <w:lastRenderedPageBreak/>
              <w:t>Service industry carries on work from alternative locations</w:t>
            </w:r>
          </w:p>
        </w:tc>
        <w:tc>
          <w:tcPr>
            <w:tcW w:w="3543" w:type="dxa"/>
          </w:tcPr>
          <w:p w14:paraId="6D123CEA" w14:textId="77777777" w:rsidR="008E38AB" w:rsidRDefault="008E38AB" w:rsidP="004E0D3E">
            <w:pPr>
              <w:pStyle w:val="TableBody"/>
            </w:pPr>
            <w:r>
              <w:t>Some service industries would be able to operate by encouraging staff to work from home, or any location with an operating telephone or internet service</w:t>
            </w:r>
          </w:p>
        </w:tc>
        <w:tc>
          <w:tcPr>
            <w:tcW w:w="2835" w:type="dxa"/>
          </w:tcPr>
          <w:p w14:paraId="6FB7D437" w14:textId="77777777" w:rsidR="008E38AB" w:rsidRDefault="008E38AB" w:rsidP="004E0D3E">
            <w:pPr>
              <w:pStyle w:val="TableBody"/>
            </w:pPr>
            <w:r>
              <w:t>Negligible loss</w:t>
            </w:r>
          </w:p>
        </w:tc>
      </w:tr>
    </w:tbl>
    <w:p w14:paraId="34388A9F" w14:textId="77777777" w:rsidR="00C40DBB" w:rsidRDefault="00C40DBB" w:rsidP="00C40DBB">
      <w:pPr>
        <w:pStyle w:val="Paragraph"/>
      </w:pPr>
      <w:r>
        <w:t xml:space="preserve">As the distribution of the impacts shown in Table 4 above are hard to determine, the total economic loss of an outage is also difficult to measure. </w:t>
      </w:r>
    </w:p>
    <w:p w14:paraId="782AB3A6" w14:textId="77777777" w:rsidR="00C40DBB" w:rsidRDefault="00C40DBB" w:rsidP="00C40DBB">
      <w:pPr>
        <w:pStyle w:val="Heading3"/>
      </w:pPr>
      <w:bookmarkStart w:id="29" w:name="_Toc180405668"/>
      <w:bookmarkStart w:id="30" w:name="_Toc181713897"/>
      <w:r>
        <w:t>Wasted time for customers</w:t>
      </w:r>
      <w:r w:rsidRPr="00F931BE">
        <w:t xml:space="preserve"> </w:t>
      </w:r>
      <w:r>
        <w:t>and business staff</w:t>
      </w:r>
      <w:bookmarkEnd w:id="29"/>
      <w:bookmarkEnd w:id="30"/>
    </w:p>
    <w:p w14:paraId="193AE8DC" w14:textId="77777777" w:rsidR="00C40DBB" w:rsidRDefault="00C40DBB" w:rsidP="00C40DBB">
      <w:pPr>
        <w:pStyle w:val="Paragraph"/>
      </w:pPr>
      <w:r>
        <w:t>One of the losses that is consistent across each of the impacts above is that there is some wasted time for customers and business staff under each outcome.</w:t>
      </w:r>
    </w:p>
    <w:p w14:paraId="0403F5A6" w14:textId="77777777" w:rsidR="00C40DBB" w:rsidRDefault="00C40DBB" w:rsidP="00C40DBB">
      <w:pPr>
        <w:pStyle w:val="Paragraph"/>
      </w:pPr>
      <w:r>
        <w:t>It is important to note that there will be a large distribution in the loss of time to staff and customers ranging from no loss at all to a large loss of time (e.g., travel to work and then find there is no internet could waste multiple hours). This lost time will occur to both direct customers of the telecommunications company experiencing the outage, and customers of affected businesses.</w:t>
      </w:r>
    </w:p>
    <w:p w14:paraId="26F39DD9" w14:textId="77777777" w:rsidR="00C40DBB" w:rsidRDefault="00C40DBB" w:rsidP="00C40DBB">
      <w:pPr>
        <w:pStyle w:val="Heading3"/>
      </w:pPr>
      <w:bookmarkStart w:id="31" w:name="_Toc180405669"/>
      <w:bookmarkStart w:id="32" w:name="_Toc181713898"/>
      <w:r>
        <w:t>Reduction of loss</w:t>
      </w:r>
      <w:bookmarkEnd w:id="31"/>
      <w:bookmarkEnd w:id="32"/>
    </w:p>
    <w:p w14:paraId="6AFB5EAD" w14:textId="77777777" w:rsidR="00C40DBB" w:rsidRDefault="00C40DBB" w:rsidP="00C40DBB">
      <w:pPr>
        <w:pStyle w:val="Paragraphbeforelist"/>
      </w:pPr>
      <w:r>
        <w:t xml:space="preserve">Improved information </w:t>
      </w:r>
      <w:r w:rsidRPr="00E82FD2">
        <w:rPr>
          <w:szCs w:val="22"/>
        </w:rPr>
        <w:t xml:space="preserve">from </w:t>
      </w:r>
      <w:r w:rsidRPr="00B235DB">
        <w:rPr>
          <w:szCs w:val="22"/>
        </w:rPr>
        <w:t>Carriage Service Provider</w:t>
      </w:r>
      <w:r>
        <w:rPr>
          <w:szCs w:val="22"/>
        </w:rPr>
        <w:t>s</w:t>
      </w:r>
      <w:r w:rsidRPr="00B235DB">
        <w:rPr>
          <w:szCs w:val="22"/>
        </w:rPr>
        <w:t xml:space="preserve"> </w:t>
      </w:r>
      <w:r w:rsidRPr="00E82FD2">
        <w:rPr>
          <w:szCs w:val="22"/>
        </w:rPr>
        <w:t xml:space="preserve">about </w:t>
      </w:r>
      <w:r>
        <w:rPr>
          <w:szCs w:val="22"/>
        </w:rPr>
        <w:t>an</w:t>
      </w:r>
      <w:r w:rsidRPr="00E82FD2">
        <w:rPr>
          <w:szCs w:val="22"/>
        </w:rPr>
        <w:t xml:space="preserve"> outage and when it would be resolved</w:t>
      </w:r>
      <w:r>
        <w:t xml:space="preserve"> would allow customers to plan their day and identify “work arounds” and strategies that minimise the impacts, such as:</w:t>
      </w:r>
    </w:p>
    <w:p w14:paraId="486C12AD" w14:textId="77777777" w:rsidR="005F274C" w:rsidRDefault="005F274C" w:rsidP="005F274C">
      <w:pPr>
        <w:pStyle w:val="Bulletlevel1"/>
      </w:pPr>
      <w:r>
        <w:t>Find and relocate to a location with internet to work or study</w:t>
      </w:r>
    </w:p>
    <w:p w14:paraId="75154C30" w14:textId="77777777" w:rsidR="005F274C" w:rsidRDefault="005F274C" w:rsidP="005F274C">
      <w:pPr>
        <w:pStyle w:val="Bulletlevel1"/>
      </w:pPr>
      <w:r>
        <w:t>Get cash out to make purchases</w:t>
      </w:r>
    </w:p>
    <w:p w14:paraId="4D18C95E" w14:textId="77777777" w:rsidR="005F274C" w:rsidRDefault="005F274C" w:rsidP="005F274C">
      <w:pPr>
        <w:pStyle w:val="Bulletlevel1"/>
      </w:pPr>
      <w:r>
        <w:t>Use a backup form of communication to contact staff, customers, support services and family</w:t>
      </w:r>
    </w:p>
    <w:p w14:paraId="4AF205C5" w14:textId="77777777" w:rsidR="005F274C" w:rsidRDefault="005F274C" w:rsidP="005F274C">
      <w:pPr>
        <w:pStyle w:val="Bulletlevel1"/>
      </w:pPr>
      <w:r>
        <w:t>Send staff home if no solution is available or advise them not to come in</w:t>
      </w:r>
    </w:p>
    <w:p w14:paraId="41D4429D" w14:textId="77777777" w:rsidR="005F274C" w:rsidRDefault="005F274C" w:rsidP="005F274C">
      <w:pPr>
        <w:pStyle w:val="Bulletlevel1"/>
      </w:pPr>
      <w:r>
        <w:t>Reschedule appointments, meetings and events that cannot be overcome.</w:t>
      </w:r>
    </w:p>
    <w:p w14:paraId="070C5808" w14:textId="77777777" w:rsidR="00C40DBB" w:rsidRDefault="00C40DBB" w:rsidP="00C40DBB">
      <w:pPr>
        <w:pStyle w:val="Heading3"/>
      </w:pPr>
    </w:p>
    <w:p w14:paraId="7F99D9F5" w14:textId="77777777" w:rsidR="00C40DBB" w:rsidRDefault="00C40DBB" w:rsidP="00C40DBB">
      <w:pPr>
        <w:pStyle w:val="Heading3"/>
      </w:pPr>
      <w:bookmarkStart w:id="33" w:name="_Toc180405670"/>
      <w:bookmarkStart w:id="34" w:name="_Toc181713899"/>
      <w:r>
        <w:t>Calculating the benefits of improved</w:t>
      </w:r>
      <w:r w:rsidRPr="00592059">
        <w:t xml:space="preserve"> </w:t>
      </w:r>
      <w:r>
        <w:t xml:space="preserve">information </w:t>
      </w:r>
      <w:r w:rsidRPr="00592059">
        <w:t>about outages</w:t>
      </w:r>
      <w:bookmarkEnd w:id="33"/>
      <w:bookmarkEnd w:id="34"/>
    </w:p>
    <w:p w14:paraId="4C4B8EE7" w14:textId="77777777" w:rsidR="00C40DBB" w:rsidRDefault="00C40DBB" w:rsidP="00C40DBB">
      <w:pPr>
        <w:pStyle w:val="Paragraph"/>
      </w:pPr>
      <w:r>
        <w:t>Based on the impact of an outage in lost or wasted time and reduction of loss, a key benefit of an intervention that achieves the reform objectives is the reduction in wasted time for individuals impacted by the outage. Some will be direct customers of the affected telecommunications company while others will be employees of impacted businesses and their customers. The annual benefit can be estimated using the equations below:</w:t>
      </w:r>
    </w:p>
    <w:p w14:paraId="09B61A59" w14:textId="77777777" w:rsidR="00C40DBB" w:rsidRDefault="00C40DBB" w:rsidP="00C40DBB">
      <w:pPr>
        <w:pStyle w:val="Paragraph"/>
      </w:pPr>
      <w:r>
        <w:t>Individuals</w:t>
      </w:r>
    </w:p>
    <w:tbl>
      <w:tblPr>
        <w:tblStyle w:val="TableGrid"/>
        <w:tblW w:w="7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3"/>
        <w:gridCol w:w="1553"/>
        <w:gridCol w:w="444"/>
        <w:gridCol w:w="1255"/>
        <w:gridCol w:w="363"/>
        <w:gridCol w:w="1339"/>
      </w:tblGrid>
      <w:tr w:rsidR="007E2FA4" w:rsidRPr="00AA1467" w14:paraId="3EC07116" w14:textId="77777777" w:rsidTr="004E0D3E">
        <w:tc>
          <w:tcPr>
            <w:tcW w:w="2263" w:type="dxa"/>
            <w:tcBorders>
              <w:top w:val="single" w:sz="4" w:space="0" w:color="auto"/>
              <w:left w:val="single" w:sz="4" w:space="0" w:color="auto"/>
              <w:bottom w:val="single" w:sz="4" w:space="0" w:color="auto"/>
              <w:right w:val="single" w:sz="4" w:space="0" w:color="auto"/>
            </w:tcBorders>
          </w:tcPr>
          <w:p w14:paraId="2EF4FCE6" w14:textId="416F8C69" w:rsidR="007E2FA4" w:rsidRPr="007D2F46" w:rsidRDefault="007E2FA4" w:rsidP="004E0D3E">
            <w:pPr>
              <w:pStyle w:val="Paragraph"/>
            </w:pPr>
            <w:r w:rsidRPr="00AA1467">
              <w:t xml:space="preserve">Number of impacted </w:t>
            </w:r>
            <w:r>
              <w:t xml:space="preserve">individuals </w:t>
            </w:r>
            <w:r>
              <w:br/>
              <w:t>(</w:t>
            </w:r>
            <w:r w:rsidR="00BF356C">
              <w:t>F</w:t>
            </w:r>
            <w:r>
              <w:t>)</w:t>
            </w:r>
          </w:p>
        </w:tc>
        <w:tc>
          <w:tcPr>
            <w:tcW w:w="363" w:type="dxa"/>
            <w:tcBorders>
              <w:left w:val="single" w:sz="4" w:space="0" w:color="auto"/>
              <w:right w:val="single" w:sz="4" w:space="0" w:color="auto"/>
            </w:tcBorders>
          </w:tcPr>
          <w:p w14:paraId="0796DA7A" w14:textId="77777777" w:rsidR="007E2FA4" w:rsidRPr="007D2F46" w:rsidRDefault="007E2FA4" w:rsidP="004E0D3E">
            <w:pPr>
              <w:pStyle w:val="Paragraph"/>
            </w:pPr>
            <w:r w:rsidRPr="00AA1467">
              <w:t>X</w:t>
            </w:r>
          </w:p>
        </w:tc>
        <w:tc>
          <w:tcPr>
            <w:tcW w:w="1553" w:type="dxa"/>
            <w:tcBorders>
              <w:top w:val="single" w:sz="4" w:space="0" w:color="auto"/>
              <w:left w:val="single" w:sz="4" w:space="0" w:color="auto"/>
              <w:bottom w:val="single" w:sz="4" w:space="0" w:color="auto"/>
              <w:right w:val="single" w:sz="4" w:space="0" w:color="auto"/>
            </w:tcBorders>
          </w:tcPr>
          <w:p w14:paraId="41482268" w14:textId="77777777" w:rsidR="007E2FA4" w:rsidRPr="007D2F46" w:rsidRDefault="007E2FA4" w:rsidP="004E0D3E">
            <w:pPr>
              <w:pStyle w:val="Paragraph"/>
            </w:pPr>
            <w:r w:rsidRPr="00AA1467">
              <w:t>Reduction in Lost time</w:t>
            </w:r>
            <w:r>
              <w:t xml:space="preserve"> </w:t>
            </w:r>
            <w:r>
              <w:br/>
              <w:t>(C)</w:t>
            </w:r>
          </w:p>
        </w:tc>
        <w:tc>
          <w:tcPr>
            <w:tcW w:w="444" w:type="dxa"/>
            <w:tcBorders>
              <w:left w:val="single" w:sz="4" w:space="0" w:color="auto"/>
              <w:right w:val="single" w:sz="4" w:space="0" w:color="auto"/>
            </w:tcBorders>
          </w:tcPr>
          <w:p w14:paraId="075CD071" w14:textId="77777777" w:rsidR="007E2FA4" w:rsidRPr="007D2F46" w:rsidRDefault="007E2FA4" w:rsidP="004E0D3E">
            <w:pPr>
              <w:pStyle w:val="Paragraph"/>
            </w:pPr>
            <w:r w:rsidRPr="00AA1467">
              <w:t>X</w:t>
            </w:r>
          </w:p>
        </w:tc>
        <w:tc>
          <w:tcPr>
            <w:tcW w:w="1255" w:type="dxa"/>
            <w:tcBorders>
              <w:top w:val="single" w:sz="4" w:space="0" w:color="auto"/>
              <w:left w:val="single" w:sz="4" w:space="0" w:color="auto"/>
              <w:bottom w:val="single" w:sz="4" w:space="0" w:color="auto"/>
              <w:right w:val="single" w:sz="4" w:space="0" w:color="auto"/>
            </w:tcBorders>
          </w:tcPr>
          <w:p w14:paraId="0EB53EAB" w14:textId="77777777" w:rsidR="007E2FA4" w:rsidRPr="007D2F46" w:rsidRDefault="007E2FA4" w:rsidP="004E0D3E">
            <w:pPr>
              <w:pStyle w:val="Paragraph"/>
            </w:pPr>
            <w:r w:rsidRPr="00AA1467">
              <w:t>Value of Lost time</w:t>
            </w:r>
            <w:r>
              <w:t xml:space="preserve"> (D)</w:t>
            </w:r>
          </w:p>
        </w:tc>
        <w:tc>
          <w:tcPr>
            <w:tcW w:w="363" w:type="dxa"/>
            <w:tcBorders>
              <w:left w:val="single" w:sz="4" w:space="0" w:color="auto"/>
              <w:right w:val="single" w:sz="4" w:space="0" w:color="auto"/>
            </w:tcBorders>
          </w:tcPr>
          <w:p w14:paraId="5A31E1C3" w14:textId="77777777" w:rsidR="007E2FA4" w:rsidRPr="007D2F46" w:rsidRDefault="007E2FA4" w:rsidP="004E0D3E">
            <w:pPr>
              <w:pStyle w:val="Paragraph"/>
            </w:pPr>
            <w:r w:rsidRPr="00AA1467">
              <w:t>X</w:t>
            </w:r>
          </w:p>
        </w:tc>
        <w:tc>
          <w:tcPr>
            <w:tcW w:w="1339" w:type="dxa"/>
            <w:tcBorders>
              <w:top w:val="single" w:sz="4" w:space="0" w:color="auto"/>
              <w:left w:val="single" w:sz="4" w:space="0" w:color="auto"/>
              <w:bottom w:val="single" w:sz="4" w:space="0" w:color="auto"/>
              <w:right w:val="single" w:sz="4" w:space="0" w:color="auto"/>
            </w:tcBorders>
          </w:tcPr>
          <w:p w14:paraId="46AEE628" w14:textId="77777777" w:rsidR="007E2FA4" w:rsidRPr="00AA1467" w:rsidRDefault="007E2FA4" w:rsidP="004E0D3E">
            <w:pPr>
              <w:pStyle w:val="Paragraph"/>
            </w:pPr>
            <w:r w:rsidRPr="00AA1467">
              <w:t># Outages per year</w:t>
            </w:r>
            <w:r>
              <w:t xml:space="preserve"> (E)</w:t>
            </w:r>
          </w:p>
        </w:tc>
      </w:tr>
    </w:tbl>
    <w:p w14:paraId="36065BDA" w14:textId="77777777" w:rsidR="005F274C" w:rsidRDefault="005F274C" w:rsidP="005F274C">
      <w:pPr>
        <w:pStyle w:val="Paragraph"/>
      </w:pPr>
    </w:p>
    <w:p w14:paraId="3B566D9A" w14:textId="77777777" w:rsidR="0091497D" w:rsidRDefault="0091497D" w:rsidP="0091497D">
      <w:pPr>
        <w:pStyle w:val="Paragraph"/>
        <w:keepNext/>
        <w:keepLines/>
      </w:pPr>
      <w:r>
        <w:lastRenderedPageBreak/>
        <w:t>Customers and employees of impacted businesses</w:t>
      </w: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363"/>
        <w:gridCol w:w="1764"/>
        <w:gridCol w:w="407"/>
        <w:gridCol w:w="1553"/>
        <w:gridCol w:w="444"/>
        <w:gridCol w:w="1139"/>
        <w:gridCol w:w="363"/>
        <w:gridCol w:w="1339"/>
      </w:tblGrid>
      <w:tr w:rsidR="0091497D" w:rsidRPr="00AA1467" w14:paraId="32575E54" w14:textId="77777777" w:rsidTr="004E0D3E">
        <w:tc>
          <w:tcPr>
            <w:tcW w:w="2263" w:type="dxa"/>
            <w:tcBorders>
              <w:top w:val="single" w:sz="4" w:space="0" w:color="auto"/>
              <w:left w:val="single" w:sz="4" w:space="0" w:color="auto"/>
              <w:bottom w:val="single" w:sz="4" w:space="0" w:color="auto"/>
              <w:right w:val="single" w:sz="4" w:space="0" w:color="auto"/>
            </w:tcBorders>
          </w:tcPr>
          <w:p w14:paraId="7DB77E3D" w14:textId="77777777" w:rsidR="0091497D" w:rsidRPr="007D2F46" w:rsidRDefault="0091497D" w:rsidP="004E0D3E">
            <w:pPr>
              <w:pStyle w:val="Paragraph"/>
            </w:pPr>
            <w:r w:rsidRPr="00AA1467">
              <w:t>Number of impacted businesses</w:t>
            </w:r>
            <w:r>
              <w:t xml:space="preserve"> </w:t>
            </w:r>
            <w:r>
              <w:br/>
              <w:t>(A)</w:t>
            </w:r>
          </w:p>
        </w:tc>
        <w:tc>
          <w:tcPr>
            <w:tcW w:w="363" w:type="dxa"/>
            <w:tcBorders>
              <w:left w:val="single" w:sz="4" w:space="0" w:color="auto"/>
              <w:right w:val="single" w:sz="4" w:space="0" w:color="auto"/>
            </w:tcBorders>
          </w:tcPr>
          <w:p w14:paraId="0372ED70" w14:textId="77777777" w:rsidR="0091497D" w:rsidRPr="007D2F46" w:rsidRDefault="0091497D" w:rsidP="004E0D3E">
            <w:pPr>
              <w:pStyle w:val="Paragraph"/>
            </w:pPr>
            <w:r w:rsidRPr="00AA1467">
              <w:t>X</w:t>
            </w:r>
          </w:p>
        </w:tc>
        <w:tc>
          <w:tcPr>
            <w:tcW w:w="1764" w:type="dxa"/>
            <w:tcBorders>
              <w:top w:val="single" w:sz="4" w:space="0" w:color="auto"/>
              <w:left w:val="single" w:sz="4" w:space="0" w:color="auto"/>
              <w:bottom w:val="single" w:sz="4" w:space="0" w:color="auto"/>
              <w:right w:val="single" w:sz="4" w:space="0" w:color="auto"/>
            </w:tcBorders>
          </w:tcPr>
          <w:p w14:paraId="6B0B9E27" w14:textId="77777777" w:rsidR="0091497D" w:rsidRPr="007D2F46" w:rsidRDefault="0091497D" w:rsidP="004E0D3E">
            <w:pPr>
              <w:pStyle w:val="Paragraph"/>
            </w:pPr>
            <w:r w:rsidRPr="00AA1467">
              <w:t>Number of customers</w:t>
            </w:r>
            <w:r>
              <w:t xml:space="preserve"> and employees</w:t>
            </w:r>
            <w:r>
              <w:br/>
              <w:t>(B)</w:t>
            </w:r>
          </w:p>
        </w:tc>
        <w:tc>
          <w:tcPr>
            <w:tcW w:w="407" w:type="dxa"/>
            <w:tcBorders>
              <w:left w:val="single" w:sz="4" w:space="0" w:color="auto"/>
              <w:right w:val="single" w:sz="4" w:space="0" w:color="auto"/>
            </w:tcBorders>
          </w:tcPr>
          <w:p w14:paraId="37BF2E69" w14:textId="77777777" w:rsidR="0091497D" w:rsidRPr="007D2F46" w:rsidRDefault="0091497D" w:rsidP="004E0D3E">
            <w:pPr>
              <w:pStyle w:val="Paragraph"/>
            </w:pPr>
            <w:r w:rsidRPr="00AA1467">
              <w:t>X</w:t>
            </w:r>
          </w:p>
        </w:tc>
        <w:tc>
          <w:tcPr>
            <w:tcW w:w="1553" w:type="dxa"/>
            <w:tcBorders>
              <w:top w:val="single" w:sz="4" w:space="0" w:color="auto"/>
              <w:left w:val="single" w:sz="4" w:space="0" w:color="auto"/>
              <w:bottom w:val="single" w:sz="4" w:space="0" w:color="auto"/>
              <w:right w:val="single" w:sz="4" w:space="0" w:color="auto"/>
            </w:tcBorders>
          </w:tcPr>
          <w:p w14:paraId="3C644FE1" w14:textId="77777777" w:rsidR="0091497D" w:rsidRPr="007D2F46" w:rsidRDefault="0091497D" w:rsidP="004E0D3E">
            <w:pPr>
              <w:pStyle w:val="Paragraph"/>
            </w:pPr>
            <w:r w:rsidRPr="00AA1467">
              <w:t>Reduction in Lost time</w:t>
            </w:r>
            <w:r>
              <w:t xml:space="preserve"> </w:t>
            </w:r>
            <w:r>
              <w:br/>
              <w:t>(C)</w:t>
            </w:r>
          </w:p>
        </w:tc>
        <w:tc>
          <w:tcPr>
            <w:tcW w:w="444" w:type="dxa"/>
            <w:tcBorders>
              <w:left w:val="single" w:sz="4" w:space="0" w:color="auto"/>
              <w:right w:val="single" w:sz="4" w:space="0" w:color="auto"/>
            </w:tcBorders>
          </w:tcPr>
          <w:p w14:paraId="6F594D7E" w14:textId="77777777" w:rsidR="0091497D" w:rsidRPr="007D2F46" w:rsidRDefault="0091497D" w:rsidP="004E0D3E">
            <w:pPr>
              <w:pStyle w:val="Paragraph"/>
            </w:pPr>
            <w:r w:rsidRPr="00AA1467">
              <w:t>X</w:t>
            </w:r>
          </w:p>
        </w:tc>
        <w:tc>
          <w:tcPr>
            <w:tcW w:w="1139" w:type="dxa"/>
            <w:tcBorders>
              <w:top w:val="single" w:sz="4" w:space="0" w:color="auto"/>
              <w:left w:val="single" w:sz="4" w:space="0" w:color="auto"/>
              <w:bottom w:val="single" w:sz="4" w:space="0" w:color="auto"/>
              <w:right w:val="single" w:sz="4" w:space="0" w:color="auto"/>
            </w:tcBorders>
          </w:tcPr>
          <w:p w14:paraId="4FFEC40C" w14:textId="77777777" w:rsidR="0091497D" w:rsidRPr="007D2F46" w:rsidRDefault="0091497D" w:rsidP="004E0D3E">
            <w:pPr>
              <w:pStyle w:val="Paragraph"/>
            </w:pPr>
            <w:r w:rsidRPr="00AA1467">
              <w:t>Value of Lost time</w:t>
            </w:r>
            <w:r>
              <w:t xml:space="preserve"> (D)</w:t>
            </w:r>
          </w:p>
        </w:tc>
        <w:tc>
          <w:tcPr>
            <w:tcW w:w="363" w:type="dxa"/>
            <w:tcBorders>
              <w:left w:val="single" w:sz="4" w:space="0" w:color="auto"/>
              <w:right w:val="single" w:sz="4" w:space="0" w:color="auto"/>
            </w:tcBorders>
          </w:tcPr>
          <w:p w14:paraId="7BB3E223" w14:textId="77777777" w:rsidR="0091497D" w:rsidRPr="007D2F46" w:rsidRDefault="0091497D" w:rsidP="004E0D3E">
            <w:pPr>
              <w:pStyle w:val="Paragraph"/>
            </w:pPr>
            <w:r w:rsidRPr="00AA1467">
              <w:t>X</w:t>
            </w:r>
          </w:p>
        </w:tc>
        <w:tc>
          <w:tcPr>
            <w:tcW w:w="1339" w:type="dxa"/>
            <w:tcBorders>
              <w:top w:val="single" w:sz="4" w:space="0" w:color="auto"/>
              <w:left w:val="single" w:sz="4" w:space="0" w:color="auto"/>
              <w:bottom w:val="single" w:sz="4" w:space="0" w:color="auto"/>
              <w:right w:val="single" w:sz="4" w:space="0" w:color="auto"/>
            </w:tcBorders>
          </w:tcPr>
          <w:p w14:paraId="3EF75A7E" w14:textId="77777777" w:rsidR="0091497D" w:rsidRPr="00AA1467" w:rsidRDefault="0091497D" w:rsidP="004E0D3E">
            <w:pPr>
              <w:pStyle w:val="Paragraph"/>
            </w:pPr>
            <w:r w:rsidRPr="00AA1467">
              <w:t># Outages per year</w:t>
            </w:r>
            <w:r>
              <w:t xml:space="preserve"> (E)</w:t>
            </w:r>
          </w:p>
        </w:tc>
      </w:tr>
    </w:tbl>
    <w:p w14:paraId="77AF7B26" w14:textId="77777777" w:rsidR="00195202" w:rsidRDefault="00195202" w:rsidP="00195202">
      <w:pPr>
        <w:pStyle w:val="Heading2"/>
      </w:pPr>
      <w:bookmarkStart w:id="35" w:name="_Toc180405671"/>
      <w:bookmarkStart w:id="36" w:name="_Toc181713900"/>
      <w:r>
        <w:t>Identification of stakeholders and impacts</w:t>
      </w:r>
      <w:bookmarkEnd w:id="35"/>
      <w:bookmarkEnd w:id="36"/>
    </w:p>
    <w:p w14:paraId="22144A15" w14:textId="77777777" w:rsidR="00195202" w:rsidRDefault="00195202" w:rsidP="00195202">
      <w:pPr>
        <w:pStyle w:val="Paragraphbeforelist"/>
      </w:pPr>
      <w:r w:rsidRPr="58F67273">
        <w:rPr>
          <w:rFonts w:eastAsia="Arial"/>
        </w:rPr>
        <w:t>The following Government stakeholders were identified:</w:t>
      </w:r>
    </w:p>
    <w:p w14:paraId="7F6AC30B" w14:textId="77777777" w:rsidR="00195202" w:rsidRDefault="00195202" w:rsidP="00195202">
      <w:pPr>
        <w:pStyle w:val="ListParagraph"/>
        <w:numPr>
          <w:ilvl w:val="0"/>
          <w:numId w:val="46"/>
        </w:numPr>
        <w:spacing w:after="0"/>
        <w:ind w:left="284" w:hanging="284"/>
      </w:pPr>
      <w:r w:rsidRPr="00F96708">
        <w:rPr>
          <w:rFonts w:eastAsia="Arial" w:cs="Arial"/>
          <w:sz w:val="22"/>
          <w:szCs w:val="22"/>
        </w:rPr>
        <w:t xml:space="preserve">ACMA develop and implement the reforms.  </w:t>
      </w:r>
    </w:p>
    <w:p w14:paraId="7BE9658B" w14:textId="77777777" w:rsidR="00F31724" w:rsidRDefault="00F31724" w:rsidP="00195202">
      <w:pPr>
        <w:pStyle w:val="Paragraphbeforelist"/>
        <w:rPr>
          <w:rFonts w:eastAsia="Arial"/>
        </w:rPr>
      </w:pPr>
    </w:p>
    <w:p w14:paraId="3DC97EC6" w14:textId="1A564D8A" w:rsidR="00195202" w:rsidRDefault="00195202" w:rsidP="00195202">
      <w:pPr>
        <w:pStyle w:val="Paragraphbeforelist"/>
      </w:pPr>
      <w:r w:rsidRPr="58F67273">
        <w:rPr>
          <w:rFonts w:eastAsia="Arial"/>
        </w:rPr>
        <w:t xml:space="preserve">The following industry stakeholders were identified: </w:t>
      </w:r>
    </w:p>
    <w:p w14:paraId="76113C7B" w14:textId="77777777" w:rsidR="00195202" w:rsidRDefault="00195202" w:rsidP="00195202">
      <w:pPr>
        <w:pStyle w:val="ListParagraph"/>
        <w:numPr>
          <w:ilvl w:val="0"/>
          <w:numId w:val="46"/>
        </w:numPr>
        <w:spacing w:after="0"/>
        <w:ind w:left="284" w:hanging="284"/>
        <w:rPr>
          <w:rFonts w:eastAsia="Arial" w:cs="Arial"/>
          <w:sz w:val="22"/>
          <w:szCs w:val="22"/>
        </w:rPr>
      </w:pPr>
      <w:r>
        <w:rPr>
          <w:rFonts w:eastAsia="Arial" w:cs="Arial"/>
          <w:sz w:val="22"/>
          <w:szCs w:val="22"/>
        </w:rPr>
        <w:t>Carriers</w:t>
      </w:r>
    </w:p>
    <w:p w14:paraId="0E4A30A0" w14:textId="77777777" w:rsidR="00195202" w:rsidRDefault="00195202" w:rsidP="00195202">
      <w:pPr>
        <w:pStyle w:val="ListParagraph"/>
        <w:numPr>
          <w:ilvl w:val="0"/>
          <w:numId w:val="46"/>
        </w:numPr>
        <w:spacing w:after="0"/>
        <w:ind w:left="284" w:hanging="284"/>
        <w:rPr>
          <w:rFonts w:eastAsia="Arial" w:cs="Arial"/>
          <w:sz w:val="22"/>
          <w:szCs w:val="22"/>
        </w:rPr>
      </w:pPr>
      <w:r w:rsidRPr="58F67273">
        <w:rPr>
          <w:rFonts w:eastAsia="Arial" w:cs="Arial"/>
          <w:sz w:val="22"/>
          <w:szCs w:val="22"/>
        </w:rPr>
        <w:t>Carriage Service Providers</w:t>
      </w:r>
    </w:p>
    <w:p w14:paraId="4F381A01" w14:textId="77777777" w:rsidR="00195202" w:rsidRDefault="00195202" w:rsidP="00195202">
      <w:pPr>
        <w:pStyle w:val="ListParagraph"/>
        <w:numPr>
          <w:ilvl w:val="0"/>
          <w:numId w:val="46"/>
        </w:numPr>
        <w:spacing w:after="0"/>
        <w:ind w:left="284" w:hanging="284"/>
        <w:rPr>
          <w:rFonts w:eastAsia="Arial" w:cs="Arial"/>
          <w:sz w:val="22"/>
          <w:szCs w:val="22"/>
        </w:rPr>
      </w:pPr>
      <w:r>
        <w:rPr>
          <w:rFonts w:eastAsia="Arial" w:cs="Arial"/>
          <w:sz w:val="22"/>
          <w:szCs w:val="22"/>
        </w:rPr>
        <w:t>Other industry (businesses potentially affected by outages)</w:t>
      </w:r>
    </w:p>
    <w:p w14:paraId="364A74D3" w14:textId="77777777" w:rsidR="00195202" w:rsidRPr="006B7FF8" w:rsidRDefault="00195202" w:rsidP="00195202">
      <w:pPr>
        <w:pStyle w:val="ListParagraph"/>
        <w:spacing w:after="0"/>
        <w:ind w:left="284"/>
        <w:rPr>
          <w:rFonts w:eastAsia="Arial" w:cs="Arial"/>
          <w:sz w:val="22"/>
          <w:szCs w:val="22"/>
        </w:rPr>
      </w:pPr>
    </w:p>
    <w:p w14:paraId="6170A209" w14:textId="77777777" w:rsidR="00195202" w:rsidRDefault="00195202" w:rsidP="00195202">
      <w:pPr>
        <w:pStyle w:val="Paragraphbeforelist"/>
      </w:pPr>
      <w:r w:rsidRPr="58F67273">
        <w:rPr>
          <w:rFonts w:eastAsia="Arial"/>
        </w:rPr>
        <w:t>Two stakeholder groups within the broader public were identified</w:t>
      </w:r>
      <w:r>
        <w:rPr>
          <w:rFonts w:eastAsia="Arial"/>
        </w:rPr>
        <w:t>:</w:t>
      </w:r>
    </w:p>
    <w:p w14:paraId="390515E0" w14:textId="77777777" w:rsidR="00195202" w:rsidRDefault="00195202" w:rsidP="00195202">
      <w:pPr>
        <w:pStyle w:val="Bulletlevel1"/>
        <w:rPr>
          <w:rFonts w:eastAsia="Arial"/>
        </w:rPr>
      </w:pPr>
      <w:r w:rsidRPr="58F67273">
        <w:rPr>
          <w:rFonts w:eastAsia="Arial"/>
        </w:rPr>
        <w:t xml:space="preserve">Members of the public </w:t>
      </w:r>
      <w:r>
        <w:t>on the effected network</w:t>
      </w:r>
    </w:p>
    <w:p w14:paraId="13250DB7" w14:textId="77777777" w:rsidR="00195202" w:rsidRPr="00355F0C" w:rsidRDefault="00195202" w:rsidP="00195202">
      <w:pPr>
        <w:pStyle w:val="ListParagraph"/>
        <w:numPr>
          <w:ilvl w:val="0"/>
          <w:numId w:val="46"/>
        </w:numPr>
        <w:spacing w:after="0"/>
        <w:ind w:left="284" w:hanging="284"/>
      </w:pPr>
      <w:r w:rsidRPr="006B7FF8">
        <w:rPr>
          <w:rFonts w:eastAsia="Arial" w:cs="Arial"/>
          <w:sz w:val="22"/>
          <w:szCs w:val="22"/>
        </w:rPr>
        <w:t>Broader public</w:t>
      </w:r>
      <w:r>
        <w:rPr>
          <w:rFonts w:eastAsia="Arial" w:cs="Arial"/>
          <w:sz w:val="22"/>
          <w:szCs w:val="22"/>
        </w:rPr>
        <w:t>.</w:t>
      </w:r>
    </w:p>
    <w:p w14:paraId="0F8BE912" w14:textId="77777777" w:rsidR="00195202" w:rsidRPr="00C463DB" w:rsidRDefault="00195202" w:rsidP="00195202">
      <w:pPr>
        <w:pStyle w:val="ListParagraph"/>
        <w:spacing w:after="0"/>
        <w:ind w:left="284"/>
      </w:pPr>
    </w:p>
    <w:p w14:paraId="057904E0" w14:textId="77777777" w:rsidR="00195202" w:rsidRDefault="00195202" w:rsidP="00195202">
      <w:pPr>
        <w:pStyle w:val="Paragraph"/>
        <w:rPr>
          <w:rFonts w:eastAsia="Arial"/>
        </w:rPr>
      </w:pPr>
      <w:r w:rsidRPr="58F67273">
        <w:rPr>
          <w:rFonts w:eastAsia="Arial"/>
        </w:rPr>
        <w:t xml:space="preserve">A collated summary costs and benefits arising from Option 2 for each stakeholder group is set out in Table </w:t>
      </w:r>
      <w:r>
        <w:rPr>
          <w:rFonts w:eastAsia="Arial"/>
        </w:rPr>
        <w:t>5</w:t>
      </w:r>
      <w:r w:rsidRPr="58F67273">
        <w:rPr>
          <w:rFonts w:eastAsia="Arial"/>
        </w:rPr>
        <w:t xml:space="preserve">. </w:t>
      </w:r>
    </w:p>
    <w:p w14:paraId="4154A9A4" w14:textId="77777777" w:rsidR="00EB1993" w:rsidRDefault="00EB1993" w:rsidP="00EB1993">
      <w:pPr>
        <w:keepNext/>
        <w:keepLines/>
        <w:tabs>
          <w:tab w:val="left" w:pos="720"/>
        </w:tabs>
        <w:spacing w:after="0"/>
        <w:ind w:left="964" w:hanging="964"/>
      </w:pPr>
      <w:r w:rsidRPr="58F67273">
        <w:rPr>
          <w:rFonts w:eastAsia="Arial" w:cs="Arial"/>
          <w:b/>
          <w:bCs/>
          <w:color w:val="323232"/>
          <w:szCs w:val="20"/>
        </w:rPr>
        <w:t xml:space="preserve">Table </w:t>
      </w:r>
      <w:r>
        <w:rPr>
          <w:rFonts w:eastAsia="Arial" w:cs="Arial"/>
          <w:b/>
          <w:bCs/>
          <w:color w:val="323232"/>
          <w:szCs w:val="20"/>
        </w:rPr>
        <w:t>5</w:t>
      </w:r>
      <w:r w:rsidRPr="58F67273">
        <w:rPr>
          <w:rFonts w:eastAsia="Arial" w:cs="Arial"/>
          <w:b/>
          <w:bCs/>
          <w:color w:val="323232"/>
          <w:szCs w:val="20"/>
        </w:rPr>
        <w:t xml:space="preserve">: Collated summary of costs and benefits arising from Option 2 for each stakeholder group </w:t>
      </w:r>
    </w:p>
    <w:tbl>
      <w:tblPr>
        <w:tblStyle w:val="ACMAtablestyle"/>
        <w:tblW w:w="9067" w:type="dxa"/>
        <w:tblLook w:val="04A0" w:firstRow="1" w:lastRow="0" w:firstColumn="1" w:lastColumn="0" w:noHBand="0" w:noVBand="1"/>
      </w:tblPr>
      <w:tblGrid>
        <w:gridCol w:w="2265"/>
        <w:gridCol w:w="3259"/>
        <w:gridCol w:w="3543"/>
      </w:tblGrid>
      <w:tr w:rsidR="000F6B0B" w:rsidRPr="00440C72" w14:paraId="76B62459" w14:textId="77777777" w:rsidTr="004E0D3E">
        <w:trPr>
          <w:cnfStyle w:val="100000000000" w:firstRow="1" w:lastRow="0" w:firstColumn="0" w:lastColumn="0" w:oddVBand="0" w:evenVBand="0" w:oddHBand="0" w:evenHBand="0" w:firstRowFirstColumn="0" w:firstRowLastColumn="0" w:lastRowFirstColumn="0" w:lastRowLastColumn="0"/>
        </w:trPr>
        <w:tc>
          <w:tcPr>
            <w:tcW w:w="2265" w:type="dxa"/>
          </w:tcPr>
          <w:p w14:paraId="28D87FBF" w14:textId="77777777" w:rsidR="000F6B0B" w:rsidRPr="00440C72" w:rsidRDefault="000F6B0B" w:rsidP="004E0D3E">
            <w:pPr>
              <w:keepNext/>
              <w:keepLines/>
            </w:pPr>
          </w:p>
        </w:tc>
        <w:tc>
          <w:tcPr>
            <w:tcW w:w="3259" w:type="dxa"/>
          </w:tcPr>
          <w:p w14:paraId="14A99988" w14:textId="77777777" w:rsidR="000F6B0B" w:rsidRPr="00440C72" w:rsidRDefault="000F6B0B" w:rsidP="004E0D3E">
            <w:pPr>
              <w:keepNext/>
              <w:keepLines/>
            </w:pPr>
            <w:r w:rsidRPr="00440C72">
              <w:t xml:space="preserve">Costs </w:t>
            </w:r>
          </w:p>
        </w:tc>
        <w:tc>
          <w:tcPr>
            <w:tcW w:w="3543" w:type="dxa"/>
          </w:tcPr>
          <w:p w14:paraId="4973B366" w14:textId="77777777" w:rsidR="000F6B0B" w:rsidRPr="00440C72" w:rsidRDefault="000F6B0B" w:rsidP="004E0D3E">
            <w:pPr>
              <w:keepNext/>
              <w:keepLines/>
            </w:pPr>
            <w:r w:rsidRPr="00440C72">
              <w:t>Benefits</w:t>
            </w:r>
          </w:p>
        </w:tc>
      </w:tr>
      <w:tr w:rsidR="000F6B0B" w:rsidRPr="00440C72" w14:paraId="3AC74BE2" w14:textId="77777777" w:rsidTr="004E0D3E">
        <w:trPr>
          <w:cnfStyle w:val="000000100000" w:firstRow="0" w:lastRow="0" w:firstColumn="0" w:lastColumn="0" w:oddVBand="0" w:evenVBand="0" w:oddHBand="1" w:evenHBand="0" w:firstRowFirstColumn="0" w:firstRowLastColumn="0" w:lastRowFirstColumn="0" w:lastRowLastColumn="0"/>
        </w:trPr>
        <w:tc>
          <w:tcPr>
            <w:tcW w:w="2265" w:type="dxa"/>
          </w:tcPr>
          <w:p w14:paraId="449D516F" w14:textId="77777777" w:rsidR="000F6B0B" w:rsidRDefault="000F6B0B" w:rsidP="004E0D3E">
            <w:pPr>
              <w:keepNext/>
              <w:keepLines/>
            </w:pPr>
            <w:r w:rsidRPr="00440C72">
              <w:t>Government</w:t>
            </w:r>
          </w:p>
          <w:p w14:paraId="6249E6C4" w14:textId="77777777" w:rsidR="000F6B0B" w:rsidRPr="00440C72" w:rsidRDefault="000F6B0B" w:rsidP="004E0D3E">
            <w:pPr>
              <w:keepNext/>
              <w:keepLines/>
            </w:pPr>
            <w:r>
              <w:t>(</w:t>
            </w:r>
            <w:r w:rsidRPr="004E2447">
              <w:t>the ACMA</w:t>
            </w:r>
            <w:r>
              <w:t>)</w:t>
            </w:r>
          </w:p>
        </w:tc>
        <w:tc>
          <w:tcPr>
            <w:tcW w:w="3259" w:type="dxa"/>
          </w:tcPr>
          <w:p w14:paraId="4826C611" w14:textId="77777777" w:rsidR="000F6B0B" w:rsidRDefault="000F6B0B" w:rsidP="004E0D3E">
            <w:pPr>
              <w:keepNext/>
              <w:keepLines/>
            </w:pPr>
            <w:r w:rsidRPr="00440C72">
              <w:t>Implement reforms</w:t>
            </w:r>
          </w:p>
          <w:p w14:paraId="1289645A" w14:textId="77777777" w:rsidR="000F6B0B" w:rsidRPr="00440C72" w:rsidRDefault="000F6B0B" w:rsidP="004E0D3E">
            <w:pPr>
              <w:keepNext/>
              <w:keepLines/>
            </w:pPr>
            <w:r>
              <w:t>Ongoing costs</w:t>
            </w:r>
          </w:p>
        </w:tc>
        <w:tc>
          <w:tcPr>
            <w:tcW w:w="3543" w:type="dxa"/>
          </w:tcPr>
          <w:p w14:paraId="3BDB92EF" w14:textId="77777777" w:rsidR="000F6B0B" w:rsidRDefault="000F6B0B" w:rsidP="004E0D3E">
            <w:pPr>
              <w:keepNext/>
              <w:keepLines/>
            </w:pPr>
            <w:r>
              <w:t>Improved communications arrangements delivered to end-users</w:t>
            </w:r>
          </w:p>
          <w:p w14:paraId="71A0A42D" w14:textId="77777777" w:rsidR="000F6B0B" w:rsidRPr="00440C72" w:rsidRDefault="000F6B0B" w:rsidP="004E0D3E">
            <w:pPr>
              <w:keepNext/>
              <w:keepLines/>
            </w:pPr>
            <w:r>
              <w:t>R</w:t>
            </w:r>
            <w:r w:rsidRPr="005B477B">
              <w:t>eputation of government</w:t>
            </w:r>
          </w:p>
        </w:tc>
      </w:tr>
      <w:tr w:rsidR="000F6B0B" w:rsidRPr="00440C72" w14:paraId="730D599A" w14:textId="77777777" w:rsidTr="000F6B0B">
        <w:trPr>
          <w:cnfStyle w:val="000000010000" w:firstRow="0" w:lastRow="0" w:firstColumn="0" w:lastColumn="0" w:oddVBand="0" w:evenVBand="0" w:oddHBand="0" w:evenHBand="1" w:firstRowFirstColumn="0" w:firstRowLastColumn="0" w:lastRowFirstColumn="0" w:lastRowLastColumn="0"/>
          <w:trHeight w:val="252"/>
        </w:trPr>
        <w:tc>
          <w:tcPr>
            <w:tcW w:w="2265" w:type="dxa"/>
            <w:shd w:val="clear" w:color="auto" w:fill="D9D9D9" w:themeFill="background2" w:themeFillShade="D9"/>
          </w:tcPr>
          <w:p w14:paraId="0AB6E88F" w14:textId="60D5F135" w:rsidR="000F6B0B" w:rsidRPr="005F61CF" w:rsidRDefault="00355339" w:rsidP="004E0D3E">
            <w:pPr>
              <w:keepNext/>
              <w:keepLines/>
            </w:pPr>
            <w:r>
              <w:t>Carriers</w:t>
            </w:r>
          </w:p>
        </w:tc>
        <w:tc>
          <w:tcPr>
            <w:tcW w:w="3259" w:type="dxa"/>
            <w:shd w:val="clear" w:color="auto" w:fill="D9D9D9" w:themeFill="background2" w:themeFillShade="D9"/>
          </w:tcPr>
          <w:p w14:paraId="2604660E" w14:textId="77777777" w:rsidR="000F6B0B" w:rsidRDefault="000F6B0B" w:rsidP="004E0D3E">
            <w:pPr>
              <w:keepNext/>
              <w:keepLines/>
            </w:pPr>
            <w:r>
              <w:t xml:space="preserve">Costs to prepare processes </w:t>
            </w:r>
          </w:p>
          <w:p w14:paraId="11CBF218" w14:textId="77777777" w:rsidR="000F6B0B" w:rsidRDefault="000F6B0B" w:rsidP="004E0D3E">
            <w:pPr>
              <w:keepNext/>
              <w:keepLines/>
            </w:pPr>
            <w:r>
              <w:t>Implement protocols if outage occurs</w:t>
            </w:r>
          </w:p>
        </w:tc>
        <w:tc>
          <w:tcPr>
            <w:tcW w:w="3543" w:type="dxa"/>
            <w:shd w:val="clear" w:color="auto" w:fill="D9D9D9" w:themeFill="background2" w:themeFillShade="D9"/>
          </w:tcPr>
          <w:p w14:paraId="58132F60" w14:textId="77777777" w:rsidR="000F6B0B" w:rsidRDefault="000F6B0B" w:rsidP="004E0D3E">
            <w:pPr>
              <w:keepNext/>
              <w:keepLines/>
            </w:pPr>
          </w:p>
        </w:tc>
      </w:tr>
      <w:tr w:rsidR="000F6B0B" w:rsidRPr="00440C72" w14:paraId="7AEF241C" w14:textId="77777777" w:rsidTr="004E0D3E">
        <w:trPr>
          <w:cnfStyle w:val="000000100000" w:firstRow="0" w:lastRow="0" w:firstColumn="0" w:lastColumn="0" w:oddVBand="0" w:evenVBand="0" w:oddHBand="1" w:evenHBand="0" w:firstRowFirstColumn="0" w:firstRowLastColumn="0" w:lastRowFirstColumn="0" w:lastRowLastColumn="0"/>
          <w:trHeight w:val="252"/>
        </w:trPr>
        <w:tc>
          <w:tcPr>
            <w:tcW w:w="2265" w:type="dxa"/>
          </w:tcPr>
          <w:p w14:paraId="62336014" w14:textId="77777777" w:rsidR="000F6B0B" w:rsidRPr="005F61CF" w:rsidRDefault="000F6B0B" w:rsidP="004E0D3E">
            <w:pPr>
              <w:keepNext/>
              <w:keepLines/>
            </w:pPr>
            <w:r w:rsidRPr="005F61CF">
              <w:t>Carriage Service Providers</w:t>
            </w:r>
            <w:r w:rsidRPr="00B01E6F">
              <w:t xml:space="preserve"> </w:t>
            </w:r>
          </w:p>
        </w:tc>
        <w:tc>
          <w:tcPr>
            <w:tcW w:w="3259" w:type="dxa"/>
          </w:tcPr>
          <w:p w14:paraId="67F9D846" w14:textId="77777777" w:rsidR="000F6B0B" w:rsidRDefault="000F6B0B" w:rsidP="004E0D3E">
            <w:pPr>
              <w:keepNext/>
              <w:keepLines/>
            </w:pPr>
            <w:r>
              <w:t xml:space="preserve">Costs to prepare processes </w:t>
            </w:r>
          </w:p>
          <w:p w14:paraId="76EADCAE" w14:textId="77777777" w:rsidR="000F6B0B" w:rsidRPr="00440C72" w:rsidRDefault="000F6B0B" w:rsidP="004E0D3E">
            <w:pPr>
              <w:keepNext/>
              <w:keepLines/>
            </w:pPr>
            <w:r>
              <w:t>Implement protocols if outage occurs</w:t>
            </w:r>
          </w:p>
        </w:tc>
        <w:tc>
          <w:tcPr>
            <w:tcW w:w="3543" w:type="dxa"/>
          </w:tcPr>
          <w:p w14:paraId="2B20E497" w14:textId="77777777" w:rsidR="000F6B0B" w:rsidRDefault="000F6B0B" w:rsidP="004E0D3E">
            <w:pPr>
              <w:keepNext/>
              <w:keepLines/>
            </w:pPr>
            <w:r>
              <w:t>Level playing field due to standardised processes</w:t>
            </w:r>
          </w:p>
          <w:p w14:paraId="27EE458E" w14:textId="77777777" w:rsidR="000F6B0B" w:rsidRPr="00440C72" w:rsidRDefault="000F6B0B" w:rsidP="004E0D3E">
            <w:pPr>
              <w:keepNext/>
              <w:keepLines/>
            </w:pPr>
            <w:r>
              <w:t>Improved customer satisfaction and confidence in the system</w:t>
            </w:r>
          </w:p>
        </w:tc>
      </w:tr>
      <w:tr w:rsidR="00154D32" w:rsidRPr="00440C72" w14:paraId="734C0F3F" w14:textId="77777777" w:rsidTr="000F6B0B">
        <w:trPr>
          <w:cnfStyle w:val="000000010000" w:firstRow="0" w:lastRow="0" w:firstColumn="0" w:lastColumn="0" w:oddVBand="0" w:evenVBand="0" w:oddHBand="0" w:evenHBand="1" w:firstRowFirstColumn="0" w:firstRowLastColumn="0" w:lastRowFirstColumn="0" w:lastRowLastColumn="0"/>
          <w:trHeight w:val="346"/>
        </w:trPr>
        <w:tc>
          <w:tcPr>
            <w:tcW w:w="2265" w:type="dxa"/>
            <w:shd w:val="clear" w:color="auto" w:fill="D9D9D9" w:themeFill="background2" w:themeFillShade="D9"/>
          </w:tcPr>
          <w:p w14:paraId="434949F9" w14:textId="77777777" w:rsidR="00154D32" w:rsidRPr="00440C72" w:rsidRDefault="00154D32" w:rsidP="004E0D3E">
            <w:r w:rsidRPr="00440C72">
              <w:t xml:space="preserve">Other industry </w:t>
            </w:r>
          </w:p>
        </w:tc>
        <w:tc>
          <w:tcPr>
            <w:tcW w:w="3259" w:type="dxa"/>
            <w:shd w:val="clear" w:color="auto" w:fill="D9D9D9" w:themeFill="background2" w:themeFillShade="D9"/>
          </w:tcPr>
          <w:p w14:paraId="6DA79C69" w14:textId="77777777" w:rsidR="00154D32" w:rsidRPr="00440C72" w:rsidRDefault="00154D32" w:rsidP="004E0D3E"/>
        </w:tc>
        <w:tc>
          <w:tcPr>
            <w:tcW w:w="3543" w:type="dxa"/>
            <w:shd w:val="clear" w:color="auto" w:fill="D9D9D9" w:themeFill="background2" w:themeFillShade="D9"/>
            <w:vAlign w:val="center"/>
          </w:tcPr>
          <w:p w14:paraId="522868DF" w14:textId="77777777" w:rsidR="00154D32" w:rsidRPr="00440C72" w:rsidRDefault="00154D32" w:rsidP="004E0D3E">
            <w:r>
              <w:t>Minimise the costs of outages through “work arounds” and strategies that minimise the impacts</w:t>
            </w:r>
          </w:p>
        </w:tc>
      </w:tr>
      <w:tr w:rsidR="00154D32" w:rsidRPr="00440C72" w14:paraId="037E4245" w14:textId="77777777" w:rsidTr="00154D32">
        <w:trPr>
          <w:cnfStyle w:val="000000100000" w:firstRow="0" w:lastRow="0" w:firstColumn="0" w:lastColumn="0" w:oddVBand="0" w:evenVBand="0" w:oddHBand="1" w:evenHBand="0" w:firstRowFirstColumn="0" w:firstRowLastColumn="0" w:lastRowFirstColumn="0" w:lastRowLastColumn="0"/>
        </w:trPr>
        <w:tc>
          <w:tcPr>
            <w:tcW w:w="2265" w:type="dxa"/>
          </w:tcPr>
          <w:p w14:paraId="47F1D4BB" w14:textId="77777777" w:rsidR="00154D32" w:rsidRPr="00440C72" w:rsidRDefault="00154D32" w:rsidP="004E0D3E">
            <w:r w:rsidRPr="00440C72">
              <w:lastRenderedPageBreak/>
              <w:t xml:space="preserve">Members of the public </w:t>
            </w:r>
            <w:r>
              <w:t>on the effected network</w:t>
            </w:r>
          </w:p>
        </w:tc>
        <w:tc>
          <w:tcPr>
            <w:tcW w:w="3259" w:type="dxa"/>
          </w:tcPr>
          <w:p w14:paraId="237AD2B1" w14:textId="77777777" w:rsidR="00154D32" w:rsidRPr="00440C72" w:rsidRDefault="00154D32" w:rsidP="004E0D3E"/>
        </w:tc>
        <w:tc>
          <w:tcPr>
            <w:tcW w:w="3543" w:type="dxa"/>
            <w:shd w:val="clear" w:color="auto" w:fill="D9D9D9" w:themeFill="background2" w:themeFillShade="D9"/>
          </w:tcPr>
          <w:p w14:paraId="39F19217" w14:textId="4DBF5167" w:rsidR="00154D32" w:rsidRPr="00440C72" w:rsidRDefault="002D6C34" w:rsidP="004E0D3E">
            <w:r>
              <w:t>Minimise the costs of outages through “work arounds” and strategies that minimise the impacts</w:t>
            </w:r>
          </w:p>
        </w:tc>
      </w:tr>
      <w:tr w:rsidR="00154D32" w:rsidRPr="00440C72" w14:paraId="7B47035D" w14:textId="77777777" w:rsidTr="00154D32">
        <w:trPr>
          <w:cnfStyle w:val="000000010000" w:firstRow="0" w:lastRow="0" w:firstColumn="0" w:lastColumn="0" w:oddVBand="0" w:evenVBand="0" w:oddHBand="0" w:evenHBand="1" w:firstRowFirstColumn="0" w:firstRowLastColumn="0" w:lastRowFirstColumn="0" w:lastRowLastColumn="0"/>
        </w:trPr>
        <w:tc>
          <w:tcPr>
            <w:tcW w:w="2265" w:type="dxa"/>
          </w:tcPr>
          <w:p w14:paraId="1DC0F03D" w14:textId="77777777" w:rsidR="00154D32" w:rsidRPr="00440C72" w:rsidRDefault="00154D32" w:rsidP="004E0D3E">
            <w:bookmarkStart w:id="37" w:name="_Hlk181602352"/>
            <w:r w:rsidRPr="00440C72">
              <w:t>Broader public</w:t>
            </w:r>
          </w:p>
        </w:tc>
        <w:tc>
          <w:tcPr>
            <w:tcW w:w="3259" w:type="dxa"/>
          </w:tcPr>
          <w:p w14:paraId="0DCD1D38" w14:textId="77777777" w:rsidR="00154D32" w:rsidRPr="00440C72" w:rsidRDefault="00154D32" w:rsidP="004E0D3E"/>
        </w:tc>
        <w:tc>
          <w:tcPr>
            <w:tcW w:w="3543" w:type="dxa"/>
            <w:shd w:val="clear" w:color="auto" w:fill="D9D9D9" w:themeFill="background2" w:themeFillShade="D9"/>
          </w:tcPr>
          <w:p w14:paraId="10E6A4A5" w14:textId="3FA2C0BF" w:rsidR="00154D32" w:rsidRPr="00440C72" w:rsidRDefault="002D6C34" w:rsidP="004E0D3E">
            <w:r>
              <w:t>Minimise the costs of outages through “work arounds” and strategies that minimise the impacts</w:t>
            </w:r>
          </w:p>
        </w:tc>
      </w:tr>
    </w:tbl>
    <w:p w14:paraId="09BB62A4" w14:textId="77777777" w:rsidR="000E6002" w:rsidRDefault="000E6002" w:rsidP="000E6002">
      <w:pPr>
        <w:pStyle w:val="Heading2"/>
      </w:pPr>
      <w:bookmarkStart w:id="38" w:name="_Toc180405672"/>
      <w:bookmarkStart w:id="39" w:name="_Toc181713901"/>
      <w:bookmarkEnd w:id="37"/>
      <w:r>
        <w:t>Description and valuation of costs</w:t>
      </w:r>
      <w:bookmarkEnd w:id="38"/>
      <w:bookmarkEnd w:id="39"/>
      <w:r>
        <w:t xml:space="preserve"> </w:t>
      </w:r>
    </w:p>
    <w:p w14:paraId="74C3E745" w14:textId="77777777" w:rsidR="000E6002" w:rsidRDefault="000E6002" w:rsidP="000E6002">
      <w:pPr>
        <w:keepNext/>
        <w:keepLines/>
      </w:pPr>
      <w:r w:rsidRPr="58F67273">
        <w:rPr>
          <w:rFonts w:eastAsia="Arial" w:cs="Arial"/>
          <w:sz w:val="22"/>
          <w:szCs w:val="22"/>
        </w:rPr>
        <w:t>The costs to each of the stakeholder groups are considered in turn below.</w:t>
      </w:r>
      <w:r>
        <w:rPr>
          <w:rFonts w:eastAsia="Arial" w:cs="Arial"/>
          <w:sz w:val="22"/>
          <w:szCs w:val="22"/>
        </w:rPr>
        <w:t xml:space="preserve">  All costs identified are the marginal value over the base case (option 1).</w:t>
      </w:r>
    </w:p>
    <w:p w14:paraId="1A8C3D07" w14:textId="77777777" w:rsidR="000E6002" w:rsidRDefault="000E6002" w:rsidP="000E6002">
      <w:pPr>
        <w:pStyle w:val="Heading3"/>
      </w:pPr>
      <w:bookmarkStart w:id="40" w:name="_Toc180405673"/>
      <w:bookmarkStart w:id="41" w:name="_Toc181713902"/>
      <w:r>
        <w:t>Government (ACMA)</w:t>
      </w:r>
      <w:bookmarkEnd w:id="40"/>
      <w:bookmarkEnd w:id="41"/>
    </w:p>
    <w:p w14:paraId="110DEBDF" w14:textId="77777777" w:rsidR="000E6002" w:rsidRDefault="000E6002" w:rsidP="000E6002">
      <w:r w:rsidRPr="58F67273">
        <w:rPr>
          <w:rFonts w:eastAsia="Arial" w:cs="Arial"/>
          <w:sz w:val="22"/>
          <w:szCs w:val="22"/>
        </w:rPr>
        <w:t xml:space="preserve">The costs to the ACMA are itemised in Table </w:t>
      </w:r>
      <w:r>
        <w:rPr>
          <w:rFonts w:eastAsia="Arial" w:cs="Arial"/>
          <w:sz w:val="22"/>
          <w:szCs w:val="22"/>
        </w:rPr>
        <w:t>6</w:t>
      </w:r>
      <w:r w:rsidRPr="58F67273">
        <w:rPr>
          <w:rFonts w:eastAsia="Arial" w:cs="Arial"/>
          <w:sz w:val="22"/>
          <w:szCs w:val="22"/>
        </w:rPr>
        <w:t xml:space="preserve"> and are based on similar reforms.  </w:t>
      </w:r>
    </w:p>
    <w:p w14:paraId="5E1E7193" w14:textId="77777777" w:rsidR="000E6002" w:rsidRDefault="000E6002" w:rsidP="000E6002">
      <w:pPr>
        <w:pStyle w:val="Caption"/>
        <w:keepNext/>
        <w:keepLines/>
        <w:numPr>
          <w:ilvl w:val="0"/>
          <w:numId w:val="0"/>
        </w:numPr>
        <w:ind w:left="964" w:hanging="964"/>
      </w:pPr>
      <w:r>
        <w:t>Table 6: Estimated costs to ACMA</w:t>
      </w:r>
    </w:p>
    <w:tbl>
      <w:tblPr>
        <w:tblStyle w:val="ACMAtablestyle"/>
        <w:tblW w:w="0" w:type="auto"/>
        <w:tblLook w:val="04A0" w:firstRow="1" w:lastRow="0" w:firstColumn="1" w:lastColumn="0" w:noHBand="0" w:noVBand="1"/>
      </w:tblPr>
      <w:tblGrid>
        <w:gridCol w:w="3020"/>
        <w:gridCol w:w="3019"/>
        <w:gridCol w:w="3021"/>
      </w:tblGrid>
      <w:tr w:rsidR="0031067D" w:rsidRPr="00057846" w14:paraId="31654D15" w14:textId="77777777" w:rsidTr="004E0D3E">
        <w:trPr>
          <w:cnfStyle w:val="100000000000" w:firstRow="1" w:lastRow="0" w:firstColumn="0" w:lastColumn="0" w:oddVBand="0" w:evenVBand="0" w:oddHBand="0" w:evenHBand="0" w:firstRowFirstColumn="0" w:firstRowLastColumn="0" w:lastRowFirstColumn="0" w:lastRowLastColumn="0"/>
          <w:trHeight w:val="696"/>
        </w:trPr>
        <w:tc>
          <w:tcPr>
            <w:tcW w:w="3020" w:type="dxa"/>
          </w:tcPr>
          <w:p w14:paraId="49BC335D" w14:textId="77777777" w:rsidR="0031067D" w:rsidRPr="00057846" w:rsidRDefault="0031067D" w:rsidP="004E0D3E">
            <w:pPr>
              <w:keepNext/>
              <w:keepLines/>
            </w:pPr>
            <w:r>
              <w:t>Type</w:t>
            </w:r>
          </w:p>
        </w:tc>
        <w:tc>
          <w:tcPr>
            <w:tcW w:w="3019" w:type="dxa"/>
          </w:tcPr>
          <w:p w14:paraId="540B5B30" w14:textId="77777777" w:rsidR="0031067D" w:rsidRPr="00057846" w:rsidRDefault="0031067D" w:rsidP="004E0D3E">
            <w:pPr>
              <w:keepNext/>
              <w:keepLines/>
            </w:pPr>
            <w:r>
              <w:t>Value and timing</w:t>
            </w:r>
          </w:p>
        </w:tc>
        <w:tc>
          <w:tcPr>
            <w:tcW w:w="3021" w:type="dxa"/>
          </w:tcPr>
          <w:p w14:paraId="52B62990" w14:textId="77777777" w:rsidR="0031067D" w:rsidRPr="00057846" w:rsidRDefault="0031067D" w:rsidP="004E0D3E">
            <w:pPr>
              <w:keepNext/>
              <w:keepLines/>
            </w:pPr>
            <w:r>
              <w:t>Descriptor</w:t>
            </w:r>
          </w:p>
        </w:tc>
      </w:tr>
      <w:tr w:rsidR="0031067D" w:rsidRPr="00057846" w14:paraId="046168B1" w14:textId="77777777" w:rsidTr="004E0D3E">
        <w:trPr>
          <w:cnfStyle w:val="000000100000" w:firstRow="0" w:lastRow="0" w:firstColumn="0" w:lastColumn="0" w:oddVBand="0" w:evenVBand="0" w:oddHBand="1" w:evenHBand="0" w:firstRowFirstColumn="0" w:firstRowLastColumn="0" w:lastRowFirstColumn="0" w:lastRowLastColumn="0"/>
          <w:trHeight w:val="873"/>
        </w:trPr>
        <w:tc>
          <w:tcPr>
            <w:tcW w:w="3020" w:type="dxa"/>
            <w:hideMark/>
          </w:tcPr>
          <w:p w14:paraId="164AFB51" w14:textId="77777777" w:rsidR="0031067D" w:rsidRPr="00057846" w:rsidRDefault="0031067D" w:rsidP="004E0D3E">
            <w:pPr>
              <w:keepNext/>
              <w:keepLines/>
            </w:pPr>
            <w:r>
              <w:t>Estimated ACMA cost on communicating and educating the amendments</w:t>
            </w:r>
          </w:p>
        </w:tc>
        <w:tc>
          <w:tcPr>
            <w:tcW w:w="3019" w:type="dxa"/>
            <w:hideMark/>
          </w:tcPr>
          <w:p w14:paraId="5598205A" w14:textId="77777777" w:rsidR="0031067D" w:rsidRDefault="0031067D" w:rsidP="004E0D3E">
            <w:pPr>
              <w:keepNext/>
              <w:keepLines/>
            </w:pPr>
            <w:r>
              <w:t xml:space="preserve">Yr. 1 $10,000 </w:t>
            </w:r>
          </w:p>
          <w:p w14:paraId="481DF2F0" w14:textId="77777777" w:rsidR="0031067D" w:rsidRPr="00057846" w:rsidRDefault="0031067D" w:rsidP="004E0D3E">
            <w:pPr>
              <w:keepNext/>
              <w:keepLines/>
            </w:pPr>
            <w:r>
              <w:t xml:space="preserve">Yr. 2 onwards $5,000 </w:t>
            </w:r>
          </w:p>
        </w:tc>
        <w:tc>
          <w:tcPr>
            <w:tcW w:w="3021" w:type="dxa"/>
            <w:hideMark/>
          </w:tcPr>
          <w:p w14:paraId="3FFDBDA6" w14:textId="77777777" w:rsidR="0031067D" w:rsidRPr="00057846" w:rsidRDefault="0031067D" w:rsidP="004E0D3E">
            <w:pPr>
              <w:keepNext/>
              <w:keepLines/>
            </w:pPr>
            <w:r>
              <w:t xml:space="preserve">Based on estimated ACMA staff time spent on communicating – expected greater cost than status quo in the first year the Standard is implemented. </w:t>
            </w:r>
          </w:p>
        </w:tc>
      </w:tr>
      <w:tr w:rsidR="0031067D" w:rsidRPr="00057846" w14:paraId="3C586436" w14:textId="77777777" w:rsidTr="004E0D3E">
        <w:trPr>
          <w:cnfStyle w:val="000000010000" w:firstRow="0" w:lastRow="0" w:firstColumn="0" w:lastColumn="0" w:oddVBand="0" w:evenVBand="0" w:oddHBand="0" w:evenHBand="1" w:firstRowFirstColumn="0" w:firstRowLastColumn="0" w:lastRowFirstColumn="0" w:lastRowLastColumn="0"/>
          <w:trHeight w:val="451"/>
        </w:trPr>
        <w:tc>
          <w:tcPr>
            <w:tcW w:w="3020" w:type="dxa"/>
            <w:hideMark/>
          </w:tcPr>
          <w:p w14:paraId="27FA0A8C" w14:textId="77777777" w:rsidR="0031067D" w:rsidRPr="00057846" w:rsidRDefault="0031067D" w:rsidP="004E0D3E">
            <w:pPr>
              <w:keepNext/>
              <w:keepLines/>
            </w:pPr>
            <w:r>
              <w:t xml:space="preserve">ACMA cost on drafting and preparing the Industry Standard </w:t>
            </w:r>
          </w:p>
        </w:tc>
        <w:tc>
          <w:tcPr>
            <w:tcW w:w="3019" w:type="dxa"/>
            <w:hideMark/>
          </w:tcPr>
          <w:p w14:paraId="3E7351D6" w14:textId="77777777" w:rsidR="0031067D" w:rsidRPr="00630B15" w:rsidRDefault="0031067D" w:rsidP="004E0D3E">
            <w:pPr>
              <w:keepNext/>
              <w:keepLines/>
            </w:pPr>
            <w:r w:rsidRPr="00630B15">
              <w:t xml:space="preserve">Yr. 1 $180,000 </w:t>
            </w:r>
          </w:p>
        </w:tc>
        <w:tc>
          <w:tcPr>
            <w:tcW w:w="3021" w:type="dxa"/>
            <w:hideMark/>
          </w:tcPr>
          <w:p w14:paraId="69174253" w14:textId="77777777" w:rsidR="0031067D" w:rsidRPr="00057846" w:rsidRDefault="0031067D" w:rsidP="004E0D3E">
            <w:pPr>
              <w:keepNext/>
              <w:keepLines/>
            </w:pPr>
            <w:r>
              <w:t xml:space="preserve">Based on estimated ACMA staff time to draft and prepare the Standard. </w:t>
            </w:r>
          </w:p>
        </w:tc>
      </w:tr>
      <w:tr w:rsidR="0031067D" w:rsidRPr="00057846" w14:paraId="5D69D0FF" w14:textId="77777777" w:rsidTr="004E0D3E">
        <w:trPr>
          <w:cnfStyle w:val="000000100000" w:firstRow="0" w:lastRow="0" w:firstColumn="0" w:lastColumn="0" w:oddVBand="0" w:evenVBand="0" w:oddHBand="1" w:evenHBand="0" w:firstRowFirstColumn="0" w:firstRowLastColumn="0" w:lastRowFirstColumn="0" w:lastRowLastColumn="0"/>
          <w:trHeight w:val="593"/>
        </w:trPr>
        <w:tc>
          <w:tcPr>
            <w:tcW w:w="3020" w:type="dxa"/>
            <w:hideMark/>
          </w:tcPr>
          <w:p w14:paraId="26094156" w14:textId="77777777" w:rsidR="0031067D" w:rsidRPr="00057846" w:rsidRDefault="0031067D" w:rsidP="004E0D3E">
            <w:r>
              <w:t xml:space="preserve">Estimated ACMA compliance and enforcement cost </w:t>
            </w:r>
          </w:p>
        </w:tc>
        <w:tc>
          <w:tcPr>
            <w:tcW w:w="3019" w:type="dxa"/>
            <w:hideMark/>
          </w:tcPr>
          <w:p w14:paraId="4C1C524A" w14:textId="77777777" w:rsidR="0031067D" w:rsidRPr="00630B15" w:rsidRDefault="0031067D" w:rsidP="004E0D3E">
            <w:r w:rsidRPr="00630B15">
              <w:t xml:space="preserve">Yr. 1 $100,000 </w:t>
            </w:r>
          </w:p>
          <w:p w14:paraId="758DB6BF" w14:textId="797EBE9C" w:rsidR="0031067D" w:rsidRPr="00630B15" w:rsidRDefault="0031067D" w:rsidP="004E0D3E">
            <w:r w:rsidRPr="00630B15">
              <w:t>Yr. 2 onwards $100,000  </w:t>
            </w:r>
          </w:p>
        </w:tc>
        <w:tc>
          <w:tcPr>
            <w:tcW w:w="3021" w:type="dxa"/>
            <w:hideMark/>
          </w:tcPr>
          <w:p w14:paraId="58A8C3BB" w14:textId="77777777" w:rsidR="0031067D" w:rsidRPr="00057846" w:rsidRDefault="0031067D" w:rsidP="004E0D3E">
            <w:r>
              <w:t>Based on estimated ACMA staff time to be spent on Standard compliance monitoring and enforcement (esti</w:t>
            </w:r>
            <w:r w:rsidRPr="00274693">
              <w:t>mated cost of conducting 2 investigations per year at a cost of $50,000 each</w:t>
            </w:r>
            <w:r>
              <w:t xml:space="preserve">). </w:t>
            </w:r>
          </w:p>
        </w:tc>
      </w:tr>
    </w:tbl>
    <w:p w14:paraId="58B50FA4" w14:textId="0A935733" w:rsidR="002C62CF" w:rsidRPr="00770643" w:rsidRDefault="00355339" w:rsidP="002C62CF">
      <w:pPr>
        <w:pStyle w:val="Heading3"/>
      </w:pPr>
      <w:bookmarkStart w:id="42" w:name="_Toc181713903"/>
      <w:r>
        <w:t>Carriers</w:t>
      </w:r>
      <w:bookmarkEnd w:id="42"/>
    </w:p>
    <w:p w14:paraId="3525DA6D" w14:textId="5184E3F1" w:rsidR="002C62CF" w:rsidRPr="00770643" w:rsidRDefault="002C62CF" w:rsidP="002C62CF">
      <w:pPr>
        <w:pStyle w:val="Paragraph"/>
      </w:pPr>
      <w:r w:rsidRPr="00770643">
        <w:t xml:space="preserve">Through the consultation process, it was indicated that the three </w:t>
      </w:r>
      <w:r w:rsidR="00355339">
        <w:t>Carriers</w:t>
      </w:r>
      <w:r w:rsidRPr="00770643">
        <w:t xml:space="preserve"> will need to undertake significant systems upgrades to move from monitoring systems to automated reporting. </w:t>
      </w:r>
    </w:p>
    <w:p w14:paraId="083944E5" w14:textId="77777777" w:rsidR="002C62CF" w:rsidRPr="002B0485" w:rsidRDefault="002C62CF" w:rsidP="002C62CF">
      <w:pPr>
        <w:pStyle w:val="Paragraph"/>
      </w:pPr>
      <w:r w:rsidRPr="002B0485">
        <w:t>It is estimated that the cost of this work will be around $5 million to $10 million per company – arising in year 1. There will be ongoing operating and maintenance costs, but these will be significantly lower.</w:t>
      </w:r>
    </w:p>
    <w:p w14:paraId="4C935F45" w14:textId="02F6964E" w:rsidR="005F274C" w:rsidRDefault="002C62CF" w:rsidP="007973CD">
      <w:pPr>
        <w:pStyle w:val="Paragraph"/>
      </w:pPr>
      <w:r w:rsidRPr="002B0485">
        <w:lastRenderedPageBreak/>
        <w:t>A mid-point value of $7.5 million per company has been used in the analysis</w:t>
      </w:r>
      <w:r>
        <w:t>,</w:t>
      </w:r>
      <w:r w:rsidRPr="002B0485">
        <w:t xml:space="preserve"> with ongoing costs estimated to be around 10% of the establishment costs.</w:t>
      </w:r>
    </w:p>
    <w:p w14:paraId="08FBDCA2" w14:textId="58054AA9" w:rsidR="005F274C" w:rsidRDefault="005F274C" w:rsidP="005C6D10">
      <w:pPr>
        <w:tabs>
          <w:tab w:val="center" w:pos="4535"/>
        </w:tabs>
        <w:sectPr w:rsidR="005F274C" w:rsidSect="00EC165D">
          <w:headerReference w:type="even" r:id="rId26"/>
          <w:headerReference w:type="default" r:id="rId27"/>
          <w:footerReference w:type="even" r:id="rId28"/>
          <w:footerReference w:type="default" r:id="rId29"/>
          <w:pgSz w:w="11906" w:h="16838" w:code="9"/>
          <w:pgMar w:top="1418" w:right="1418" w:bottom="1134" w:left="1418" w:header="709" w:footer="119" w:gutter="0"/>
          <w:pgNumType w:start="5"/>
          <w:cols w:space="708"/>
          <w:docGrid w:linePitch="360"/>
        </w:sectPr>
      </w:pPr>
    </w:p>
    <w:p w14:paraId="2845A67C" w14:textId="77777777" w:rsidR="00E1438A" w:rsidRDefault="00E1438A" w:rsidP="00E1438A">
      <w:pPr>
        <w:pStyle w:val="Heading3"/>
      </w:pPr>
      <w:bookmarkStart w:id="43" w:name="_Toc181713904"/>
      <w:r>
        <w:lastRenderedPageBreak/>
        <w:t>Carriage Service Providers</w:t>
      </w:r>
      <w:bookmarkEnd w:id="43"/>
    </w:p>
    <w:p w14:paraId="1310BB9D" w14:textId="77777777" w:rsidR="00E1438A" w:rsidRDefault="00E1438A" w:rsidP="00E1438A">
      <w:pPr>
        <w:pStyle w:val="Paragraph"/>
      </w:pPr>
      <w:r w:rsidRPr="00663535">
        <w:t xml:space="preserve">Most </w:t>
      </w:r>
      <w:r>
        <w:t>c</w:t>
      </w:r>
      <w:r w:rsidRPr="00663535">
        <w:t xml:space="preserve">arriage </w:t>
      </w:r>
      <w:r>
        <w:t>s</w:t>
      </w:r>
      <w:r w:rsidRPr="00663535">
        <w:t xml:space="preserve">ervice </w:t>
      </w:r>
      <w:r>
        <w:t>p</w:t>
      </w:r>
      <w:r w:rsidRPr="00663535">
        <w:t>roviders have processes in place for outages. This means that the impacts of the reforms (both costs and benefits) will be small – not a revolutionary change.</w:t>
      </w:r>
    </w:p>
    <w:p w14:paraId="03FA4457" w14:textId="72297907" w:rsidR="00E1438A" w:rsidRPr="007F3E5B" w:rsidRDefault="00E1438A" w:rsidP="00E1438A">
      <w:pPr>
        <w:pStyle w:val="Paragraph"/>
      </w:pPr>
      <w:r w:rsidRPr="007F3E5B">
        <w:t xml:space="preserve">CSPs </w:t>
      </w:r>
      <w:r w:rsidR="0059167E">
        <w:t xml:space="preserve">should </w:t>
      </w:r>
      <w:r w:rsidRPr="007F3E5B">
        <w:t>have processes in place for outages noting that</w:t>
      </w:r>
      <w:r>
        <w:t xml:space="preserve"> the</w:t>
      </w:r>
      <w:r w:rsidRPr="007F3E5B">
        <w:t xml:space="preserve">: </w:t>
      </w:r>
    </w:p>
    <w:p w14:paraId="331C69F7" w14:textId="77777777" w:rsidR="00E1438A" w:rsidRPr="007F3E5B" w:rsidRDefault="00E1438A" w:rsidP="00E1438A">
      <w:pPr>
        <w:pStyle w:val="Bulletlevel1last"/>
      </w:pPr>
      <w:r w:rsidRPr="007F3E5B">
        <w:t>ECSD imposes requirements on CSPs in the event of a significant network outage to notify ECPs</w:t>
      </w:r>
      <w:r>
        <w:t>,</w:t>
      </w:r>
      <w:r w:rsidRPr="007F3E5B">
        <w:t xml:space="preserve"> and to conduct welfare check</w:t>
      </w:r>
      <w:r>
        <w:t>s</w:t>
      </w:r>
      <w:r w:rsidRPr="007F3E5B">
        <w:t xml:space="preserve"> on end-users who made an unsuccessful emergency call during the outage using their service. </w:t>
      </w:r>
    </w:p>
    <w:p w14:paraId="6419F096" w14:textId="77777777" w:rsidR="00E1438A" w:rsidRPr="007F3E5B" w:rsidRDefault="00E1438A" w:rsidP="00E1438A">
      <w:pPr>
        <w:pStyle w:val="Bulletlevel1last"/>
      </w:pPr>
      <w:r w:rsidRPr="007F3E5B">
        <w:t xml:space="preserve">Triple Zero Disruption Protocols (non-enforceable document) recommends </w:t>
      </w:r>
      <w:r>
        <w:t>that</w:t>
      </w:r>
      <w:r w:rsidRPr="007F3E5B">
        <w:t xml:space="preserve"> carriers implement procedures to facilitate notification of disruption to Triple Zero.</w:t>
      </w:r>
    </w:p>
    <w:p w14:paraId="522F8BC0" w14:textId="77777777" w:rsidR="00E1438A" w:rsidRPr="007F3E5B" w:rsidRDefault="00E1438A" w:rsidP="00E1438A">
      <w:pPr>
        <w:pStyle w:val="Paragraph"/>
      </w:pPr>
      <w:r>
        <w:t>Following consultation, it is anticipated that the costs will relate to ongoing staffing to support the required processes, as set out in Table 7.</w:t>
      </w:r>
    </w:p>
    <w:p w14:paraId="051115C0" w14:textId="77777777" w:rsidR="00E1438A" w:rsidRDefault="00E1438A" w:rsidP="00E1438A">
      <w:pPr>
        <w:pStyle w:val="Tableheading"/>
        <w:numPr>
          <w:ilvl w:val="0"/>
          <w:numId w:val="0"/>
        </w:numPr>
        <w:ind w:left="964" w:hanging="964"/>
      </w:pPr>
      <w:r>
        <w:t xml:space="preserve">Table 7: Estimated costs to </w:t>
      </w:r>
      <w:r w:rsidRPr="009613C6">
        <w:t>Carriage Service Providers</w:t>
      </w:r>
      <w:r>
        <w:t xml:space="preserve"> </w:t>
      </w:r>
    </w:p>
    <w:tbl>
      <w:tblPr>
        <w:tblStyle w:val="TableGrid"/>
        <w:tblW w:w="0" w:type="auto"/>
        <w:tblLayout w:type="fixed"/>
        <w:tblLook w:val="04A0" w:firstRow="1" w:lastRow="0" w:firstColumn="1" w:lastColumn="0" w:noHBand="0" w:noVBand="1"/>
      </w:tblPr>
      <w:tblGrid>
        <w:gridCol w:w="6040"/>
        <w:gridCol w:w="1960"/>
      </w:tblGrid>
      <w:tr w:rsidR="00E1438A" w14:paraId="14B0D4B3" w14:textId="77777777" w:rsidTr="004E0D3E">
        <w:trPr>
          <w:trHeight w:val="285"/>
        </w:trPr>
        <w:tc>
          <w:tcPr>
            <w:tcW w:w="6040" w:type="dxa"/>
            <w:tcBorders>
              <w:top w:val="single" w:sz="8" w:space="0" w:color="auto"/>
              <w:left w:val="single" w:sz="8" w:space="0" w:color="auto"/>
              <w:bottom w:val="single" w:sz="8" w:space="0" w:color="auto"/>
              <w:right w:val="nil"/>
            </w:tcBorders>
            <w:shd w:val="clear" w:color="auto" w:fill="404040" w:themeFill="text2" w:themeFillTint="BF"/>
            <w:tcMar>
              <w:top w:w="85" w:type="dxa"/>
              <w:left w:w="57" w:type="dxa"/>
              <w:bottom w:w="85" w:type="dxa"/>
              <w:right w:w="57" w:type="dxa"/>
            </w:tcMar>
          </w:tcPr>
          <w:p w14:paraId="7B7C27C9" w14:textId="77777777" w:rsidR="00E1438A" w:rsidRDefault="00E1438A" w:rsidP="004E0D3E">
            <w:pPr>
              <w:keepNext/>
              <w:keepLines/>
              <w:spacing w:after="0"/>
            </w:pPr>
            <w:r w:rsidRPr="58F67273">
              <w:rPr>
                <w:rFonts w:eastAsia="Arial" w:cs="Arial"/>
                <w:color w:val="FFFFFF" w:themeColor="background2"/>
                <w:szCs w:val="20"/>
              </w:rPr>
              <w:t>Item</w:t>
            </w:r>
          </w:p>
        </w:tc>
        <w:tc>
          <w:tcPr>
            <w:tcW w:w="1960" w:type="dxa"/>
            <w:tcBorders>
              <w:top w:val="single" w:sz="8" w:space="0" w:color="auto"/>
              <w:left w:val="nil"/>
              <w:bottom w:val="single" w:sz="8" w:space="0" w:color="auto"/>
              <w:right w:val="single" w:sz="8" w:space="0" w:color="auto"/>
            </w:tcBorders>
            <w:shd w:val="clear" w:color="auto" w:fill="404040" w:themeFill="text2" w:themeFillTint="BF"/>
            <w:tcMar>
              <w:top w:w="85" w:type="dxa"/>
              <w:left w:w="57" w:type="dxa"/>
              <w:bottom w:w="85" w:type="dxa"/>
              <w:right w:w="57" w:type="dxa"/>
            </w:tcMar>
          </w:tcPr>
          <w:p w14:paraId="650F3D55" w14:textId="77777777" w:rsidR="00E1438A" w:rsidRDefault="00E1438A" w:rsidP="004E0D3E">
            <w:pPr>
              <w:keepNext/>
              <w:keepLines/>
              <w:spacing w:after="0"/>
            </w:pPr>
            <w:r w:rsidRPr="58F67273">
              <w:rPr>
                <w:rFonts w:eastAsia="Arial" w:cs="Arial"/>
                <w:color w:val="FFFFFF" w:themeColor="background2"/>
                <w:szCs w:val="20"/>
              </w:rPr>
              <w:t>Value</w:t>
            </w:r>
          </w:p>
        </w:tc>
      </w:tr>
      <w:tr w:rsidR="00E1438A" w14:paraId="138872F9" w14:textId="77777777" w:rsidTr="004E0D3E">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EDCA34E" w14:textId="77777777" w:rsidR="00E1438A" w:rsidRDefault="00E1438A" w:rsidP="004E0D3E">
            <w:pPr>
              <w:spacing w:after="0"/>
            </w:pPr>
            <w:r w:rsidRPr="003F22CA">
              <w:t>Employee costs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171BDBA" w14:textId="77777777" w:rsidR="00E1438A" w:rsidRDefault="00E1438A" w:rsidP="004E0D3E">
            <w:pPr>
              <w:spacing w:after="0"/>
              <w:jc w:val="right"/>
            </w:pPr>
            <w:r w:rsidRPr="003F22CA">
              <w:t>$150,000</w:t>
            </w:r>
          </w:p>
        </w:tc>
      </w:tr>
      <w:tr w:rsidR="00E1438A" w14:paraId="26256C9D" w14:textId="77777777" w:rsidTr="004E0D3E">
        <w:trPr>
          <w:trHeight w:val="285"/>
        </w:trPr>
        <w:tc>
          <w:tcPr>
            <w:tcW w:w="6040" w:type="dxa"/>
            <w:tcBorders>
              <w:top w:val="single" w:sz="8" w:space="0" w:color="auto"/>
              <w:left w:val="single" w:sz="8" w:space="0" w:color="auto"/>
              <w:bottom w:val="single" w:sz="8" w:space="0" w:color="auto"/>
              <w:right w:val="single" w:sz="8" w:space="0" w:color="auto"/>
            </w:tcBorders>
            <w:shd w:val="clear" w:color="auto" w:fill="F2F2F2" w:themeFill="background2" w:themeFillShade="F2"/>
            <w:tcMar>
              <w:top w:w="85" w:type="dxa"/>
              <w:left w:w="57" w:type="dxa"/>
              <w:bottom w:w="85" w:type="dxa"/>
              <w:right w:w="57" w:type="dxa"/>
            </w:tcMar>
          </w:tcPr>
          <w:p w14:paraId="74AF6B3C" w14:textId="77777777" w:rsidR="00E1438A" w:rsidRDefault="00E1438A" w:rsidP="004E0D3E">
            <w:pPr>
              <w:spacing w:after="0"/>
            </w:pPr>
            <w:r w:rsidRPr="003F22CA">
              <w:t>Average FTE per CSP</w:t>
            </w:r>
          </w:p>
        </w:tc>
        <w:tc>
          <w:tcPr>
            <w:tcW w:w="1960" w:type="dxa"/>
            <w:tcBorders>
              <w:top w:val="single" w:sz="8" w:space="0" w:color="auto"/>
              <w:left w:val="single" w:sz="8" w:space="0" w:color="auto"/>
              <w:bottom w:val="single" w:sz="8" w:space="0" w:color="auto"/>
              <w:right w:val="single" w:sz="8" w:space="0" w:color="auto"/>
            </w:tcBorders>
            <w:shd w:val="clear" w:color="auto" w:fill="F2F2F2" w:themeFill="background2" w:themeFillShade="F2"/>
            <w:tcMar>
              <w:top w:w="85" w:type="dxa"/>
              <w:left w:w="57" w:type="dxa"/>
              <w:bottom w:w="85" w:type="dxa"/>
              <w:right w:w="57" w:type="dxa"/>
            </w:tcMar>
          </w:tcPr>
          <w:p w14:paraId="08B1C028" w14:textId="77777777" w:rsidR="00E1438A" w:rsidRDefault="00E1438A" w:rsidP="004E0D3E">
            <w:pPr>
              <w:spacing w:after="0"/>
              <w:jc w:val="right"/>
            </w:pPr>
            <w:r w:rsidRPr="003F22CA">
              <w:t>0.2</w:t>
            </w:r>
          </w:p>
        </w:tc>
      </w:tr>
      <w:tr w:rsidR="00E1438A" w14:paraId="78297709" w14:textId="77777777" w:rsidTr="004E0D3E">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4C491B7" w14:textId="3C14F1A3" w:rsidR="00E1438A" w:rsidRPr="58F67273" w:rsidRDefault="0059167E" w:rsidP="004E0D3E">
            <w:pPr>
              <w:spacing w:after="0"/>
              <w:rPr>
                <w:rFonts w:ascii="Aptos Narrow" w:eastAsia="Aptos Narrow" w:hAnsi="Aptos Narrow" w:cs="Aptos Narrow"/>
                <w:color w:val="000000" w:themeColor="text2"/>
                <w:sz w:val="22"/>
                <w:szCs w:val="22"/>
              </w:rPr>
            </w:pPr>
            <w:r>
              <w:t>C</w:t>
            </w:r>
            <w:r w:rsidR="00E1438A" w:rsidRPr="003F22CA">
              <w:t>ost per CSP</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416C252" w14:textId="77777777" w:rsidR="00E1438A" w:rsidRPr="58F67273" w:rsidRDefault="00E1438A" w:rsidP="004E0D3E">
            <w:pPr>
              <w:spacing w:after="0"/>
              <w:jc w:val="right"/>
              <w:rPr>
                <w:rFonts w:ascii="Aptos Narrow" w:eastAsia="Aptos Narrow" w:hAnsi="Aptos Narrow" w:cs="Aptos Narrow"/>
                <w:color w:val="000000" w:themeColor="text2"/>
                <w:sz w:val="22"/>
                <w:szCs w:val="22"/>
              </w:rPr>
            </w:pPr>
            <w:r w:rsidRPr="003F22CA">
              <w:t>$30,000</w:t>
            </w:r>
          </w:p>
        </w:tc>
      </w:tr>
      <w:tr w:rsidR="00E1438A" w14:paraId="07539F32" w14:textId="77777777" w:rsidTr="004E0D3E">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69C89DC3" w14:textId="77777777" w:rsidR="00E1438A" w:rsidRDefault="00E1438A" w:rsidP="004E0D3E">
            <w:pPr>
              <w:spacing w:after="0"/>
              <w:rPr>
                <w:rFonts w:ascii="Aptos Narrow" w:hAnsi="Aptos Narrow"/>
                <w:color w:val="000000"/>
                <w:sz w:val="22"/>
                <w:szCs w:val="22"/>
              </w:rPr>
            </w:pPr>
            <w:r w:rsidRPr="003F22CA">
              <w:t>CSPs affected</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505927AB" w14:textId="77777777" w:rsidR="00E1438A" w:rsidRDefault="00E1438A" w:rsidP="004E0D3E">
            <w:pPr>
              <w:spacing w:after="0"/>
              <w:jc w:val="right"/>
              <w:rPr>
                <w:rFonts w:ascii="Aptos Narrow" w:hAnsi="Aptos Narrow"/>
                <w:color w:val="000000"/>
                <w:sz w:val="22"/>
                <w:szCs w:val="22"/>
              </w:rPr>
            </w:pPr>
            <w:r w:rsidRPr="003F22CA">
              <w:t>350</w:t>
            </w:r>
          </w:p>
        </w:tc>
      </w:tr>
      <w:tr w:rsidR="00E1438A" w14:paraId="547D84CA" w14:textId="77777777" w:rsidTr="004E0D3E">
        <w:trPr>
          <w:trHeight w:val="285"/>
        </w:trPr>
        <w:tc>
          <w:tcPr>
            <w:tcW w:w="604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2E0EED00" w14:textId="77777777" w:rsidR="00E1438A" w:rsidRDefault="00E1438A" w:rsidP="004E0D3E">
            <w:pPr>
              <w:spacing w:after="0"/>
              <w:rPr>
                <w:rFonts w:ascii="Aptos Narrow" w:hAnsi="Aptos Narrow"/>
                <w:color w:val="000000"/>
                <w:sz w:val="22"/>
                <w:szCs w:val="22"/>
              </w:rPr>
            </w:pPr>
            <w:r>
              <w:rPr>
                <w:rFonts w:ascii="Aptos Narrow" w:hAnsi="Aptos Narrow"/>
                <w:color w:val="000000"/>
                <w:sz w:val="22"/>
                <w:szCs w:val="22"/>
              </w:rPr>
              <w:t>Total ongoing costs to CSPs</w:t>
            </w:r>
          </w:p>
        </w:tc>
        <w:tc>
          <w:tcPr>
            <w:tcW w:w="1960" w:type="dxa"/>
            <w:tcBorders>
              <w:top w:val="single" w:sz="8" w:space="0" w:color="auto"/>
              <w:left w:val="single" w:sz="8" w:space="0" w:color="auto"/>
              <w:bottom w:val="single" w:sz="8" w:space="0" w:color="auto"/>
              <w:right w:val="single" w:sz="8" w:space="0" w:color="auto"/>
            </w:tcBorders>
            <w:tcMar>
              <w:top w:w="85" w:type="dxa"/>
              <w:left w:w="57" w:type="dxa"/>
              <w:bottom w:w="85" w:type="dxa"/>
              <w:right w:w="57" w:type="dxa"/>
            </w:tcMar>
          </w:tcPr>
          <w:p w14:paraId="0DA6D672" w14:textId="77777777" w:rsidR="00E1438A" w:rsidRDefault="00E1438A" w:rsidP="004E0D3E">
            <w:pPr>
              <w:spacing w:after="0"/>
              <w:jc w:val="right"/>
              <w:rPr>
                <w:rFonts w:ascii="Aptos Narrow" w:hAnsi="Aptos Narrow"/>
                <w:color w:val="000000"/>
                <w:sz w:val="22"/>
                <w:szCs w:val="22"/>
              </w:rPr>
            </w:pPr>
            <w:r w:rsidRPr="003F22CA">
              <w:t>$10,500,000</w:t>
            </w:r>
          </w:p>
        </w:tc>
      </w:tr>
    </w:tbl>
    <w:p w14:paraId="616234F3" w14:textId="77777777" w:rsidR="00E1438A" w:rsidRDefault="00E1438A" w:rsidP="00E1438A">
      <w:pPr>
        <w:pStyle w:val="Heading2"/>
      </w:pPr>
      <w:bookmarkStart w:id="44" w:name="_Toc180405675"/>
      <w:bookmarkStart w:id="45" w:name="_Toc181713905"/>
      <w:r>
        <w:t>Description and valuation of benefits</w:t>
      </w:r>
      <w:bookmarkEnd w:id="44"/>
      <w:bookmarkEnd w:id="45"/>
    </w:p>
    <w:p w14:paraId="0F963874" w14:textId="77777777" w:rsidR="00E1438A" w:rsidRDefault="00E1438A" w:rsidP="00E1438A">
      <w:pPr>
        <w:pStyle w:val="Heading3"/>
      </w:pPr>
      <w:bookmarkStart w:id="46" w:name="_Toc180405676"/>
      <w:bookmarkStart w:id="47" w:name="_Toc181713906"/>
      <w:r>
        <w:t>Government (ACMA)</w:t>
      </w:r>
      <w:bookmarkEnd w:id="46"/>
      <w:bookmarkEnd w:id="47"/>
    </w:p>
    <w:p w14:paraId="11007C61" w14:textId="77777777" w:rsidR="00E1438A" w:rsidRDefault="00E1438A" w:rsidP="00E1438A">
      <w:pPr>
        <w:pStyle w:val="Paragraph"/>
      </w:pPr>
      <w:r>
        <w:t>Improved confidence in the industry is a qualitative benefit and has not been estimated for this analysis.</w:t>
      </w:r>
    </w:p>
    <w:p w14:paraId="5AB05E97" w14:textId="77777777" w:rsidR="00E1438A" w:rsidRDefault="00E1438A" w:rsidP="00E1438A">
      <w:pPr>
        <w:pStyle w:val="Heading3"/>
      </w:pPr>
      <w:bookmarkStart w:id="48" w:name="_Toc180405677"/>
      <w:bookmarkStart w:id="49" w:name="_Toc181713907"/>
      <w:r>
        <w:t>Carriage Service Providers</w:t>
      </w:r>
      <w:bookmarkEnd w:id="48"/>
      <w:bookmarkEnd w:id="49"/>
    </w:p>
    <w:p w14:paraId="3B29C064" w14:textId="77777777" w:rsidR="00E1438A" w:rsidRDefault="00E1438A" w:rsidP="00E1438A">
      <w:pPr>
        <w:pStyle w:val="Paragraph"/>
      </w:pPr>
      <w:r>
        <w:t>Improved confidence in the industry is a qualitative benefit and has not been estimated for this analysis.</w:t>
      </w:r>
    </w:p>
    <w:p w14:paraId="4BC687A1" w14:textId="77777777" w:rsidR="00E1438A" w:rsidRDefault="00E1438A" w:rsidP="00E1438A">
      <w:pPr>
        <w:pStyle w:val="Heading3"/>
      </w:pPr>
      <w:bookmarkStart w:id="50" w:name="_Toc180405678"/>
      <w:bookmarkStart w:id="51" w:name="_Toc181713908"/>
      <w:r>
        <w:t>Other industry / members of the public on the effected network / broader public</w:t>
      </w:r>
      <w:bookmarkEnd w:id="50"/>
      <w:bookmarkEnd w:id="51"/>
    </w:p>
    <w:p w14:paraId="1A4E1A63" w14:textId="77777777" w:rsidR="00E1438A" w:rsidRDefault="00E1438A" w:rsidP="00E1438A">
      <w:pPr>
        <w:pStyle w:val="Paragraphbeforelist"/>
      </w:pPr>
      <w:r>
        <w:t>Minimise the costs arising from impacts, such as those identified earlier in this document, including the inability to:</w:t>
      </w:r>
    </w:p>
    <w:p w14:paraId="4156F4D9" w14:textId="77777777" w:rsidR="00E1438A" w:rsidRPr="00E82FD2" w:rsidRDefault="00E1438A" w:rsidP="00E1438A">
      <w:pPr>
        <w:numPr>
          <w:ilvl w:val="0"/>
          <w:numId w:val="42"/>
        </w:numPr>
        <w:spacing w:after="120" w:line="240" w:lineRule="auto"/>
        <w:ind w:left="567"/>
        <w:textAlignment w:val="baseline"/>
        <w:rPr>
          <w:rFonts w:cs="Arial"/>
          <w:sz w:val="22"/>
          <w:szCs w:val="22"/>
        </w:rPr>
      </w:pPr>
      <w:r w:rsidRPr="00E82FD2">
        <w:rPr>
          <w:rFonts w:cs="Arial"/>
          <w:sz w:val="22"/>
          <w:szCs w:val="22"/>
        </w:rPr>
        <w:t>work due to the lack of internet and phone connection </w:t>
      </w:r>
    </w:p>
    <w:p w14:paraId="3FFBFB1B" w14:textId="77777777" w:rsidR="00E1438A" w:rsidRPr="00E82FD2" w:rsidRDefault="00E1438A" w:rsidP="00E1438A">
      <w:pPr>
        <w:numPr>
          <w:ilvl w:val="0"/>
          <w:numId w:val="42"/>
        </w:numPr>
        <w:spacing w:after="120" w:line="240" w:lineRule="auto"/>
        <w:ind w:left="567"/>
        <w:textAlignment w:val="baseline"/>
        <w:rPr>
          <w:rFonts w:cs="Arial"/>
          <w:sz w:val="22"/>
          <w:szCs w:val="22"/>
        </w:rPr>
      </w:pPr>
      <w:r w:rsidRPr="00E82FD2">
        <w:rPr>
          <w:rFonts w:cs="Arial"/>
          <w:sz w:val="22"/>
          <w:szCs w:val="22"/>
        </w:rPr>
        <w:t>make sales or otherwise operate their small business </w:t>
      </w:r>
      <w:r>
        <w:rPr>
          <w:rFonts w:cs="Arial"/>
          <w:sz w:val="22"/>
          <w:szCs w:val="22"/>
        </w:rPr>
        <w:t>– would include Business to business interactions, such as wholesale supplies.</w:t>
      </w:r>
    </w:p>
    <w:p w14:paraId="40DCFF38" w14:textId="77777777" w:rsidR="00E1438A" w:rsidRPr="00E82FD2" w:rsidRDefault="00E1438A" w:rsidP="00E1438A">
      <w:pPr>
        <w:numPr>
          <w:ilvl w:val="0"/>
          <w:numId w:val="42"/>
        </w:numPr>
        <w:spacing w:after="120" w:line="240" w:lineRule="auto"/>
        <w:ind w:left="567"/>
        <w:textAlignment w:val="baseline"/>
        <w:rPr>
          <w:rFonts w:cs="Arial"/>
          <w:sz w:val="22"/>
          <w:szCs w:val="22"/>
        </w:rPr>
      </w:pPr>
      <w:r w:rsidRPr="00E82FD2">
        <w:rPr>
          <w:rFonts w:cs="Arial"/>
          <w:sz w:val="22"/>
          <w:szCs w:val="22"/>
        </w:rPr>
        <w:t>pay for food, bills and other essentials </w:t>
      </w:r>
    </w:p>
    <w:p w14:paraId="7937DAF6" w14:textId="77777777" w:rsidR="00E1438A" w:rsidRPr="00E82FD2" w:rsidRDefault="00E1438A" w:rsidP="00E1438A">
      <w:pPr>
        <w:numPr>
          <w:ilvl w:val="0"/>
          <w:numId w:val="42"/>
        </w:numPr>
        <w:spacing w:after="120" w:line="240" w:lineRule="auto"/>
        <w:ind w:left="567"/>
        <w:textAlignment w:val="baseline"/>
        <w:rPr>
          <w:rFonts w:cs="Arial"/>
          <w:sz w:val="22"/>
          <w:szCs w:val="22"/>
        </w:rPr>
      </w:pPr>
      <w:r w:rsidRPr="00E82FD2">
        <w:rPr>
          <w:rFonts w:cs="Arial"/>
          <w:sz w:val="22"/>
          <w:szCs w:val="22"/>
        </w:rPr>
        <w:t>attend, make or reschedule medical or other appointments </w:t>
      </w:r>
    </w:p>
    <w:p w14:paraId="6ED8047A" w14:textId="77777777" w:rsidR="00E1438A" w:rsidRPr="00E82FD2" w:rsidRDefault="00E1438A" w:rsidP="00E1438A">
      <w:pPr>
        <w:numPr>
          <w:ilvl w:val="0"/>
          <w:numId w:val="42"/>
        </w:numPr>
        <w:spacing w:after="120" w:line="240" w:lineRule="auto"/>
        <w:ind w:left="567"/>
        <w:textAlignment w:val="baseline"/>
        <w:rPr>
          <w:rFonts w:cs="Arial"/>
          <w:sz w:val="22"/>
          <w:szCs w:val="22"/>
        </w:rPr>
      </w:pPr>
      <w:r w:rsidRPr="00E82FD2">
        <w:rPr>
          <w:rFonts w:cs="Arial"/>
          <w:sz w:val="22"/>
          <w:szCs w:val="22"/>
        </w:rPr>
        <w:t>contact friends, family and support services </w:t>
      </w:r>
    </w:p>
    <w:p w14:paraId="5D40A778" w14:textId="77777777" w:rsidR="00741C9E" w:rsidRPr="00E82FD2" w:rsidRDefault="00741C9E" w:rsidP="00741C9E">
      <w:pPr>
        <w:numPr>
          <w:ilvl w:val="0"/>
          <w:numId w:val="42"/>
        </w:numPr>
        <w:spacing w:after="120" w:line="240" w:lineRule="auto"/>
        <w:ind w:left="567"/>
        <w:textAlignment w:val="baseline"/>
        <w:rPr>
          <w:rFonts w:cs="Arial"/>
          <w:sz w:val="22"/>
          <w:szCs w:val="22"/>
        </w:rPr>
      </w:pPr>
      <w:r w:rsidRPr="00E82FD2">
        <w:rPr>
          <w:rFonts w:cs="Arial"/>
          <w:sz w:val="22"/>
          <w:szCs w:val="22"/>
        </w:rPr>
        <w:lastRenderedPageBreak/>
        <w:t>study for exams or assignments at school or university </w:t>
      </w:r>
    </w:p>
    <w:p w14:paraId="14659F9B" w14:textId="77777777" w:rsidR="00741C9E" w:rsidRPr="00E82FD2" w:rsidRDefault="00741C9E" w:rsidP="00741C9E">
      <w:pPr>
        <w:numPr>
          <w:ilvl w:val="0"/>
          <w:numId w:val="42"/>
        </w:numPr>
        <w:spacing w:after="120" w:line="240" w:lineRule="auto"/>
        <w:ind w:left="567"/>
        <w:textAlignment w:val="baseline"/>
        <w:rPr>
          <w:rFonts w:cs="Arial"/>
          <w:sz w:val="22"/>
          <w:szCs w:val="22"/>
        </w:rPr>
      </w:pPr>
      <w:r w:rsidRPr="00E82FD2">
        <w:rPr>
          <w:rFonts w:cs="Arial"/>
          <w:sz w:val="22"/>
          <w:szCs w:val="22"/>
        </w:rPr>
        <w:t xml:space="preserve">get information from </w:t>
      </w:r>
      <w:r>
        <w:rPr>
          <w:rFonts w:cs="Arial"/>
          <w:sz w:val="22"/>
          <w:szCs w:val="22"/>
        </w:rPr>
        <w:t>the c</w:t>
      </w:r>
      <w:r w:rsidRPr="00B235DB">
        <w:rPr>
          <w:rFonts w:cs="Arial"/>
          <w:sz w:val="22"/>
          <w:szCs w:val="22"/>
        </w:rPr>
        <w:t xml:space="preserve">arriage </w:t>
      </w:r>
      <w:r>
        <w:rPr>
          <w:rFonts w:cs="Arial"/>
          <w:sz w:val="22"/>
          <w:szCs w:val="22"/>
        </w:rPr>
        <w:t>s</w:t>
      </w:r>
      <w:r w:rsidRPr="00B235DB">
        <w:rPr>
          <w:rFonts w:cs="Arial"/>
          <w:sz w:val="22"/>
          <w:szCs w:val="22"/>
        </w:rPr>
        <w:t xml:space="preserve">ervice </w:t>
      </w:r>
      <w:r>
        <w:rPr>
          <w:rFonts w:cs="Arial"/>
          <w:sz w:val="22"/>
          <w:szCs w:val="22"/>
        </w:rPr>
        <w:t>p</w:t>
      </w:r>
      <w:r w:rsidRPr="00B235DB">
        <w:rPr>
          <w:rFonts w:cs="Arial"/>
          <w:sz w:val="22"/>
          <w:szCs w:val="22"/>
        </w:rPr>
        <w:t xml:space="preserve">rovider </w:t>
      </w:r>
      <w:r w:rsidRPr="00E82FD2">
        <w:rPr>
          <w:rFonts w:cs="Arial"/>
          <w:sz w:val="22"/>
          <w:szCs w:val="22"/>
        </w:rPr>
        <w:t>about the outage and when it would be resolved. </w:t>
      </w:r>
    </w:p>
    <w:p w14:paraId="7995698A" w14:textId="77777777" w:rsidR="00741C9E" w:rsidRDefault="00741C9E" w:rsidP="00741C9E">
      <w:pPr>
        <w:pStyle w:val="Heading3"/>
      </w:pPr>
      <w:bookmarkStart w:id="52" w:name="_Toc180405679"/>
      <w:bookmarkStart w:id="53" w:name="_Toc181713909"/>
      <w:r>
        <w:t>Reduction of loss</w:t>
      </w:r>
      <w:bookmarkEnd w:id="52"/>
      <w:bookmarkEnd w:id="53"/>
    </w:p>
    <w:p w14:paraId="73FECA1E" w14:textId="77777777" w:rsidR="00741C9E" w:rsidRDefault="00741C9E" w:rsidP="00741C9E">
      <w:pPr>
        <w:pStyle w:val="Paragraphbeforelist"/>
      </w:pPr>
      <w:r>
        <w:t xml:space="preserve">Early information </w:t>
      </w:r>
      <w:r w:rsidRPr="00E82FD2">
        <w:rPr>
          <w:szCs w:val="22"/>
        </w:rPr>
        <w:t xml:space="preserve">from </w:t>
      </w:r>
      <w:r>
        <w:rPr>
          <w:szCs w:val="22"/>
        </w:rPr>
        <w:t>their c</w:t>
      </w:r>
      <w:r w:rsidRPr="00B235DB">
        <w:rPr>
          <w:szCs w:val="22"/>
        </w:rPr>
        <w:t xml:space="preserve">arriage </w:t>
      </w:r>
      <w:r>
        <w:rPr>
          <w:szCs w:val="22"/>
        </w:rPr>
        <w:t>s</w:t>
      </w:r>
      <w:r w:rsidRPr="00B235DB">
        <w:rPr>
          <w:szCs w:val="22"/>
        </w:rPr>
        <w:t xml:space="preserve">ervice </w:t>
      </w:r>
      <w:r>
        <w:rPr>
          <w:szCs w:val="22"/>
        </w:rPr>
        <w:t>p</w:t>
      </w:r>
      <w:r w:rsidRPr="00B235DB">
        <w:rPr>
          <w:szCs w:val="22"/>
        </w:rPr>
        <w:t xml:space="preserve">rovider </w:t>
      </w:r>
      <w:r w:rsidRPr="00E82FD2">
        <w:rPr>
          <w:szCs w:val="22"/>
        </w:rPr>
        <w:t>about the outage</w:t>
      </w:r>
      <w:r>
        <w:rPr>
          <w:szCs w:val="22"/>
        </w:rPr>
        <w:t>,</w:t>
      </w:r>
      <w:r w:rsidRPr="00E82FD2">
        <w:rPr>
          <w:szCs w:val="22"/>
        </w:rPr>
        <w:t xml:space="preserve"> and when it would be resolved</w:t>
      </w:r>
      <w:r>
        <w:t>, would allow customers to plan their day and identify “work arounds” and strategies that minimise the impacts such as:</w:t>
      </w:r>
    </w:p>
    <w:p w14:paraId="109CCBD3" w14:textId="77777777" w:rsidR="00741C9E" w:rsidRDefault="00741C9E" w:rsidP="00741C9E">
      <w:pPr>
        <w:pStyle w:val="Bulletlevel1"/>
      </w:pPr>
      <w:r>
        <w:t>Finding and relocating to a location with internet to work or study</w:t>
      </w:r>
    </w:p>
    <w:p w14:paraId="6A4418EB" w14:textId="77777777" w:rsidR="00741C9E" w:rsidRDefault="00741C9E" w:rsidP="00741C9E">
      <w:pPr>
        <w:pStyle w:val="Bulletlevel1"/>
      </w:pPr>
      <w:r>
        <w:t>Getting cash out to make purchases</w:t>
      </w:r>
    </w:p>
    <w:p w14:paraId="517CE336" w14:textId="77777777" w:rsidR="00741C9E" w:rsidRDefault="00741C9E" w:rsidP="00741C9E">
      <w:pPr>
        <w:pStyle w:val="Bulletlevel1"/>
      </w:pPr>
      <w:r>
        <w:t>Using a backup form of communication to contact staff, customers, support services and family</w:t>
      </w:r>
    </w:p>
    <w:p w14:paraId="3F25616A" w14:textId="77777777" w:rsidR="00741C9E" w:rsidRDefault="00741C9E" w:rsidP="00741C9E">
      <w:pPr>
        <w:pStyle w:val="Bulletlevel1"/>
      </w:pPr>
      <w:r>
        <w:t>Sending staff home if no solution is available or advise them not to come in</w:t>
      </w:r>
    </w:p>
    <w:p w14:paraId="1816EE56" w14:textId="77777777" w:rsidR="00741C9E" w:rsidRDefault="00741C9E" w:rsidP="00741C9E">
      <w:pPr>
        <w:pStyle w:val="Bulletlevel1"/>
      </w:pPr>
      <w:r>
        <w:t>Rescheduling appointments, meetings and events that cannot be overcome.</w:t>
      </w:r>
    </w:p>
    <w:p w14:paraId="42C21004" w14:textId="77777777" w:rsidR="00741C9E" w:rsidRDefault="00741C9E" w:rsidP="00741C9E">
      <w:pPr>
        <w:pStyle w:val="Heading3"/>
      </w:pPr>
    </w:p>
    <w:p w14:paraId="29ED3AD4" w14:textId="77777777" w:rsidR="00741C9E" w:rsidRDefault="00741C9E" w:rsidP="00741C9E">
      <w:pPr>
        <w:pStyle w:val="Heading3"/>
      </w:pPr>
      <w:bookmarkStart w:id="54" w:name="_Toc180405680"/>
      <w:bookmarkStart w:id="55" w:name="_Toc181713910"/>
      <w:r>
        <w:t>Quantitative estimate of the benefits</w:t>
      </w:r>
      <w:bookmarkEnd w:id="54"/>
      <w:bookmarkEnd w:id="55"/>
      <w:r>
        <w:t xml:space="preserve"> </w:t>
      </w:r>
    </w:p>
    <w:p w14:paraId="0CF69489" w14:textId="020904D5" w:rsidR="00741C9E" w:rsidRPr="004625A4" w:rsidRDefault="00741C9E" w:rsidP="00741C9E">
      <w:pPr>
        <w:pStyle w:val="Paragraph"/>
      </w:pPr>
      <w:r>
        <w:t xml:space="preserve">The </w:t>
      </w:r>
      <w:r w:rsidRPr="004625A4">
        <w:t xml:space="preserve">Annual benefit </w:t>
      </w:r>
      <w:r>
        <w:t>of avoided lost time for customers</w:t>
      </w:r>
      <w:r w:rsidR="00F837FC">
        <w:t xml:space="preserve"> covering both individuals and businesses</w:t>
      </w:r>
      <w:r>
        <w:t xml:space="preserve"> </w:t>
      </w:r>
      <w:r w:rsidRPr="004625A4">
        <w:t>=</w:t>
      </w:r>
    </w:p>
    <w:tbl>
      <w:tblPr>
        <w:tblStyle w:val="TableGrid"/>
        <w:tblW w:w="0" w:type="auto"/>
        <w:tblLook w:val="04A0" w:firstRow="1" w:lastRow="0" w:firstColumn="1" w:lastColumn="0" w:noHBand="0" w:noVBand="1"/>
      </w:tblPr>
      <w:tblGrid>
        <w:gridCol w:w="4530"/>
        <w:gridCol w:w="4530"/>
      </w:tblGrid>
      <w:tr w:rsidR="00741C9E" w14:paraId="7AFC5B3A" w14:textId="77777777" w:rsidTr="004E0D3E">
        <w:tc>
          <w:tcPr>
            <w:tcW w:w="4530" w:type="dxa"/>
          </w:tcPr>
          <w:p w14:paraId="6AAD041D" w14:textId="77777777" w:rsidR="00741C9E" w:rsidRPr="00630B15" w:rsidRDefault="00741C9E" w:rsidP="004E0D3E">
            <w:pPr>
              <w:pStyle w:val="Paragraph"/>
            </w:pPr>
            <w:r w:rsidRPr="00630B15">
              <w:t>Individuals</w:t>
            </w:r>
          </w:p>
        </w:tc>
        <w:tc>
          <w:tcPr>
            <w:tcW w:w="4530" w:type="dxa"/>
          </w:tcPr>
          <w:p w14:paraId="0A83BD28" w14:textId="77777777" w:rsidR="00741C9E" w:rsidRPr="00630B15" w:rsidRDefault="00741C9E" w:rsidP="004E0D3E">
            <w:pPr>
              <w:pStyle w:val="Paragraph"/>
            </w:pPr>
            <w:r w:rsidRPr="00630B15">
              <w:t>Businesses</w:t>
            </w:r>
          </w:p>
        </w:tc>
      </w:tr>
      <w:tr w:rsidR="00741C9E" w14:paraId="08C2631F" w14:textId="77777777" w:rsidTr="004E0D3E">
        <w:tc>
          <w:tcPr>
            <w:tcW w:w="4530" w:type="dxa"/>
          </w:tcPr>
          <w:p w14:paraId="3E44CD03" w14:textId="54302C24" w:rsidR="00741C9E" w:rsidRDefault="00741C9E" w:rsidP="004E0D3E">
            <w:pPr>
              <w:pStyle w:val="Paragraph"/>
              <w:rPr>
                <w:highlight w:val="magenta"/>
              </w:rPr>
            </w:pPr>
            <w:r>
              <w:br/>
            </w:r>
            <w:r w:rsidRPr="004625A4">
              <w:t xml:space="preserve">Number of impacted </w:t>
            </w:r>
            <w:r>
              <w:t>individuals</w:t>
            </w:r>
            <w:r w:rsidRPr="004625A4">
              <w:t> </w:t>
            </w:r>
            <w:r>
              <w:t>(</w:t>
            </w:r>
            <w:r w:rsidR="00F837FC">
              <w:t>F</w:t>
            </w:r>
            <w:r>
              <w:t>)</w:t>
            </w:r>
            <w:r w:rsidRPr="004625A4">
              <w:t xml:space="preserve">  X   </w:t>
            </w:r>
            <w:r>
              <w:br/>
              <w:t>Average r</w:t>
            </w:r>
            <w:r w:rsidRPr="004625A4">
              <w:t>eduction in Lost time</w:t>
            </w:r>
            <w:r>
              <w:t xml:space="preserve"> per customer</w:t>
            </w:r>
            <w:r w:rsidRPr="004625A4">
              <w:t xml:space="preserve"> </w:t>
            </w:r>
            <w:r>
              <w:t xml:space="preserve">(C) </w:t>
            </w:r>
            <w:r w:rsidRPr="004625A4">
              <w:t xml:space="preserve">X </w:t>
            </w:r>
            <w:r>
              <w:br/>
            </w:r>
            <w:r w:rsidRPr="004625A4">
              <w:t>Value of Lost time </w:t>
            </w:r>
            <w:r>
              <w:t>(D)</w:t>
            </w:r>
            <w:r w:rsidRPr="004625A4">
              <w:t>  X  </w:t>
            </w:r>
            <w:r>
              <w:br/>
              <w:t>Number of o</w:t>
            </w:r>
            <w:r w:rsidRPr="004625A4">
              <w:t>utages per year</w:t>
            </w:r>
            <w:r>
              <w:t xml:space="preserve"> </w:t>
            </w:r>
            <w:r w:rsidR="00424CBA">
              <w:t>(E)</w:t>
            </w:r>
          </w:p>
        </w:tc>
        <w:tc>
          <w:tcPr>
            <w:tcW w:w="4530" w:type="dxa"/>
          </w:tcPr>
          <w:p w14:paraId="7079B930" w14:textId="6FFB0058" w:rsidR="00741C9E" w:rsidRDefault="00741C9E" w:rsidP="004E0D3E">
            <w:pPr>
              <w:pStyle w:val="Paragraph"/>
              <w:rPr>
                <w:highlight w:val="magenta"/>
              </w:rPr>
            </w:pPr>
            <w:r w:rsidRPr="004625A4">
              <w:t>Number of impacted businesses </w:t>
            </w:r>
            <w:r>
              <w:t>(A)</w:t>
            </w:r>
            <w:r w:rsidRPr="004625A4">
              <w:t xml:space="preserve">  X   </w:t>
            </w:r>
            <w:r>
              <w:br/>
            </w:r>
            <w:r w:rsidRPr="004625A4">
              <w:t>Number of customers</w:t>
            </w:r>
            <w:r>
              <w:t xml:space="preserve"> &amp; employees</w:t>
            </w:r>
            <w:r w:rsidRPr="004625A4">
              <w:t> </w:t>
            </w:r>
            <w:r>
              <w:t>(B)</w:t>
            </w:r>
            <w:r w:rsidRPr="004625A4">
              <w:t xml:space="preserve">  X   </w:t>
            </w:r>
            <w:r>
              <w:br/>
              <w:t>Average r</w:t>
            </w:r>
            <w:r w:rsidRPr="004625A4">
              <w:t>eduction in Lost time</w:t>
            </w:r>
            <w:r>
              <w:t xml:space="preserve"> per customer</w:t>
            </w:r>
            <w:r w:rsidRPr="004625A4">
              <w:t xml:space="preserve"> </w:t>
            </w:r>
            <w:r>
              <w:t xml:space="preserve">(C) </w:t>
            </w:r>
            <w:r w:rsidRPr="004625A4">
              <w:t xml:space="preserve">X </w:t>
            </w:r>
            <w:r>
              <w:br/>
            </w:r>
            <w:r w:rsidRPr="004625A4">
              <w:t>Value of Lost time </w:t>
            </w:r>
            <w:r>
              <w:t>(D)</w:t>
            </w:r>
            <w:r w:rsidRPr="004625A4">
              <w:t>  X  </w:t>
            </w:r>
            <w:r>
              <w:br/>
              <w:t>Number of o</w:t>
            </w:r>
            <w:r w:rsidRPr="004625A4">
              <w:t>utages per year</w:t>
            </w:r>
            <w:r>
              <w:t xml:space="preserve"> </w:t>
            </w:r>
            <w:r w:rsidR="00424CBA">
              <w:t>(E)</w:t>
            </w:r>
          </w:p>
        </w:tc>
      </w:tr>
    </w:tbl>
    <w:p w14:paraId="45ACC6C7" w14:textId="77777777" w:rsidR="00741C9E" w:rsidRPr="0066184F" w:rsidRDefault="00741C9E" w:rsidP="00741C9E">
      <w:pPr>
        <w:pStyle w:val="Paragraph"/>
      </w:pPr>
      <w:r w:rsidRPr="0066184F">
        <w:t>For simplicity</w:t>
      </w:r>
      <w:r>
        <w:t>,</w:t>
      </w:r>
      <w:r w:rsidRPr="0066184F">
        <w:t xml:space="preserve"> impacted individuals and the total number of impacted customers and employees can be added to estimate the total number of impacted people.</w:t>
      </w:r>
    </w:p>
    <w:p w14:paraId="1052A347" w14:textId="77777777" w:rsidR="00741C9E" w:rsidRPr="00C46D0E" w:rsidRDefault="00741C9E" w:rsidP="00741C9E">
      <w:pPr>
        <w:pStyle w:val="Heading4"/>
        <w:rPr>
          <w:i w:val="0"/>
        </w:rPr>
      </w:pPr>
      <w:r w:rsidRPr="00C46D0E">
        <w:rPr>
          <w:i w:val="0"/>
        </w:rPr>
        <w:t>Number of impacted businesses</w:t>
      </w:r>
    </w:p>
    <w:p w14:paraId="4D4E8C3F" w14:textId="77777777" w:rsidR="00741C9E" w:rsidRPr="0066184F" w:rsidRDefault="00741C9E" w:rsidP="00741C9E">
      <w:pPr>
        <w:pStyle w:val="Paragraph"/>
      </w:pPr>
      <w:r>
        <w:t>Using the Optus outage as an indication of the type of outage that would be impacted, a range of 50,000 businesses to 500,000 businesses was selected – with the expectation that the true number of businesses impacted by an “average” outage would fall within this range.</w:t>
      </w:r>
    </w:p>
    <w:p w14:paraId="5967223B" w14:textId="77777777" w:rsidR="00741C9E" w:rsidRPr="00C46D0E" w:rsidRDefault="00741C9E" w:rsidP="00741C9E">
      <w:pPr>
        <w:pStyle w:val="Heading4"/>
        <w:rPr>
          <w:i w:val="0"/>
        </w:rPr>
      </w:pPr>
      <w:r w:rsidRPr="00C46D0E">
        <w:rPr>
          <w:i w:val="0"/>
        </w:rPr>
        <w:t>Number of customers and staff per impacted businesses</w:t>
      </w:r>
    </w:p>
    <w:p w14:paraId="414BECB2" w14:textId="22AAA46B" w:rsidR="005F274C" w:rsidRDefault="00741C9E" w:rsidP="005F274C">
      <w:pPr>
        <w:pStyle w:val="Paragraph"/>
      </w:pPr>
      <w:r>
        <w:t>The n</w:t>
      </w:r>
      <w:r w:rsidRPr="00AA1F3F">
        <w:t>umber of business employees</w:t>
      </w:r>
      <w:r>
        <w:t xml:space="preserve"> can be identified by </w:t>
      </w:r>
      <w:r w:rsidRPr="00E564F0">
        <w:t>combining ABS data sources</w:t>
      </w:r>
      <w:r>
        <w:t>.</w:t>
      </w:r>
      <w:r w:rsidRPr="00E564F0">
        <w:rPr>
          <w:rStyle w:val="FootnoteReference"/>
        </w:rPr>
        <w:footnoteReference w:id="25"/>
      </w:r>
      <w:r w:rsidRPr="00E564F0">
        <w:t xml:space="preserve"> The average number of employees for each of the identified sectors can be found – giving an average of 9 employees across these sectors</w:t>
      </w:r>
      <w:r>
        <w:t>.</w:t>
      </w:r>
    </w:p>
    <w:p w14:paraId="4A9423D0" w14:textId="77777777" w:rsidR="007D3784" w:rsidRPr="00E564F0" w:rsidRDefault="007D3784" w:rsidP="007D3784">
      <w:pPr>
        <w:pStyle w:val="Tableheading"/>
        <w:numPr>
          <w:ilvl w:val="0"/>
          <w:numId w:val="0"/>
        </w:numPr>
      </w:pPr>
      <w:r>
        <w:lastRenderedPageBreak/>
        <w:t>Table 8:</w:t>
      </w:r>
      <w:r>
        <w:tab/>
        <w:t>Average employees and average daily sales for selected sectors</w:t>
      </w:r>
    </w:p>
    <w:tbl>
      <w:tblPr>
        <w:tblStyle w:val="ACMAtablestyle"/>
        <w:tblW w:w="9655" w:type="dxa"/>
        <w:tblLook w:val="04A0" w:firstRow="1" w:lastRow="0" w:firstColumn="1" w:lastColumn="0" w:noHBand="0" w:noVBand="1"/>
      </w:tblPr>
      <w:tblGrid>
        <w:gridCol w:w="2405"/>
        <w:gridCol w:w="1276"/>
        <w:gridCol w:w="1206"/>
        <w:gridCol w:w="1356"/>
        <w:gridCol w:w="1148"/>
        <w:gridCol w:w="1148"/>
        <w:gridCol w:w="1116"/>
      </w:tblGrid>
      <w:tr w:rsidR="007D3784" w:rsidRPr="003D5CD6" w14:paraId="3C20A066" w14:textId="77777777" w:rsidTr="004E0D3E">
        <w:trPr>
          <w:cnfStyle w:val="100000000000" w:firstRow="1" w:lastRow="0" w:firstColumn="0" w:lastColumn="0" w:oddVBand="0" w:evenVBand="0" w:oddHBand="0" w:evenHBand="0" w:firstRowFirstColumn="0" w:firstRowLastColumn="0" w:lastRowFirstColumn="0" w:lastRowLastColumn="0"/>
          <w:trHeight w:val="432"/>
        </w:trPr>
        <w:tc>
          <w:tcPr>
            <w:tcW w:w="2405" w:type="dxa"/>
            <w:noWrap/>
            <w:hideMark/>
          </w:tcPr>
          <w:p w14:paraId="302EC984" w14:textId="77777777" w:rsidR="007D3784" w:rsidRPr="003D5CD6" w:rsidRDefault="007D3784" w:rsidP="004E0D3E">
            <w:pPr>
              <w:pStyle w:val="Tableheaderrow"/>
            </w:pPr>
          </w:p>
        </w:tc>
        <w:tc>
          <w:tcPr>
            <w:tcW w:w="1276" w:type="dxa"/>
            <w:noWrap/>
            <w:hideMark/>
          </w:tcPr>
          <w:p w14:paraId="0DF59676" w14:textId="77777777" w:rsidR="007D3784" w:rsidRPr="00383E7D" w:rsidRDefault="007D3784" w:rsidP="004E0D3E">
            <w:pPr>
              <w:pStyle w:val="Tableheaderrow"/>
            </w:pPr>
            <w:r w:rsidRPr="00383E7D">
              <w:t>Total sales ($M)</w:t>
            </w:r>
          </w:p>
        </w:tc>
        <w:tc>
          <w:tcPr>
            <w:tcW w:w="1206" w:type="dxa"/>
            <w:hideMark/>
          </w:tcPr>
          <w:p w14:paraId="2199E79D" w14:textId="77777777" w:rsidR="007D3784" w:rsidRPr="00383E7D" w:rsidRDefault="007D3784" w:rsidP="004E0D3E">
            <w:pPr>
              <w:pStyle w:val="Tableheaderrow"/>
            </w:pPr>
            <w:r w:rsidRPr="00383E7D">
              <w:t>Total count of bus</w:t>
            </w:r>
            <w:r>
              <w:t>inesses</w:t>
            </w:r>
          </w:p>
        </w:tc>
        <w:tc>
          <w:tcPr>
            <w:tcW w:w="1356" w:type="dxa"/>
            <w:hideMark/>
          </w:tcPr>
          <w:p w14:paraId="28573519" w14:textId="77777777" w:rsidR="007D3784" w:rsidRPr="00383E7D" w:rsidRDefault="007D3784" w:rsidP="004E0D3E">
            <w:pPr>
              <w:pStyle w:val="Tableheaderrow"/>
            </w:pPr>
            <w:r w:rsidRPr="00383E7D">
              <w:t>Average sales</w:t>
            </w:r>
          </w:p>
        </w:tc>
        <w:tc>
          <w:tcPr>
            <w:tcW w:w="1148" w:type="dxa"/>
            <w:hideMark/>
          </w:tcPr>
          <w:p w14:paraId="349CC95D" w14:textId="77777777" w:rsidR="007D3784" w:rsidRPr="00383E7D" w:rsidRDefault="007D3784" w:rsidP="004E0D3E">
            <w:pPr>
              <w:pStyle w:val="Tableheaderrow"/>
            </w:pPr>
            <w:r w:rsidRPr="00383E7D">
              <w:t>Total employees</w:t>
            </w:r>
          </w:p>
        </w:tc>
        <w:tc>
          <w:tcPr>
            <w:tcW w:w="1148" w:type="dxa"/>
            <w:hideMark/>
          </w:tcPr>
          <w:p w14:paraId="7DE5C0FC" w14:textId="77777777" w:rsidR="007D3784" w:rsidRPr="00383E7D" w:rsidRDefault="007D3784" w:rsidP="004E0D3E">
            <w:pPr>
              <w:pStyle w:val="Tableheaderrow"/>
            </w:pPr>
            <w:r>
              <w:t>A</w:t>
            </w:r>
            <w:r w:rsidRPr="00383E7D">
              <w:t>verage employees</w:t>
            </w:r>
          </w:p>
        </w:tc>
        <w:tc>
          <w:tcPr>
            <w:tcW w:w="1116" w:type="dxa"/>
            <w:hideMark/>
          </w:tcPr>
          <w:p w14:paraId="72297955" w14:textId="77777777" w:rsidR="007D3784" w:rsidRPr="00383E7D" w:rsidRDefault="007D3784" w:rsidP="004E0D3E">
            <w:pPr>
              <w:pStyle w:val="Tableheaderrow"/>
            </w:pPr>
            <w:r w:rsidRPr="00383E7D">
              <w:t>Average Daily sales</w:t>
            </w:r>
          </w:p>
        </w:tc>
      </w:tr>
      <w:tr w:rsidR="007D3784" w:rsidRPr="003D5CD6" w14:paraId="1E955045" w14:textId="77777777" w:rsidTr="004E0D3E">
        <w:trPr>
          <w:cnfStyle w:val="000000100000" w:firstRow="0" w:lastRow="0" w:firstColumn="0" w:lastColumn="0" w:oddVBand="0" w:evenVBand="0" w:oddHBand="1" w:evenHBand="0" w:firstRowFirstColumn="0" w:firstRowLastColumn="0" w:lastRowFirstColumn="0" w:lastRowLastColumn="0"/>
          <w:trHeight w:val="288"/>
        </w:trPr>
        <w:tc>
          <w:tcPr>
            <w:tcW w:w="2405" w:type="dxa"/>
            <w:noWrap/>
            <w:hideMark/>
          </w:tcPr>
          <w:p w14:paraId="4AB63FE5" w14:textId="77777777" w:rsidR="007D3784" w:rsidRPr="003D5CD6" w:rsidRDefault="007D3784" w:rsidP="004E0D3E">
            <w:pPr>
              <w:pStyle w:val="TableBody"/>
            </w:pPr>
            <w:r w:rsidRPr="003D5CD6">
              <w:t>Wholesale trade</w:t>
            </w:r>
          </w:p>
        </w:tc>
        <w:tc>
          <w:tcPr>
            <w:tcW w:w="1276" w:type="dxa"/>
            <w:noWrap/>
            <w:hideMark/>
          </w:tcPr>
          <w:p w14:paraId="4CBE2209" w14:textId="77777777" w:rsidR="007D3784" w:rsidRPr="003D5CD6" w:rsidRDefault="007D3784" w:rsidP="004E0D3E">
            <w:pPr>
              <w:pStyle w:val="TableBody"/>
            </w:pPr>
            <w:r w:rsidRPr="003D5CD6">
              <w:t>770,448</w:t>
            </w:r>
          </w:p>
        </w:tc>
        <w:tc>
          <w:tcPr>
            <w:tcW w:w="1206" w:type="dxa"/>
            <w:noWrap/>
            <w:hideMark/>
          </w:tcPr>
          <w:p w14:paraId="352C980D"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51,144</w:t>
            </w:r>
          </w:p>
        </w:tc>
        <w:tc>
          <w:tcPr>
            <w:tcW w:w="1356" w:type="dxa"/>
            <w:noWrap/>
            <w:hideMark/>
          </w:tcPr>
          <w:p w14:paraId="0AD1E9F7"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$15,064,289</w:t>
            </w:r>
          </w:p>
        </w:tc>
        <w:tc>
          <w:tcPr>
            <w:tcW w:w="1148" w:type="dxa"/>
            <w:noWrap/>
            <w:hideMark/>
          </w:tcPr>
          <w:p w14:paraId="320967E5" w14:textId="77777777" w:rsidR="007D3784" w:rsidRPr="003D5CD6" w:rsidRDefault="007D3784" w:rsidP="004E0D3E">
            <w:pPr>
              <w:pStyle w:val="TableBody"/>
            </w:pPr>
            <w:r w:rsidRPr="003D5CD6">
              <w:t>597,100</w:t>
            </w:r>
          </w:p>
        </w:tc>
        <w:tc>
          <w:tcPr>
            <w:tcW w:w="1148" w:type="dxa"/>
            <w:noWrap/>
            <w:hideMark/>
          </w:tcPr>
          <w:p w14:paraId="2DE39AC1"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11.7</w:t>
            </w:r>
          </w:p>
        </w:tc>
        <w:tc>
          <w:tcPr>
            <w:tcW w:w="1116" w:type="dxa"/>
            <w:noWrap/>
            <w:hideMark/>
          </w:tcPr>
          <w:p w14:paraId="0FB49A6F"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$60,257</w:t>
            </w:r>
          </w:p>
        </w:tc>
      </w:tr>
      <w:tr w:rsidR="007D3784" w:rsidRPr="003D5CD6" w14:paraId="28C85395" w14:textId="77777777" w:rsidTr="004E0D3E">
        <w:trPr>
          <w:cnfStyle w:val="000000010000" w:firstRow="0" w:lastRow="0" w:firstColumn="0" w:lastColumn="0" w:oddVBand="0" w:evenVBand="0" w:oddHBand="0" w:evenHBand="1" w:firstRowFirstColumn="0" w:firstRowLastColumn="0" w:lastRowFirstColumn="0" w:lastRowLastColumn="0"/>
          <w:trHeight w:val="288"/>
        </w:trPr>
        <w:tc>
          <w:tcPr>
            <w:tcW w:w="2405" w:type="dxa"/>
            <w:noWrap/>
            <w:hideMark/>
          </w:tcPr>
          <w:p w14:paraId="61352687" w14:textId="77777777" w:rsidR="007D3784" w:rsidRPr="003D5CD6" w:rsidRDefault="007D3784" w:rsidP="004E0D3E">
            <w:pPr>
              <w:pStyle w:val="TableBody"/>
            </w:pPr>
            <w:r w:rsidRPr="003D5CD6">
              <w:t>Retail trade</w:t>
            </w:r>
          </w:p>
        </w:tc>
        <w:tc>
          <w:tcPr>
            <w:tcW w:w="1276" w:type="dxa"/>
            <w:noWrap/>
            <w:hideMark/>
          </w:tcPr>
          <w:p w14:paraId="4F14037A" w14:textId="77777777" w:rsidR="007D3784" w:rsidRPr="003D5CD6" w:rsidRDefault="007D3784" w:rsidP="004E0D3E">
            <w:pPr>
              <w:pStyle w:val="TableBody"/>
            </w:pPr>
            <w:r w:rsidRPr="003D5CD6">
              <w:t>616,848</w:t>
            </w:r>
          </w:p>
        </w:tc>
        <w:tc>
          <w:tcPr>
            <w:tcW w:w="1206" w:type="dxa"/>
            <w:noWrap/>
            <w:hideMark/>
          </w:tcPr>
          <w:p w14:paraId="4DD63184"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84,971</w:t>
            </w:r>
          </w:p>
        </w:tc>
        <w:tc>
          <w:tcPr>
            <w:tcW w:w="1356" w:type="dxa"/>
            <w:noWrap/>
            <w:hideMark/>
          </w:tcPr>
          <w:p w14:paraId="2D3678C2"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$7,259,512</w:t>
            </w:r>
          </w:p>
        </w:tc>
        <w:tc>
          <w:tcPr>
            <w:tcW w:w="1148" w:type="dxa"/>
            <w:noWrap/>
            <w:hideMark/>
          </w:tcPr>
          <w:p w14:paraId="1DC38238" w14:textId="77777777" w:rsidR="007D3784" w:rsidRPr="003D5CD6" w:rsidRDefault="007D3784" w:rsidP="004E0D3E">
            <w:pPr>
              <w:pStyle w:val="TableBody"/>
            </w:pPr>
            <w:r w:rsidRPr="003D5CD6">
              <w:t>1,479,100</w:t>
            </w:r>
          </w:p>
        </w:tc>
        <w:tc>
          <w:tcPr>
            <w:tcW w:w="1148" w:type="dxa"/>
            <w:noWrap/>
            <w:hideMark/>
          </w:tcPr>
          <w:p w14:paraId="70676CB7"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17.4</w:t>
            </w:r>
          </w:p>
        </w:tc>
        <w:tc>
          <w:tcPr>
            <w:tcW w:w="1116" w:type="dxa"/>
            <w:noWrap/>
            <w:hideMark/>
          </w:tcPr>
          <w:p w14:paraId="4AC2A888"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$29,038</w:t>
            </w:r>
          </w:p>
        </w:tc>
      </w:tr>
      <w:tr w:rsidR="007D3784" w:rsidRPr="003D5CD6" w14:paraId="4DBCE6F9" w14:textId="77777777" w:rsidTr="004E0D3E">
        <w:trPr>
          <w:cnfStyle w:val="000000100000" w:firstRow="0" w:lastRow="0" w:firstColumn="0" w:lastColumn="0" w:oddVBand="0" w:evenVBand="0" w:oddHBand="1" w:evenHBand="0" w:firstRowFirstColumn="0" w:firstRowLastColumn="0" w:lastRowFirstColumn="0" w:lastRowLastColumn="0"/>
          <w:trHeight w:val="288"/>
        </w:trPr>
        <w:tc>
          <w:tcPr>
            <w:tcW w:w="2405" w:type="dxa"/>
            <w:noWrap/>
            <w:hideMark/>
          </w:tcPr>
          <w:p w14:paraId="283B3D5E" w14:textId="77777777" w:rsidR="007D3784" w:rsidRPr="003D5CD6" w:rsidRDefault="007D3784" w:rsidP="004E0D3E">
            <w:pPr>
              <w:pStyle w:val="TableBody"/>
            </w:pPr>
            <w:r w:rsidRPr="003D5CD6">
              <w:t>Information media and telecommunications</w:t>
            </w:r>
          </w:p>
        </w:tc>
        <w:tc>
          <w:tcPr>
            <w:tcW w:w="1276" w:type="dxa"/>
            <w:noWrap/>
            <w:hideMark/>
          </w:tcPr>
          <w:p w14:paraId="03AE0882" w14:textId="77777777" w:rsidR="007D3784" w:rsidRPr="003D5CD6" w:rsidRDefault="007D3784" w:rsidP="004E0D3E">
            <w:pPr>
              <w:pStyle w:val="TableBody"/>
            </w:pPr>
            <w:r w:rsidRPr="003D5CD6">
              <w:t>114,306</w:t>
            </w:r>
          </w:p>
        </w:tc>
        <w:tc>
          <w:tcPr>
            <w:tcW w:w="1206" w:type="dxa"/>
            <w:noWrap/>
            <w:hideMark/>
          </w:tcPr>
          <w:p w14:paraId="46891009"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13,108</w:t>
            </w:r>
          </w:p>
        </w:tc>
        <w:tc>
          <w:tcPr>
            <w:tcW w:w="1356" w:type="dxa"/>
            <w:noWrap/>
            <w:hideMark/>
          </w:tcPr>
          <w:p w14:paraId="1338F493"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$8,720,323</w:t>
            </w:r>
          </w:p>
        </w:tc>
        <w:tc>
          <w:tcPr>
            <w:tcW w:w="1148" w:type="dxa"/>
            <w:noWrap/>
            <w:hideMark/>
          </w:tcPr>
          <w:p w14:paraId="0B0B73F0" w14:textId="77777777" w:rsidR="007D3784" w:rsidRPr="003D5CD6" w:rsidRDefault="007D3784" w:rsidP="004E0D3E">
            <w:pPr>
              <w:pStyle w:val="TableBody"/>
            </w:pPr>
            <w:r w:rsidRPr="003D5CD6">
              <w:t>189,100</w:t>
            </w:r>
          </w:p>
        </w:tc>
        <w:tc>
          <w:tcPr>
            <w:tcW w:w="1148" w:type="dxa"/>
            <w:noWrap/>
            <w:hideMark/>
          </w:tcPr>
          <w:p w14:paraId="516B6B12"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14.4</w:t>
            </w:r>
          </w:p>
        </w:tc>
        <w:tc>
          <w:tcPr>
            <w:tcW w:w="1116" w:type="dxa"/>
            <w:noWrap/>
            <w:hideMark/>
          </w:tcPr>
          <w:p w14:paraId="20F763D0"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$34,881</w:t>
            </w:r>
          </w:p>
        </w:tc>
      </w:tr>
      <w:tr w:rsidR="007D3784" w:rsidRPr="003D5CD6" w14:paraId="47E58EE5" w14:textId="77777777" w:rsidTr="004E0D3E">
        <w:trPr>
          <w:cnfStyle w:val="000000010000" w:firstRow="0" w:lastRow="0" w:firstColumn="0" w:lastColumn="0" w:oddVBand="0" w:evenVBand="0" w:oddHBand="0" w:evenHBand="1" w:firstRowFirstColumn="0" w:firstRowLastColumn="0" w:lastRowFirstColumn="0" w:lastRowLastColumn="0"/>
          <w:trHeight w:val="288"/>
        </w:trPr>
        <w:tc>
          <w:tcPr>
            <w:tcW w:w="2405" w:type="dxa"/>
            <w:noWrap/>
            <w:hideMark/>
          </w:tcPr>
          <w:p w14:paraId="62F5B213" w14:textId="77777777" w:rsidR="007D3784" w:rsidRPr="003D5CD6" w:rsidRDefault="007D3784" w:rsidP="004E0D3E">
            <w:pPr>
              <w:pStyle w:val="TableBody"/>
            </w:pPr>
            <w:r w:rsidRPr="003D5CD6">
              <w:t>Professional, scientific and technical services</w:t>
            </w:r>
          </w:p>
        </w:tc>
        <w:tc>
          <w:tcPr>
            <w:tcW w:w="1276" w:type="dxa"/>
            <w:noWrap/>
            <w:hideMark/>
          </w:tcPr>
          <w:p w14:paraId="06BD7805" w14:textId="77777777" w:rsidR="007D3784" w:rsidRPr="003D5CD6" w:rsidRDefault="007D3784" w:rsidP="004E0D3E">
            <w:pPr>
              <w:pStyle w:val="TableBody"/>
            </w:pPr>
            <w:r w:rsidRPr="003D5CD6">
              <w:t>374,783</w:t>
            </w:r>
          </w:p>
        </w:tc>
        <w:tc>
          <w:tcPr>
            <w:tcW w:w="1206" w:type="dxa"/>
            <w:noWrap/>
            <w:hideMark/>
          </w:tcPr>
          <w:p w14:paraId="2DB2079F"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250,213</w:t>
            </w:r>
          </w:p>
        </w:tc>
        <w:tc>
          <w:tcPr>
            <w:tcW w:w="1356" w:type="dxa"/>
            <w:noWrap/>
            <w:hideMark/>
          </w:tcPr>
          <w:p w14:paraId="21DB3442"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$1,497,856</w:t>
            </w:r>
          </w:p>
        </w:tc>
        <w:tc>
          <w:tcPr>
            <w:tcW w:w="1148" w:type="dxa"/>
            <w:noWrap/>
            <w:hideMark/>
          </w:tcPr>
          <w:p w14:paraId="7170851E" w14:textId="77777777" w:rsidR="007D3784" w:rsidRPr="003D5CD6" w:rsidRDefault="007D3784" w:rsidP="004E0D3E">
            <w:pPr>
              <w:pStyle w:val="TableBody"/>
            </w:pPr>
            <w:r w:rsidRPr="003D5CD6">
              <w:t>1,328,900</w:t>
            </w:r>
          </w:p>
        </w:tc>
        <w:tc>
          <w:tcPr>
            <w:tcW w:w="1148" w:type="dxa"/>
            <w:noWrap/>
            <w:hideMark/>
          </w:tcPr>
          <w:p w14:paraId="04AFB222"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5.3</w:t>
            </w:r>
          </w:p>
        </w:tc>
        <w:tc>
          <w:tcPr>
            <w:tcW w:w="1116" w:type="dxa"/>
            <w:noWrap/>
            <w:hideMark/>
          </w:tcPr>
          <w:p w14:paraId="63517AEC" w14:textId="77777777" w:rsidR="007D3784" w:rsidRPr="003D5CD6" w:rsidRDefault="007D3784" w:rsidP="004E0D3E">
            <w:pPr>
              <w:pStyle w:val="TableBody"/>
              <w:rPr>
                <w:rFonts w:ascii="Aptos Narrow" w:hAnsi="Aptos Narrow"/>
                <w:sz w:val="22"/>
                <w:szCs w:val="22"/>
              </w:rPr>
            </w:pPr>
            <w:r w:rsidRPr="003D5CD6">
              <w:rPr>
                <w:rFonts w:ascii="Aptos Narrow" w:hAnsi="Aptos Narrow"/>
                <w:sz w:val="22"/>
                <w:szCs w:val="22"/>
              </w:rPr>
              <w:t>$5,991</w:t>
            </w:r>
          </w:p>
        </w:tc>
      </w:tr>
    </w:tbl>
    <w:p w14:paraId="75C58FEB" w14:textId="77777777" w:rsidR="00282880" w:rsidRDefault="00282880" w:rsidP="007D3784">
      <w:pPr>
        <w:pStyle w:val="Paragraph"/>
      </w:pPr>
    </w:p>
    <w:p w14:paraId="58D37687" w14:textId="060A4F49" w:rsidR="007D3784" w:rsidRDefault="007D3784" w:rsidP="007D3784">
      <w:pPr>
        <w:pStyle w:val="Paragraph"/>
      </w:pPr>
      <w:r w:rsidRPr="00B4326F">
        <w:t>As sho</w:t>
      </w:r>
      <w:r>
        <w:t xml:space="preserve">wn in Figure 1 below, this average is distorted by a large number of very small businesses and a small number of very large businesses. In particular, professional services </w:t>
      </w:r>
      <w:r w:rsidR="004D7F0C">
        <w:t>have</w:t>
      </w:r>
      <w:r>
        <w:t xml:space="preserve"> a very high number of non-employing and micro businesses. </w:t>
      </w:r>
    </w:p>
    <w:p w14:paraId="437701DE" w14:textId="77777777" w:rsidR="007D3784" w:rsidRPr="00B4326F" w:rsidRDefault="007D3784" w:rsidP="007D3784">
      <w:pPr>
        <w:pStyle w:val="Figureheading"/>
      </w:pPr>
      <w:r>
        <w:t>Counts of businesses for each identified sector by employee numbers</w:t>
      </w:r>
    </w:p>
    <w:p w14:paraId="478F7FE8" w14:textId="77777777" w:rsidR="007D3784" w:rsidRPr="007701D9" w:rsidRDefault="007D3784" w:rsidP="007D3784">
      <w:pPr>
        <w:pStyle w:val="Paragraph"/>
      </w:pPr>
      <w:r w:rsidRPr="007701D9">
        <w:rPr>
          <w:noProof/>
        </w:rPr>
        <w:drawing>
          <wp:inline distT="0" distB="0" distL="0" distR="0" wp14:anchorId="34590D98" wp14:editId="1261DBE6">
            <wp:extent cx="5700484" cy="3189514"/>
            <wp:effectExtent l="0" t="0" r="0" b="0"/>
            <wp:docPr id="396065248" name="Picture 1" descr="A chart that shows the counts of businesses for identified sectors by employee numbers. Identified sectors are wholesale trade; retail trade; information media and telecommunications; and professional, scientific and technical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65248" name="Picture 1" descr="A chart that shows the counts of businesses for identified sectors by employee numbers. Identified sectors are wholesale trade; retail trade; information media and telecommunications; and professional, scientific and technical service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1385" cy="3195613"/>
                    </a:xfrm>
                    <a:prstGeom prst="rect">
                      <a:avLst/>
                    </a:prstGeom>
                    <a:noFill/>
                  </pic:spPr>
                </pic:pic>
              </a:graphicData>
            </a:graphic>
          </wp:inline>
        </w:drawing>
      </w:r>
    </w:p>
    <w:p w14:paraId="672AD473" w14:textId="77777777" w:rsidR="007D3784" w:rsidRPr="004E64C9" w:rsidRDefault="007D3784" w:rsidP="007D3784">
      <w:pPr>
        <w:pStyle w:val="Heading4"/>
        <w:rPr>
          <w:i w:val="0"/>
        </w:rPr>
      </w:pPr>
      <w:r w:rsidRPr="004E64C9">
        <w:rPr>
          <w:i w:val="0"/>
        </w:rPr>
        <w:t xml:space="preserve">Number of impacted customers </w:t>
      </w:r>
    </w:p>
    <w:p w14:paraId="71253291" w14:textId="77777777" w:rsidR="007D3784" w:rsidRDefault="007D3784" w:rsidP="007D3784">
      <w:pPr>
        <w:pStyle w:val="Paragraph"/>
      </w:pPr>
      <w:r w:rsidRPr="00763B9B">
        <w:t xml:space="preserve">The </w:t>
      </w:r>
      <w:r>
        <w:t xml:space="preserve">average </w:t>
      </w:r>
      <w:r w:rsidRPr="00763B9B">
        <w:t xml:space="preserve">number </w:t>
      </w:r>
      <w:r>
        <w:t xml:space="preserve">of </w:t>
      </w:r>
      <w:r w:rsidRPr="001B2C1B">
        <w:t>impacted customers</w:t>
      </w:r>
      <w:r>
        <w:t xml:space="preserve"> will vary greatly between the business types.  Overall, Wholesale trade and Professional, scientific and technical services are likely to be characterised by a small number of high value clients per day. In contrast, retail businesses will be characterised by a very high number of customers per day.</w:t>
      </w:r>
    </w:p>
    <w:p w14:paraId="3B11C901" w14:textId="77777777" w:rsidR="007D3784" w:rsidRDefault="007D3784" w:rsidP="007D3784">
      <w:pPr>
        <w:pStyle w:val="Paragraph"/>
      </w:pPr>
      <w:r>
        <w:t xml:space="preserve">The average number of customers per impacted business can also be estimated by considering the turnover of the business and the average transaction value per customer.  </w:t>
      </w:r>
    </w:p>
    <w:p w14:paraId="5E8AAE2C" w14:textId="77777777" w:rsidR="001A4074" w:rsidRDefault="001A4074" w:rsidP="001A4074">
      <w:pPr>
        <w:pStyle w:val="Paragraph"/>
      </w:pPr>
      <w:r>
        <w:t>Table 9 below provides the low and high indicative estimates of the number of customers per impacted business based on the number they are likely to see in a day.</w:t>
      </w:r>
    </w:p>
    <w:p w14:paraId="58011132" w14:textId="77777777" w:rsidR="002E6C27" w:rsidRDefault="002E6C27" w:rsidP="002E6C27">
      <w:pPr>
        <w:pStyle w:val="Tableheading"/>
        <w:numPr>
          <w:ilvl w:val="0"/>
          <w:numId w:val="0"/>
        </w:numPr>
      </w:pPr>
      <w:r>
        <w:lastRenderedPageBreak/>
        <w:t>Table 9:  Indicative estimates of the numbers of customers for each industry segment</w:t>
      </w:r>
    </w:p>
    <w:tbl>
      <w:tblPr>
        <w:tblStyle w:val="ACMAtablestyle"/>
        <w:tblW w:w="5154" w:type="dxa"/>
        <w:tblLook w:val="04A0" w:firstRow="1" w:lastRow="0" w:firstColumn="1" w:lastColumn="0" w:noHBand="0" w:noVBand="1"/>
      </w:tblPr>
      <w:tblGrid>
        <w:gridCol w:w="3202"/>
        <w:gridCol w:w="976"/>
        <w:gridCol w:w="976"/>
      </w:tblGrid>
      <w:tr w:rsidR="002E6C27" w:rsidRPr="00A91702" w14:paraId="1F8D92E4" w14:textId="77777777" w:rsidTr="004E0D3E">
        <w:trPr>
          <w:cnfStyle w:val="100000000000" w:firstRow="1" w:lastRow="0" w:firstColumn="0" w:lastColumn="0" w:oddVBand="0" w:evenVBand="0" w:oddHBand="0" w:evenHBand="0" w:firstRowFirstColumn="0" w:firstRowLastColumn="0" w:lastRowFirstColumn="0" w:lastRowLastColumn="0"/>
          <w:trHeight w:val="432"/>
        </w:trPr>
        <w:tc>
          <w:tcPr>
            <w:tcW w:w="3202" w:type="dxa"/>
            <w:noWrap/>
            <w:hideMark/>
          </w:tcPr>
          <w:p w14:paraId="3BFD8168" w14:textId="77777777" w:rsidR="002E6C27" w:rsidRPr="00A91702" w:rsidRDefault="002E6C27" w:rsidP="004E0D3E">
            <w:pPr>
              <w:pStyle w:val="Tableheaderrow"/>
            </w:pPr>
            <w:r w:rsidRPr="00A91702">
              <w:t>Industry sector</w:t>
            </w:r>
          </w:p>
        </w:tc>
        <w:tc>
          <w:tcPr>
            <w:tcW w:w="976" w:type="dxa"/>
            <w:noWrap/>
          </w:tcPr>
          <w:p w14:paraId="075A4F3F" w14:textId="77777777" w:rsidR="002E6C27" w:rsidRPr="00A91702" w:rsidRDefault="002E6C27" w:rsidP="004E0D3E">
            <w:pPr>
              <w:pStyle w:val="Tableheaderrow"/>
            </w:pPr>
            <w:r w:rsidRPr="00A91702">
              <w:t>Low estimate</w:t>
            </w:r>
          </w:p>
        </w:tc>
        <w:tc>
          <w:tcPr>
            <w:tcW w:w="976" w:type="dxa"/>
          </w:tcPr>
          <w:p w14:paraId="2E9EDCE9" w14:textId="77777777" w:rsidR="002E6C27" w:rsidRPr="00A91702" w:rsidRDefault="002E6C27" w:rsidP="004E0D3E">
            <w:pPr>
              <w:pStyle w:val="Tableheaderrow"/>
            </w:pPr>
            <w:r w:rsidRPr="00A91702">
              <w:t>High estimate</w:t>
            </w:r>
          </w:p>
        </w:tc>
      </w:tr>
      <w:tr w:rsidR="002E6C27" w:rsidRPr="00A60B78" w14:paraId="1856F92F" w14:textId="77777777" w:rsidTr="004E0D3E">
        <w:trPr>
          <w:cnfStyle w:val="000000100000" w:firstRow="0" w:lastRow="0" w:firstColumn="0" w:lastColumn="0" w:oddVBand="0" w:evenVBand="0" w:oddHBand="1" w:evenHBand="0" w:firstRowFirstColumn="0" w:firstRowLastColumn="0" w:lastRowFirstColumn="0" w:lastRowLastColumn="0"/>
          <w:trHeight w:val="288"/>
        </w:trPr>
        <w:tc>
          <w:tcPr>
            <w:tcW w:w="3202" w:type="dxa"/>
            <w:noWrap/>
            <w:hideMark/>
          </w:tcPr>
          <w:p w14:paraId="1548E9CE" w14:textId="77777777" w:rsidR="002E6C27" w:rsidRPr="00A60B78" w:rsidRDefault="002E6C27" w:rsidP="004E0D3E">
            <w:pPr>
              <w:pStyle w:val="TableBody"/>
            </w:pPr>
            <w:r w:rsidRPr="00A60B78">
              <w:t>Wholesale trade</w:t>
            </w:r>
          </w:p>
        </w:tc>
        <w:tc>
          <w:tcPr>
            <w:tcW w:w="976" w:type="dxa"/>
            <w:noWrap/>
            <w:hideMark/>
          </w:tcPr>
          <w:p w14:paraId="293E476C" w14:textId="77777777" w:rsidR="002E6C27" w:rsidRPr="00A60B78" w:rsidRDefault="002E6C27" w:rsidP="004E0D3E">
            <w:pPr>
              <w:pStyle w:val="TableBody"/>
            </w:pPr>
            <w:r>
              <w:rPr>
                <w:rFonts w:ascii="Aptos Narrow" w:hAnsi="Aptos Narrow"/>
                <w:sz w:val="22"/>
                <w:szCs w:val="22"/>
              </w:rPr>
              <w:t>5</w:t>
            </w:r>
          </w:p>
        </w:tc>
        <w:tc>
          <w:tcPr>
            <w:tcW w:w="976" w:type="dxa"/>
          </w:tcPr>
          <w:p w14:paraId="5546CDEE" w14:textId="77777777" w:rsidR="002E6C27" w:rsidRDefault="002E6C27" w:rsidP="004E0D3E">
            <w:pPr>
              <w:pStyle w:val="TableBody"/>
              <w:rPr>
                <w:rFonts w:ascii="Aptos Narrow" w:hAnsi="Aptos Narrow"/>
                <w:sz w:val="22"/>
                <w:szCs w:val="22"/>
              </w:rPr>
            </w:pPr>
            <w:r>
              <w:rPr>
                <w:rFonts w:ascii="Aptos Narrow" w:hAnsi="Aptos Narrow"/>
                <w:sz w:val="22"/>
                <w:szCs w:val="22"/>
              </w:rPr>
              <w:t>15</w:t>
            </w:r>
          </w:p>
        </w:tc>
      </w:tr>
      <w:tr w:rsidR="002E6C27" w:rsidRPr="00A60B78" w14:paraId="1AD4D058" w14:textId="77777777" w:rsidTr="004E0D3E">
        <w:trPr>
          <w:cnfStyle w:val="000000010000" w:firstRow="0" w:lastRow="0" w:firstColumn="0" w:lastColumn="0" w:oddVBand="0" w:evenVBand="0" w:oddHBand="0" w:evenHBand="1" w:firstRowFirstColumn="0" w:firstRowLastColumn="0" w:lastRowFirstColumn="0" w:lastRowLastColumn="0"/>
          <w:trHeight w:val="288"/>
        </w:trPr>
        <w:tc>
          <w:tcPr>
            <w:tcW w:w="3202" w:type="dxa"/>
            <w:noWrap/>
            <w:hideMark/>
          </w:tcPr>
          <w:p w14:paraId="5BA22BC2" w14:textId="77777777" w:rsidR="002E6C27" w:rsidRPr="00A60B78" w:rsidRDefault="002E6C27" w:rsidP="004E0D3E">
            <w:pPr>
              <w:pStyle w:val="TableBody"/>
            </w:pPr>
            <w:r w:rsidRPr="00A60B78">
              <w:t>Retail trade</w:t>
            </w:r>
          </w:p>
        </w:tc>
        <w:tc>
          <w:tcPr>
            <w:tcW w:w="976" w:type="dxa"/>
            <w:noWrap/>
            <w:hideMark/>
          </w:tcPr>
          <w:p w14:paraId="77758757" w14:textId="77777777" w:rsidR="002E6C27" w:rsidRPr="00A60B78" w:rsidRDefault="002E6C27" w:rsidP="004E0D3E">
            <w:pPr>
              <w:pStyle w:val="TableBody"/>
            </w:pPr>
            <w:r>
              <w:rPr>
                <w:rFonts w:ascii="Aptos Narrow" w:hAnsi="Aptos Narrow"/>
                <w:sz w:val="22"/>
                <w:szCs w:val="22"/>
              </w:rPr>
              <w:t>50</w:t>
            </w:r>
          </w:p>
        </w:tc>
        <w:tc>
          <w:tcPr>
            <w:tcW w:w="976" w:type="dxa"/>
          </w:tcPr>
          <w:p w14:paraId="72D61AF3" w14:textId="77777777" w:rsidR="002E6C27" w:rsidRDefault="002E6C27" w:rsidP="004E0D3E">
            <w:pPr>
              <w:pStyle w:val="TableBody"/>
              <w:rPr>
                <w:rFonts w:ascii="Aptos Narrow" w:hAnsi="Aptos Narrow"/>
                <w:sz w:val="22"/>
                <w:szCs w:val="22"/>
              </w:rPr>
            </w:pPr>
            <w:r>
              <w:rPr>
                <w:rFonts w:ascii="Aptos Narrow" w:hAnsi="Aptos Narrow"/>
                <w:sz w:val="22"/>
                <w:szCs w:val="22"/>
              </w:rPr>
              <w:t>150</w:t>
            </w:r>
          </w:p>
        </w:tc>
      </w:tr>
      <w:tr w:rsidR="002E6C27" w:rsidRPr="00A60B78" w14:paraId="5335D28A" w14:textId="77777777" w:rsidTr="004E0D3E">
        <w:trPr>
          <w:cnfStyle w:val="000000100000" w:firstRow="0" w:lastRow="0" w:firstColumn="0" w:lastColumn="0" w:oddVBand="0" w:evenVBand="0" w:oddHBand="1" w:evenHBand="0" w:firstRowFirstColumn="0" w:firstRowLastColumn="0" w:lastRowFirstColumn="0" w:lastRowLastColumn="0"/>
          <w:trHeight w:val="288"/>
        </w:trPr>
        <w:tc>
          <w:tcPr>
            <w:tcW w:w="3202" w:type="dxa"/>
            <w:noWrap/>
            <w:hideMark/>
          </w:tcPr>
          <w:p w14:paraId="71498161" w14:textId="77777777" w:rsidR="002E6C27" w:rsidRPr="00A60B78" w:rsidRDefault="002E6C27" w:rsidP="004E0D3E">
            <w:pPr>
              <w:pStyle w:val="TableBody"/>
            </w:pPr>
            <w:r w:rsidRPr="00A60B78">
              <w:t>Information media and telecommunications</w:t>
            </w:r>
          </w:p>
        </w:tc>
        <w:tc>
          <w:tcPr>
            <w:tcW w:w="976" w:type="dxa"/>
            <w:noWrap/>
            <w:hideMark/>
          </w:tcPr>
          <w:p w14:paraId="2BF55608" w14:textId="77777777" w:rsidR="002E6C27" w:rsidRPr="00A60B78" w:rsidRDefault="002E6C27" w:rsidP="004E0D3E">
            <w:pPr>
              <w:pStyle w:val="TableBody"/>
            </w:pPr>
            <w:r>
              <w:rPr>
                <w:rFonts w:ascii="Aptos Narrow" w:hAnsi="Aptos Narrow"/>
                <w:sz w:val="22"/>
                <w:szCs w:val="22"/>
              </w:rPr>
              <w:t>4</w:t>
            </w:r>
          </w:p>
        </w:tc>
        <w:tc>
          <w:tcPr>
            <w:tcW w:w="976" w:type="dxa"/>
          </w:tcPr>
          <w:p w14:paraId="7DF24B0B" w14:textId="77777777" w:rsidR="002E6C27" w:rsidRDefault="002E6C27" w:rsidP="004E0D3E">
            <w:pPr>
              <w:pStyle w:val="TableBody"/>
              <w:rPr>
                <w:rFonts w:ascii="Aptos Narrow" w:hAnsi="Aptos Narrow"/>
                <w:sz w:val="22"/>
                <w:szCs w:val="22"/>
              </w:rPr>
            </w:pPr>
            <w:r>
              <w:rPr>
                <w:rFonts w:ascii="Aptos Narrow" w:hAnsi="Aptos Narrow"/>
                <w:sz w:val="22"/>
                <w:szCs w:val="22"/>
              </w:rPr>
              <w:t>10</w:t>
            </w:r>
          </w:p>
        </w:tc>
      </w:tr>
      <w:tr w:rsidR="002E6C27" w:rsidRPr="00A60B78" w14:paraId="5A9317DC" w14:textId="77777777" w:rsidTr="004E0D3E">
        <w:trPr>
          <w:cnfStyle w:val="000000010000" w:firstRow="0" w:lastRow="0" w:firstColumn="0" w:lastColumn="0" w:oddVBand="0" w:evenVBand="0" w:oddHBand="0" w:evenHBand="1" w:firstRowFirstColumn="0" w:firstRowLastColumn="0" w:lastRowFirstColumn="0" w:lastRowLastColumn="0"/>
          <w:trHeight w:val="288"/>
        </w:trPr>
        <w:tc>
          <w:tcPr>
            <w:tcW w:w="3202" w:type="dxa"/>
            <w:noWrap/>
            <w:hideMark/>
          </w:tcPr>
          <w:p w14:paraId="52DAE78D" w14:textId="77777777" w:rsidR="002E6C27" w:rsidRPr="00A60B78" w:rsidRDefault="002E6C27" w:rsidP="004E0D3E">
            <w:pPr>
              <w:pStyle w:val="TableBody"/>
            </w:pPr>
            <w:r w:rsidRPr="00A60B78">
              <w:t>Professional, scientific and technical services</w:t>
            </w:r>
          </w:p>
        </w:tc>
        <w:tc>
          <w:tcPr>
            <w:tcW w:w="976" w:type="dxa"/>
            <w:noWrap/>
            <w:hideMark/>
          </w:tcPr>
          <w:p w14:paraId="32F1E9E2" w14:textId="77777777" w:rsidR="002E6C27" w:rsidRPr="00A60B78" w:rsidRDefault="002E6C27" w:rsidP="004E0D3E">
            <w:pPr>
              <w:pStyle w:val="TableBody"/>
            </w:pPr>
            <w:r>
              <w:rPr>
                <w:rFonts w:ascii="Aptos Narrow" w:hAnsi="Aptos Narrow"/>
                <w:sz w:val="22"/>
                <w:szCs w:val="22"/>
              </w:rPr>
              <w:t>2</w:t>
            </w:r>
          </w:p>
        </w:tc>
        <w:tc>
          <w:tcPr>
            <w:tcW w:w="976" w:type="dxa"/>
          </w:tcPr>
          <w:p w14:paraId="05A65EE5" w14:textId="77777777" w:rsidR="002E6C27" w:rsidRDefault="002E6C27" w:rsidP="004E0D3E">
            <w:pPr>
              <w:pStyle w:val="TableBody"/>
              <w:rPr>
                <w:rFonts w:ascii="Aptos Narrow" w:hAnsi="Aptos Narrow"/>
                <w:sz w:val="22"/>
                <w:szCs w:val="22"/>
              </w:rPr>
            </w:pPr>
            <w:r>
              <w:rPr>
                <w:rFonts w:ascii="Aptos Narrow" w:hAnsi="Aptos Narrow"/>
                <w:sz w:val="22"/>
                <w:szCs w:val="22"/>
              </w:rPr>
              <w:t>4</w:t>
            </w:r>
          </w:p>
        </w:tc>
      </w:tr>
      <w:tr w:rsidR="002E6C27" w:rsidRPr="00A60B78" w14:paraId="7BD1C7AF" w14:textId="77777777" w:rsidTr="004E0D3E">
        <w:trPr>
          <w:cnfStyle w:val="000000100000" w:firstRow="0" w:lastRow="0" w:firstColumn="0" w:lastColumn="0" w:oddVBand="0" w:evenVBand="0" w:oddHBand="1" w:evenHBand="0" w:firstRowFirstColumn="0" w:firstRowLastColumn="0" w:lastRowFirstColumn="0" w:lastRowLastColumn="0"/>
          <w:trHeight w:val="288"/>
        </w:trPr>
        <w:tc>
          <w:tcPr>
            <w:tcW w:w="3202" w:type="dxa"/>
            <w:noWrap/>
          </w:tcPr>
          <w:p w14:paraId="58073441" w14:textId="77777777" w:rsidR="002E6C27" w:rsidRPr="00A60B78" w:rsidRDefault="002E6C27" w:rsidP="004E0D3E">
            <w:pPr>
              <w:pStyle w:val="TableBody"/>
            </w:pPr>
            <w:r>
              <w:t>Weighted average</w:t>
            </w:r>
          </w:p>
        </w:tc>
        <w:tc>
          <w:tcPr>
            <w:tcW w:w="976" w:type="dxa"/>
            <w:noWrap/>
          </w:tcPr>
          <w:p w14:paraId="276C7995" w14:textId="77777777" w:rsidR="002E6C27" w:rsidRDefault="002E6C27" w:rsidP="004E0D3E">
            <w:pPr>
              <w:pStyle w:val="TableBody"/>
              <w:rPr>
                <w:rFonts w:ascii="Aptos Narrow" w:hAnsi="Aptos Narrow"/>
                <w:sz w:val="22"/>
                <w:szCs w:val="22"/>
              </w:rPr>
            </w:pPr>
            <w:r>
              <w:rPr>
                <w:rFonts w:ascii="Aptos Narrow" w:hAnsi="Aptos Narrow"/>
                <w:sz w:val="22"/>
                <w:szCs w:val="22"/>
              </w:rPr>
              <w:t>23</w:t>
            </w:r>
          </w:p>
        </w:tc>
        <w:tc>
          <w:tcPr>
            <w:tcW w:w="976" w:type="dxa"/>
          </w:tcPr>
          <w:p w14:paraId="0781060D" w14:textId="77777777" w:rsidR="002E6C27" w:rsidRDefault="002E6C27" w:rsidP="004E0D3E">
            <w:pPr>
              <w:pStyle w:val="TableBody"/>
              <w:rPr>
                <w:rFonts w:ascii="Aptos Narrow" w:hAnsi="Aptos Narrow"/>
                <w:sz w:val="22"/>
                <w:szCs w:val="22"/>
              </w:rPr>
            </w:pPr>
            <w:r>
              <w:rPr>
                <w:rFonts w:ascii="Aptos Narrow" w:hAnsi="Aptos Narrow"/>
                <w:sz w:val="22"/>
                <w:szCs w:val="22"/>
              </w:rPr>
              <w:t>37</w:t>
            </w:r>
          </w:p>
        </w:tc>
      </w:tr>
    </w:tbl>
    <w:p w14:paraId="352CD172" w14:textId="522C7AFB" w:rsidR="00F8612E" w:rsidRDefault="00CD2B08" w:rsidP="002E6C27">
      <w:pPr>
        <w:pStyle w:val="Heading4"/>
      </w:pPr>
      <w:r>
        <w:t>Number of impacted individuals</w:t>
      </w:r>
    </w:p>
    <w:p w14:paraId="746EA9B6" w14:textId="77777777" w:rsidR="00CD2B08" w:rsidRDefault="00CD2B08" w:rsidP="00CD2B08">
      <w:pPr>
        <w:pStyle w:val="Paragraph"/>
      </w:pPr>
      <w:r>
        <w:t>As noted above, any outage will impact individuals (private customers of the network suffering the outage) as well as business customers and employees.  The average number of individuals that are impacted by an outage are difficult to estimate so low and high values of 500,000 and 2 million have been used.</w:t>
      </w:r>
    </w:p>
    <w:p w14:paraId="585BBC40" w14:textId="094EF57F" w:rsidR="002E6C27" w:rsidRPr="004B34F8" w:rsidRDefault="002E6C27" w:rsidP="002E6C27">
      <w:pPr>
        <w:pStyle w:val="Heading4"/>
      </w:pPr>
      <w:r w:rsidRPr="004B34F8">
        <w:t>Average reduction in lost time (mins)</w:t>
      </w:r>
    </w:p>
    <w:p w14:paraId="5251C69B" w14:textId="77777777" w:rsidR="002E6C27" w:rsidRPr="00DD1DDE" w:rsidRDefault="002E6C27" w:rsidP="002E6C27">
      <w:pPr>
        <w:pStyle w:val="Paragraph"/>
      </w:pPr>
      <w:r>
        <w:t>The reduction of lost time per impacted person will vary greatly, and are not readily estimated, therefore conservative values of 6 minutes and 20 minutes have been used in the analysis.</w:t>
      </w:r>
    </w:p>
    <w:p w14:paraId="263CFC9B" w14:textId="77777777" w:rsidR="002E6C27" w:rsidRDefault="002E6C27" w:rsidP="002E6C27">
      <w:pPr>
        <w:pStyle w:val="Heading4"/>
      </w:pPr>
      <w:r w:rsidRPr="00C707AD">
        <w:t>Value of lost time</w:t>
      </w:r>
    </w:p>
    <w:p w14:paraId="0CB3870D" w14:textId="77777777" w:rsidR="002E6C27" w:rsidRDefault="002E6C27" w:rsidP="002E6C27">
      <w:pPr>
        <w:keepNext/>
        <w:keepLines/>
      </w:pPr>
      <w:r>
        <w:rPr>
          <w:rFonts w:eastAsia="Arial" w:cs="Arial"/>
          <w:sz w:val="22"/>
          <w:szCs w:val="22"/>
        </w:rPr>
        <w:t>The v</w:t>
      </w:r>
      <w:r w:rsidRPr="58F67273">
        <w:rPr>
          <w:rFonts w:eastAsia="Arial" w:cs="Arial"/>
          <w:sz w:val="22"/>
          <w:szCs w:val="22"/>
        </w:rPr>
        <w:t xml:space="preserve">alue of </w:t>
      </w:r>
      <w:r>
        <w:rPr>
          <w:rFonts w:eastAsia="Arial" w:cs="Arial"/>
          <w:sz w:val="22"/>
          <w:szCs w:val="22"/>
        </w:rPr>
        <w:t xml:space="preserve">lost </w:t>
      </w:r>
      <w:r w:rsidRPr="58F67273">
        <w:rPr>
          <w:rFonts w:eastAsia="Arial" w:cs="Arial"/>
          <w:sz w:val="22"/>
          <w:szCs w:val="22"/>
        </w:rPr>
        <w:t xml:space="preserve">time was estimated to be 50% of </w:t>
      </w:r>
      <w:r>
        <w:rPr>
          <w:rFonts w:eastAsia="Arial" w:cs="Arial"/>
          <w:sz w:val="22"/>
          <w:szCs w:val="22"/>
        </w:rPr>
        <w:t>the</w:t>
      </w:r>
      <w:r w:rsidRPr="58F67273">
        <w:rPr>
          <w:rFonts w:eastAsia="Arial" w:cs="Arial"/>
          <w:sz w:val="22"/>
          <w:szCs w:val="22"/>
        </w:rPr>
        <w:t xml:space="preserve"> median wage.</w:t>
      </w:r>
      <w:hyperlink r:id="rId31" w:anchor="_ftn2">
        <w:r w:rsidRPr="58F67273">
          <w:rPr>
            <w:rStyle w:val="Hyperlink"/>
            <w:rFonts w:eastAsia="Arial" w:cs="Arial"/>
            <w:sz w:val="22"/>
            <w:szCs w:val="22"/>
            <w:vertAlign w:val="superscript"/>
          </w:rPr>
          <w:t>[2]</w:t>
        </w:r>
      </w:hyperlink>
      <w:r w:rsidRPr="58F67273">
        <w:rPr>
          <w:rFonts w:eastAsia="Arial" w:cs="Arial"/>
          <w:sz w:val="22"/>
          <w:szCs w:val="22"/>
        </w:rPr>
        <w:t xml:space="preserve">  The full-time adult average weekly total earnings is reported to be $1,995.90</w:t>
      </w:r>
      <w:r>
        <w:rPr>
          <w:rFonts w:eastAsia="Arial" w:cs="Arial"/>
          <w:sz w:val="22"/>
          <w:szCs w:val="22"/>
        </w:rPr>
        <w:t>,</w:t>
      </w:r>
      <w:hyperlink r:id="rId32" w:anchor="_ftn3">
        <w:r w:rsidRPr="58F67273">
          <w:rPr>
            <w:rStyle w:val="Hyperlink"/>
            <w:rFonts w:eastAsia="Arial" w:cs="Arial"/>
            <w:sz w:val="22"/>
            <w:szCs w:val="22"/>
            <w:vertAlign w:val="superscript"/>
          </w:rPr>
          <w:t>[3]</w:t>
        </w:r>
      </w:hyperlink>
      <w:r w:rsidRPr="58F67273">
        <w:rPr>
          <w:rFonts w:eastAsia="Arial" w:cs="Arial"/>
          <w:sz w:val="22"/>
          <w:szCs w:val="22"/>
        </w:rPr>
        <w:t xml:space="preserve"> giving an hourly employment rate of $53.22 (based on 37.5 hours per week). </w:t>
      </w:r>
      <w:r>
        <w:rPr>
          <w:rFonts w:eastAsia="Arial" w:cs="Arial"/>
          <w:sz w:val="22"/>
          <w:szCs w:val="22"/>
        </w:rPr>
        <w:t>This gives an hourly rate of $26.</w:t>
      </w:r>
      <w:r w:rsidRPr="58F67273">
        <w:rPr>
          <w:rFonts w:eastAsia="Arial" w:cs="Arial"/>
          <w:sz w:val="22"/>
          <w:szCs w:val="22"/>
        </w:rPr>
        <w:t>61 per hour</w:t>
      </w:r>
      <w:r>
        <w:rPr>
          <w:rFonts w:eastAsia="Arial" w:cs="Arial"/>
          <w:sz w:val="22"/>
          <w:szCs w:val="22"/>
        </w:rPr>
        <w:t>.</w:t>
      </w:r>
    </w:p>
    <w:p w14:paraId="5E50AECD" w14:textId="77777777" w:rsidR="002E6C27" w:rsidRDefault="002E6C27" w:rsidP="002E6C27">
      <w:pPr>
        <w:pStyle w:val="Heading4"/>
      </w:pPr>
      <w:r>
        <w:t>Outages per year</w:t>
      </w:r>
    </w:p>
    <w:p w14:paraId="584EC756" w14:textId="42EFE915" w:rsidR="002E6C27" w:rsidRDefault="002E6C27" w:rsidP="002E6C27">
      <w:pPr>
        <w:pStyle w:val="Paragraph"/>
      </w:pPr>
      <w:r>
        <w:t xml:space="preserve">Attachment 1 to this document lists </w:t>
      </w:r>
      <w:r w:rsidRPr="00BF5097">
        <w:t xml:space="preserve">15 outages over a </w:t>
      </w:r>
      <w:r w:rsidR="004D7F0C" w:rsidRPr="00BF5097">
        <w:t>13-year</w:t>
      </w:r>
      <w:r w:rsidRPr="00BF5097">
        <w:t xml:space="preserve"> period</w:t>
      </w:r>
      <w:r>
        <w:t xml:space="preserve"> that would be impacted by the proposed reforms. On this basis, it appears likely that there is </w:t>
      </w:r>
      <w:r w:rsidRPr="00BF5097">
        <w:t xml:space="preserve">at least </w:t>
      </w:r>
      <w:r>
        <w:t>one</w:t>
      </w:r>
      <w:r w:rsidRPr="00BF5097">
        <w:t xml:space="preserve"> major network outage per year, especially </w:t>
      </w:r>
      <w:r>
        <w:t>if</w:t>
      </w:r>
      <w:r w:rsidRPr="00BF5097">
        <w:t xml:space="preserve"> </w:t>
      </w:r>
      <w:r>
        <w:t xml:space="preserve">the </w:t>
      </w:r>
      <w:r w:rsidRPr="00BF5097">
        <w:t xml:space="preserve">definition </w:t>
      </w:r>
      <w:r>
        <w:t xml:space="preserve">of a major </w:t>
      </w:r>
      <w:r w:rsidRPr="00BF5097">
        <w:t xml:space="preserve">network outage </w:t>
      </w:r>
      <w:r>
        <w:t xml:space="preserve">was revised </w:t>
      </w:r>
      <w:r w:rsidRPr="00BF5097">
        <w:t xml:space="preserve">down </w:t>
      </w:r>
      <w:r>
        <w:t xml:space="preserve">to </w:t>
      </w:r>
      <w:r w:rsidRPr="00BF5097">
        <w:t>impact</w:t>
      </w:r>
      <w:r>
        <w:t>ing at least</w:t>
      </w:r>
      <w:r w:rsidRPr="00BF5097">
        <w:t xml:space="preserve"> 100,000 services</w:t>
      </w:r>
      <w:r>
        <w:t>.</w:t>
      </w:r>
    </w:p>
    <w:p w14:paraId="6142186A" w14:textId="77777777" w:rsidR="002E6C27" w:rsidRDefault="002E6C27" w:rsidP="002E6C27">
      <w:pPr>
        <w:pStyle w:val="Paragraph"/>
      </w:pPr>
      <w:r>
        <w:t>The analysis uses conservative estimates of one outage per 2-3 years.</w:t>
      </w:r>
    </w:p>
    <w:p w14:paraId="3FAF831C" w14:textId="77777777" w:rsidR="002E6C27" w:rsidRDefault="002E6C27" w:rsidP="002E6C27">
      <w:pPr>
        <w:pStyle w:val="Heading4"/>
      </w:pPr>
      <w:r>
        <w:t>Collated estimates</w:t>
      </w:r>
    </w:p>
    <w:p w14:paraId="4B459287" w14:textId="77777777" w:rsidR="002E6C27" w:rsidRDefault="002E6C27" w:rsidP="002E6C27">
      <w:pPr>
        <w:pStyle w:val="Paragraph"/>
      </w:pPr>
      <w:r>
        <w:t>High and low values for each of these inputs are estimated in Table 10 – giving a range for the likely annual benefits.</w:t>
      </w:r>
    </w:p>
    <w:p w14:paraId="7B7C5FF3" w14:textId="2AA95947" w:rsidR="00F34A1A" w:rsidRDefault="00F34A1A" w:rsidP="002E6C27">
      <w:pPr>
        <w:pStyle w:val="Paragraph"/>
      </w:pPr>
      <w:r>
        <w:t>There are a number of large uncertainties, and so a low and high estimate for each of the inputs is provided.</w:t>
      </w:r>
    </w:p>
    <w:p w14:paraId="20FCBC2F" w14:textId="712D84E6" w:rsidR="00052D33" w:rsidRDefault="00052D33" w:rsidP="00052D33">
      <w:pPr>
        <w:pStyle w:val="Caption"/>
        <w:keepNext/>
        <w:keepLines/>
        <w:numPr>
          <w:ilvl w:val="0"/>
          <w:numId w:val="0"/>
        </w:numPr>
        <w:ind w:left="964" w:hanging="964"/>
      </w:pPr>
      <w:r>
        <w:lastRenderedPageBreak/>
        <w:t>Table 10: Low and high estimates of the average annual benefit</w:t>
      </w:r>
      <w:r w:rsidR="00841929">
        <w:t xml:space="preserve"> arising from both businesses and individuals</w:t>
      </w:r>
    </w:p>
    <w:tbl>
      <w:tblPr>
        <w:tblStyle w:val="ACMAtablestyle"/>
        <w:tblW w:w="7813" w:type="dxa"/>
        <w:tblLook w:val="04A0" w:firstRow="1" w:lastRow="0" w:firstColumn="1" w:lastColumn="0" w:noHBand="0" w:noVBand="1"/>
      </w:tblPr>
      <w:tblGrid>
        <w:gridCol w:w="960"/>
        <w:gridCol w:w="3713"/>
        <w:gridCol w:w="1600"/>
        <w:gridCol w:w="1540"/>
      </w:tblGrid>
      <w:tr w:rsidR="00052D33" w:rsidRPr="00162104" w14:paraId="3CF1C75E" w14:textId="77777777" w:rsidTr="004E0D3E">
        <w:trPr>
          <w:cnfStyle w:val="100000000000" w:firstRow="1" w:lastRow="0" w:firstColumn="0" w:lastColumn="0" w:oddVBand="0" w:evenVBand="0" w:oddHBand="0" w:evenHBand="0" w:firstRowFirstColumn="0" w:firstRowLastColumn="0" w:lastRowFirstColumn="0" w:lastRowLastColumn="0"/>
          <w:trHeight w:val="300"/>
        </w:trPr>
        <w:tc>
          <w:tcPr>
            <w:tcW w:w="960" w:type="dxa"/>
            <w:noWrap/>
            <w:hideMark/>
          </w:tcPr>
          <w:p w14:paraId="1ACC089B" w14:textId="77777777" w:rsidR="00052D33" w:rsidRPr="00162104" w:rsidRDefault="00052D33" w:rsidP="004E0D3E">
            <w:pPr>
              <w:keepNext/>
              <w:keepLines/>
              <w:spacing w:after="0" w:line="240" w:lineRule="auto"/>
              <w:rPr>
                <w:rFonts w:ascii="Aptos Narrow" w:hAnsi="Aptos Narrow"/>
                <w:sz w:val="22"/>
                <w:szCs w:val="22"/>
              </w:rPr>
            </w:pPr>
            <w:r w:rsidRPr="00162104">
              <w:rPr>
                <w:rFonts w:ascii="Aptos Narrow" w:hAnsi="Aptos Narrow"/>
                <w:sz w:val="22"/>
                <w:szCs w:val="22"/>
              </w:rPr>
              <w:t>Input</w:t>
            </w:r>
          </w:p>
        </w:tc>
        <w:tc>
          <w:tcPr>
            <w:tcW w:w="3713" w:type="dxa"/>
            <w:noWrap/>
            <w:hideMark/>
          </w:tcPr>
          <w:p w14:paraId="2072D842" w14:textId="77777777" w:rsidR="00052D33" w:rsidRPr="00162104" w:rsidRDefault="00052D33" w:rsidP="004E0D3E">
            <w:pPr>
              <w:keepNext/>
              <w:keepLines/>
              <w:spacing w:after="0" w:line="240" w:lineRule="auto"/>
              <w:rPr>
                <w:rFonts w:ascii="Aptos Narrow" w:hAnsi="Aptos Narrow"/>
                <w:sz w:val="22"/>
                <w:szCs w:val="22"/>
              </w:rPr>
            </w:pPr>
            <w:r w:rsidRPr="00162104">
              <w:rPr>
                <w:rFonts w:ascii="Aptos Narrow" w:hAnsi="Aptos Narrow"/>
                <w:sz w:val="22"/>
                <w:szCs w:val="22"/>
              </w:rPr>
              <w:t>Description</w:t>
            </w:r>
          </w:p>
        </w:tc>
        <w:tc>
          <w:tcPr>
            <w:tcW w:w="1600" w:type="dxa"/>
            <w:noWrap/>
            <w:hideMark/>
          </w:tcPr>
          <w:p w14:paraId="70DF2D6C" w14:textId="77777777" w:rsidR="00052D33" w:rsidRPr="00162104" w:rsidRDefault="00052D33" w:rsidP="004E0D3E">
            <w:pPr>
              <w:keepNext/>
              <w:keepLines/>
              <w:spacing w:after="0" w:line="240" w:lineRule="auto"/>
              <w:rPr>
                <w:rFonts w:ascii="Aptos Narrow" w:hAnsi="Aptos Narrow"/>
                <w:sz w:val="22"/>
                <w:szCs w:val="22"/>
              </w:rPr>
            </w:pPr>
            <w:r w:rsidRPr="00162104">
              <w:rPr>
                <w:rFonts w:ascii="Aptos Narrow" w:hAnsi="Aptos Narrow"/>
                <w:sz w:val="22"/>
                <w:szCs w:val="22"/>
              </w:rPr>
              <w:t>Low</w:t>
            </w:r>
          </w:p>
        </w:tc>
        <w:tc>
          <w:tcPr>
            <w:tcW w:w="1540" w:type="dxa"/>
            <w:noWrap/>
            <w:hideMark/>
          </w:tcPr>
          <w:p w14:paraId="3CDE7315" w14:textId="77777777" w:rsidR="00052D33" w:rsidRPr="00162104" w:rsidRDefault="00052D33" w:rsidP="004E0D3E">
            <w:pPr>
              <w:keepNext/>
              <w:keepLines/>
              <w:spacing w:after="0" w:line="240" w:lineRule="auto"/>
              <w:rPr>
                <w:rFonts w:ascii="Aptos Narrow" w:hAnsi="Aptos Narrow"/>
                <w:sz w:val="22"/>
                <w:szCs w:val="22"/>
              </w:rPr>
            </w:pPr>
            <w:r w:rsidRPr="00162104">
              <w:rPr>
                <w:rFonts w:ascii="Aptos Narrow" w:hAnsi="Aptos Narrow"/>
                <w:sz w:val="22"/>
                <w:szCs w:val="22"/>
              </w:rPr>
              <w:t>High</w:t>
            </w:r>
          </w:p>
        </w:tc>
      </w:tr>
      <w:tr w:rsidR="00052D33" w:rsidRPr="00162104" w14:paraId="194BF4FA"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227A39B7" w14:textId="77777777" w:rsidR="00052D33" w:rsidRPr="00162104" w:rsidRDefault="00052D33" w:rsidP="004E0D3E">
            <w:pPr>
              <w:keepNext/>
              <w:keepLines/>
              <w:spacing w:after="0" w:line="240" w:lineRule="auto"/>
              <w:rPr>
                <w:rFonts w:ascii="Aptos Narrow" w:hAnsi="Aptos Narrow"/>
                <w:color w:val="000000"/>
                <w:sz w:val="22"/>
                <w:szCs w:val="22"/>
              </w:rPr>
            </w:pPr>
            <w:r w:rsidRPr="00162104">
              <w:rPr>
                <w:rFonts w:ascii="Aptos Narrow" w:hAnsi="Aptos Narrow"/>
                <w:color w:val="000000"/>
                <w:sz w:val="22"/>
                <w:szCs w:val="22"/>
              </w:rPr>
              <w:t>A</w:t>
            </w:r>
          </w:p>
        </w:tc>
        <w:tc>
          <w:tcPr>
            <w:tcW w:w="3713" w:type="dxa"/>
            <w:noWrap/>
            <w:hideMark/>
          </w:tcPr>
          <w:p w14:paraId="4604EFC8" w14:textId="77777777" w:rsidR="00052D33" w:rsidRPr="00162104" w:rsidRDefault="00052D33" w:rsidP="004E0D3E">
            <w:pPr>
              <w:pStyle w:val="TableBody"/>
            </w:pPr>
            <w:r w:rsidRPr="00162104">
              <w:t>Number of impacted businesses</w:t>
            </w:r>
          </w:p>
        </w:tc>
        <w:tc>
          <w:tcPr>
            <w:tcW w:w="1600" w:type="dxa"/>
            <w:noWrap/>
            <w:vAlign w:val="center"/>
            <w:hideMark/>
          </w:tcPr>
          <w:p w14:paraId="466F9E61" w14:textId="77777777" w:rsidR="00052D33" w:rsidRPr="00162104" w:rsidRDefault="00052D33" w:rsidP="004E0D3E">
            <w:pPr>
              <w:pStyle w:val="TableBody"/>
              <w:jc w:val="center"/>
            </w:pPr>
            <w:r w:rsidRPr="009C0CC1">
              <w:t>50,000</w:t>
            </w:r>
          </w:p>
        </w:tc>
        <w:tc>
          <w:tcPr>
            <w:tcW w:w="1540" w:type="dxa"/>
            <w:noWrap/>
            <w:vAlign w:val="center"/>
            <w:hideMark/>
          </w:tcPr>
          <w:p w14:paraId="431BB718" w14:textId="77777777" w:rsidR="00052D33" w:rsidRPr="00162104" w:rsidRDefault="00052D33" w:rsidP="004E0D3E">
            <w:pPr>
              <w:pStyle w:val="TableBody"/>
              <w:jc w:val="center"/>
            </w:pPr>
            <w:r w:rsidRPr="009C0CC1">
              <w:t>400,000</w:t>
            </w:r>
          </w:p>
        </w:tc>
      </w:tr>
      <w:tr w:rsidR="00052D33" w:rsidRPr="00162104" w14:paraId="50DCA613"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1201EBD2" w14:textId="77777777" w:rsidR="00052D33" w:rsidRPr="00162104" w:rsidRDefault="00052D33" w:rsidP="004E0D3E">
            <w:pPr>
              <w:keepNext/>
              <w:keepLines/>
              <w:spacing w:after="0" w:line="240" w:lineRule="auto"/>
              <w:rPr>
                <w:rFonts w:ascii="Aptos Narrow" w:hAnsi="Aptos Narrow"/>
                <w:color w:val="000000"/>
                <w:sz w:val="22"/>
                <w:szCs w:val="22"/>
              </w:rPr>
            </w:pPr>
            <w:r w:rsidRPr="00162104">
              <w:rPr>
                <w:rFonts w:ascii="Aptos Narrow" w:hAnsi="Aptos Narrow"/>
                <w:color w:val="000000"/>
                <w:sz w:val="22"/>
                <w:szCs w:val="22"/>
              </w:rPr>
              <w:t>B</w:t>
            </w:r>
          </w:p>
        </w:tc>
        <w:tc>
          <w:tcPr>
            <w:tcW w:w="3713" w:type="dxa"/>
            <w:noWrap/>
            <w:hideMark/>
          </w:tcPr>
          <w:p w14:paraId="6EC09853" w14:textId="77777777" w:rsidR="00052D33" w:rsidRPr="00162104" w:rsidRDefault="00052D33" w:rsidP="004E0D3E">
            <w:pPr>
              <w:pStyle w:val="TableBody"/>
            </w:pPr>
            <w:r w:rsidRPr="00162104">
              <w:t xml:space="preserve">Number of customers </w:t>
            </w:r>
            <w:r>
              <w:t>per impacted businesses</w:t>
            </w:r>
          </w:p>
        </w:tc>
        <w:tc>
          <w:tcPr>
            <w:tcW w:w="1600" w:type="dxa"/>
            <w:noWrap/>
            <w:vAlign w:val="center"/>
            <w:hideMark/>
          </w:tcPr>
          <w:p w14:paraId="6DA09B77" w14:textId="77777777" w:rsidR="00052D33" w:rsidRPr="00162104" w:rsidRDefault="00052D33" w:rsidP="004E0D3E">
            <w:pPr>
              <w:pStyle w:val="TableBody"/>
              <w:jc w:val="center"/>
            </w:pPr>
            <w:r w:rsidRPr="004352A6">
              <w:t>32</w:t>
            </w:r>
            <w:r>
              <w:br/>
              <w:t>9 employees + 23 customers</w:t>
            </w:r>
          </w:p>
        </w:tc>
        <w:tc>
          <w:tcPr>
            <w:tcW w:w="1540" w:type="dxa"/>
            <w:noWrap/>
            <w:vAlign w:val="center"/>
            <w:hideMark/>
          </w:tcPr>
          <w:p w14:paraId="4579130D" w14:textId="77777777" w:rsidR="00052D33" w:rsidRPr="00162104" w:rsidRDefault="00052D33" w:rsidP="004E0D3E">
            <w:pPr>
              <w:pStyle w:val="TableBody"/>
              <w:jc w:val="center"/>
            </w:pPr>
            <w:r w:rsidRPr="004352A6">
              <w:t>46</w:t>
            </w:r>
            <w:r>
              <w:br/>
              <w:t>9 employees + 37 customers</w:t>
            </w:r>
          </w:p>
        </w:tc>
      </w:tr>
      <w:tr w:rsidR="00052D33" w:rsidRPr="00162104" w14:paraId="0184FD2A"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3BDC0443" w14:textId="77777777" w:rsidR="00052D33" w:rsidRPr="00162104" w:rsidRDefault="00052D33" w:rsidP="004E0D3E">
            <w:pPr>
              <w:keepNext/>
              <w:keepLines/>
              <w:spacing w:after="0" w:line="240" w:lineRule="auto"/>
              <w:jc w:val="right"/>
              <w:rPr>
                <w:rFonts w:ascii="Aptos Narrow" w:hAnsi="Aptos Narrow"/>
                <w:color w:val="000000"/>
                <w:sz w:val="22"/>
                <w:szCs w:val="22"/>
              </w:rPr>
            </w:pPr>
          </w:p>
        </w:tc>
        <w:tc>
          <w:tcPr>
            <w:tcW w:w="3713" w:type="dxa"/>
            <w:noWrap/>
            <w:hideMark/>
          </w:tcPr>
          <w:p w14:paraId="029C649F" w14:textId="77777777" w:rsidR="00052D33" w:rsidRPr="00162104" w:rsidRDefault="00052D33" w:rsidP="004E0D3E">
            <w:pPr>
              <w:pStyle w:val="TableBody"/>
            </w:pPr>
            <w:r w:rsidRPr="00162104">
              <w:t>Number of impacted customers</w:t>
            </w:r>
            <w:r>
              <w:t xml:space="preserve"> and employees</w:t>
            </w:r>
          </w:p>
        </w:tc>
        <w:tc>
          <w:tcPr>
            <w:tcW w:w="1600" w:type="dxa"/>
            <w:noWrap/>
            <w:vAlign w:val="center"/>
            <w:hideMark/>
          </w:tcPr>
          <w:p w14:paraId="44CCD8EA" w14:textId="77777777" w:rsidR="00052D33" w:rsidRPr="00162104" w:rsidRDefault="00052D33" w:rsidP="004E0D3E">
            <w:pPr>
              <w:pStyle w:val="TableBody"/>
              <w:jc w:val="center"/>
            </w:pPr>
            <w:r w:rsidRPr="004352A6">
              <w:t>1,600,000</w:t>
            </w:r>
          </w:p>
        </w:tc>
        <w:tc>
          <w:tcPr>
            <w:tcW w:w="1540" w:type="dxa"/>
            <w:noWrap/>
            <w:vAlign w:val="center"/>
            <w:hideMark/>
          </w:tcPr>
          <w:p w14:paraId="01AA68D9" w14:textId="77777777" w:rsidR="00052D33" w:rsidRPr="00162104" w:rsidRDefault="00052D33" w:rsidP="004E0D3E">
            <w:pPr>
              <w:pStyle w:val="TableBody"/>
              <w:jc w:val="center"/>
            </w:pPr>
            <w:r w:rsidRPr="004352A6">
              <w:t>18,400,000</w:t>
            </w:r>
          </w:p>
        </w:tc>
      </w:tr>
      <w:tr w:rsidR="00052D33" w:rsidRPr="00162104" w14:paraId="652F342E"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960" w:type="dxa"/>
            <w:noWrap/>
          </w:tcPr>
          <w:p w14:paraId="65F0EDCE" w14:textId="79218977" w:rsidR="00052D33" w:rsidRPr="00162104" w:rsidRDefault="00CF0777" w:rsidP="004E0D3E">
            <w:pPr>
              <w:keepNext/>
              <w:keepLines/>
              <w:spacing w:after="0" w:line="240" w:lineRule="auto"/>
              <w:rPr>
                <w:rFonts w:ascii="Aptos Narrow" w:hAnsi="Aptos Narrow"/>
                <w:color w:val="000000"/>
                <w:sz w:val="22"/>
                <w:szCs w:val="22"/>
              </w:rPr>
            </w:pPr>
            <w:r>
              <w:rPr>
                <w:rFonts w:ascii="Aptos Narrow" w:hAnsi="Aptos Narrow"/>
                <w:color w:val="000000"/>
                <w:sz w:val="22"/>
                <w:szCs w:val="22"/>
              </w:rPr>
              <w:t>F</w:t>
            </w:r>
          </w:p>
        </w:tc>
        <w:tc>
          <w:tcPr>
            <w:tcW w:w="3713" w:type="dxa"/>
            <w:noWrap/>
          </w:tcPr>
          <w:p w14:paraId="66DFD57D" w14:textId="77777777" w:rsidR="00052D33" w:rsidRPr="00162104" w:rsidRDefault="00052D33" w:rsidP="004E0D3E">
            <w:pPr>
              <w:pStyle w:val="TableBody"/>
            </w:pPr>
            <w:r w:rsidRPr="00162104">
              <w:t>Number of impacted</w:t>
            </w:r>
            <w:r>
              <w:t xml:space="preserve"> individuals</w:t>
            </w:r>
          </w:p>
        </w:tc>
        <w:tc>
          <w:tcPr>
            <w:tcW w:w="1600" w:type="dxa"/>
            <w:noWrap/>
            <w:vAlign w:val="center"/>
          </w:tcPr>
          <w:p w14:paraId="340E0B74" w14:textId="77777777" w:rsidR="00052D33" w:rsidRDefault="00052D33" w:rsidP="004E0D3E">
            <w:pPr>
              <w:pStyle w:val="TableBody"/>
              <w:jc w:val="center"/>
            </w:pPr>
            <w:r w:rsidRPr="004352A6">
              <w:t>500,000</w:t>
            </w:r>
          </w:p>
        </w:tc>
        <w:tc>
          <w:tcPr>
            <w:tcW w:w="1540" w:type="dxa"/>
            <w:noWrap/>
            <w:vAlign w:val="center"/>
          </w:tcPr>
          <w:p w14:paraId="19DA4253" w14:textId="77777777" w:rsidR="00052D33" w:rsidRDefault="00052D33" w:rsidP="004E0D3E">
            <w:pPr>
              <w:pStyle w:val="TableBody"/>
              <w:jc w:val="center"/>
            </w:pPr>
            <w:r w:rsidRPr="004352A6">
              <w:t>2,000,000</w:t>
            </w:r>
          </w:p>
        </w:tc>
      </w:tr>
      <w:tr w:rsidR="00052D33" w:rsidRPr="00162104" w14:paraId="486A29D7"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960" w:type="dxa"/>
            <w:noWrap/>
          </w:tcPr>
          <w:p w14:paraId="5EF1B43B" w14:textId="77777777" w:rsidR="00052D33" w:rsidRPr="00162104" w:rsidRDefault="00052D33" w:rsidP="004E0D3E">
            <w:pPr>
              <w:keepNext/>
              <w:keepLines/>
              <w:spacing w:after="0" w:line="240" w:lineRule="auto"/>
              <w:rPr>
                <w:rFonts w:ascii="Aptos Narrow" w:hAnsi="Aptos Narrow"/>
                <w:color w:val="000000"/>
                <w:sz w:val="22"/>
                <w:szCs w:val="22"/>
              </w:rPr>
            </w:pPr>
          </w:p>
        </w:tc>
        <w:tc>
          <w:tcPr>
            <w:tcW w:w="3713" w:type="dxa"/>
            <w:noWrap/>
          </w:tcPr>
          <w:p w14:paraId="799C2E5F" w14:textId="77777777" w:rsidR="00052D33" w:rsidRPr="00162104" w:rsidRDefault="00052D33" w:rsidP="004E0D3E">
            <w:pPr>
              <w:pStyle w:val="TableBody"/>
            </w:pPr>
            <w:r>
              <w:t>Total number of impacted people</w:t>
            </w:r>
          </w:p>
        </w:tc>
        <w:tc>
          <w:tcPr>
            <w:tcW w:w="1600" w:type="dxa"/>
            <w:noWrap/>
            <w:vAlign w:val="center"/>
          </w:tcPr>
          <w:p w14:paraId="77ABE4C6" w14:textId="77777777" w:rsidR="00052D33" w:rsidRDefault="00052D33" w:rsidP="004E0D3E">
            <w:pPr>
              <w:pStyle w:val="TableBody"/>
              <w:jc w:val="center"/>
            </w:pPr>
            <w:r w:rsidRPr="004352A6">
              <w:t>2,100,000</w:t>
            </w:r>
          </w:p>
        </w:tc>
        <w:tc>
          <w:tcPr>
            <w:tcW w:w="1540" w:type="dxa"/>
            <w:noWrap/>
            <w:vAlign w:val="center"/>
          </w:tcPr>
          <w:p w14:paraId="18748049" w14:textId="77777777" w:rsidR="00052D33" w:rsidRDefault="00052D33" w:rsidP="004E0D3E">
            <w:pPr>
              <w:pStyle w:val="TableBody"/>
              <w:jc w:val="center"/>
            </w:pPr>
            <w:r w:rsidRPr="004352A6">
              <w:t>20,400,000</w:t>
            </w:r>
          </w:p>
        </w:tc>
      </w:tr>
      <w:tr w:rsidR="00052D33" w:rsidRPr="00162104" w14:paraId="1F8EAE86"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2BD3F539" w14:textId="77777777" w:rsidR="00052D33" w:rsidRPr="00162104" w:rsidRDefault="00052D33" w:rsidP="004E0D3E">
            <w:pPr>
              <w:keepNext/>
              <w:keepLines/>
              <w:spacing w:after="0" w:line="240" w:lineRule="auto"/>
              <w:rPr>
                <w:rFonts w:ascii="Aptos Narrow" w:hAnsi="Aptos Narrow"/>
                <w:color w:val="000000"/>
                <w:sz w:val="22"/>
                <w:szCs w:val="22"/>
              </w:rPr>
            </w:pPr>
            <w:r w:rsidRPr="00162104">
              <w:rPr>
                <w:rFonts w:ascii="Aptos Narrow" w:hAnsi="Aptos Narrow"/>
                <w:color w:val="000000"/>
                <w:sz w:val="22"/>
                <w:szCs w:val="22"/>
              </w:rPr>
              <w:t>C</w:t>
            </w:r>
          </w:p>
        </w:tc>
        <w:tc>
          <w:tcPr>
            <w:tcW w:w="3713" w:type="dxa"/>
            <w:noWrap/>
            <w:hideMark/>
          </w:tcPr>
          <w:p w14:paraId="7D73568F" w14:textId="77777777" w:rsidR="00052D33" w:rsidRPr="00162104" w:rsidRDefault="00052D33" w:rsidP="004E0D3E">
            <w:pPr>
              <w:pStyle w:val="TableBody"/>
            </w:pPr>
            <w:r w:rsidRPr="00162104">
              <w:t>Average reduction in lost time (mins)</w:t>
            </w:r>
          </w:p>
        </w:tc>
        <w:tc>
          <w:tcPr>
            <w:tcW w:w="1600" w:type="dxa"/>
            <w:noWrap/>
            <w:vAlign w:val="center"/>
            <w:hideMark/>
          </w:tcPr>
          <w:p w14:paraId="4CCC9765" w14:textId="77777777" w:rsidR="00052D33" w:rsidRPr="00162104" w:rsidRDefault="00052D33" w:rsidP="004E0D3E">
            <w:pPr>
              <w:pStyle w:val="TableBody"/>
              <w:jc w:val="center"/>
            </w:pPr>
            <w:r w:rsidRPr="004352A6">
              <w:t>6</w:t>
            </w:r>
          </w:p>
        </w:tc>
        <w:tc>
          <w:tcPr>
            <w:tcW w:w="1540" w:type="dxa"/>
            <w:noWrap/>
            <w:vAlign w:val="center"/>
            <w:hideMark/>
          </w:tcPr>
          <w:p w14:paraId="5FD8E9D0" w14:textId="77777777" w:rsidR="00052D33" w:rsidRPr="00162104" w:rsidRDefault="00052D33" w:rsidP="004E0D3E">
            <w:pPr>
              <w:pStyle w:val="TableBody"/>
              <w:jc w:val="center"/>
            </w:pPr>
            <w:r w:rsidRPr="004352A6">
              <w:t>20</w:t>
            </w:r>
          </w:p>
        </w:tc>
      </w:tr>
      <w:tr w:rsidR="00052D33" w:rsidRPr="00162104" w14:paraId="608DBA36"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3FCA1BFA" w14:textId="77777777" w:rsidR="00052D33" w:rsidRPr="00162104" w:rsidRDefault="00052D33" w:rsidP="004E0D3E">
            <w:pPr>
              <w:keepNext/>
              <w:keepLines/>
              <w:spacing w:after="0" w:line="240" w:lineRule="auto"/>
              <w:jc w:val="right"/>
              <w:rPr>
                <w:rFonts w:ascii="Aptos Narrow" w:hAnsi="Aptos Narrow"/>
                <w:color w:val="000000"/>
                <w:sz w:val="22"/>
                <w:szCs w:val="22"/>
              </w:rPr>
            </w:pPr>
          </w:p>
        </w:tc>
        <w:tc>
          <w:tcPr>
            <w:tcW w:w="3713" w:type="dxa"/>
            <w:noWrap/>
            <w:hideMark/>
          </w:tcPr>
          <w:p w14:paraId="47A022BB" w14:textId="77777777" w:rsidR="00052D33" w:rsidRPr="00162104" w:rsidRDefault="00052D33" w:rsidP="004E0D3E">
            <w:pPr>
              <w:pStyle w:val="TableBody"/>
            </w:pPr>
            <w:r w:rsidRPr="00162104">
              <w:t>Average reduction in lost time (hours)</w:t>
            </w:r>
          </w:p>
        </w:tc>
        <w:tc>
          <w:tcPr>
            <w:tcW w:w="1600" w:type="dxa"/>
            <w:noWrap/>
            <w:vAlign w:val="center"/>
            <w:hideMark/>
          </w:tcPr>
          <w:p w14:paraId="656142C3" w14:textId="77777777" w:rsidR="00052D33" w:rsidRPr="00162104" w:rsidRDefault="00052D33" w:rsidP="004E0D3E">
            <w:pPr>
              <w:pStyle w:val="TableBody"/>
              <w:jc w:val="center"/>
            </w:pPr>
            <w:r w:rsidRPr="004352A6">
              <w:t>0.10</w:t>
            </w:r>
          </w:p>
        </w:tc>
        <w:tc>
          <w:tcPr>
            <w:tcW w:w="1540" w:type="dxa"/>
            <w:noWrap/>
            <w:vAlign w:val="center"/>
            <w:hideMark/>
          </w:tcPr>
          <w:p w14:paraId="5F4B2315" w14:textId="77777777" w:rsidR="00052D33" w:rsidRPr="00162104" w:rsidRDefault="00052D33" w:rsidP="004E0D3E">
            <w:pPr>
              <w:pStyle w:val="TableBody"/>
              <w:jc w:val="center"/>
            </w:pPr>
            <w:r w:rsidRPr="004352A6">
              <w:t>0.333333333</w:t>
            </w:r>
          </w:p>
        </w:tc>
      </w:tr>
      <w:tr w:rsidR="00052D33" w:rsidRPr="00162104" w14:paraId="7417136B"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382DA4CD" w14:textId="77777777" w:rsidR="00052D33" w:rsidRPr="00162104" w:rsidRDefault="00052D33" w:rsidP="004E0D3E">
            <w:pPr>
              <w:keepNext/>
              <w:keepLines/>
              <w:spacing w:after="0" w:line="240" w:lineRule="auto"/>
              <w:rPr>
                <w:rFonts w:ascii="Aptos Narrow" w:hAnsi="Aptos Narrow"/>
                <w:color w:val="000000"/>
                <w:sz w:val="22"/>
                <w:szCs w:val="22"/>
              </w:rPr>
            </w:pPr>
            <w:r w:rsidRPr="00162104">
              <w:rPr>
                <w:rFonts w:ascii="Aptos Narrow" w:hAnsi="Aptos Narrow"/>
                <w:color w:val="000000"/>
                <w:sz w:val="22"/>
                <w:szCs w:val="22"/>
              </w:rPr>
              <w:t>D</w:t>
            </w:r>
          </w:p>
        </w:tc>
        <w:tc>
          <w:tcPr>
            <w:tcW w:w="3713" w:type="dxa"/>
            <w:noWrap/>
            <w:hideMark/>
          </w:tcPr>
          <w:p w14:paraId="4A1817A0" w14:textId="77777777" w:rsidR="00052D33" w:rsidRPr="00162104" w:rsidRDefault="00052D33" w:rsidP="004E0D3E">
            <w:pPr>
              <w:pStyle w:val="TableBody"/>
            </w:pPr>
            <w:r w:rsidRPr="00162104">
              <w:t>Value of lost time</w:t>
            </w:r>
          </w:p>
        </w:tc>
        <w:tc>
          <w:tcPr>
            <w:tcW w:w="1600" w:type="dxa"/>
            <w:noWrap/>
            <w:vAlign w:val="center"/>
            <w:hideMark/>
          </w:tcPr>
          <w:p w14:paraId="194F3616" w14:textId="77777777" w:rsidR="00052D33" w:rsidRPr="00162104" w:rsidRDefault="00052D33" w:rsidP="004E0D3E">
            <w:pPr>
              <w:pStyle w:val="TableBody"/>
              <w:jc w:val="center"/>
            </w:pPr>
            <w:r w:rsidRPr="004352A6">
              <w:t>$26.61</w:t>
            </w:r>
          </w:p>
        </w:tc>
        <w:tc>
          <w:tcPr>
            <w:tcW w:w="1540" w:type="dxa"/>
            <w:noWrap/>
            <w:vAlign w:val="center"/>
            <w:hideMark/>
          </w:tcPr>
          <w:p w14:paraId="0EDA9F1F" w14:textId="77777777" w:rsidR="00052D33" w:rsidRPr="00162104" w:rsidRDefault="00052D33" w:rsidP="004E0D3E">
            <w:pPr>
              <w:pStyle w:val="TableBody"/>
              <w:jc w:val="center"/>
            </w:pPr>
            <w:r w:rsidRPr="004352A6">
              <w:t>$26.61</w:t>
            </w:r>
          </w:p>
        </w:tc>
      </w:tr>
      <w:tr w:rsidR="00052D33" w:rsidRPr="00162104" w14:paraId="458ABCA4"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3450E1B0" w14:textId="77777777" w:rsidR="00052D33" w:rsidRPr="00162104" w:rsidRDefault="00052D33" w:rsidP="004E0D3E">
            <w:pPr>
              <w:spacing w:after="0" w:line="240" w:lineRule="auto"/>
              <w:rPr>
                <w:rFonts w:ascii="Aptos Narrow" w:hAnsi="Aptos Narrow"/>
                <w:color w:val="000000"/>
                <w:sz w:val="22"/>
                <w:szCs w:val="22"/>
              </w:rPr>
            </w:pPr>
            <w:r w:rsidRPr="00162104">
              <w:rPr>
                <w:rFonts w:ascii="Aptos Narrow" w:hAnsi="Aptos Narrow"/>
                <w:color w:val="000000"/>
                <w:sz w:val="22"/>
                <w:szCs w:val="22"/>
              </w:rPr>
              <w:t>E</w:t>
            </w:r>
          </w:p>
        </w:tc>
        <w:tc>
          <w:tcPr>
            <w:tcW w:w="3713" w:type="dxa"/>
            <w:noWrap/>
            <w:hideMark/>
          </w:tcPr>
          <w:p w14:paraId="1DEEF37B" w14:textId="77777777" w:rsidR="00052D33" w:rsidRPr="00162104" w:rsidRDefault="00052D33" w:rsidP="004E0D3E">
            <w:pPr>
              <w:pStyle w:val="TableBody"/>
            </w:pPr>
            <w:r w:rsidRPr="00162104">
              <w:t># Outages per year</w:t>
            </w:r>
          </w:p>
        </w:tc>
        <w:tc>
          <w:tcPr>
            <w:tcW w:w="1600" w:type="dxa"/>
            <w:noWrap/>
            <w:vAlign w:val="center"/>
            <w:hideMark/>
          </w:tcPr>
          <w:p w14:paraId="72FF87A7" w14:textId="77777777" w:rsidR="00052D33" w:rsidRPr="00162104" w:rsidRDefault="00052D33" w:rsidP="004E0D3E">
            <w:pPr>
              <w:pStyle w:val="TableBody"/>
              <w:jc w:val="center"/>
            </w:pPr>
            <w:r w:rsidRPr="004352A6">
              <w:t>0.5</w:t>
            </w:r>
          </w:p>
        </w:tc>
        <w:tc>
          <w:tcPr>
            <w:tcW w:w="1540" w:type="dxa"/>
            <w:noWrap/>
            <w:vAlign w:val="center"/>
            <w:hideMark/>
          </w:tcPr>
          <w:p w14:paraId="500406EE" w14:textId="77777777" w:rsidR="00052D33" w:rsidRPr="00162104" w:rsidRDefault="00052D33" w:rsidP="004E0D3E">
            <w:pPr>
              <w:pStyle w:val="TableBody"/>
              <w:jc w:val="center"/>
            </w:pPr>
            <w:r w:rsidRPr="004352A6">
              <w:t>0.3</w:t>
            </w:r>
          </w:p>
        </w:tc>
      </w:tr>
      <w:tr w:rsidR="00052D33" w:rsidRPr="00162104" w14:paraId="4C700D45"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960" w:type="dxa"/>
            <w:noWrap/>
            <w:hideMark/>
          </w:tcPr>
          <w:p w14:paraId="7673B3CB" w14:textId="77777777" w:rsidR="00052D33" w:rsidRPr="00162104" w:rsidRDefault="00052D33" w:rsidP="004E0D3E">
            <w:pPr>
              <w:spacing w:after="0" w:line="240" w:lineRule="auto"/>
              <w:jc w:val="right"/>
              <w:rPr>
                <w:rFonts w:ascii="Aptos Narrow" w:hAnsi="Aptos Narrow"/>
                <w:color w:val="000000"/>
                <w:sz w:val="22"/>
                <w:szCs w:val="22"/>
              </w:rPr>
            </w:pPr>
          </w:p>
        </w:tc>
        <w:tc>
          <w:tcPr>
            <w:tcW w:w="3713" w:type="dxa"/>
            <w:noWrap/>
            <w:hideMark/>
          </w:tcPr>
          <w:p w14:paraId="4FC5793E" w14:textId="77777777" w:rsidR="00052D33" w:rsidRPr="00162104" w:rsidRDefault="00052D33" w:rsidP="004E0D3E">
            <w:pPr>
              <w:pStyle w:val="TableBody"/>
            </w:pPr>
            <w:r w:rsidRPr="00162104">
              <w:t>Years per outage</w:t>
            </w:r>
          </w:p>
        </w:tc>
        <w:tc>
          <w:tcPr>
            <w:tcW w:w="1600" w:type="dxa"/>
            <w:noWrap/>
            <w:vAlign w:val="center"/>
            <w:hideMark/>
          </w:tcPr>
          <w:p w14:paraId="65C91B29" w14:textId="77777777" w:rsidR="00052D33" w:rsidRPr="00162104" w:rsidRDefault="00052D33" w:rsidP="004E0D3E">
            <w:pPr>
              <w:pStyle w:val="TableBody"/>
              <w:jc w:val="center"/>
            </w:pPr>
            <w:r w:rsidRPr="004352A6">
              <w:t>2</w:t>
            </w:r>
          </w:p>
        </w:tc>
        <w:tc>
          <w:tcPr>
            <w:tcW w:w="1540" w:type="dxa"/>
            <w:noWrap/>
            <w:vAlign w:val="center"/>
            <w:hideMark/>
          </w:tcPr>
          <w:p w14:paraId="6F23D35A" w14:textId="77777777" w:rsidR="00052D33" w:rsidRPr="00162104" w:rsidRDefault="00052D33" w:rsidP="004E0D3E">
            <w:pPr>
              <w:pStyle w:val="TableBody"/>
              <w:jc w:val="center"/>
            </w:pPr>
            <w:r w:rsidRPr="004352A6">
              <w:t>3.333333333</w:t>
            </w:r>
          </w:p>
        </w:tc>
      </w:tr>
      <w:tr w:rsidR="00052D33" w:rsidRPr="00162104" w14:paraId="694E7ADA"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960" w:type="dxa"/>
            <w:noWrap/>
            <w:hideMark/>
          </w:tcPr>
          <w:p w14:paraId="01B9E75D" w14:textId="77777777" w:rsidR="00052D33" w:rsidRPr="00162104" w:rsidRDefault="00052D33" w:rsidP="004E0D3E">
            <w:pPr>
              <w:spacing w:after="0" w:line="240" w:lineRule="auto"/>
              <w:jc w:val="right"/>
              <w:rPr>
                <w:rFonts w:ascii="Aptos Narrow" w:hAnsi="Aptos Narrow"/>
                <w:b/>
                <w:bCs/>
                <w:color w:val="000000"/>
                <w:sz w:val="22"/>
                <w:szCs w:val="22"/>
              </w:rPr>
            </w:pPr>
          </w:p>
        </w:tc>
        <w:tc>
          <w:tcPr>
            <w:tcW w:w="3713" w:type="dxa"/>
            <w:noWrap/>
            <w:hideMark/>
          </w:tcPr>
          <w:p w14:paraId="53ED7F59" w14:textId="77777777" w:rsidR="00052D33" w:rsidRPr="00162104" w:rsidRDefault="00052D33" w:rsidP="004E0D3E">
            <w:pPr>
              <w:spacing w:after="0" w:line="240" w:lineRule="auto"/>
              <w:rPr>
                <w:rFonts w:ascii="Aptos Narrow" w:hAnsi="Aptos Narrow"/>
                <w:b/>
                <w:bCs/>
                <w:color w:val="000000"/>
                <w:sz w:val="22"/>
                <w:szCs w:val="22"/>
              </w:rPr>
            </w:pPr>
            <w:r w:rsidRPr="00162104">
              <w:rPr>
                <w:rFonts w:ascii="Aptos Narrow" w:hAnsi="Aptos Narrow"/>
                <w:b/>
                <w:bCs/>
                <w:color w:val="000000"/>
                <w:sz w:val="22"/>
                <w:szCs w:val="22"/>
              </w:rPr>
              <w:t>Total value</w:t>
            </w:r>
          </w:p>
        </w:tc>
        <w:tc>
          <w:tcPr>
            <w:tcW w:w="1600" w:type="dxa"/>
            <w:noWrap/>
            <w:vAlign w:val="center"/>
            <w:hideMark/>
          </w:tcPr>
          <w:p w14:paraId="593B6BC0" w14:textId="77777777" w:rsidR="00052D33" w:rsidRPr="00162104" w:rsidRDefault="00052D33" w:rsidP="004E0D3E">
            <w:pPr>
              <w:pStyle w:val="TableBody"/>
              <w:jc w:val="center"/>
              <w:rPr>
                <w:rFonts w:ascii="Aptos Narrow" w:hAnsi="Aptos Narrow"/>
                <w:b/>
                <w:bCs/>
                <w:color w:val="000000"/>
                <w:sz w:val="22"/>
                <w:szCs w:val="22"/>
              </w:rPr>
            </w:pPr>
            <w:r w:rsidRPr="00D44270">
              <w:rPr>
                <w:b/>
              </w:rPr>
              <w:t>$2,794,260</w:t>
            </w:r>
          </w:p>
        </w:tc>
        <w:tc>
          <w:tcPr>
            <w:tcW w:w="1540" w:type="dxa"/>
            <w:noWrap/>
            <w:vAlign w:val="center"/>
            <w:hideMark/>
          </w:tcPr>
          <w:p w14:paraId="57A17D3D" w14:textId="77777777" w:rsidR="00052D33" w:rsidRPr="00162104" w:rsidRDefault="00052D33" w:rsidP="004E0D3E">
            <w:pPr>
              <w:pStyle w:val="TableBody"/>
              <w:jc w:val="center"/>
              <w:rPr>
                <w:rFonts w:ascii="Aptos Narrow" w:hAnsi="Aptos Narrow"/>
                <w:b/>
                <w:bCs/>
                <w:color w:val="000000"/>
                <w:sz w:val="22"/>
                <w:szCs w:val="22"/>
              </w:rPr>
            </w:pPr>
            <w:r w:rsidRPr="00D44270">
              <w:rPr>
                <w:b/>
              </w:rPr>
              <w:t>$54,288,480</w:t>
            </w:r>
          </w:p>
        </w:tc>
      </w:tr>
    </w:tbl>
    <w:p w14:paraId="02CBFA68" w14:textId="77777777" w:rsidR="00052D33" w:rsidRDefault="00052D33" w:rsidP="00052D33">
      <w:pPr>
        <w:pStyle w:val="Paragraph"/>
      </w:pPr>
    </w:p>
    <w:p w14:paraId="665208E6" w14:textId="77777777" w:rsidR="00052D33" w:rsidRDefault="00052D33" w:rsidP="00052D33">
      <w:pPr>
        <w:pStyle w:val="Paragraph"/>
      </w:pPr>
      <w:r>
        <w:t>The analysis gives a broad range of the estimated annual benefit from $2.79 million</w:t>
      </w:r>
      <w:r>
        <w:br/>
        <w:t>$54.3 million.</w:t>
      </w:r>
    </w:p>
    <w:p w14:paraId="742C4455" w14:textId="77777777" w:rsidR="00052D33" w:rsidRDefault="00052D33" w:rsidP="00052D33">
      <w:pPr>
        <w:pStyle w:val="Paragraph"/>
      </w:pPr>
      <w:r>
        <w:t>These values can be considered a range, where the true annual benefit figure sits somewhere in the range. The shape of the distribution is not clearly defined. To overcome this uncertainty, the analysis below considers both that the distribution is weighted towards the mid-point – and so may follow a normal distribution or alternatively that it could be a “flat” distribution. Under a flat distribution, all values within the range have an equal likelihood of occurring.</w:t>
      </w:r>
    </w:p>
    <w:p w14:paraId="5F9676C4" w14:textId="4E53D037" w:rsidR="00052D33" w:rsidRDefault="00052D33" w:rsidP="00052D33">
      <w:pPr>
        <w:pStyle w:val="Paragraph"/>
      </w:pPr>
      <w:r>
        <w:t xml:space="preserve">Applying a normal distribution with a mean of </w:t>
      </w:r>
      <w:r w:rsidRPr="005023B0">
        <w:t>$</w:t>
      </w:r>
      <w:r w:rsidRPr="00E72F77">
        <w:t xml:space="preserve"> $28</w:t>
      </w:r>
      <w:r>
        <w:t>.</w:t>
      </w:r>
      <w:r w:rsidRPr="00E72F77">
        <w:t xml:space="preserve">54 </w:t>
      </w:r>
      <w:r>
        <w:t>million (the mid of the high and low benefit estimates), and assuming the high and low estimates are two standard deviations from the mean, gives a graph with the shape shown in Figure 2.</w:t>
      </w:r>
    </w:p>
    <w:p w14:paraId="5B0A6EF6" w14:textId="77777777" w:rsidR="00052D33" w:rsidRDefault="00052D33" w:rsidP="00052D33">
      <w:pPr>
        <w:pStyle w:val="Paragraph"/>
      </w:pPr>
    </w:p>
    <w:p w14:paraId="52181A5A" w14:textId="77777777" w:rsidR="00052D33" w:rsidRDefault="00052D33" w:rsidP="00052D33">
      <w:pPr>
        <w:pStyle w:val="Paragraph"/>
      </w:pPr>
    </w:p>
    <w:p w14:paraId="07D05512" w14:textId="77777777" w:rsidR="00052D33" w:rsidRDefault="00052D33" w:rsidP="00052D33">
      <w:pPr>
        <w:pStyle w:val="Paragraph"/>
      </w:pPr>
    </w:p>
    <w:p w14:paraId="0BBABB79" w14:textId="77777777" w:rsidR="00B16DDA" w:rsidRDefault="00B16DDA" w:rsidP="00B16DDA">
      <w:pPr>
        <w:pStyle w:val="Figureheading"/>
      </w:pPr>
      <w:r>
        <w:lastRenderedPageBreak/>
        <w:t>Probability distribution of the benefits assuming a normal distribution</w:t>
      </w:r>
    </w:p>
    <w:p w14:paraId="4133CF5C" w14:textId="40958E14" w:rsidR="007D3784" w:rsidRDefault="00942207" w:rsidP="00741C9E">
      <w:pPr>
        <w:pStyle w:val="Paragraph"/>
      </w:pPr>
      <w:r>
        <w:rPr>
          <w:noProof/>
        </w:rPr>
        <w:drawing>
          <wp:inline distT="0" distB="0" distL="0" distR="0" wp14:anchorId="44785D59" wp14:editId="7B9B574E">
            <wp:extent cx="5759450" cy="4094830"/>
            <wp:effectExtent l="0" t="0" r="0" b="1270"/>
            <wp:docPr id="167575353" name="Picture 3" descr="A graph with blue and orange lines representing probability and cumulative probability respective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5353" name="Picture 3" descr="A graph with blue and orange lines representing probability and cumulative probability respectively.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9450" cy="4094830"/>
                    </a:xfrm>
                    <a:prstGeom prst="rect">
                      <a:avLst/>
                    </a:prstGeom>
                    <a:noFill/>
                  </pic:spPr>
                </pic:pic>
              </a:graphicData>
            </a:graphic>
          </wp:inline>
        </w:drawing>
      </w:r>
    </w:p>
    <w:p w14:paraId="788E256C" w14:textId="77777777" w:rsidR="005F274C" w:rsidRDefault="005F274C" w:rsidP="00891B96">
      <w:pPr>
        <w:pStyle w:val="Heading2"/>
        <w:keepLines/>
      </w:pPr>
      <w:bookmarkStart w:id="56" w:name="_Toc181713911"/>
      <w:r>
        <w:t>Cost benefit analysis results</w:t>
      </w:r>
      <w:bookmarkEnd w:id="56"/>
    </w:p>
    <w:p w14:paraId="003E8FCF" w14:textId="77777777" w:rsidR="00891B96" w:rsidRDefault="00891B96" w:rsidP="00891B96">
      <w:pPr>
        <w:pStyle w:val="Paragraph"/>
        <w:keepNext/>
        <w:keepLines/>
      </w:pPr>
      <w:r>
        <w:t>Using the data inputs available, the total quantified costs were assessed over the 10-year analysis period are set out in Table 11 below.</w:t>
      </w:r>
    </w:p>
    <w:p w14:paraId="7B1F9724" w14:textId="77777777" w:rsidR="00891B96" w:rsidRDefault="00891B96" w:rsidP="00891B96">
      <w:pPr>
        <w:pStyle w:val="Paragraph"/>
      </w:pPr>
      <w:r>
        <w:t xml:space="preserve">Using a discount rate of 7%, the total cost has a present value of </w:t>
      </w:r>
      <w:r w:rsidRPr="007E5B01">
        <w:t>$</w:t>
      </w:r>
      <w:r>
        <w:t>1</w:t>
      </w:r>
      <w:r w:rsidRPr="00062ABE">
        <w:t>17</w:t>
      </w:r>
      <w:r>
        <w:t xml:space="preserve"> million.</w:t>
      </w:r>
    </w:p>
    <w:p w14:paraId="05F640F6" w14:textId="77777777" w:rsidR="00891B96" w:rsidRDefault="00891B96" w:rsidP="00891B96">
      <w:pPr>
        <w:pStyle w:val="Paragraph"/>
      </w:pPr>
      <w:r>
        <w:t xml:space="preserve">Assuming that the benefits are an annuity that fall in years 2 to 10 inclusive, the “break-even point” can be calculated to be an annual benefit of </w:t>
      </w:r>
      <w:r w:rsidRPr="000A5988">
        <w:t>$</w:t>
      </w:r>
      <w:r w:rsidRPr="001E5498">
        <w:t xml:space="preserve"> $17,96</w:t>
      </w:r>
      <w:r>
        <w:t>5</w:t>
      </w:r>
      <w:r w:rsidRPr="001E5498">
        <w:t>,</w:t>
      </w:r>
      <w:r>
        <w:t>000</w:t>
      </w:r>
      <w:r w:rsidRPr="001E5498">
        <w:t xml:space="preserve"> </w:t>
      </w:r>
      <w:r w:rsidRPr="00447067">
        <w:t>(</w:t>
      </w:r>
      <w:r>
        <w:t xml:space="preserve">rounded to </w:t>
      </w:r>
      <w:r w:rsidRPr="00447067">
        <w:t>$</w:t>
      </w:r>
      <w:r>
        <w:t>17.9</w:t>
      </w:r>
      <w:r w:rsidRPr="00447067">
        <w:t xml:space="preserve"> million)</w:t>
      </w:r>
      <w:r>
        <w:t xml:space="preserve">. </w:t>
      </w:r>
    </w:p>
    <w:p w14:paraId="5954DD42" w14:textId="5A78D8D8" w:rsidR="00891B96" w:rsidRDefault="00891B96" w:rsidP="00891B96">
      <w:pPr>
        <w:pStyle w:val="Paragraph"/>
      </w:pPr>
      <w:r>
        <w:t>The graph of the net benefits, showing the industry significant investment in year 1 and an annuity return in years 2 to 10, is shown in Figure 3.</w:t>
      </w:r>
    </w:p>
    <w:p w14:paraId="092A270D" w14:textId="77777777" w:rsidR="00891B96" w:rsidRDefault="00891B96" w:rsidP="00891B96">
      <w:pPr>
        <w:pStyle w:val="Paragraph"/>
      </w:pPr>
    </w:p>
    <w:p w14:paraId="081EE404" w14:textId="77777777" w:rsidR="00891B96" w:rsidRDefault="00891B96" w:rsidP="00891B96">
      <w:pPr>
        <w:pStyle w:val="Paragraph"/>
      </w:pPr>
    </w:p>
    <w:p w14:paraId="542738BB" w14:textId="77777777" w:rsidR="00891B96" w:rsidRDefault="00891B96" w:rsidP="00891B96">
      <w:pPr>
        <w:pStyle w:val="Paragraph"/>
      </w:pPr>
    </w:p>
    <w:p w14:paraId="1F022B82" w14:textId="77777777" w:rsidR="00891B96" w:rsidRDefault="00891B96" w:rsidP="00891B96">
      <w:pPr>
        <w:pStyle w:val="Paragraph"/>
      </w:pPr>
    </w:p>
    <w:p w14:paraId="1BCD18BE" w14:textId="77777777" w:rsidR="00891B96" w:rsidRDefault="00891B96" w:rsidP="00891B96">
      <w:pPr>
        <w:pStyle w:val="Paragraph"/>
      </w:pPr>
    </w:p>
    <w:p w14:paraId="30CF51C8" w14:textId="77777777" w:rsidR="00591D5A" w:rsidRDefault="00591D5A" w:rsidP="12068F93">
      <w:pPr>
        <w:pStyle w:val="Tableheading"/>
        <w:numPr>
          <w:ilvl w:val="0"/>
          <w:numId w:val="0"/>
        </w:numPr>
        <w:ind w:left="964" w:hanging="964"/>
        <w:sectPr w:rsidR="00591D5A" w:rsidSect="00560D6F">
          <w:pgSz w:w="11906" w:h="16838" w:code="9"/>
          <w:pgMar w:top="1418" w:right="1418" w:bottom="1134" w:left="1418" w:header="709" w:footer="119" w:gutter="0"/>
          <w:cols w:space="708"/>
          <w:docGrid w:linePitch="360"/>
        </w:sectPr>
      </w:pPr>
    </w:p>
    <w:p w14:paraId="40673CEF" w14:textId="7D82B03A" w:rsidR="12068F93" w:rsidRDefault="12068F93" w:rsidP="12068F93">
      <w:pPr>
        <w:pStyle w:val="Tableheading"/>
        <w:numPr>
          <w:ilvl w:val="0"/>
          <w:numId w:val="0"/>
        </w:numPr>
        <w:ind w:left="964" w:hanging="964"/>
      </w:pPr>
    </w:p>
    <w:p w14:paraId="5738E5F4" w14:textId="77777777" w:rsidR="007161A4" w:rsidRDefault="007161A4" w:rsidP="007161A4">
      <w:pPr>
        <w:pStyle w:val="Tableheading"/>
        <w:numPr>
          <w:ilvl w:val="0"/>
          <w:numId w:val="0"/>
        </w:numPr>
        <w:ind w:left="964" w:hanging="964"/>
      </w:pPr>
      <w:r>
        <w:t>Table 11: Collated costs over the analysis period</w:t>
      </w:r>
    </w:p>
    <w:tbl>
      <w:tblPr>
        <w:tblStyle w:val="ACMAtablestyle"/>
        <w:tblW w:w="14175" w:type="dxa"/>
        <w:tblLayout w:type="fixed"/>
        <w:tblLook w:val="04A0" w:firstRow="1" w:lastRow="0" w:firstColumn="1" w:lastColumn="0" w:noHBand="0" w:noVBand="1"/>
      </w:tblPr>
      <w:tblGrid>
        <w:gridCol w:w="1379"/>
        <w:gridCol w:w="1279"/>
        <w:gridCol w:w="1280"/>
        <w:gridCol w:w="1279"/>
        <w:gridCol w:w="1280"/>
        <w:gridCol w:w="1280"/>
        <w:gridCol w:w="1279"/>
        <w:gridCol w:w="1280"/>
        <w:gridCol w:w="1279"/>
        <w:gridCol w:w="1280"/>
        <w:gridCol w:w="1280"/>
      </w:tblGrid>
      <w:tr w:rsidR="007161A4" w:rsidRPr="00AF5580" w14:paraId="62E11278" w14:textId="77777777" w:rsidTr="004E0D3E">
        <w:trPr>
          <w:cnfStyle w:val="100000000000" w:firstRow="1" w:lastRow="0" w:firstColumn="0" w:lastColumn="0" w:oddVBand="0" w:evenVBand="0" w:oddHBand="0" w:evenHBand="0" w:firstRowFirstColumn="0" w:firstRowLastColumn="0" w:lastRowFirstColumn="0" w:lastRowLastColumn="0"/>
          <w:trHeight w:val="300"/>
        </w:trPr>
        <w:tc>
          <w:tcPr>
            <w:tcW w:w="1379" w:type="dxa"/>
            <w:noWrap/>
            <w:hideMark/>
          </w:tcPr>
          <w:p w14:paraId="3CDAAB11" w14:textId="77777777" w:rsidR="007161A4" w:rsidRPr="007E5B01" w:rsidRDefault="007161A4" w:rsidP="004E0D3E">
            <w:pPr>
              <w:spacing w:after="0" w:line="240" w:lineRule="auto"/>
              <w:rPr>
                <w:rFonts w:ascii="Times New Roman" w:hAnsi="Times New Roman"/>
                <w:szCs w:val="20"/>
              </w:rPr>
            </w:pPr>
          </w:p>
        </w:tc>
        <w:tc>
          <w:tcPr>
            <w:tcW w:w="1279" w:type="dxa"/>
            <w:noWrap/>
            <w:hideMark/>
          </w:tcPr>
          <w:p w14:paraId="2BE17475"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2025</w:t>
            </w:r>
          </w:p>
        </w:tc>
        <w:tc>
          <w:tcPr>
            <w:tcW w:w="1280" w:type="dxa"/>
            <w:noWrap/>
            <w:hideMark/>
          </w:tcPr>
          <w:p w14:paraId="033D78B6"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2026</w:t>
            </w:r>
          </w:p>
        </w:tc>
        <w:tc>
          <w:tcPr>
            <w:tcW w:w="1279" w:type="dxa"/>
            <w:noWrap/>
            <w:hideMark/>
          </w:tcPr>
          <w:p w14:paraId="684C872D"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2027</w:t>
            </w:r>
          </w:p>
        </w:tc>
        <w:tc>
          <w:tcPr>
            <w:tcW w:w="1280" w:type="dxa"/>
            <w:noWrap/>
            <w:hideMark/>
          </w:tcPr>
          <w:p w14:paraId="5AEAB7DE"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2028</w:t>
            </w:r>
          </w:p>
        </w:tc>
        <w:tc>
          <w:tcPr>
            <w:tcW w:w="1280" w:type="dxa"/>
            <w:noWrap/>
            <w:hideMark/>
          </w:tcPr>
          <w:p w14:paraId="799CAD6A"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2029</w:t>
            </w:r>
          </w:p>
        </w:tc>
        <w:tc>
          <w:tcPr>
            <w:tcW w:w="1279" w:type="dxa"/>
            <w:noWrap/>
            <w:hideMark/>
          </w:tcPr>
          <w:p w14:paraId="0AB5BFAF"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2030</w:t>
            </w:r>
          </w:p>
        </w:tc>
        <w:tc>
          <w:tcPr>
            <w:tcW w:w="1280" w:type="dxa"/>
            <w:noWrap/>
            <w:hideMark/>
          </w:tcPr>
          <w:p w14:paraId="79875FEE"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2031</w:t>
            </w:r>
          </w:p>
        </w:tc>
        <w:tc>
          <w:tcPr>
            <w:tcW w:w="1279" w:type="dxa"/>
            <w:noWrap/>
            <w:hideMark/>
          </w:tcPr>
          <w:p w14:paraId="597838FA"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2032</w:t>
            </w:r>
          </w:p>
        </w:tc>
        <w:tc>
          <w:tcPr>
            <w:tcW w:w="1280" w:type="dxa"/>
            <w:noWrap/>
            <w:hideMark/>
          </w:tcPr>
          <w:p w14:paraId="742EB10C"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2033</w:t>
            </w:r>
          </w:p>
        </w:tc>
        <w:tc>
          <w:tcPr>
            <w:tcW w:w="1280" w:type="dxa"/>
            <w:noWrap/>
            <w:hideMark/>
          </w:tcPr>
          <w:p w14:paraId="3E4B1E95" w14:textId="77777777" w:rsidR="007161A4" w:rsidRPr="007E5B01" w:rsidRDefault="007161A4" w:rsidP="004E0D3E">
            <w:pPr>
              <w:spacing w:after="0" w:line="240" w:lineRule="auto"/>
              <w:jc w:val="center"/>
              <w:rPr>
                <w:rFonts w:ascii="Aptos Narrow" w:hAnsi="Aptos Narrow"/>
                <w:sz w:val="22"/>
                <w:szCs w:val="22"/>
              </w:rPr>
            </w:pPr>
            <w:r w:rsidRPr="007E5B01">
              <w:rPr>
                <w:rFonts w:ascii="Aptos Narrow" w:hAnsi="Aptos Narrow"/>
                <w:sz w:val="22"/>
                <w:szCs w:val="22"/>
              </w:rPr>
              <w:t>2034</w:t>
            </w:r>
          </w:p>
        </w:tc>
      </w:tr>
      <w:tr w:rsidR="007161A4" w:rsidRPr="00AF5580" w14:paraId="1E78D638"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1379" w:type="dxa"/>
            <w:shd w:val="clear" w:color="auto" w:fill="404040" w:themeFill="text1" w:themeFillTint="BF"/>
            <w:noWrap/>
            <w:hideMark/>
          </w:tcPr>
          <w:p w14:paraId="6F8E6559" w14:textId="77777777" w:rsidR="007161A4" w:rsidRPr="007E5B01" w:rsidRDefault="007161A4" w:rsidP="004E0D3E">
            <w:pPr>
              <w:spacing w:after="0" w:line="240" w:lineRule="auto"/>
              <w:rPr>
                <w:rFonts w:ascii="Aptos Narrow" w:hAnsi="Aptos Narrow"/>
                <w:color w:val="FFFFFF" w:themeColor="background1"/>
                <w:sz w:val="22"/>
                <w:szCs w:val="22"/>
              </w:rPr>
            </w:pPr>
          </w:p>
        </w:tc>
        <w:tc>
          <w:tcPr>
            <w:tcW w:w="1279" w:type="dxa"/>
            <w:shd w:val="clear" w:color="auto" w:fill="404040" w:themeFill="text1" w:themeFillTint="BF"/>
            <w:noWrap/>
            <w:hideMark/>
          </w:tcPr>
          <w:p w14:paraId="44D30CC8"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1</w:t>
            </w:r>
          </w:p>
        </w:tc>
        <w:tc>
          <w:tcPr>
            <w:tcW w:w="1280" w:type="dxa"/>
            <w:shd w:val="clear" w:color="auto" w:fill="404040" w:themeFill="text1" w:themeFillTint="BF"/>
            <w:noWrap/>
            <w:hideMark/>
          </w:tcPr>
          <w:p w14:paraId="6F9E1B76"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2</w:t>
            </w:r>
          </w:p>
        </w:tc>
        <w:tc>
          <w:tcPr>
            <w:tcW w:w="1279" w:type="dxa"/>
            <w:shd w:val="clear" w:color="auto" w:fill="404040" w:themeFill="text1" w:themeFillTint="BF"/>
            <w:noWrap/>
            <w:hideMark/>
          </w:tcPr>
          <w:p w14:paraId="1F9070A9"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3</w:t>
            </w:r>
          </w:p>
        </w:tc>
        <w:tc>
          <w:tcPr>
            <w:tcW w:w="1280" w:type="dxa"/>
            <w:shd w:val="clear" w:color="auto" w:fill="404040" w:themeFill="text1" w:themeFillTint="BF"/>
            <w:noWrap/>
            <w:hideMark/>
          </w:tcPr>
          <w:p w14:paraId="033EC15D"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4</w:t>
            </w:r>
          </w:p>
        </w:tc>
        <w:tc>
          <w:tcPr>
            <w:tcW w:w="1280" w:type="dxa"/>
            <w:shd w:val="clear" w:color="auto" w:fill="404040" w:themeFill="text1" w:themeFillTint="BF"/>
            <w:noWrap/>
            <w:hideMark/>
          </w:tcPr>
          <w:p w14:paraId="198CC895"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5</w:t>
            </w:r>
          </w:p>
        </w:tc>
        <w:tc>
          <w:tcPr>
            <w:tcW w:w="1279" w:type="dxa"/>
            <w:shd w:val="clear" w:color="auto" w:fill="404040" w:themeFill="text1" w:themeFillTint="BF"/>
            <w:noWrap/>
            <w:hideMark/>
          </w:tcPr>
          <w:p w14:paraId="48F7ADA9"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6</w:t>
            </w:r>
          </w:p>
        </w:tc>
        <w:tc>
          <w:tcPr>
            <w:tcW w:w="1280" w:type="dxa"/>
            <w:shd w:val="clear" w:color="auto" w:fill="404040" w:themeFill="text1" w:themeFillTint="BF"/>
            <w:noWrap/>
            <w:hideMark/>
          </w:tcPr>
          <w:p w14:paraId="60CDF958"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7</w:t>
            </w:r>
          </w:p>
        </w:tc>
        <w:tc>
          <w:tcPr>
            <w:tcW w:w="1279" w:type="dxa"/>
            <w:shd w:val="clear" w:color="auto" w:fill="404040" w:themeFill="text1" w:themeFillTint="BF"/>
            <w:noWrap/>
            <w:hideMark/>
          </w:tcPr>
          <w:p w14:paraId="58E393B6"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8</w:t>
            </w:r>
          </w:p>
        </w:tc>
        <w:tc>
          <w:tcPr>
            <w:tcW w:w="1280" w:type="dxa"/>
            <w:shd w:val="clear" w:color="auto" w:fill="404040" w:themeFill="text1" w:themeFillTint="BF"/>
            <w:noWrap/>
            <w:hideMark/>
          </w:tcPr>
          <w:p w14:paraId="2DA698CA"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9</w:t>
            </w:r>
          </w:p>
        </w:tc>
        <w:tc>
          <w:tcPr>
            <w:tcW w:w="1280" w:type="dxa"/>
            <w:shd w:val="clear" w:color="auto" w:fill="404040" w:themeFill="text1" w:themeFillTint="BF"/>
            <w:noWrap/>
            <w:hideMark/>
          </w:tcPr>
          <w:p w14:paraId="6B4057E5" w14:textId="77777777" w:rsidR="007161A4" w:rsidRPr="007E5B01" w:rsidRDefault="007161A4" w:rsidP="004E0D3E">
            <w:pPr>
              <w:spacing w:after="0" w:line="240" w:lineRule="auto"/>
              <w:jc w:val="center"/>
              <w:rPr>
                <w:rFonts w:ascii="Aptos Narrow" w:hAnsi="Aptos Narrow"/>
                <w:color w:val="FFFFFF" w:themeColor="background1"/>
                <w:sz w:val="22"/>
                <w:szCs w:val="22"/>
              </w:rPr>
            </w:pPr>
            <w:r w:rsidRPr="007E5B01">
              <w:rPr>
                <w:rFonts w:ascii="Aptos Narrow" w:hAnsi="Aptos Narrow"/>
                <w:color w:val="FFFFFF" w:themeColor="background1"/>
                <w:sz w:val="22"/>
                <w:szCs w:val="22"/>
              </w:rPr>
              <w:t>10</w:t>
            </w:r>
          </w:p>
        </w:tc>
      </w:tr>
      <w:tr w:rsidR="007161A4" w:rsidRPr="007E5B01" w14:paraId="08DD26AA"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1379" w:type="dxa"/>
            <w:noWrap/>
            <w:hideMark/>
          </w:tcPr>
          <w:p w14:paraId="1CBED6B9" w14:textId="77777777" w:rsidR="007161A4" w:rsidRPr="007E5B01" w:rsidRDefault="007161A4" w:rsidP="004E0D3E">
            <w:pPr>
              <w:pStyle w:val="TableBody"/>
            </w:pPr>
            <w:r w:rsidRPr="007E5B01">
              <w:t>ACMA costs</w:t>
            </w:r>
          </w:p>
        </w:tc>
        <w:tc>
          <w:tcPr>
            <w:tcW w:w="1279" w:type="dxa"/>
            <w:noWrap/>
            <w:hideMark/>
          </w:tcPr>
          <w:p w14:paraId="60402968" w14:textId="77777777" w:rsidR="007161A4" w:rsidRPr="007E5B01" w:rsidRDefault="007161A4" w:rsidP="004E0D3E">
            <w:pPr>
              <w:pStyle w:val="TableBody"/>
              <w:jc w:val="center"/>
            </w:pPr>
            <w:r w:rsidRPr="007E5B01">
              <w:t>$</w:t>
            </w:r>
            <w:r>
              <w:t>290,000</w:t>
            </w:r>
          </w:p>
        </w:tc>
        <w:tc>
          <w:tcPr>
            <w:tcW w:w="1280" w:type="dxa"/>
            <w:noWrap/>
            <w:hideMark/>
          </w:tcPr>
          <w:p w14:paraId="18816F73" w14:textId="77777777" w:rsidR="007161A4" w:rsidRPr="007E5B01" w:rsidRDefault="007161A4" w:rsidP="004E0D3E">
            <w:pPr>
              <w:pStyle w:val="TableBody"/>
              <w:jc w:val="center"/>
            </w:pPr>
            <w:r w:rsidRPr="007E5B01">
              <w:t>$</w:t>
            </w:r>
            <w:r>
              <w:t>105,000</w:t>
            </w:r>
          </w:p>
        </w:tc>
        <w:tc>
          <w:tcPr>
            <w:tcW w:w="1279" w:type="dxa"/>
            <w:noWrap/>
            <w:hideMark/>
          </w:tcPr>
          <w:p w14:paraId="389D3B23" w14:textId="77777777" w:rsidR="007161A4" w:rsidRPr="007E5B01" w:rsidRDefault="007161A4" w:rsidP="004E0D3E">
            <w:pPr>
              <w:pStyle w:val="TableBody"/>
              <w:jc w:val="center"/>
            </w:pPr>
            <w:r w:rsidRPr="007E5B01">
              <w:t>$</w:t>
            </w:r>
            <w:r>
              <w:t>105,000</w:t>
            </w:r>
          </w:p>
        </w:tc>
        <w:tc>
          <w:tcPr>
            <w:tcW w:w="1280" w:type="dxa"/>
            <w:noWrap/>
            <w:hideMark/>
          </w:tcPr>
          <w:p w14:paraId="02F27593" w14:textId="77777777" w:rsidR="007161A4" w:rsidRPr="007E5B01" w:rsidRDefault="007161A4" w:rsidP="004E0D3E">
            <w:pPr>
              <w:pStyle w:val="TableBody"/>
              <w:jc w:val="center"/>
            </w:pPr>
            <w:r w:rsidRPr="007E5B01">
              <w:t>$</w:t>
            </w:r>
            <w:r>
              <w:t>105,000</w:t>
            </w:r>
          </w:p>
        </w:tc>
        <w:tc>
          <w:tcPr>
            <w:tcW w:w="1280" w:type="dxa"/>
            <w:noWrap/>
            <w:hideMark/>
          </w:tcPr>
          <w:p w14:paraId="2A95434C" w14:textId="77777777" w:rsidR="007161A4" w:rsidRPr="007E5B01" w:rsidRDefault="007161A4" w:rsidP="004E0D3E">
            <w:pPr>
              <w:pStyle w:val="TableBody"/>
              <w:jc w:val="center"/>
            </w:pPr>
            <w:r w:rsidRPr="007E5B01">
              <w:t>$</w:t>
            </w:r>
            <w:r>
              <w:t>105,000</w:t>
            </w:r>
          </w:p>
        </w:tc>
        <w:tc>
          <w:tcPr>
            <w:tcW w:w="1279" w:type="dxa"/>
            <w:noWrap/>
            <w:hideMark/>
          </w:tcPr>
          <w:p w14:paraId="3B438B9C" w14:textId="77777777" w:rsidR="007161A4" w:rsidRPr="007E5B01" w:rsidRDefault="007161A4" w:rsidP="004E0D3E">
            <w:pPr>
              <w:pStyle w:val="TableBody"/>
              <w:jc w:val="center"/>
            </w:pPr>
            <w:r w:rsidRPr="007E5B01">
              <w:t>$</w:t>
            </w:r>
            <w:r>
              <w:t>105,000</w:t>
            </w:r>
          </w:p>
        </w:tc>
        <w:tc>
          <w:tcPr>
            <w:tcW w:w="1280" w:type="dxa"/>
            <w:noWrap/>
            <w:hideMark/>
          </w:tcPr>
          <w:p w14:paraId="294FB7B7" w14:textId="77777777" w:rsidR="007161A4" w:rsidRPr="007E5B01" w:rsidRDefault="007161A4" w:rsidP="004E0D3E">
            <w:pPr>
              <w:pStyle w:val="TableBody"/>
              <w:jc w:val="center"/>
            </w:pPr>
            <w:r w:rsidRPr="007E5B01">
              <w:t>$</w:t>
            </w:r>
            <w:r>
              <w:t>105,000</w:t>
            </w:r>
          </w:p>
        </w:tc>
        <w:tc>
          <w:tcPr>
            <w:tcW w:w="1279" w:type="dxa"/>
            <w:noWrap/>
            <w:hideMark/>
          </w:tcPr>
          <w:p w14:paraId="7247AB5D" w14:textId="77777777" w:rsidR="007161A4" w:rsidRPr="007E5B01" w:rsidRDefault="007161A4" w:rsidP="004E0D3E">
            <w:pPr>
              <w:pStyle w:val="TableBody"/>
              <w:jc w:val="center"/>
            </w:pPr>
            <w:r w:rsidRPr="007E5B01">
              <w:t>$</w:t>
            </w:r>
            <w:r>
              <w:t>105,000</w:t>
            </w:r>
          </w:p>
        </w:tc>
        <w:tc>
          <w:tcPr>
            <w:tcW w:w="1280" w:type="dxa"/>
            <w:noWrap/>
            <w:hideMark/>
          </w:tcPr>
          <w:p w14:paraId="4285FE5B" w14:textId="77777777" w:rsidR="007161A4" w:rsidRPr="007E5B01" w:rsidRDefault="007161A4" w:rsidP="004E0D3E">
            <w:pPr>
              <w:pStyle w:val="TableBody"/>
              <w:jc w:val="center"/>
            </w:pPr>
            <w:r w:rsidRPr="007E5B01">
              <w:t>$</w:t>
            </w:r>
            <w:r>
              <w:t>105,000</w:t>
            </w:r>
          </w:p>
        </w:tc>
        <w:tc>
          <w:tcPr>
            <w:tcW w:w="1280" w:type="dxa"/>
            <w:noWrap/>
            <w:hideMark/>
          </w:tcPr>
          <w:p w14:paraId="297BAE5E" w14:textId="77777777" w:rsidR="007161A4" w:rsidRPr="007E5B01" w:rsidRDefault="007161A4" w:rsidP="004E0D3E">
            <w:pPr>
              <w:pStyle w:val="TableBody"/>
              <w:jc w:val="center"/>
            </w:pPr>
            <w:r w:rsidRPr="007E5B01">
              <w:t>$</w:t>
            </w:r>
            <w:r>
              <w:t>105,000</w:t>
            </w:r>
          </w:p>
        </w:tc>
      </w:tr>
      <w:tr w:rsidR="007161A4" w:rsidRPr="007E5B01" w14:paraId="7CDB738D"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1379" w:type="dxa"/>
            <w:noWrap/>
          </w:tcPr>
          <w:p w14:paraId="27210B6B" w14:textId="0CD283C4" w:rsidR="007161A4" w:rsidRPr="007E5B01" w:rsidRDefault="00A0716C" w:rsidP="004E0D3E">
            <w:pPr>
              <w:pStyle w:val="TableBody"/>
            </w:pPr>
            <w:r>
              <w:t>Carrier</w:t>
            </w:r>
            <w:r w:rsidR="007161A4">
              <w:t xml:space="preserve"> costs</w:t>
            </w:r>
          </w:p>
        </w:tc>
        <w:tc>
          <w:tcPr>
            <w:tcW w:w="1279" w:type="dxa"/>
            <w:noWrap/>
          </w:tcPr>
          <w:p w14:paraId="39BFE289" w14:textId="77777777" w:rsidR="007161A4" w:rsidRPr="007E5B01" w:rsidRDefault="007161A4" w:rsidP="004E0D3E">
            <w:pPr>
              <w:pStyle w:val="TableBody"/>
              <w:jc w:val="center"/>
            </w:pPr>
            <w:r w:rsidRPr="00967EAF">
              <w:t>$22,500,000</w:t>
            </w:r>
          </w:p>
        </w:tc>
        <w:tc>
          <w:tcPr>
            <w:tcW w:w="1280" w:type="dxa"/>
            <w:noWrap/>
          </w:tcPr>
          <w:p w14:paraId="1162735F" w14:textId="77777777" w:rsidR="007161A4" w:rsidRDefault="007161A4" w:rsidP="004E0D3E">
            <w:pPr>
              <w:pStyle w:val="TableBody"/>
              <w:jc w:val="center"/>
            </w:pPr>
            <w:r w:rsidRPr="00967EAF">
              <w:t>$2,250,000</w:t>
            </w:r>
          </w:p>
        </w:tc>
        <w:tc>
          <w:tcPr>
            <w:tcW w:w="1279" w:type="dxa"/>
            <w:noWrap/>
          </w:tcPr>
          <w:p w14:paraId="08F0AF93" w14:textId="77777777" w:rsidR="007161A4" w:rsidRDefault="007161A4" w:rsidP="004E0D3E">
            <w:pPr>
              <w:pStyle w:val="TableBody"/>
              <w:jc w:val="center"/>
            </w:pPr>
            <w:r w:rsidRPr="00967EAF">
              <w:t>$2,250,000</w:t>
            </w:r>
          </w:p>
        </w:tc>
        <w:tc>
          <w:tcPr>
            <w:tcW w:w="1280" w:type="dxa"/>
            <w:noWrap/>
          </w:tcPr>
          <w:p w14:paraId="148C4663" w14:textId="77777777" w:rsidR="007161A4" w:rsidRDefault="007161A4" w:rsidP="004E0D3E">
            <w:pPr>
              <w:pStyle w:val="TableBody"/>
              <w:jc w:val="center"/>
            </w:pPr>
            <w:r w:rsidRPr="00967EAF">
              <w:t>$2,250,000</w:t>
            </w:r>
          </w:p>
        </w:tc>
        <w:tc>
          <w:tcPr>
            <w:tcW w:w="1280" w:type="dxa"/>
            <w:noWrap/>
          </w:tcPr>
          <w:p w14:paraId="64750F57" w14:textId="77777777" w:rsidR="007161A4" w:rsidRDefault="007161A4" w:rsidP="004E0D3E">
            <w:pPr>
              <w:pStyle w:val="TableBody"/>
              <w:jc w:val="center"/>
            </w:pPr>
            <w:r w:rsidRPr="00967EAF">
              <w:t>$2,250,000</w:t>
            </w:r>
          </w:p>
        </w:tc>
        <w:tc>
          <w:tcPr>
            <w:tcW w:w="1279" w:type="dxa"/>
            <w:noWrap/>
          </w:tcPr>
          <w:p w14:paraId="79DA7277" w14:textId="77777777" w:rsidR="007161A4" w:rsidRDefault="007161A4" w:rsidP="004E0D3E">
            <w:pPr>
              <w:pStyle w:val="TableBody"/>
              <w:jc w:val="center"/>
            </w:pPr>
            <w:r w:rsidRPr="00967EAF">
              <w:t>$2,250,000</w:t>
            </w:r>
          </w:p>
        </w:tc>
        <w:tc>
          <w:tcPr>
            <w:tcW w:w="1280" w:type="dxa"/>
            <w:noWrap/>
          </w:tcPr>
          <w:p w14:paraId="4C6634B8" w14:textId="77777777" w:rsidR="007161A4" w:rsidRDefault="007161A4" w:rsidP="004E0D3E">
            <w:pPr>
              <w:pStyle w:val="TableBody"/>
              <w:jc w:val="center"/>
            </w:pPr>
            <w:r w:rsidRPr="00967EAF">
              <w:t>$2,250,000</w:t>
            </w:r>
          </w:p>
        </w:tc>
        <w:tc>
          <w:tcPr>
            <w:tcW w:w="1279" w:type="dxa"/>
            <w:noWrap/>
          </w:tcPr>
          <w:p w14:paraId="0801497E" w14:textId="77777777" w:rsidR="007161A4" w:rsidRDefault="007161A4" w:rsidP="004E0D3E">
            <w:pPr>
              <w:pStyle w:val="TableBody"/>
              <w:jc w:val="center"/>
            </w:pPr>
            <w:r w:rsidRPr="00967EAF">
              <w:t>$2,250,000</w:t>
            </w:r>
          </w:p>
        </w:tc>
        <w:tc>
          <w:tcPr>
            <w:tcW w:w="1280" w:type="dxa"/>
            <w:noWrap/>
          </w:tcPr>
          <w:p w14:paraId="346D27AA" w14:textId="77777777" w:rsidR="007161A4" w:rsidRDefault="007161A4" w:rsidP="004E0D3E">
            <w:pPr>
              <w:pStyle w:val="TableBody"/>
              <w:jc w:val="center"/>
            </w:pPr>
            <w:r w:rsidRPr="00967EAF">
              <w:t>$2,250,000</w:t>
            </w:r>
          </w:p>
        </w:tc>
        <w:tc>
          <w:tcPr>
            <w:tcW w:w="1280" w:type="dxa"/>
            <w:noWrap/>
          </w:tcPr>
          <w:p w14:paraId="5A9763C5" w14:textId="77777777" w:rsidR="007161A4" w:rsidRDefault="007161A4" w:rsidP="004E0D3E">
            <w:pPr>
              <w:pStyle w:val="TableBody"/>
              <w:jc w:val="center"/>
            </w:pPr>
            <w:r w:rsidRPr="00967EAF">
              <w:t>$2,250,000</w:t>
            </w:r>
          </w:p>
        </w:tc>
      </w:tr>
      <w:tr w:rsidR="007161A4" w:rsidRPr="007E5B01" w14:paraId="63EE2535"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1379" w:type="dxa"/>
            <w:noWrap/>
            <w:hideMark/>
          </w:tcPr>
          <w:p w14:paraId="09ECD326" w14:textId="77777777" w:rsidR="007161A4" w:rsidRPr="007E5B01" w:rsidRDefault="007161A4" w:rsidP="004E0D3E">
            <w:pPr>
              <w:pStyle w:val="TableBody"/>
            </w:pPr>
            <w:r w:rsidRPr="007E5B01">
              <w:t>CSP Costs</w:t>
            </w:r>
          </w:p>
        </w:tc>
        <w:tc>
          <w:tcPr>
            <w:tcW w:w="1279" w:type="dxa"/>
            <w:noWrap/>
          </w:tcPr>
          <w:p w14:paraId="5D6D1412" w14:textId="77777777" w:rsidR="007161A4" w:rsidRPr="007E5B01" w:rsidRDefault="007161A4" w:rsidP="004E0D3E">
            <w:pPr>
              <w:pStyle w:val="TableBody"/>
              <w:jc w:val="center"/>
            </w:pPr>
            <w:r w:rsidRPr="00967EAF">
              <w:t>$10,500,000</w:t>
            </w:r>
          </w:p>
        </w:tc>
        <w:tc>
          <w:tcPr>
            <w:tcW w:w="1280" w:type="dxa"/>
            <w:noWrap/>
          </w:tcPr>
          <w:p w14:paraId="3CA7EA61" w14:textId="77777777" w:rsidR="007161A4" w:rsidRPr="007E5B01" w:rsidRDefault="007161A4" w:rsidP="004E0D3E">
            <w:pPr>
              <w:pStyle w:val="TableBody"/>
              <w:jc w:val="center"/>
            </w:pPr>
            <w:r w:rsidRPr="00967EAF">
              <w:t>$10,500,000</w:t>
            </w:r>
          </w:p>
        </w:tc>
        <w:tc>
          <w:tcPr>
            <w:tcW w:w="1279" w:type="dxa"/>
            <w:noWrap/>
          </w:tcPr>
          <w:p w14:paraId="10D75E0A" w14:textId="77777777" w:rsidR="007161A4" w:rsidRPr="007E5B01" w:rsidRDefault="007161A4" w:rsidP="004E0D3E">
            <w:pPr>
              <w:pStyle w:val="TableBody"/>
              <w:jc w:val="center"/>
              <w:rPr>
                <w:rFonts w:ascii="Times New Roman" w:hAnsi="Times New Roman"/>
                <w:szCs w:val="20"/>
              </w:rPr>
            </w:pPr>
            <w:r w:rsidRPr="00967EAF">
              <w:t>$10,500,000</w:t>
            </w:r>
          </w:p>
        </w:tc>
        <w:tc>
          <w:tcPr>
            <w:tcW w:w="1280" w:type="dxa"/>
            <w:noWrap/>
          </w:tcPr>
          <w:p w14:paraId="313F4E18" w14:textId="77777777" w:rsidR="007161A4" w:rsidRPr="007E5B01" w:rsidRDefault="007161A4" w:rsidP="004E0D3E">
            <w:pPr>
              <w:pStyle w:val="TableBody"/>
              <w:jc w:val="center"/>
              <w:rPr>
                <w:rFonts w:ascii="Times New Roman" w:hAnsi="Times New Roman"/>
                <w:szCs w:val="20"/>
              </w:rPr>
            </w:pPr>
            <w:r w:rsidRPr="00967EAF">
              <w:t>$10,500,000</w:t>
            </w:r>
          </w:p>
        </w:tc>
        <w:tc>
          <w:tcPr>
            <w:tcW w:w="1280" w:type="dxa"/>
            <w:noWrap/>
          </w:tcPr>
          <w:p w14:paraId="64A3CBDA" w14:textId="77777777" w:rsidR="007161A4" w:rsidRPr="007E5B01" w:rsidRDefault="007161A4" w:rsidP="004E0D3E">
            <w:pPr>
              <w:pStyle w:val="TableBody"/>
              <w:jc w:val="center"/>
              <w:rPr>
                <w:rFonts w:ascii="Times New Roman" w:hAnsi="Times New Roman"/>
                <w:szCs w:val="20"/>
              </w:rPr>
            </w:pPr>
            <w:r w:rsidRPr="00967EAF">
              <w:t>$10,500,000</w:t>
            </w:r>
          </w:p>
        </w:tc>
        <w:tc>
          <w:tcPr>
            <w:tcW w:w="1279" w:type="dxa"/>
            <w:noWrap/>
          </w:tcPr>
          <w:p w14:paraId="7AD061ED" w14:textId="77777777" w:rsidR="007161A4" w:rsidRPr="007E5B01" w:rsidRDefault="007161A4" w:rsidP="004E0D3E">
            <w:pPr>
              <w:pStyle w:val="TableBody"/>
              <w:jc w:val="center"/>
              <w:rPr>
                <w:rFonts w:ascii="Times New Roman" w:hAnsi="Times New Roman"/>
                <w:szCs w:val="20"/>
              </w:rPr>
            </w:pPr>
            <w:r w:rsidRPr="00967EAF">
              <w:t>$10,500,000</w:t>
            </w:r>
          </w:p>
        </w:tc>
        <w:tc>
          <w:tcPr>
            <w:tcW w:w="1280" w:type="dxa"/>
            <w:noWrap/>
          </w:tcPr>
          <w:p w14:paraId="2749CB58" w14:textId="77777777" w:rsidR="007161A4" w:rsidRPr="007E5B01" w:rsidRDefault="007161A4" w:rsidP="004E0D3E">
            <w:pPr>
              <w:pStyle w:val="TableBody"/>
              <w:jc w:val="center"/>
              <w:rPr>
                <w:rFonts w:ascii="Times New Roman" w:hAnsi="Times New Roman"/>
                <w:szCs w:val="20"/>
              </w:rPr>
            </w:pPr>
            <w:r w:rsidRPr="00967EAF">
              <w:t>$10,500,000</w:t>
            </w:r>
          </w:p>
        </w:tc>
        <w:tc>
          <w:tcPr>
            <w:tcW w:w="1279" w:type="dxa"/>
            <w:noWrap/>
          </w:tcPr>
          <w:p w14:paraId="550AA764" w14:textId="77777777" w:rsidR="007161A4" w:rsidRPr="007E5B01" w:rsidRDefault="007161A4" w:rsidP="004E0D3E">
            <w:pPr>
              <w:pStyle w:val="TableBody"/>
              <w:jc w:val="center"/>
              <w:rPr>
                <w:rFonts w:ascii="Times New Roman" w:hAnsi="Times New Roman"/>
                <w:szCs w:val="20"/>
              </w:rPr>
            </w:pPr>
            <w:r w:rsidRPr="00967EAF">
              <w:t>$10,500,000</w:t>
            </w:r>
          </w:p>
        </w:tc>
        <w:tc>
          <w:tcPr>
            <w:tcW w:w="1280" w:type="dxa"/>
            <w:noWrap/>
          </w:tcPr>
          <w:p w14:paraId="14C4788E" w14:textId="77777777" w:rsidR="007161A4" w:rsidRPr="007E5B01" w:rsidRDefault="007161A4" w:rsidP="004E0D3E">
            <w:pPr>
              <w:pStyle w:val="TableBody"/>
              <w:jc w:val="center"/>
              <w:rPr>
                <w:rFonts w:ascii="Times New Roman" w:hAnsi="Times New Roman"/>
                <w:szCs w:val="20"/>
              </w:rPr>
            </w:pPr>
            <w:r w:rsidRPr="00967EAF">
              <w:t>$10,500,000</w:t>
            </w:r>
          </w:p>
        </w:tc>
        <w:tc>
          <w:tcPr>
            <w:tcW w:w="1280" w:type="dxa"/>
            <w:noWrap/>
          </w:tcPr>
          <w:p w14:paraId="50518F2A" w14:textId="77777777" w:rsidR="007161A4" w:rsidRPr="007E5B01" w:rsidRDefault="007161A4" w:rsidP="004E0D3E">
            <w:pPr>
              <w:pStyle w:val="TableBody"/>
              <w:jc w:val="center"/>
              <w:rPr>
                <w:rFonts w:ascii="Times New Roman" w:hAnsi="Times New Roman"/>
                <w:szCs w:val="20"/>
              </w:rPr>
            </w:pPr>
            <w:r w:rsidRPr="00967EAF">
              <w:t>$10,500,000</w:t>
            </w:r>
          </w:p>
        </w:tc>
      </w:tr>
      <w:tr w:rsidR="007161A4" w:rsidRPr="00AF5580" w14:paraId="2577571D"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1379" w:type="dxa"/>
            <w:noWrap/>
            <w:hideMark/>
          </w:tcPr>
          <w:p w14:paraId="4216521F" w14:textId="77777777" w:rsidR="007161A4" w:rsidRPr="007E5B01" w:rsidRDefault="007161A4" w:rsidP="004E0D3E">
            <w:pPr>
              <w:spacing w:after="0" w:line="240" w:lineRule="auto"/>
              <w:rPr>
                <w:rFonts w:ascii="Aptos Narrow" w:hAnsi="Aptos Narrow"/>
                <w:b/>
                <w:bCs/>
                <w:color w:val="000000"/>
                <w:sz w:val="22"/>
                <w:szCs w:val="22"/>
              </w:rPr>
            </w:pPr>
            <w:r w:rsidRPr="007E5B01">
              <w:rPr>
                <w:rFonts w:ascii="Aptos Narrow" w:hAnsi="Aptos Narrow"/>
                <w:b/>
                <w:bCs/>
                <w:color w:val="000000"/>
                <w:sz w:val="22"/>
                <w:szCs w:val="22"/>
              </w:rPr>
              <w:t>Total cost</w:t>
            </w:r>
          </w:p>
        </w:tc>
        <w:tc>
          <w:tcPr>
            <w:tcW w:w="1279" w:type="dxa"/>
            <w:noWrap/>
          </w:tcPr>
          <w:p w14:paraId="6D59505E" w14:textId="77777777" w:rsidR="007161A4" w:rsidRPr="007E5B01" w:rsidRDefault="007161A4" w:rsidP="004E0D3E">
            <w:pPr>
              <w:pStyle w:val="TableBody"/>
              <w:jc w:val="center"/>
              <w:rPr>
                <w:b/>
              </w:rPr>
            </w:pPr>
            <w:r w:rsidRPr="00967EAF">
              <w:t>$33,290,000</w:t>
            </w:r>
          </w:p>
        </w:tc>
        <w:tc>
          <w:tcPr>
            <w:tcW w:w="1280" w:type="dxa"/>
            <w:noWrap/>
          </w:tcPr>
          <w:p w14:paraId="166D0F93" w14:textId="77777777" w:rsidR="007161A4" w:rsidRPr="007E5B01" w:rsidRDefault="007161A4" w:rsidP="004E0D3E">
            <w:pPr>
              <w:pStyle w:val="TableBody"/>
              <w:jc w:val="center"/>
              <w:rPr>
                <w:b/>
              </w:rPr>
            </w:pPr>
            <w:r w:rsidRPr="00967EAF">
              <w:t>$12,855,000</w:t>
            </w:r>
          </w:p>
        </w:tc>
        <w:tc>
          <w:tcPr>
            <w:tcW w:w="1279" w:type="dxa"/>
            <w:noWrap/>
          </w:tcPr>
          <w:p w14:paraId="70FB43C1" w14:textId="77777777" w:rsidR="007161A4" w:rsidRPr="007E5B01" w:rsidRDefault="007161A4" w:rsidP="004E0D3E">
            <w:pPr>
              <w:pStyle w:val="TableBody"/>
              <w:jc w:val="center"/>
              <w:rPr>
                <w:b/>
              </w:rPr>
            </w:pPr>
            <w:r w:rsidRPr="00967EAF">
              <w:t>$12,855,000</w:t>
            </w:r>
          </w:p>
        </w:tc>
        <w:tc>
          <w:tcPr>
            <w:tcW w:w="1280" w:type="dxa"/>
            <w:noWrap/>
          </w:tcPr>
          <w:p w14:paraId="72633CA5" w14:textId="77777777" w:rsidR="007161A4" w:rsidRPr="007E5B01" w:rsidRDefault="007161A4" w:rsidP="004E0D3E">
            <w:pPr>
              <w:pStyle w:val="TableBody"/>
              <w:jc w:val="center"/>
              <w:rPr>
                <w:b/>
              </w:rPr>
            </w:pPr>
            <w:r w:rsidRPr="00967EAF">
              <w:t>$12,855,000</w:t>
            </w:r>
          </w:p>
        </w:tc>
        <w:tc>
          <w:tcPr>
            <w:tcW w:w="1280" w:type="dxa"/>
            <w:noWrap/>
          </w:tcPr>
          <w:p w14:paraId="641A77C1" w14:textId="77777777" w:rsidR="007161A4" w:rsidRPr="007E5B01" w:rsidRDefault="007161A4" w:rsidP="004E0D3E">
            <w:pPr>
              <w:pStyle w:val="TableBody"/>
              <w:jc w:val="center"/>
              <w:rPr>
                <w:b/>
              </w:rPr>
            </w:pPr>
            <w:r w:rsidRPr="00967EAF">
              <w:t>$12,855,000</w:t>
            </w:r>
          </w:p>
        </w:tc>
        <w:tc>
          <w:tcPr>
            <w:tcW w:w="1279" w:type="dxa"/>
            <w:noWrap/>
          </w:tcPr>
          <w:p w14:paraId="66712404" w14:textId="77777777" w:rsidR="007161A4" w:rsidRPr="007E5B01" w:rsidRDefault="007161A4" w:rsidP="004E0D3E">
            <w:pPr>
              <w:pStyle w:val="TableBody"/>
              <w:jc w:val="center"/>
              <w:rPr>
                <w:b/>
              </w:rPr>
            </w:pPr>
            <w:r w:rsidRPr="00967EAF">
              <w:t>$12,855,000</w:t>
            </w:r>
          </w:p>
        </w:tc>
        <w:tc>
          <w:tcPr>
            <w:tcW w:w="1280" w:type="dxa"/>
            <w:noWrap/>
          </w:tcPr>
          <w:p w14:paraId="1D7FA5CA" w14:textId="77777777" w:rsidR="007161A4" w:rsidRPr="007E5B01" w:rsidRDefault="007161A4" w:rsidP="004E0D3E">
            <w:pPr>
              <w:pStyle w:val="TableBody"/>
              <w:jc w:val="center"/>
              <w:rPr>
                <w:b/>
              </w:rPr>
            </w:pPr>
            <w:r w:rsidRPr="00967EAF">
              <w:t>$12,855,000</w:t>
            </w:r>
          </w:p>
        </w:tc>
        <w:tc>
          <w:tcPr>
            <w:tcW w:w="1279" w:type="dxa"/>
            <w:noWrap/>
          </w:tcPr>
          <w:p w14:paraId="45080548" w14:textId="77777777" w:rsidR="007161A4" w:rsidRPr="007E5B01" w:rsidRDefault="007161A4" w:rsidP="004E0D3E">
            <w:pPr>
              <w:pStyle w:val="TableBody"/>
              <w:jc w:val="center"/>
              <w:rPr>
                <w:b/>
              </w:rPr>
            </w:pPr>
            <w:r w:rsidRPr="00967EAF">
              <w:t>$12,855,000</w:t>
            </w:r>
          </w:p>
        </w:tc>
        <w:tc>
          <w:tcPr>
            <w:tcW w:w="1280" w:type="dxa"/>
            <w:noWrap/>
          </w:tcPr>
          <w:p w14:paraId="5FBF7F42" w14:textId="77777777" w:rsidR="007161A4" w:rsidRPr="007E5B01" w:rsidRDefault="007161A4" w:rsidP="004E0D3E">
            <w:pPr>
              <w:pStyle w:val="TableBody"/>
              <w:jc w:val="center"/>
              <w:rPr>
                <w:b/>
              </w:rPr>
            </w:pPr>
            <w:r w:rsidRPr="00967EAF">
              <w:t>$12,855,000</w:t>
            </w:r>
          </w:p>
        </w:tc>
        <w:tc>
          <w:tcPr>
            <w:tcW w:w="1280" w:type="dxa"/>
            <w:noWrap/>
          </w:tcPr>
          <w:p w14:paraId="5081FA97" w14:textId="77777777" w:rsidR="007161A4" w:rsidRPr="007E5B01" w:rsidRDefault="007161A4" w:rsidP="004E0D3E">
            <w:pPr>
              <w:pStyle w:val="TableBody"/>
              <w:jc w:val="center"/>
              <w:rPr>
                <w:b/>
              </w:rPr>
            </w:pPr>
            <w:r w:rsidRPr="00967EAF">
              <w:t>$12,855,000</w:t>
            </w:r>
          </w:p>
        </w:tc>
      </w:tr>
    </w:tbl>
    <w:p w14:paraId="6E55A85B" w14:textId="77777777" w:rsidR="007161A4" w:rsidRDefault="007161A4" w:rsidP="007161A4"/>
    <w:p w14:paraId="7782EA1E" w14:textId="77777777" w:rsidR="007D3A8B" w:rsidRDefault="007D3A8B" w:rsidP="007161A4"/>
    <w:p w14:paraId="1B8F7718" w14:textId="77777777" w:rsidR="007D3A8B" w:rsidRDefault="007D3A8B" w:rsidP="007161A4"/>
    <w:p w14:paraId="356DBC51" w14:textId="77777777" w:rsidR="007D3A8B" w:rsidRDefault="007D3A8B" w:rsidP="007161A4"/>
    <w:p w14:paraId="6196DF6E" w14:textId="77777777" w:rsidR="007D3A8B" w:rsidRDefault="007D3A8B" w:rsidP="007161A4"/>
    <w:p w14:paraId="325B8437" w14:textId="77777777" w:rsidR="007D3A8B" w:rsidRDefault="007D3A8B" w:rsidP="007161A4"/>
    <w:p w14:paraId="27E4DC1A" w14:textId="77777777" w:rsidR="007D3A8B" w:rsidRDefault="007D3A8B" w:rsidP="007161A4"/>
    <w:p w14:paraId="5902E86F" w14:textId="77777777" w:rsidR="007D3A8B" w:rsidRDefault="007D3A8B" w:rsidP="007161A4"/>
    <w:p w14:paraId="75C710AB" w14:textId="77777777" w:rsidR="007D3A8B" w:rsidRDefault="007D3A8B" w:rsidP="007161A4"/>
    <w:p w14:paraId="12AF80E7" w14:textId="77777777" w:rsidR="007D3A8B" w:rsidRDefault="007D3A8B" w:rsidP="007161A4"/>
    <w:p w14:paraId="42413776" w14:textId="77777777" w:rsidR="007D3A8B" w:rsidRDefault="007D3A8B" w:rsidP="007161A4"/>
    <w:p w14:paraId="5652E3A2" w14:textId="77777777" w:rsidR="00591D5A" w:rsidRDefault="00591D5A" w:rsidP="007161A4">
      <w:pPr>
        <w:sectPr w:rsidR="00591D5A" w:rsidSect="00591D5A">
          <w:pgSz w:w="16838" w:h="11906" w:orient="landscape" w:code="9"/>
          <w:pgMar w:top="1418" w:right="1418" w:bottom="1418" w:left="1134" w:header="709" w:footer="119" w:gutter="0"/>
          <w:cols w:space="708"/>
          <w:docGrid w:linePitch="360"/>
        </w:sectPr>
      </w:pPr>
    </w:p>
    <w:p w14:paraId="78518A40" w14:textId="77777777" w:rsidR="00784F9A" w:rsidRDefault="00784F9A" w:rsidP="00784F9A">
      <w:pPr>
        <w:pStyle w:val="Figureheading"/>
      </w:pPr>
      <w:r>
        <w:lastRenderedPageBreak/>
        <w:t>Graph of the net benefits for each year of the analysis period</w:t>
      </w:r>
    </w:p>
    <w:p w14:paraId="6B31B70D" w14:textId="77777777" w:rsidR="00784F9A" w:rsidRDefault="00784F9A" w:rsidP="00784F9A">
      <w:r>
        <w:rPr>
          <w:noProof/>
        </w:rPr>
        <w:drawing>
          <wp:inline distT="0" distB="0" distL="0" distR="0" wp14:anchorId="1663BE37" wp14:editId="3122CA70">
            <wp:extent cx="6248400" cy="2870547"/>
            <wp:effectExtent l="0" t="0" r="0" b="6350"/>
            <wp:docPr id="1299890404" name="Picture 4" descr="A graph with money figures for years 2025 to 20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90404" name="Picture 4" descr="A graph with money figures for years 2025 to 2034.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5226" cy="2878277"/>
                    </a:xfrm>
                    <a:prstGeom prst="rect">
                      <a:avLst/>
                    </a:prstGeom>
                    <a:noFill/>
                  </pic:spPr>
                </pic:pic>
              </a:graphicData>
            </a:graphic>
          </wp:inline>
        </w:drawing>
      </w:r>
    </w:p>
    <w:p w14:paraId="054C0470" w14:textId="77777777" w:rsidR="00784F9A" w:rsidRDefault="00784F9A" w:rsidP="00784F9A"/>
    <w:p w14:paraId="0D3303F9" w14:textId="0E8B7066" w:rsidR="007D3A8B" w:rsidRDefault="00784F9A" w:rsidP="00784F9A">
      <w:r>
        <w:t>Comparing this break-even point ($17.9 million) to the normal distribution indicates that the</w:t>
      </w:r>
    </w:p>
    <w:p w14:paraId="7214CAC7" w14:textId="77777777" w:rsidR="003711D6" w:rsidRDefault="003711D6" w:rsidP="003711D6">
      <w:pPr>
        <w:pStyle w:val="Figureheading"/>
      </w:pPr>
      <w:r>
        <w:t>Graph of the net benefits for each year of the analysis period</w:t>
      </w:r>
    </w:p>
    <w:p w14:paraId="3CAE94AC" w14:textId="77777777" w:rsidR="00485A62" w:rsidRDefault="00485A62" w:rsidP="00485A62">
      <w:r>
        <w:rPr>
          <w:noProof/>
        </w:rPr>
        <w:drawing>
          <wp:inline distT="0" distB="0" distL="0" distR="0" wp14:anchorId="108A68F9" wp14:editId="55127E60">
            <wp:extent cx="6248400" cy="2870547"/>
            <wp:effectExtent l="0" t="0" r="0" b="6350"/>
            <wp:docPr id="1612399363" name="Picture 4" descr="A graph with money figures for the years 2025 to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399363" name="Picture 4" descr="A graph with money figures for the years 2025 to 20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65226" cy="2878277"/>
                    </a:xfrm>
                    <a:prstGeom prst="rect">
                      <a:avLst/>
                    </a:prstGeom>
                    <a:noFill/>
                  </pic:spPr>
                </pic:pic>
              </a:graphicData>
            </a:graphic>
          </wp:inline>
        </w:drawing>
      </w:r>
    </w:p>
    <w:p w14:paraId="64FA9E62" w14:textId="77777777" w:rsidR="00B21BF7" w:rsidRDefault="00B21BF7" w:rsidP="00891B96">
      <w:pPr>
        <w:pStyle w:val="Paragraph"/>
      </w:pPr>
    </w:p>
    <w:p w14:paraId="2D534793" w14:textId="77777777" w:rsidR="00162D8B" w:rsidRDefault="00162D8B" w:rsidP="00162D8B">
      <w:pPr>
        <w:pStyle w:val="Paragraph"/>
      </w:pPr>
      <w:r>
        <w:t xml:space="preserve">Comparing this break-even point ($17.9 million) to the normal distribution indicates that the value has a cumulative probability of 20.6% - as shown in Figure 4 below.  </w:t>
      </w:r>
    </w:p>
    <w:p w14:paraId="6EEDA39F" w14:textId="77777777" w:rsidR="00162D8B" w:rsidRDefault="00162D8B" w:rsidP="00162D8B">
      <w:pPr>
        <w:pStyle w:val="Paragraph"/>
      </w:pPr>
      <w:r>
        <w:t>This value indicates that it is 79.4% likely that the benefits would outweigh the costs.</w:t>
      </w:r>
    </w:p>
    <w:p w14:paraId="2DAB0712" w14:textId="77777777" w:rsidR="00162D8B" w:rsidRDefault="00162D8B" w:rsidP="00162D8B">
      <w:pPr>
        <w:pStyle w:val="Figureheading"/>
      </w:pPr>
      <w:r>
        <w:lastRenderedPageBreak/>
        <w:t>Probability analysis assuming a normal distribution</w:t>
      </w:r>
    </w:p>
    <w:p w14:paraId="153AFE35" w14:textId="77777777" w:rsidR="00162D8B" w:rsidRDefault="00162D8B" w:rsidP="00162D8B">
      <w:r>
        <w:rPr>
          <w:noProof/>
        </w:rPr>
        <w:drawing>
          <wp:inline distT="0" distB="0" distL="0" distR="0" wp14:anchorId="3B7089C6" wp14:editId="3C0486E3">
            <wp:extent cx="6136821" cy="4363622"/>
            <wp:effectExtent l="0" t="0" r="0" b="0"/>
            <wp:docPr id="1622412687" name="Picture 5" descr="A graph  with numbers, a yellow line representing cumulative probability, a blue line representing probability, and green lines indicating the threshold benef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12687" name="Picture 5" descr="A graph  with numbers, a yellow line representing cumulative probability, a blue line representing probability, and green lines indicating the threshold benefit.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54778" cy="4376391"/>
                    </a:xfrm>
                    <a:prstGeom prst="rect">
                      <a:avLst/>
                    </a:prstGeom>
                    <a:noFill/>
                  </pic:spPr>
                </pic:pic>
              </a:graphicData>
            </a:graphic>
          </wp:inline>
        </w:drawing>
      </w:r>
    </w:p>
    <w:p w14:paraId="1336E15E" w14:textId="77777777" w:rsidR="00162D8B" w:rsidRDefault="00162D8B" w:rsidP="00162D8B">
      <w:pPr>
        <w:pStyle w:val="Paragraph"/>
      </w:pPr>
      <w:r>
        <w:t>Alternatively, if it were assumed that the distribution of the true benefit is flat between the low and high estimates, then it is estimated that it is highly probable (70.5% likely) that the benefits are greater than the threshold required, as set out in Table 12.</w:t>
      </w:r>
    </w:p>
    <w:p w14:paraId="3564C8B5" w14:textId="77777777" w:rsidR="00CD5BFB" w:rsidRDefault="00CD5BFB" w:rsidP="00CD5BFB">
      <w:pPr>
        <w:pStyle w:val="Tableheading"/>
        <w:numPr>
          <w:ilvl w:val="0"/>
          <w:numId w:val="0"/>
        </w:numPr>
      </w:pPr>
      <w:r>
        <w:t>Table 12: Flat distribution calculation</w:t>
      </w:r>
    </w:p>
    <w:tbl>
      <w:tblPr>
        <w:tblStyle w:val="ACMAtablestyle"/>
        <w:tblW w:w="5730" w:type="dxa"/>
        <w:tblLook w:val="04A0" w:firstRow="1" w:lastRow="0" w:firstColumn="1" w:lastColumn="0" w:noHBand="0" w:noVBand="1"/>
      </w:tblPr>
      <w:tblGrid>
        <w:gridCol w:w="4395"/>
        <w:gridCol w:w="1335"/>
      </w:tblGrid>
      <w:tr w:rsidR="00B733EB" w:rsidRPr="006813B6" w14:paraId="2C781419" w14:textId="77777777" w:rsidTr="004E0D3E">
        <w:trPr>
          <w:cnfStyle w:val="100000000000" w:firstRow="1" w:lastRow="0" w:firstColumn="0" w:lastColumn="0" w:oddVBand="0" w:evenVBand="0" w:oddHBand="0" w:evenHBand="0" w:firstRowFirstColumn="0" w:firstRowLastColumn="0" w:lastRowFirstColumn="0" w:lastRowLastColumn="0"/>
          <w:trHeight w:val="300"/>
        </w:trPr>
        <w:tc>
          <w:tcPr>
            <w:tcW w:w="4395" w:type="dxa"/>
            <w:noWrap/>
          </w:tcPr>
          <w:p w14:paraId="5E597AFC" w14:textId="77777777" w:rsidR="00B733EB" w:rsidRDefault="00B733EB" w:rsidP="004E0D3E">
            <w:pPr>
              <w:pStyle w:val="Tableheaderrow"/>
            </w:pPr>
            <w:r>
              <w:t>Factor</w:t>
            </w:r>
          </w:p>
        </w:tc>
        <w:tc>
          <w:tcPr>
            <w:tcW w:w="1335" w:type="dxa"/>
            <w:noWrap/>
          </w:tcPr>
          <w:p w14:paraId="29D005B7" w14:textId="77777777" w:rsidR="00B733EB" w:rsidRPr="009F6607" w:rsidRDefault="00B733EB" w:rsidP="004E0D3E">
            <w:pPr>
              <w:pStyle w:val="Tableheaderrow"/>
            </w:pPr>
            <w:r>
              <w:t>Value</w:t>
            </w:r>
          </w:p>
        </w:tc>
      </w:tr>
      <w:tr w:rsidR="00B733EB" w:rsidRPr="006813B6" w14:paraId="0982477D"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15A7DC06" w14:textId="77777777" w:rsidR="00B733EB" w:rsidRPr="006813B6" w:rsidRDefault="00B733EB" w:rsidP="004E0D3E">
            <w:pPr>
              <w:pStyle w:val="TableBody"/>
            </w:pPr>
            <w:r>
              <w:t>L</w:t>
            </w:r>
            <w:r w:rsidRPr="006813B6">
              <w:t xml:space="preserve">ow </w:t>
            </w:r>
            <w:r>
              <w:t>estimate of the annual benefit</w:t>
            </w:r>
          </w:p>
        </w:tc>
        <w:tc>
          <w:tcPr>
            <w:tcW w:w="1335" w:type="dxa"/>
            <w:noWrap/>
            <w:hideMark/>
          </w:tcPr>
          <w:p w14:paraId="63B09CF5" w14:textId="77777777" w:rsidR="00B733EB" w:rsidRPr="006813B6" w:rsidRDefault="00B733EB" w:rsidP="004E0D3E">
            <w:pPr>
              <w:pStyle w:val="TableBody"/>
              <w:jc w:val="center"/>
            </w:pPr>
            <w:r w:rsidRPr="009F6607">
              <w:t>$2,794,260</w:t>
            </w:r>
          </w:p>
        </w:tc>
      </w:tr>
      <w:tr w:rsidR="00B733EB" w:rsidRPr="006813B6" w14:paraId="5F9DA89C"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4395" w:type="dxa"/>
            <w:noWrap/>
            <w:hideMark/>
          </w:tcPr>
          <w:p w14:paraId="65FD29C6" w14:textId="77777777" w:rsidR="00B733EB" w:rsidRPr="006813B6" w:rsidRDefault="00B733EB" w:rsidP="004E0D3E">
            <w:pPr>
              <w:pStyle w:val="TableBody"/>
            </w:pPr>
            <w:r w:rsidRPr="006813B6">
              <w:t xml:space="preserve">High </w:t>
            </w:r>
            <w:r>
              <w:t>estimate of the annual benefit</w:t>
            </w:r>
          </w:p>
        </w:tc>
        <w:tc>
          <w:tcPr>
            <w:tcW w:w="1335" w:type="dxa"/>
            <w:noWrap/>
            <w:hideMark/>
          </w:tcPr>
          <w:p w14:paraId="3C3886F1" w14:textId="77777777" w:rsidR="00B733EB" w:rsidRPr="006813B6" w:rsidRDefault="00B733EB" w:rsidP="004E0D3E">
            <w:pPr>
              <w:pStyle w:val="TableBody"/>
              <w:jc w:val="center"/>
            </w:pPr>
            <w:r w:rsidRPr="009F6607">
              <w:t>$54,288,480</w:t>
            </w:r>
          </w:p>
        </w:tc>
      </w:tr>
      <w:tr w:rsidR="00B733EB" w:rsidRPr="006813B6" w14:paraId="6CB50F45"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3E5A5970" w14:textId="77777777" w:rsidR="00B733EB" w:rsidRPr="006813B6" w:rsidRDefault="00B733EB" w:rsidP="004E0D3E">
            <w:pPr>
              <w:pStyle w:val="TableBody"/>
            </w:pPr>
            <w:r>
              <w:t>S</w:t>
            </w:r>
            <w:r w:rsidRPr="006813B6">
              <w:t>pread</w:t>
            </w:r>
            <w:r>
              <w:t xml:space="preserve"> (High – Low)</w:t>
            </w:r>
          </w:p>
        </w:tc>
        <w:tc>
          <w:tcPr>
            <w:tcW w:w="1335" w:type="dxa"/>
            <w:noWrap/>
            <w:hideMark/>
          </w:tcPr>
          <w:p w14:paraId="2B2605B1" w14:textId="77777777" w:rsidR="00B733EB" w:rsidRPr="006813B6" w:rsidRDefault="00B733EB" w:rsidP="004E0D3E">
            <w:pPr>
              <w:pStyle w:val="TableBody"/>
              <w:jc w:val="center"/>
            </w:pPr>
            <w:r w:rsidRPr="009F6607">
              <w:t>$51,494,220</w:t>
            </w:r>
          </w:p>
        </w:tc>
      </w:tr>
      <w:tr w:rsidR="00B733EB" w:rsidRPr="006813B6" w14:paraId="620F7578"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4395" w:type="dxa"/>
            <w:noWrap/>
            <w:hideMark/>
          </w:tcPr>
          <w:p w14:paraId="7917BE34" w14:textId="77777777" w:rsidR="00B733EB" w:rsidRPr="006813B6" w:rsidRDefault="00B733EB" w:rsidP="004E0D3E">
            <w:pPr>
              <w:pStyle w:val="TableBody"/>
            </w:pPr>
            <w:r w:rsidRPr="006813B6">
              <w:t>Threshold benefit</w:t>
            </w:r>
          </w:p>
        </w:tc>
        <w:tc>
          <w:tcPr>
            <w:tcW w:w="1335" w:type="dxa"/>
            <w:noWrap/>
            <w:hideMark/>
          </w:tcPr>
          <w:p w14:paraId="1EE8BFB6" w14:textId="77777777" w:rsidR="00B733EB" w:rsidRPr="006813B6" w:rsidRDefault="00B733EB" w:rsidP="004E0D3E">
            <w:pPr>
              <w:pStyle w:val="TableBody"/>
              <w:jc w:val="center"/>
            </w:pPr>
            <w:r w:rsidRPr="009F6607">
              <w:t>$17,964,565</w:t>
            </w:r>
          </w:p>
        </w:tc>
      </w:tr>
      <w:tr w:rsidR="00B733EB" w:rsidRPr="006813B6" w14:paraId="7910CDE2"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061A59F5" w14:textId="77777777" w:rsidR="00B733EB" w:rsidRPr="006813B6" w:rsidRDefault="00B733EB" w:rsidP="004E0D3E">
            <w:pPr>
              <w:pStyle w:val="TableBody"/>
            </w:pPr>
            <w:r>
              <w:t xml:space="preserve">Value </w:t>
            </w:r>
            <w:r w:rsidRPr="006813B6">
              <w:t>above the low est</w:t>
            </w:r>
            <w:r>
              <w:t>imate</w:t>
            </w:r>
          </w:p>
        </w:tc>
        <w:tc>
          <w:tcPr>
            <w:tcW w:w="1335" w:type="dxa"/>
            <w:noWrap/>
            <w:hideMark/>
          </w:tcPr>
          <w:p w14:paraId="3BF9CBEB" w14:textId="77777777" w:rsidR="00B733EB" w:rsidRPr="006813B6" w:rsidRDefault="00B733EB" w:rsidP="004E0D3E">
            <w:pPr>
              <w:pStyle w:val="TableBody"/>
              <w:jc w:val="center"/>
            </w:pPr>
            <w:r w:rsidRPr="009F6607">
              <w:t>$15,170,305</w:t>
            </w:r>
          </w:p>
        </w:tc>
      </w:tr>
      <w:tr w:rsidR="00B733EB" w:rsidRPr="006813B6" w14:paraId="1472A63E" w14:textId="77777777" w:rsidTr="004E0D3E">
        <w:trPr>
          <w:cnfStyle w:val="000000010000" w:firstRow="0" w:lastRow="0" w:firstColumn="0" w:lastColumn="0" w:oddVBand="0" w:evenVBand="0" w:oddHBand="0" w:evenHBand="1" w:firstRowFirstColumn="0" w:firstRowLastColumn="0" w:lastRowFirstColumn="0" w:lastRowLastColumn="0"/>
          <w:trHeight w:val="300"/>
        </w:trPr>
        <w:tc>
          <w:tcPr>
            <w:tcW w:w="4395" w:type="dxa"/>
            <w:noWrap/>
            <w:hideMark/>
          </w:tcPr>
          <w:p w14:paraId="14B75D4D" w14:textId="77777777" w:rsidR="00B733EB" w:rsidRPr="006813B6" w:rsidRDefault="00B733EB" w:rsidP="004E0D3E">
            <w:pPr>
              <w:pStyle w:val="TableBody"/>
            </w:pPr>
            <w:r w:rsidRPr="006813B6">
              <w:t>%</w:t>
            </w:r>
            <w:r>
              <w:t xml:space="preserve"> of the spread </w:t>
            </w:r>
            <w:r w:rsidRPr="006813B6">
              <w:t>above the low est</w:t>
            </w:r>
            <w:r>
              <w:t>imate</w:t>
            </w:r>
          </w:p>
        </w:tc>
        <w:tc>
          <w:tcPr>
            <w:tcW w:w="1335" w:type="dxa"/>
            <w:noWrap/>
            <w:hideMark/>
          </w:tcPr>
          <w:p w14:paraId="598312BC" w14:textId="77777777" w:rsidR="00B733EB" w:rsidRPr="006813B6" w:rsidRDefault="00B733EB" w:rsidP="004E0D3E">
            <w:pPr>
              <w:pStyle w:val="TableBody"/>
              <w:jc w:val="center"/>
            </w:pPr>
            <w:r w:rsidRPr="009F6607">
              <w:t>29.46%</w:t>
            </w:r>
          </w:p>
        </w:tc>
      </w:tr>
      <w:tr w:rsidR="00B733EB" w:rsidRPr="006813B6" w14:paraId="7ACED019" w14:textId="77777777" w:rsidTr="004E0D3E">
        <w:trPr>
          <w:cnfStyle w:val="000000100000" w:firstRow="0" w:lastRow="0" w:firstColumn="0" w:lastColumn="0" w:oddVBand="0" w:evenVBand="0" w:oddHBand="1" w:evenHBand="0" w:firstRowFirstColumn="0" w:firstRowLastColumn="0" w:lastRowFirstColumn="0" w:lastRowLastColumn="0"/>
          <w:trHeight w:val="300"/>
        </w:trPr>
        <w:tc>
          <w:tcPr>
            <w:tcW w:w="4395" w:type="dxa"/>
            <w:noWrap/>
            <w:hideMark/>
          </w:tcPr>
          <w:p w14:paraId="0D605A3D" w14:textId="77777777" w:rsidR="00B733EB" w:rsidRPr="006813B6" w:rsidRDefault="00B733EB" w:rsidP="004E0D3E">
            <w:pPr>
              <w:pStyle w:val="TableBody"/>
            </w:pPr>
            <w:r w:rsidRPr="006813B6">
              <w:t>Likelihood benefit is greater than the threshold</w:t>
            </w:r>
          </w:p>
        </w:tc>
        <w:tc>
          <w:tcPr>
            <w:tcW w:w="1335" w:type="dxa"/>
            <w:noWrap/>
            <w:hideMark/>
          </w:tcPr>
          <w:p w14:paraId="4472951A" w14:textId="77777777" w:rsidR="00B733EB" w:rsidRPr="006813B6" w:rsidRDefault="00B733EB" w:rsidP="004E0D3E">
            <w:pPr>
              <w:pStyle w:val="TableBody"/>
              <w:jc w:val="center"/>
            </w:pPr>
            <w:r w:rsidRPr="009F6607">
              <w:t>70.54%</w:t>
            </w:r>
          </w:p>
        </w:tc>
      </w:tr>
    </w:tbl>
    <w:p w14:paraId="75CD9315" w14:textId="77777777" w:rsidR="005F274C" w:rsidRDefault="005F274C" w:rsidP="005F274C">
      <w:pPr>
        <w:pStyle w:val="Heading2"/>
      </w:pPr>
      <w:bookmarkStart w:id="57" w:name="_Toc181713912"/>
      <w:r>
        <w:lastRenderedPageBreak/>
        <w:t>Distribution analysis</w:t>
      </w:r>
      <w:bookmarkEnd w:id="57"/>
    </w:p>
    <w:p w14:paraId="6A909452" w14:textId="0B4920BD" w:rsidR="00B164D4" w:rsidRDefault="00B164D4" w:rsidP="00B164D4">
      <w:pPr>
        <w:pStyle w:val="Paragraph"/>
      </w:pPr>
      <w:r>
        <w:t xml:space="preserve">Analysis of the costs and benefits indicates that the costs fall predominantly to telecommunications companies (spread between </w:t>
      </w:r>
      <w:r w:rsidR="004856DB">
        <w:t xml:space="preserve">Carriers </w:t>
      </w:r>
      <w:r>
        <w:t xml:space="preserve">and Carriage Service Providers). It is anticipated that these costs will be recouped through charges to all customers. </w:t>
      </w:r>
    </w:p>
    <w:p w14:paraId="47970C31" w14:textId="77777777" w:rsidR="00B164D4" w:rsidRDefault="00B164D4" w:rsidP="00B164D4">
      <w:pPr>
        <w:pStyle w:val="Paragraph"/>
      </w:pPr>
      <w:r>
        <w:t xml:space="preserve">The benefits of the reform will fall to customers of affected networks (both businesses and private customers), as well as the employees and customers of affected businesses. As a result, the benefits will fall broadly across the community and will not be restricted to the direct customers of each network affected by an outage.  </w:t>
      </w:r>
    </w:p>
    <w:p w14:paraId="08BB9E0E" w14:textId="77777777" w:rsidR="00B164D4" w:rsidRPr="00BC2759" w:rsidRDefault="00B164D4" w:rsidP="00B164D4">
      <w:pPr>
        <w:pStyle w:val="Heading2"/>
      </w:pPr>
      <w:bookmarkStart w:id="58" w:name="_Toc180405682"/>
      <w:bookmarkStart w:id="59" w:name="_Toc181713913"/>
      <w:r w:rsidRPr="00BC2759">
        <w:t>Sensitivity analysis</w:t>
      </w:r>
      <w:bookmarkEnd w:id="58"/>
      <w:bookmarkEnd w:id="59"/>
    </w:p>
    <w:p w14:paraId="20AB21EE" w14:textId="77777777" w:rsidR="00B164D4" w:rsidRDefault="00B164D4" w:rsidP="00B164D4">
      <w:pPr>
        <w:pStyle w:val="Paragraph"/>
      </w:pPr>
      <w:r w:rsidRPr="00BC2759">
        <w:t xml:space="preserve">The impact of altering the discount rate is set out in Table </w:t>
      </w:r>
      <w:r>
        <w:t>13</w:t>
      </w:r>
      <w:r w:rsidRPr="00BC2759">
        <w:t xml:space="preserve"> below.</w:t>
      </w:r>
    </w:p>
    <w:p w14:paraId="60416CB1" w14:textId="77777777" w:rsidR="00B164D4" w:rsidRDefault="00B164D4" w:rsidP="00B164D4">
      <w:pPr>
        <w:pStyle w:val="Tableheading"/>
        <w:numPr>
          <w:ilvl w:val="0"/>
          <w:numId w:val="0"/>
        </w:numPr>
      </w:pPr>
      <w:r>
        <w:t>Table 13:  Sensitivity analysis of adjusting the discount rate</w:t>
      </w:r>
    </w:p>
    <w:tbl>
      <w:tblPr>
        <w:tblStyle w:val="ACMAtablestyle"/>
        <w:tblW w:w="7225" w:type="dxa"/>
        <w:tblLook w:val="04A0" w:firstRow="1" w:lastRow="0" w:firstColumn="1" w:lastColumn="0" w:noHBand="0" w:noVBand="1"/>
      </w:tblPr>
      <w:tblGrid>
        <w:gridCol w:w="1840"/>
        <w:gridCol w:w="1560"/>
        <w:gridCol w:w="1720"/>
        <w:gridCol w:w="2105"/>
      </w:tblGrid>
      <w:tr w:rsidR="00B164D4" w:rsidRPr="00260B93" w14:paraId="3E715605" w14:textId="77777777" w:rsidTr="004E0D3E">
        <w:trPr>
          <w:cnfStyle w:val="100000000000" w:firstRow="1" w:lastRow="0" w:firstColumn="0" w:lastColumn="0" w:oddVBand="0" w:evenVBand="0" w:oddHBand="0" w:evenHBand="0" w:firstRowFirstColumn="0" w:firstRowLastColumn="0" w:lastRowFirstColumn="0" w:lastRowLastColumn="0"/>
          <w:trHeight w:val="288"/>
        </w:trPr>
        <w:tc>
          <w:tcPr>
            <w:tcW w:w="1840" w:type="dxa"/>
            <w:noWrap/>
            <w:hideMark/>
          </w:tcPr>
          <w:p w14:paraId="48F3BC35" w14:textId="77777777" w:rsidR="00B164D4" w:rsidRPr="00260B93" w:rsidRDefault="00B164D4" w:rsidP="004E0D3E">
            <w:pPr>
              <w:pStyle w:val="Tableheaderrow"/>
            </w:pPr>
            <w:r>
              <w:t>Discount rate</w:t>
            </w:r>
          </w:p>
        </w:tc>
        <w:tc>
          <w:tcPr>
            <w:tcW w:w="1560" w:type="dxa"/>
            <w:noWrap/>
            <w:hideMark/>
          </w:tcPr>
          <w:p w14:paraId="49882B66" w14:textId="77777777" w:rsidR="00B164D4" w:rsidRPr="00260B93" w:rsidRDefault="00B164D4" w:rsidP="004E0D3E">
            <w:pPr>
              <w:pStyle w:val="Tableheaderrow"/>
            </w:pPr>
            <w:r w:rsidRPr="00260B93">
              <w:t>Cost</w:t>
            </w:r>
          </w:p>
        </w:tc>
        <w:tc>
          <w:tcPr>
            <w:tcW w:w="1720" w:type="dxa"/>
            <w:noWrap/>
            <w:hideMark/>
          </w:tcPr>
          <w:p w14:paraId="07F5C259" w14:textId="77777777" w:rsidR="00B164D4" w:rsidRPr="00260B93" w:rsidRDefault="00B164D4" w:rsidP="004E0D3E">
            <w:pPr>
              <w:pStyle w:val="Tableheaderrow"/>
            </w:pPr>
            <w:r w:rsidRPr="00260B93">
              <w:t>Annual benefit</w:t>
            </w:r>
          </w:p>
        </w:tc>
        <w:tc>
          <w:tcPr>
            <w:tcW w:w="2105" w:type="dxa"/>
            <w:noWrap/>
            <w:hideMark/>
          </w:tcPr>
          <w:p w14:paraId="7A2D7F16" w14:textId="77777777" w:rsidR="00B164D4" w:rsidRPr="00260B93" w:rsidRDefault="00B164D4" w:rsidP="004E0D3E">
            <w:pPr>
              <w:pStyle w:val="Tableheaderrow"/>
            </w:pPr>
            <w:r w:rsidRPr="00260B93">
              <w:t>Likel</w:t>
            </w:r>
            <w:r>
              <w:t>ihood that benefits outweigh the costs</w:t>
            </w:r>
          </w:p>
        </w:tc>
      </w:tr>
      <w:tr w:rsidR="00B164D4" w:rsidRPr="00BC6D3D" w14:paraId="406DA519" w14:textId="77777777" w:rsidTr="004E0D3E">
        <w:trPr>
          <w:cnfStyle w:val="000000100000" w:firstRow="0" w:lastRow="0" w:firstColumn="0" w:lastColumn="0" w:oddVBand="0" w:evenVBand="0" w:oddHBand="1" w:evenHBand="0" w:firstRowFirstColumn="0" w:firstRowLastColumn="0" w:lastRowFirstColumn="0" w:lastRowLastColumn="0"/>
          <w:trHeight w:val="288"/>
        </w:trPr>
        <w:tc>
          <w:tcPr>
            <w:tcW w:w="1840" w:type="dxa"/>
            <w:noWrap/>
            <w:hideMark/>
          </w:tcPr>
          <w:p w14:paraId="1CFDCE5E" w14:textId="77777777" w:rsidR="00B164D4" w:rsidRPr="00BC6D3D" w:rsidRDefault="00B164D4" w:rsidP="004E0D3E">
            <w:pPr>
              <w:pStyle w:val="TableBody"/>
            </w:pPr>
            <w:r w:rsidRPr="00BC6D3D">
              <w:t>4%</w:t>
            </w:r>
          </w:p>
        </w:tc>
        <w:tc>
          <w:tcPr>
            <w:tcW w:w="1560" w:type="dxa"/>
            <w:noWrap/>
            <w:hideMark/>
          </w:tcPr>
          <w:p w14:paraId="4FE2A9BD" w14:textId="77777777" w:rsidR="00B164D4" w:rsidRPr="00BC6D3D" w:rsidRDefault="00B164D4" w:rsidP="004E0D3E">
            <w:pPr>
              <w:pStyle w:val="TableBody"/>
            </w:pPr>
            <w:r w:rsidRPr="00BC6D3D">
              <w:t>$128,871,188</w:t>
            </w:r>
          </w:p>
        </w:tc>
        <w:tc>
          <w:tcPr>
            <w:tcW w:w="1720" w:type="dxa"/>
            <w:noWrap/>
            <w:hideMark/>
          </w:tcPr>
          <w:p w14:paraId="45969D56" w14:textId="77777777" w:rsidR="00B164D4" w:rsidRPr="00BC6D3D" w:rsidRDefault="00B164D4" w:rsidP="004E0D3E">
            <w:pPr>
              <w:pStyle w:val="TableBody"/>
            </w:pPr>
            <w:r w:rsidRPr="00BC6D3D">
              <w:t>$17,332,272</w:t>
            </w:r>
          </w:p>
        </w:tc>
        <w:tc>
          <w:tcPr>
            <w:tcW w:w="2105" w:type="dxa"/>
            <w:noWrap/>
            <w:hideMark/>
          </w:tcPr>
          <w:p w14:paraId="3E1ED8BD" w14:textId="77777777" w:rsidR="00B164D4" w:rsidRPr="00BC6D3D" w:rsidRDefault="00B164D4" w:rsidP="004E0D3E">
            <w:pPr>
              <w:pStyle w:val="TableBody"/>
            </w:pPr>
            <w:r w:rsidRPr="00BC6D3D">
              <w:t>80.80%</w:t>
            </w:r>
          </w:p>
        </w:tc>
      </w:tr>
      <w:tr w:rsidR="00B164D4" w:rsidRPr="00BC6D3D" w14:paraId="19DD56D5" w14:textId="77777777" w:rsidTr="004E0D3E">
        <w:trPr>
          <w:cnfStyle w:val="000000010000" w:firstRow="0" w:lastRow="0" w:firstColumn="0" w:lastColumn="0" w:oddVBand="0" w:evenVBand="0" w:oddHBand="0" w:evenHBand="1" w:firstRowFirstColumn="0" w:firstRowLastColumn="0" w:lastRowFirstColumn="0" w:lastRowLastColumn="0"/>
          <w:trHeight w:val="288"/>
        </w:trPr>
        <w:tc>
          <w:tcPr>
            <w:tcW w:w="1840" w:type="dxa"/>
            <w:noWrap/>
            <w:hideMark/>
          </w:tcPr>
          <w:p w14:paraId="49639323" w14:textId="77777777" w:rsidR="00B164D4" w:rsidRPr="00BC6D3D" w:rsidRDefault="00B164D4" w:rsidP="004E0D3E">
            <w:pPr>
              <w:pStyle w:val="TableBody"/>
            </w:pPr>
            <w:r w:rsidRPr="00BC6D3D">
              <w:t>7%</w:t>
            </w:r>
          </w:p>
        </w:tc>
        <w:tc>
          <w:tcPr>
            <w:tcW w:w="1560" w:type="dxa"/>
            <w:noWrap/>
            <w:hideMark/>
          </w:tcPr>
          <w:p w14:paraId="0C108481" w14:textId="77777777" w:rsidR="00B164D4" w:rsidRPr="00BC6D3D" w:rsidRDefault="00B164D4" w:rsidP="004E0D3E">
            <w:pPr>
              <w:pStyle w:val="TableBody"/>
            </w:pPr>
            <w:r w:rsidRPr="00BC6D3D">
              <w:t>$117,043,311</w:t>
            </w:r>
          </w:p>
        </w:tc>
        <w:tc>
          <w:tcPr>
            <w:tcW w:w="1720" w:type="dxa"/>
            <w:noWrap/>
            <w:hideMark/>
          </w:tcPr>
          <w:p w14:paraId="70B7F3B8" w14:textId="77777777" w:rsidR="00B164D4" w:rsidRPr="00BC6D3D" w:rsidRDefault="00B164D4" w:rsidP="004E0D3E">
            <w:pPr>
              <w:pStyle w:val="TableBody"/>
            </w:pPr>
            <w:r w:rsidRPr="00BC6D3D">
              <w:t>$17,964,565</w:t>
            </w:r>
          </w:p>
        </w:tc>
        <w:tc>
          <w:tcPr>
            <w:tcW w:w="2105" w:type="dxa"/>
            <w:noWrap/>
            <w:hideMark/>
          </w:tcPr>
          <w:p w14:paraId="5C0DD626" w14:textId="77777777" w:rsidR="00B164D4" w:rsidRPr="00BC6D3D" w:rsidRDefault="00B164D4" w:rsidP="004E0D3E">
            <w:pPr>
              <w:pStyle w:val="TableBody"/>
            </w:pPr>
            <w:r w:rsidRPr="00BC6D3D">
              <w:t>79.43%</w:t>
            </w:r>
          </w:p>
        </w:tc>
      </w:tr>
      <w:tr w:rsidR="00B164D4" w:rsidRPr="00BC6D3D" w14:paraId="0AC24E5F" w14:textId="77777777" w:rsidTr="004E0D3E">
        <w:trPr>
          <w:cnfStyle w:val="000000100000" w:firstRow="0" w:lastRow="0" w:firstColumn="0" w:lastColumn="0" w:oddVBand="0" w:evenVBand="0" w:oddHBand="1" w:evenHBand="0" w:firstRowFirstColumn="0" w:firstRowLastColumn="0" w:lastRowFirstColumn="0" w:lastRowLastColumn="0"/>
          <w:trHeight w:val="288"/>
        </w:trPr>
        <w:tc>
          <w:tcPr>
            <w:tcW w:w="1840" w:type="dxa"/>
            <w:noWrap/>
            <w:hideMark/>
          </w:tcPr>
          <w:p w14:paraId="5B58F9DA" w14:textId="77777777" w:rsidR="00B164D4" w:rsidRPr="00BC6D3D" w:rsidRDefault="00B164D4" w:rsidP="004E0D3E">
            <w:pPr>
              <w:pStyle w:val="TableBody"/>
            </w:pPr>
            <w:r w:rsidRPr="00BC6D3D">
              <w:t>10%</w:t>
            </w:r>
          </w:p>
        </w:tc>
        <w:tc>
          <w:tcPr>
            <w:tcW w:w="1560" w:type="dxa"/>
            <w:noWrap/>
            <w:hideMark/>
          </w:tcPr>
          <w:p w14:paraId="7F75FD2E" w14:textId="77777777" w:rsidR="00B164D4" w:rsidRPr="00BC6D3D" w:rsidRDefault="00B164D4" w:rsidP="004E0D3E">
            <w:pPr>
              <w:pStyle w:val="TableBody"/>
            </w:pPr>
            <w:r w:rsidRPr="00BC6D3D">
              <w:t>$107,322,251</w:t>
            </w:r>
          </w:p>
        </w:tc>
        <w:tc>
          <w:tcPr>
            <w:tcW w:w="1720" w:type="dxa"/>
            <w:noWrap/>
            <w:hideMark/>
          </w:tcPr>
          <w:p w14:paraId="6C7EB782" w14:textId="77777777" w:rsidR="00B164D4" w:rsidRPr="00BC6D3D" w:rsidRDefault="00B164D4" w:rsidP="004E0D3E">
            <w:pPr>
              <w:pStyle w:val="TableBody"/>
            </w:pPr>
            <w:r w:rsidRPr="00BC6D3D">
              <w:t>$18,635,494</w:t>
            </w:r>
          </w:p>
        </w:tc>
        <w:tc>
          <w:tcPr>
            <w:tcW w:w="2105" w:type="dxa"/>
            <w:noWrap/>
            <w:hideMark/>
          </w:tcPr>
          <w:p w14:paraId="5452E259" w14:textId="77777777" w:rsidR="00B164D4" w:rsidRPr="00BC6D3D" w:rsidRDefault="00B164D4" w:rsidP="004E0D3E">
            <w:pPr>
              <w:pStyle w:val="TableBody"/>
            </w:pPr>
            <w:r w:rsidRPr="00BC6D3D">
              <w:t>77.92%</w:t>
            </w:r>
          </w:p>
        </w:tc>
      </w:tr>
    </w:tbl>
    <w:p w14:paraId="5B45446A" w14:textId="77777777" w:rsidR="00B164D4" w:rsidRDefault="00B164D4" w:rsidP="00B164D4"/>
    <w:p w14:paraId="0B5E6F4D" w14:textId="77777777" w:rsidR="00B164D4" w:rsidRDefault="00B164D4" w:rsidP="00B164D4">
      <w:pPr>
        <w:pStyle w:val="Paragraph"/>
      </w:pPr>
      <w:r>
        <w:t>Due to the form of analysis undertaken, the sensitivity analysis considered the percentage change in costs that would be required for the likelihood of benefits outweighing the costs to drop below 50%. It is calculated that the costs would need to increase by 59% above the current estimates for it to be unlikely that the benefits outweigh the costs.</w:t>
      </w:r>
    </w:p>
    <w:p w14:paraId="40E099D1" w14:textId="77777777" w:rsidR="00B164D4" w:rsidRDefault="00B164D4" w:rsidP="00B164D4">
      <w:pPr>
        <w:pStyle w:val="Paragraph"/>
      </w:pPr>
      <w:r>
        <w:t>The sensitivity analyses show that the cost benefit analysis results are not sensitive to changes in the input values or discount rates.</w:t>
      </w:r>
    </w:p>
    <w:p w14:paraId="7C063489" w14:textId="77777777" w:rsidR="005F274C" w:rsidRDefault="005F274C" w:rsidP="005F274C">
      <w:pPr>
        <w:pStyle w:val="Heading2"/>
      </w:pPr>
      <w:bookmarkStart w:id="60" w:name="_Toc180405684"/>
      <w:bookmarkStart w:id="61" w:name="_Toc181713914"/>
      <w:r>
        <w:t>Regulatory burden analysis</w:t>
      </w:r>
      <w:bookmarkEnd w:id="60"/>
      <w:bookmarkEnd w:id="61"/>
    </w:p>
    <w:p w14:paraId="151A5665" w14:textId="77777777" w:rsidR="007E2C4A" w:rsidRDefault="005F274C" w:rsidP="007E2C4A">
      <w:pPr>
        <w:pStyle w:val="Paragraph"/>
      </w:pPr>
      <w:r w:rsidRPr="58F67273">
        <w:rPr>
          <w:rFonts w:eastAsia="Arial"/>
          <w:szCs w:val="22"/>
        </w:rPr>
        <w:t>Regulatory Burden Measurement was undertaken in line with Australian Government</w:t>
      </w:r>
      <w:r>
        <w:rPr>
          <w:rFonts w:eastAsia="Arial"/>
          <w:szCs w:val="22"/>
        </w:rPr>
        <w:t xml:space="preserve"> </w:t>
      </w:r>
      <w:r w:rsidRPr="58F67273">
        <w:rPr>
          <w:rFonts w:eastAsia="Arial"/>
          <w:szCs w:val="22"/>
        </w:rPr>
        <w:t>guidance</w:t>
      </w:r>
      <w:r>
        <w:rPr>
          <w:rFonts w:eastAsia="Arial"/>
          <w:szCs w:val="22"/>
        </w:rPr>
        <w:t>.</w:t>
      </w:r>
      <w:hyperlink r:id="rId36" w:anchor="_ftn8">
        <w:r w:rsidRPr="58F67273">
          <w:rPr>
            <w:rStyle w:val="Hyperlink"/>
            <w:rFonts w:eastAsia="Arial"/>
            <w:szCs w:val="22"/>
            <w:vertAlign w:val="superscript"/>
          </w:rPr>
          <w:t>[8]</w:t>
        </w:r>
      </w:hyperlink>
      <w:r w:rsidR="007E2C4A" w:rsidRPr="58F67273">
        <w:rPr>
          <w:rFonts w:eastAsia="Arial"/>
          <w:szCs w:val="22"/>
        </w:rPr>
        <w:t xml:space="preserve"> Regulatory </w:t>
      </w:r>
      <w:r w:rsidR="007E2C4A">
        <w:rPr>
          <w:rFonts w:eastAsia="Arial"/>
          <w:szCs w:val="22"/>
        </w:rPr>
        <w:t>b</w:t>
      </w:r>
      <w:r w:rsidR="007E2C4A" w:rsidRPr="58F67273">
        <w:rPr>
          <w:rFonts w:eastAsia="Arial"/>
          <w:szCs w:val="22"/>
        </w:rPr>
        <w:t xml:space="preserve">urden identifies the average annual change in regulatory costs </w:t>
      </w:r>
      <w:r w:rsidR="007E2C4A">
        <w:rPr>
          <w:rFonts w:eastAsia="Arial"/>
          <w:szCs w:val="22"/>
        </w:rPr>
        <w:t xml:space="preserve">and </w:t>
      </w:r>
      <w:r w:rsidR="007E2C4A" w:rsidRPr="58F67273">
        <w:rPr>
          <w:rFonts w:eastAsia="Arial"/>
          <w:szCs w:val="22"/>
        </w:rPr>
        <w:t xml:space="preserve">is measured against </w:t>
      </w:r>
      <w:r w:rsidR="007E2C4A">
        <w:rPr>
          <w:rFonts w:eastAsia="Arial"/>
          <w:szCs w:val="22"/>
        </w:rPr>
        <w:t>the status quo.</w:t>
      </w:r>
    </w:p>
    <w:p w14:paraId="2E712673" w14:textId="1B959D17" w:rsidR="007E2C4A" w:rsidRDefault="007E2C4A" w:rsidP="007E2C4A">
      <w:pPr>
        <w:rPr>
          <w:rFonts w:eastAsia="Arial" w:cs="Arial"/>
          <w:sz w:val="22"/>
          <w:szCs w:val="22"/>
        </w:rPr>
      </w:pPr>
      <w:r w:rsidRPr="58F67273">
        <w:rPr>
          <w:rFonts w:eastAsia="Arial" w:cs="Arial"/>
          <w:sz w:val="22"/>
          <w:szCs w:val="22"/>
        </w:rPr>
        <w:t xml:space="preserve">Regulatory Burden Measurement utilises the same information as the cost benefit </w:t>
      </w:r>
      <w:r w:rsidR="004F4480" w:rsidRPr="58F67273">
        <w:rPr>
          <w:rFonts w:eastAsia="Arial" w:cs="Arial"/>
          <w:sz w:val="22"/>
          <w:szCs w:val="22"/>
        </w:rPr>
        <w:t>analysis</w:t>
      </w:r>
      <w:r w:rsidR="004F4480">
        <w:rPr>
          <w:rFonts w:eastAsia="Arial" w:cs="Arial"/>
          <w:sz w:val="22"/>
          <w:szCs w:val="22"/>
        </w:rPr>
        <w:t xml:space="preserve"> but</w:t>
      </w:r>
      <w:r w:rsidRPr="58F67273">
        <w:rPr>
          <w:rFonts w:eastAsia="Arial" w:cs="Arial"/>
          <w:sz w:val="22"/>
          <w:szCs w:val="22"/>
        </w:rPr>
        <w:t xml:space="preserve"> focusses only on the costs that fall to businesses (including government-owned corporations), community organisations and individuals.</w:t>
      </w:r>
      <w:r>
        <w:rPr>
          <w:rFonts w:eastAsia="Arial" w:cs="Arial"/>
          <w:sz w:val="22"/>
          <w:szCs w:val="22"/>
        </w:rPr>
        <w:t xml:space="preserve">  </w:t>
      </w:r>
    </w:p>
    <w:p w14:paraId="45DCE7BD" w14:textId="16E667AC" w:rsidR="005F274C" w:rsidRDefault="005F274C" w:rsidP="005F274C">
      <w:r>
        <w:rPr>
          <w:rFonts w:eastAsia="Arial" w:cs="Arial"/>
          <w:sz w:val="22"/>
          <w:szCs w:val="22"/>
        </w:rPr>
        <w:t>The costs are also treated differently</w:t>
      </w:r>
      <w:r w:rsidR="007E2C4A">
        <w:rPr>
          <w:rFonts w:eastAsia="Arial" w:cs="Arial"/>
          <w:sz w:val="22"/>
          <w:szCs w:val="22"/>
        </w:rPr>
        <w:t>,</w:t>
      </w:r>
      <w:r>
        <w:rPr>
          <w:rFonts w:eastAsia="Arial" w:cs="Arial"/>
          <w:sz w:val="22"/>
          <w:szCs w:val="22"/>
        </w:rPr>
        <w:t xml:space="preserve"> as they are not discounted and focus on the costs that are additional to “business as usual” costs. For this analysis</w:t>
      </w:r>
      <w:r w:rsidR="007E2C4A">
        <w:rPr>
          <w:rFonts w:eastAsia="Arial" w:cs="Arial"/>
          <w:sz w:val="22"/>
          <w:szCs w:val="22"/>
        </w:rPr>
        <w:t>,</w:t>
      </w:r>
      <w:r>
        <w:rPr>
          <w:rFonts w:eastAsia="Arial" w:cs="Arial"/>
          <w:sz w:val="22"/>
          <w:szCs w:val="22"/>
        </w:rPr>
        <w:t xml:space="preserve"> Option 1 (the base case) equates to the </w:t>
      </w:r>
      <w:r w:rsidR="004F4480">
        <w:rPr>
          <w:rFonts w:eastAsia="Arial" w:cs="Arial"/>
          <w:sz w:val="22"/>
          <w:szCs w:val="22"/>
        </w:rPr>
        <w:t>business-as-usual</w:t>
      </w:r>
      <w:r>
        <w:rPr>
          <w:rFonts w:eastAsia="Arial" w:cs="Arial"/>
          <w:sz w:val="22"/>
          <w:szCs w:val="22"/>
        </w:rPr>
        <w:t xml:space="preserve"> costs. The framework also excludes opportunity costs – although they do not arise in this case.</w:t>
      </w:r>
    </w:p>
    <w:p w14:paraId="46B30EF5" w14:textId="77777777" w:rsidR="005F274C" w:rsidRDefault="005F274C" w:rsidP="005F274C">
      <w:pPr>
        <w:rPr>
          <w:rFonts w:eastAsia="Arial" w:cs="Arial"/>
          <w:sz w:val="22"/>
          <w:szCs w:val="22"/>
        </w:rPr>
      </w:pPr>
      <w:r w:rsidRPr="58F67273">
        <w:rPr>
          <w:rFonts w:eastAsia="Arial" w:cs="Arial"/>
          <w:sz w:val="22"/>
          <w:szCs w:val="22"/>
        </w:rPr>
        <w:lastRenderedPageBreak/>
        <w:t xml:space="preserve">The Regulatory Burden Measurement framework includes consideration of regulatory compliance costs </w:t>
      </w:r>
      <w:r>
        <w:rPr>
          <w:rFonts w:eastAsia="Arial" w:cs="Arial"/>
          <w:sz w:val="22"/>
          <w:szCs w:val="22"/>
        </w:rPr>
        <w:t xml:space="preserve">and provides a simple average of the costs over the first 10 years of the policy intervention.  </w:t>
      </w:r>
    </w:p>
    <w:p w14:paraId="5E51A9EA" w14:textId="77777777" w:rsidR="005F274C" w:rsidRDefault="005F274C" w:rsidP="005F274C">
      <w:r>
        <w:rPr>
          <w:rFonts w:eastAsia="Arial" w:cs="Arial"/>
          <w:sz w:val="22"/>
          <w:szCs w:val="22"/>
        </w:rPr>
        <w:t xml:space="preserve">The framework identifies </w:t>
      </w:r>
      <w:r w:rsidRPr="58F67273">
        <w:rPr>
          <w:rFonts w:eastAsia="Arial" w:cs="Arial"/>
          <w:sz w:val="22"/>
          <w:szCs w:val="22"/>
        </w:rPr>
        <w:t xml:space="preserve">administrative </w:t>
      </w:r>
      <w:r>
        <w:rPr>
          <w:rFonts w:eastAsia="Arial" w:cs="Arial"/>
          <w:sz w:val="22"/>
          <w:szCs w:val="22"/>
        </w:rPr>
        <w:t xml:space="preserve">compliance </w:t>
      </w:r>
      <w:r w:rsidRPr="58F67273">
        <w:rPr>
          <w:rFonts w:eastAsia="Arial" w:cs="Arial"/>
          <w:sz w:val="22"/>
          <w:szCs w:val="22"/>
        </w:rPr>
        <w:t>costs</w:t>
      </w:r>
      <w:r>
        <w:rPr>
          <w:rFonts w:eastAsia="Arial" w:cs="Arial"/>
          <w:sz w:val="22"/>
          <w:szCs w:val="22"/>
        </w:rPr>
        <w:t xml:space="preserve">, </w:t>
      </w:r>
      <w:r w:rsidRPr="58F67273">
        <w:rPr>
          <w:rFonts w:eastAsia="Arial" w:cs="Arial"/>
          <w:sz w:val="22"/>
          <w:szCs w:val="22"/>
        </w:rPr>
        <w:t>substantive compliance costs</w:t>
      </w:r>
      <w:r>
        <w:rPr>
          <w:rFonts w:eastAsia="Arial" w:cs="Arial"/>
          <w:sz w:val="22"/>
          <w:szCs w:val="22"/>
        </w:rPr>
        <w:t xml:space="preserve"> and also delay costs – although delay costs do not arise in this case.</w:t>
      </w:r>
    </w:p>
    <w:p w14:paraId="7DF058D6" w14:textId="77777777" w:rsidR="007E2C4A" w:rsidRPr="004F1E62" w:rsidRDefault="007E2C4A" w:rsidP="007E2C4A">
      <w:pPr>
        <w:keepNext/>
        <w:keepLines/>
        <w:spacing w:after="0"/>
        <w:rPr>
          <w:rFonts w:eastAsia="Arial" w:cs="Arial"/>
          <w:b/>
          <w:bCs/>
          <w:color w:val="323232"/>
          <w:szCs w:val="20"/>
        </w:rPr>
      </w:pPr>
      <w:r>
        <w:rPr>
          <w:rFonts w:eastAsia="Arial" w:cs="Arial"/>
          <w:b/>
          <w:bCs/>
          <w:color w:val="323232"/>
          <w:szCs w:val="20"/>
        </w:rPr>
        <w:t xml:space="preserve">Table 14: </w:t>
      </w:r>
      <w:r w:rsidRPr="004F1E62">
        <w:rPr>
          <w:rFonts w:eastAsia="Arial" w:cs="Arial"/>
          <w:b/>
          <w:bCs/>
          <w:color w:val="323232"/>
          <w:szCs w:val="20"/>
        </w:rPr>
        <w:t xml:space="preserve">Average annual regulatory costs </w:t>
      </w:r>
      <w:r>
        <w:rPr>
          <w:rFonts w:eastAsia="Arial" w:cs="Arial"/>
          <w:b/>
          <w:bCs/>
          <w:color w:val="323232"/>
          <w:szCs w:val="20"/>
        </w:rPr>
        <w:t xml:space="preserve">of option 2 </w:t>
      </w:r>
      <w:r w:rsidRPr="004F1E62">
        <w:rPr>
          <w:rFonts w:eastAsia="Arial" w:cs="Arial"/>
          <w:b/>
          <w:bCs/>
          <w:color w:val="323232"/>
          <w:szCs w:val="20"/>
        </w:rPr>
        <w:t>(</w:t>
      </w:r>
      <w:r>
        <w:rPr>
          <w:rFonts w:eastAsia="Arial" w:cs="Arial"/>
          <w:b/>
          <w:bCs/>
          <w:color w:val="323232"/>
          <w:szCs w:val="20"/>
        </w:rPr>
        <w:t xml:space="preserve">additional to </w:t>
      </w:r>
      <w:r w:rsidRPr="004F1E62">
        <w:rPr>
          <w:rFonts w:eastAsia="Arial" w:cs="Arial"/>
          <w:b/>
          <w:bCs/>
          <w:color w:val="323232"/>
          <w:szCs w:val="20"/>
        </w:rPr>
        <w:t xml:space="preserve">business as usual) </w:t>
      </w:r>
    </w:p>
    <w:tbl>
      <w:tblPr>
        <w:tblStyle w:val="TableGrid"/>
        <w:tblW w:w="0" w:type="auto"/>
        <w:tblLayout w:type="fixed"/>
        <w:tblLook w:val="04A0" w:firstRow="1" w:lastRow="0" w:firstColumn="1" w:lastColumn="0" w:noHBand="0" w:noVBand="1"/>
      </w:tblPr>
      <w:tblGrid>
        <w:gridCol w:w="2137"/>
        <w:gridCol w:w="1573"/>
        <w:gridCol w:w="2072"/>
        <w:gridCol w:w="1573"/>
        <w:gridCol w:w="1705"/>
      </w:tblGrid>
      <w:tr w:rsidR="007E2C4A" w14:paraId="5FE3E5B5" w14:textId="77777777" w:rsidTr="004E0D3E">
        <w:trPr>
          <w:trHeight w:val="300"/>
        </w:trPr>
        <w:tc>
          <w:tcPr>
            <w:tcW w:w="2137" w:type="dxa"/>
            <w:tcBorders>
              <w:top w:val="single" w:sz="8" w:space="0" w:color="auto"/>
              <w:left w:val="nil"/>
              <w:bottom w:val="single" w:sz="8" w:space="0" w:color="auto"/>
              <w:right w:val="nil"/>
            </w:tcBorders>
            <w:tcMar>
              <w:left w:w="108" w:type="dxa"/>
              <w:right w:w="108" w:type="dxa"/>
            </w:tcMar>
          </w:tcPr>
          <w:p w14:paraId="088CF9FD" w14:textId="77777777" w:rsidR="007E2C4A" w:rsidRDefault="007E2C4A" w:rsidP="004E0D3E">
            <w:pPr>
              <w:keepNext/>
              <w:keepLines/>
              <w:spacing w:before="60" w:after="0"/>
            </w:pPr>
            <w:r w:rsidRPr="58F67273">
              <w:rPr>
                <w:rFonts w:eastAsia="Arial" w:cs="Arial"/>
                <w:b/>
                <w:bCs/>
                <w:szCs w:val="20"/>
              </w:rPr>
              <w:t xml:space="preserve">Change in costs </w:t>
            </w:r>
            <w:r>
              <w:rPr>
                <w:rFonts w:eastAsia="Arial" w:cs="Arial"/>
                <w:b/>
                <w:bCs/>
                <w:szCs w:val="20"/>
              </w:rPr>
              <w:br/>
            </w:r>
            <w:r w:rsidRPr="58F67273">
              <w:rPr>
                <w:rFonts w:eastAsia="Arial" w:cs="Arial"/>
                <w:b/>
                <w:bCs/>
                <w:szCs w:val="20"/>
              </w:rPr>
              <w:t>($ million)</w:t>
            </w:r>
          </w:p>
        </w:tc>
        <w:tc>
          <w:tcPr>
            <w:tcW w:w="1573" w:type="dxa"/>
            <w:tcBorders>
              <w:top w:val="single" w:sz="8" w:space="0" w:color="auto"/>
              <w:left w:val="nil"/>
              <w:bottom w:val="single" w:sz="8" w:space="0" w:color="auto"/>
              <w:right w:val="nil"/>
            </w:tcBorders>
            <w:tcMar>
              <w:left w:w="108" w:type="dxa"/>
              <w:right w:w="108" w:type="dxa"/>
            </w:tcMar>
          </w:tcPr>
          <w:p w14:paraId="235F1649" w14:textId="77777777" w:rsidR="007E2C4A" w:rsidRDefault="007E2C4A" w:rsidP="004E0D3E">
            <w:pPr>
              <w:keepNext/>
              <w:keepLines/>
              <w:spacing w:before="60" w:after="0"/>
            </w:pPr>
            <w:r w:rsidRPr="58F67273">
              <w:rPr>
                <w:rFonts w:eastAsia="Arial" w:cs="Arial"/>
                <w:b/>
                <w:bCs/>
                <w:szCs w:val="20"/>
              </w:rPr>
              <w:t>Business</w:t>
            </w:r>
          </w:p>
        </w:tc>
        <w:tc>
          <w:tcPr>
            <w:tcW w:w="2072" w:type="dxa"/>
            <w:tcBorders>
              <w:top w:val="single" w:sz="8" w:space="0" w:color="auto"/>
              <w:left w:val="nil"/>
              <w:bottom w:val="single" w:sz="8" w:space="0" w:color="auto"/>
              <w:right w:val="nil"/>
            </w:tcBorders>
            <w:tcMar>
              <w:left w:w="108" w:type="dxa"/>
              <w:right w:w="108" w:type="dxa"/>
            </w:tcMar>
          </w:tcPr>
          <w:p w14:paraId="11E6AAEA" w14:textId="77777777" w:rsidR="007E2C4A" w:rsidRDefault="007E2C4A" w:rsidP="004E0D3E">
            <w:pPr>
              <w:keepNext/>
              <w:keepLines/>
              <w:spacing w:before="60" w:after="0"/>
            </w:pPr>
            <w:r w:rsidRPr="58F67273">
              <w:rPr>
                <w:rFonts w:eastAsia="Arial" w:cs="Arial"/>
                <w:b/>
                <w:bCs/>
                <w:szCs w:val="20"/>
              </w:rPr>
              <w:t>Community organisations</w:t>
            </w:r>
          </w:p>
        </w:tc>
        <w:tc>
          <w:tcPr>
            <w:tcW w:w="1573" w:type="dxa"/>
            <w:tcBorders>
              <w:top w:val="single" w:sz="8" w:space="0" w:color="auto"/>
              <w:left w:val="nil"/>
              <w:bottom w:val="single" w:sz="8" w:space="0" w:color="auto"/>
              <w:right w:val="nil"/>
            </w:tcBorders>
            <w:tcMar>
              <w:left w:w="108" w:type="dxa"/>
              <w:right w:w="108" w:type="dxa"/>
            </w:tcMar>
          </w:tcPr>
          <w:p w14:paraId="593795EB" w14:textId="77777777" w:rsidR="007E2C4A" w:rsidRDefault="007E2C4A" w:rsidP="004E0D3E">
            <w:pPr>
              <w:keepNext/>
              <w:keepLines/>
              <w:spacing w:before="60" w:after="0"/>
            </w:pPr>
            <w:r w:rsidRPr="58F67273">
              <w:rPr>
                <w:rFonts w:eastAsia="Arial" w:cs="Arial"/>
                <w:b/>
                <w:bCs/>
                <w:szCs w:val="20"/>
              </w:rPr>
              <w:t>Individuals</w:t>
            </w:r>
          </w:p>
        </w:tc>
        <w:tc>
          <w:tcPr>
            <w:tcW w:w="1705" w:type="dxa"/>
            <w:tcBorders>
              <w:top w:val="single" w:sz="8" w:space="0" w:color="auto"/>
              <w:left w:val="nil"/>
              <w:bottom w:val="single" w:sz="8" w:space="0" w:color="auto"/>
              <w:right w:val="nil"/>
            </w:tcBorders>
            <w:tcMar>
              <w:left w:w="108" w:type="dxa"/>
              <w:right w:w="108" w:type="dxa"/>
            </w:tcMar>
          </w:tcPr>
          <w:p w14:paraId="447F3A14" w14:textId="77777777" w:rsidR="007E2C4A" w:rsidRDefault="007E2C4A" w:rsidP="004E0D3E">
            <w:pPr>
              <w:keepNext/>
              <w:keepLines/>
              <w:spacing w:before="60" w:after="0"/>
            </w:pPr>
            <w:r w:rsidRPr="58F67273">
              <w:rPr>
                <w:rFonts w:eastAsia="Arial" w:cs="Arial"/>
                <w:b/>
                <w:bCs/>
                <w:szCs w:val="20"/>
              </w:rPr>
              <w:t>Total change in costs</w:t>
            </w:r>
          </w:p>
        </w:tc>
      </w:tr>
      <w:tr w:rsidR="007E2C4A" w14:paraId="434BE2C3" w14:textId="77777777" w:rsidTr="004E0D3E">
        <w:trPr>
          <w:trHeight w:val="300"/>
        </w:trPr>
        <w:tc>
          <w:tcPr>
            <w:tcW w:w="2137" w:type="dxa"/>
            <w:tcBorders>
              <w:top w:val="single" w:sz="8" w:space="0" w:color="auto"/>
              <w:left w:val="nil"/>
              <w:bottom w:val="single" w:sz="8" w:space="0" w:color="auto"/>
              <w:right w:val="nil"/>
            </w:tcBorders>
            <w:tcMar>
              <w:left w:w="108" w:type="dxa"/>
              <w:right w:w="108" w:type="dxa"/>
            </w:tcMar>
          </w:tcPr>
          <w:p w14:paraId="44F045CB" w14:textId="77777777" w:rsidR="007E2C4A" w:rsidRDefault="007E2C4A" w:rsidP="004E0D3E">
            <w:pPr>
              <w:spacing w:before="60" w:after="0"/>
            </w:pPr>
            <w:r w:rsidRPr="58F67273">
              <w:rPr>
                <w:rFonts w:eastAsia="Arial" w:cs="Arial"/>
                <w:szCs w:val="20"/>
              </w:rPr>
              <w:t xml:space="preserve">Option 2 </w:t>
            </w:r>
          </w:p>
        </w:tc>
        <w:tc>
          <w:tcPr>
            <w:tcW w:w="1573" w:type="dxa"/>
            <w:tcBorders>
              <w:top w:val="single" w:sz="8" w:space="0" w:color="auto"/>
              <w:left w:val="nil"/>
              <w:bottom w:val="single" w:sz="8" w:space="0" w:color="auto"/>
              <w:right w:val="nil"/>
            </w:tcBorders>
            <w:tcMar>
              <w:left w:w="108" w:type="dxa"/>
              <w:right w:w="108" w:type="dxa"/>
            </w:tcMar>
            <w:vAlign w:val="bottom"/>
          </w:tcPr>
          <w:p w14:paraId="50B24BF2" w14:textId="77777777" w:rsidR="007E2C4A" w:rsidRPr="00407311" w:rsidRDefault="007E2C4A" w:rsidP="004E0D3E">
            <w:pPr>
              <w:spacing w:after="0" w:line="240" w:lineRule="auto"/>
              <w:rPr>
                <w:rFonts w:ascii="Aptos Narrow" w:hAnsi="Aptos Narrow"/>
                <w:color w:val="000000"/>
                <w:sz w:val="22"/>
                <w:szCs w:val="22"/>
              </w:rPr>
            </w:pPr>
            <w:r>
              <w:rPr>
                <w:rFonts w:ascii="Aptos Narrow" w:hAnsi="Aptos Narrow"/>
                <w:color w:val="000000"/>
                <w:sz w:val="22"/>
                <w:szCs w:val="22"/>
              </w:rPr>
              <w:t>$14.78</w:t>
            </w:r>
          </w:p>
        </w:tc>
        <w:tc>
          <w:tcPr>
            <w:tcW w:w="2072" w:type="dxa"/>
            <w:tcBorders>
              <w:top w:val="single" w:sz="8" w:space="0" w:color="auto"/>
              <w:left w:val="nil"/>
              <w:bottom w:val="single" w:sz="8" w:space="0" w:color="auto"/>
              <w:right w:val="nil"/>
            </w:tcBorders>
            <w:tcMar>
              <w:left w:w="108" w:type="dxa"/>
              <w:right w:w="108" w:type="dxa"/>
            </w:tcMar>
            <w:vAlign w:val="bottom"/>
          </w:tcPr>
          <w:p w14:paraId="63185C87" w14:textId="77777777" w:rsidR="007E2C4A" w:rsidRDefault="007E2C4A" w:rsidP="004E0D3E">
            <w:pPr>
              <w:spacing w:before="60" w:after="0"/>
            </w:pPr>
            <w:r>
              <w:t>$0</w:t>
            </w:r>
          </w:p>
        </w:tc>
        <w:tc>
          <w:tcPr>
            <w:tcW w:w="1573" w:type="dxa"/>
            <w:tcBorders>
              <w:top w:val="single" w:sz="8" w:space="0" w:color="auto"/>
              <w:left w:val="nil"/>
              <w:bottom w:val="single" w:sz="8" w:space="0" w:color="auto"/>
              <w:right w:val="nil"/>
            </w:tcBorders>
            <w:tcMar>
              <w:left w:w="108" w:type="dxa"/>
              <w:right w:w="108" w:type="dxa"/>
            </w:tcMar>
            <w:vAlign w:val="bottom"/>
          </w:tcPr>
          <w:p w14:paraId="38A28A2D" w14:textId="77777777" w:rsidR="007E2C4A" w:rsidRDefault="007E2C4A" w:rsidP="004E0D3E">
            <w:pPr>
              <w:spacing w:before="60" w:after="0"/>
            </w:pPr>
            <w:r>
              <w:t>$0</w:t>
            </w:r>
          </w:p>
        </w:tc>
        <w:tc>
          <w:tcPr>
            <w:tcW w:w="1705" w:type="dxa"/>
            <w:tcBorders>
              <w:top w:val="single" w:sz="8" w:space="0" w:color="auto"/>
              <w:left w:val="nil"/>
              <w:bottom w:val="single" w:sz="8" w:space="0" w:color="auto"/>
              <w:right w:val="nil"/>
            </w:tcBorders>
            <w:tcMar>
              <w:left w:w="108" w:type="dxa"/>
              <w:right w:w="108" w:type="dxa"/>
            </w:tcMar>
            <w:vAlign w:val="bottom"/>
          </w:tcPr>
          <w:p w14:paraId="4E9B9FBD" w14:textId="77777777" w:rsidR="007E2C4A" w:rsidRDefault="007E2C4A" w:rsidP="004E0D3E">
            <w:pPr>
              <w:spacing w:before="60" w:after="0"/>
            </w:pPr>
            <w:r>
              <w:rPr>
                <w:rFonts w:ascii="Aptos Narrow" w:hAnsi="Aptos Narrow"/>
                <w:color w:val="000000"/>
                <w:sz w:val="22"/>
                <w:szCs w:val="22"/>
              </w:rPr>
              <w:t>$14.78</w:t>
            </w:r>
          </w:p>
        </w:tc>
      </w:tr>
    </w:tbl>
    <w:p w14:paraId="51472928" w14:textId="77777777" w:rsidR="007E2C4A" w:rsidRDefault="007E2C4A" w:rsidP="007E2C4A">
      <w:pPr>
        <w:spacing w:after="0"/>
      </w:pPr>
    </w:p>
    <w:p w14:paraId="1E54169E" w14:textId="0F79B460" w:rsidR="00B164D4" w:rsidRDefault="007E2C4A" w:rsidP="007E2C4A">
      <w:pPr>
        <w:pStyle w:val="Paragraph"/>
      </w:pPr>
      <w:r>
        <w:t>The average annual impact of $</w:t>
      </w:r>
      <w:r w:rsidRPr="00407311">
        <w:t>14.78</w:t>
      </w:r>
      <w:r>
        <w:t xml:space="preserve"> million for business arises from substantive compliance costs that fall to Carriage Service Providers and </w:t>
      </w:r>
      <w:r w:rsidR="00710883">
        <w:t>Carriers.</w:t>
      </w:r>
    </w:p>
    <w:p w14:paraId="6FF41958" w14:textId="3B8CEDB4" w:rsidR="008E3AC8" w:rsidRDefault="008E3AC8" w:rsidP="004D382D">
      <w:pPr>
        <w:pStyle w:val="Heading1"/>
      </w:pPr>
      <w:bookmarkStart w:id="62" w:name="_Toc181713915"/>
      <w:r>
        <w:lastRenderedPageBreak/>
        <w:t>Who was consulted and what did they say?</w:t>
      </w:r>
      <w:bookmarkEnd w:id="62"/>
    </w:p>
    <w:p w14:paraId="5EB5F874" w14:textId="77777777" w:rsidR="005300D3" w:rsidRPr="004C7627" w:rsidRDefault="005300D3" w:rsidP="005300D3">
      <w:pPr>
        <w:spacing w:after="0" w:line="240" w:lineRule="auto"/>
        <w:rPr>
          <w:b/>
          <w:bCs/>
          <w:sz w:val="22"/>
          <w:szCs w:val="22"/>
        </w:rPr>
      </w:pPr>
      <w:r w:rsidRPr="004C7627">
        <w:rPr>
          <w:b/>
          <w:bCs/>
          <w:sz w:val="22"/>
          <w:szCs w:val="22"/>
        </w:rPr>
        <w:t>Consultation on draft standard</w:t>
      </w:r>
    </w:p>
    <w:p w14:paraId="3421A993" w14:textId="77777777" w:rsidR="005300D3" w:rsidRDefault="005300D3" w:rsidP="00EA76BF">
      <w:pPr>
        <w:spacing w:after="0" w:line="240" w:lineRule="auto"/>
        <w:rPr>
          <w:sz w:val="22"/>
          <w:szCs w:val="22"/>
        </w:rPr>
      </w:pPr>
    </w:p>
    <w:p w14:paraId="04061EF5" w14:textId="2023F97E" w:rsidR="006730FF" w:rsidRDefault="003942A7" w:rsidP="00EA76BF">
      <w:pPr>
        <w:spacing w:after="0" w:line="240" w:lineRule="auto"/>
        <w:rPr>
          <w:sz w:val="22"/>
          <w:szCs w:val="22"/>
        </w:rPr>
      </w:pPr>
      <w:r>
        <w:rPr>
          <w:sz w:val="22"/>
          <w:szCs w:val="22"/>
        </w:rPr>
        <w:t>The ACMA conducted a full public consultation on the draft industry standar</w:t>
      </w:r>
      <w:r w:rsidR="00EA76BF">
        <w:rPr>
          <w:sz w:val="22"/>
          <w:szCs w:val="22"/>
        </w:rPr>
        <w:t xml:space="preserve">d and </w:t>
      </w:r>
      <w:r w:rsidR="006730FF" w:rsidRPr="00322F42">
        <w:rPr>
          <w:sz w:val="22"/>
          <w:szCs w:val="22"/>
        </w:rPr>
        <w:t>c</w:t>
      </w:r>
      <w:r w:rsidR="006730FF">
        <w:rPr>
          <w:sz w:val="22"/>
          <w:szCs w:val="22"/>
        </w:rPr>
        <w:t>omplied</w:t>
      </w:r>
      <w:r w:rsidR="006730FF" w:rsidRPr="00322F42">
        <w:rPr>
          <w:sz w:val="22"/>
          <w:szCs w:val="22"/>
        </w:rPr>
        <w:t xml:space="preserve"> with statutory consultation obligations outlined in subsection 125AA</w:t>
      </w:r>
      <w:r w:rsidR="004F4480">
        <w:rPr>
          <w:sz w:val="22"/>
          <w:szCs w:val="22"/>
        </w:rPr>
        <w:t xml:space="preserve"> </w:t>
      </w:r>
      <w:r w:rsidR="006730FF" w:rsidRPr="00322F42">
        <w:rPr>
          <w:sz w:val="22"/>
          <w:szCs w:val="22"/>
        </w:rPr>
        <w:t xml:space="preserve">(3) and sections 132-135 of the </w:t>
      </w:r>
      <w:r w:rsidR="006730FF">
        <w:rPr>
          <w:sz w:val="22"/>
          <w:szCs w:val="22"/>
        </w:rPr>
        <w:t xml:space="preserve">Telco </w:t>
      </w:r>
      <w:r w:rsidR="006730FF" w:rsidRPr="00322F42">
        <w:rPr>
          <w:sz w:val="22"/>
          <w:szCs w:val="22"/>
        </w:rPr>
        <w:t>Act through:</w:t>
      </w:r>
    </w:p>
    <w:p w14:paraId="2E24F747" w14:textId="77777777" w:rsidR="00036A47" w:rsidRPr="00322F42" w:rsidRDefault="00036A47" w:rsidP="00EA76BF">
      <w:pPr>
        <w:spacing w:after="0" w:line="240" w:lineRule="auto"/>
        <w:rPr>
          <w:sz w:val="22"/>
          <w:szCs w:val="22"/>
        </w:rPr>
      </w:pPr>
    </w:p>
    <w:p w14:paraId="79DE3F78" w14:textId="16D57266" w:rsidR="006730FF" w:rsidRPr="00322F42" w:rsidRDefault="006730FF" w:rsidP="004C7627">
      <w:pPr>
        <w:pStyle w:val="ListParagraph"/>
        <w:numPr>
          <w:ilvl w:val="0"/>
          <w:numId w:val="47"/>
        </w:numPr>
        <w:rPr>
          <w:rFonts w:cs="Arial"/>
          <w:sz w:val="22"/>
          <w:szCs w:val="22"/>
        </w:rPr>
      </w:pPr>
      <w:r w:rsidRPr="00322F42">
        <w:rPr>
          <w:rFonts w:cs="Arial"/>
          <w:sz w:val="22"/>
          <w:szCs w:val="22"/>
        </w:rPr>
        <w:t xml:space="preserve">a public notice published in a national newspaper </w:t>
      </w:r>
      <w:r>
        <w:rPr>
          <w:rFonts w:cs="Arial"/>
          <w:sz w:val="22"/>
          <w:szCs w:val="22"/>
        </w:rPr>
        <w:t xml:space="preserve">(The Australian published </w:t>
      </w:r>
      <w:r w:rsidR="00AE056F">
        <w:rPr>
          <w:rFonts w:cs="Arial"/>
          <w:sz w:val="22"/>
          <w:szCs w:val="22"/>
        </w:rPr>
        <w:t>19 September 2024)</w:t>
      </w:r>
    </w:p>
    <w:p w14:paraId="5E35CDB6" w14:textId="3C19A747" w:rsidR="006730FF" w:rsidRDefault="006730FF" w:rsidP="004C7627">
      <w:pPr>
        <w:pStyle w:val="ListParagraph"/>
        <w:numPr>
          <w:ilvl w:val="0"/>
          <w:numId w:val="47"/>
        </w:numPr>
        <w:rPr>
          <w:rFonts w:cs="Arial"/>
          <w:sz w:val="22"/>
          <w:szCs w:val="22"/>
        </w:rPr>
      </w:pPr>
      <w:r w:rsidRPr="00322F42">
        <w:rPr>
          <w:rFonts w:cs="Arial"/>
          <w:sz w:val="22"/>
          <w:szCs w:val="22"/>
        </w:rPr>
        <w:t>public consultation for a period of 30 days</w:t>
      </w:r>
      <w:r w:rsidR="00AE056F">
        <w:rPr>
          <w:rFonts w:cs="Arial"/>
          <w:sz w:val="22"/>
          <w:szCs w:val="22"/>
        </w:rPr>
        <w:t xml:space="preserve"> </w:t>
      </w:r>
      <w:r w:rsidR="00356F00">
        <w:rPr>
          <w:rFonts w:cs="Arial"/>
          <w:sz w:val="22"/>
          <w:szCs w:val="22"/>
        </w:rPr>
        <w:t>(from 17 September 2024 through to close at 5pm on Sunday 20 October).</w:t>
      </w:r>
    </w:p>
    <w:p w14:paraId="0B695377" w14:textId="77777777" w:rsidR="006E50BC" w:rsidRDefault="006730FF" w:rsidP="00A85081">
      <w:pPr>
        <w:pStyle w:val="ListParagraph"/>
        <w:numPr>
          <w:ilvl w:val="0"/>
          <w:numId w:val="47"/>
        </w:numPr>
        <w:rPr>
          <w:rFonts w:cs="Arial"/>
          <w:sz w:val="22"/>
          <w:szCs w:val="22"/>
        </w:rPr>
      </w:pPr>
      <w:r w:rsidRPr="00A85081">
        <w:rPr>
          <w:rFonts w:cs="Arial"/>
          <w:sz w:val="22"/>
          <w:szCs w:val="22"/>
        </w:rPr>
        <w:t>consultation with the ACCC, TIO, Office of the Australian Information Commissioner, telecommunications industry bodies, Communications Alliance, and consumer bodies including ACCAN.</w:t>
      </w:r>
      <w:r w:rsidR="00A85081" w:rsidRPr="00A85081">
        <w:rPr>
          <w:rFonts w:cs="Arial"/>
          <w:sz w:val="22"/>
          <w:szCs w:val="22"/>
        </w:rPr>
        <w:t xml:space="preserve"> </w:t>
      </w:r>
    </w:p>
    <w:p w14:paraId="35591E88" w14:textId="4534889A" w:rsidR="008B227F" w:rsidRPr="006E50BC" w:rsidRDefault="00C33AD6" w:rsidP="006E50BC">
      <w:pPr>
        <w:rPr>
          <w:rStyle w:val="normaltextrun"/>
          <w:rFonts w:ascii="Arial" w:eastAsia="Times New Roman" w:hAnsi="Arial" w:cs="Arial"/>
        </w:rPr>
      </w:pPr>
      <w:r w:rsidRPr="006E50BC">
        <w:rPr>
          <w:sz w:val="22"/>
          <w:szCs w:val="22"/>
        </w:rPr>
        <w:t xml:space="preserve">The public consultation paper included </w:t>
      </w:r>
      <w:r w:rsidR="00014D10" w:rsidRPr="006E50BC">
        <w:rPr>
          <w:sz w:val="22"/>
          <w:szCs w:val="22"/>
        </w:rPr>
        <w:t xml:space="preserve">targeted questions </w:t>
      </w:r>
      <w:r w:rsidR="008B227F" w:rsidRPr="004C7627">
        <w:t xml:space="preserve">to help </w:t>
      </w:r>
      <w:r w:rsidR="008B227F" w:rsidRPr="006E50BC">
        <w:rPr>
          <w:sz w:val="22"/>
          <w:szCs w:val="22"/>
        </w:rPr>
        <w:t>inform the ACMA’s consideration of the best regulatory option and regulatory amendments to be made.</w:t>
      </w:r>
      <w:r w:rsidR="008B227F" w:rsidRPr="006E50BC">
        <w:rPr>
          <w:rStyle w:val="normaltextrun"/>
          <w:rFonts w:eastAsia="Arial" w:cs="Arial"/>
          <w:color w:val="000000" w:themeColor="text2"/>
        </w:rPr>
        <w:t xml:space="preserve"> </w:t>
      </w:r>
    </w:p>
    <w:p w14:paraId="0276A097" w14:textId="599853D5" w:rsidR="00B25C83" w:rsidRPr="006E50BC" w:rsidRDefault="00B25C83" w:rsidP="008B227F">
      <w:pPr>
        <w:spacing w:after="0" w:line="240" w:lineRule="auto"/>
      </w:pPr>
      <w:r w:rsidRPr="006E50BC">
        <w:t>The ACMA also held bilateral discussions with a number of stakeholders</w:t>
      </w:r>
      <w:r w:rsidR="001D59FE" w:rsidRPr="006E50BC">
        <w:t xml:space="preserve">. </w:t>
      </w:r>
    </w:p>
    <w:p w14:paraId="06FCA871" w14:textId="77777777" w:rsidR="001D59FE" w:rsidRPr="008B227F" w:rsidRDefault="001D59FE" w:rsidP="008B227F">
      <w:pPr>
        <w:spacing w:after="0" w:line="240" w:lineRule="auto"/>
        <w:rPr>
          <w:rStyle w:val="normaltextrun"/>
          <w:rFonts w:eastAsia="Arial" w:cs="Arial"/>
          <w:color w:val="000000" w:themeColor="text2"/>
        </w:rPr>
      </w:pPr>
    </w:p>
    <w:p w14:paraId="16417579" w14:textId="7A4E7DA9" w:rsidR="003942A7" w:rsidRPr="006B2110" w:rsidRDefault="00EC0E6D" w:rsidP="00B25065">
      <w:pPr>
        <w:pStyle w:val="ListParagraph"/>
        <w:ind w:left="0"/>
        <w:contextualSpacing w:val="0"/>
        <w:rPr>
          <w:sz w:val="22"/>
          <w:szCs w:val="22"/>
          <w:u w:val="single"/>
        </w:rPr>
      </w:pPr>
      <w:r w:rsidRPr="006B2110">
        <w:rPr>
          <w:sz w:val="22"/>
          <w:szCs w:val="22"/>
          <w:u w:val="single"/>
        </w:rPr>
        <w:t>Summary of stakeholder feedback</w:t>
      </w:r>
    </w:p>
    <w:p w14:paraId="6969DF77" w14:textId="0BCA19B2" w:rsidR="00E30DF5" w:rsidRPr="00E30DF5" w:rsidRDefault="005A220D" w:rsidP="006B2110">
      <w:pPr>
        <w:pStyle w:val="ListParagraph"/>
        <w:ind w:left="0"/>
        <w:contextualSpacing w:val="0"/>
        <w:rPr>
          <w:rStyle w:val="normaltextrun"/>
          <w:rFonts w:ascii="Arial" w:eastAsia="Arial" w:hAnsi="Arial" w:cs="Arial"/>
          <w:color w:val="000000" w:themeColor="text2"/>
        </w:rPr>
      </w:pPr>
      <w:r>
        <w:rPr>
          <w:sz w:val="22"/>
          <w:szCs w:val="22"/>
        </w:rPr>
        <w:t>The ACMA received</w:t>
      </w:r>
      <w:r w:rsidR="00344F61">
        <w:rPr>
          <w:sz w:val="22"/>
          <w:szCs w:val="22"/>
        </w:rPr>
        <w:t xml:space="preserve"> 22</w:t>
      </w:r>
      <w:r>
        <w:rPr>
          <w:sz w:val="22"/>
          <w:szCs w:val="22"/>
        </w:rPr>
        <w:t xml:space="preserve"> </w:t>
      </w:r>
      <w:r w:rsidR="00CB602A">
        <w:rPr>
          <w:sz w:val="22"/>
          <w:szCs w:val="22"/>
        </w:rPr>
        <w:t xml:space="preserve">submissions </w:t>
      </w:r>
      <w:r w:rsidR="000B0716">
        <w:rPr>
          <w:sz w:val="22"/>
          <w:szCs w:val="22"/>
        </w:rPr>
        <w:t xml:space="preserve">from consumer and industry representatives, </w:t>
      </w:r>
      <w:r w:rsidR="00BB5C64">
        <w:rPr>
          <w:sz w:val="22"/>
          <w:szCs w:val="22"/>
        </w:rPr>
        <w:t xml:space="preserve">government organisations and </w:t>
      </w:r>
      <w:r w:rsidR="00B9659A">
        <w:rPr>
          <w:sz w:val="22"/>
          <w:szCs w:val="22"/>
        </w:rPr>
        <w:t>members of the public.</w:t>
      </w:r>
      <w:r w:rsidR="00E30DF5">
        <w:rPr>
          <w:sz w:val="22"/>
          <w:szCs w:val="22"/>
        </w:rPr>
        <w:t xml:space="preserve"> </w:t>
      </w:r>
      <w:r w:rsidR="00E30DF5" w:rsidRPr="00E30DF5">
        <w:rPr>
          <w:rStyle w:val="normaltextrun"/>
          <w:rFonts w:ascii="Arial" w:eastAsia="Arial" w:hAnsi="Arial" w:cs="Arial"/>
          <w:color w:val="000000" w:themeColor="text2"/>
        </w:rPr>
        <w:t xml:space="preserve">Stakeholders included: </w:t>
      </w:r>
    </w:p>
    <w:p w14:paraId="1DAECF85" w14:textId="46C08549" w:rsidR="00E30DF5" w:rsidRDefault="00E30DF5" w:rsidP="00E30DF5">
      <w:pPr>
        <w:spacing w:after="0" w:line="240" w:lineRule="auto"/>
        <w:rPr>
          <w:rStyle w:val="normaltextrun"/>
          <w:rFonts w:ascii="Arial" w:eastAsia="Arial" w:hAnsi="Arial" w:cs="Arial"/>
          <w:color w:val="000000" w:themeColor="text2"/>
          <w:u w:val="single"/>
        </w:rPr>
      </w:pPr>
      <w:r w:rsidRPr="006B2110">
        <w:rPr>
          <w:rStyle w:val="normaltextrun"/>
          <w:rFonts w:ascii="Arial" w:eastAsia="Arial" w:hAnsi="Arial" w:cs="Arial"/>
          <w:color w:val="000000" w:themeColor="text2"/>
          <w:u w:val="single"/>
        </w:rPr>
        <w:t>Consumer</w:t>
      </w:r>
      <w:r w:rsidR="00580043">
        <w:rPr>
          <w:rStyle w:val="normaltextrun"/>
          <w:rFonts w:ascii="Arial" w:eastAsia="Arial" w:hAnsi="Arial" w:cs="Arial"/>
          <w:color w:val="000000" w:themeColor="text2"/>
          <w:u w:val="single"/>
        </w:rPr>
        <w:t>, Industry and Non-Government</w:t>
      </w:r>
    </w:p>
    <w:p w14:paraId="6FDC433D" w14:textId="77777777" w:rsidR="00952E69" w:rsidRPr="006B2110" w:rsidRDefault="00952E69" w:rsidP="00E30DF5">
      <w:pPr>
        <w:spacing w:after="0" w:line="240" w:lineRule="auto"/>
        <w:rPr>
          <w:rStyle w:val="normaltextrun"/>
          <w:rFonts w:ascii="Arial" w:eastAsia="Arial" w:hAnsi="Arial" w:cs="Arial"/>
          <w:color w:val="000000" w:themeColor="text2"/>
          <w:u w:val="single"/>
        </w:rPr>
      </w:pPr>
    </w:p>
    <w:p w14:paraId="565BDB63" w14:textId="77777777" w:rsidR="00E30DF5" w:rsidRDefault="00E30DF5" w:rsidP="004C7627">
      <w:pPr>
        <w:pStyle w:val="ListParagraph"/>
        <w:numPr>
          <w:ilvl w:val="0"/>
          <w:numId w:val="47"/>
        </w:numPr>
        <w:rPr>
          <w:rFonts w:cs="Arial"/>
          <w:sz w:val="22"/>
          <w:szCs w:val="22"/>
        </w:rPr>
      </w:pPr>
      <w:r w:rsidRPr="00E30DF5">
        <w:rPr>
          <w:rFonts w:cs="Arial"/>
          <w:sz w:val="22"/>
          <w:szCs w:val="22"/>
        </w:rPr>
        <w:t>Australian Communications Consumer Action Network (ACCAN)</w:t>
      </w:r>
    </w:p>
    <w:p w14:paraId="148AFBED" w14:textId="081BE46F" w:rsidR="00121550" w:rsidRDefault="00121550" w:rsidP="004C7627">
      <w:pPr>
        <w:pStyle w:val="ListParagraph"/>
        <w:numPr>
          <w:ilvl w:val="0"/>
          <w:numId w:val="47"/>
        </w:numPr>
        <w:rPr>
          <w:rFonts w:cs="Arial"/>
          <w:sz w:val="22"/>
          <w:szCs w:val="22"/>
        </w:rPr>
      </w:pPr>
      <w:r>
        <w:rPr>
          <w:rFonts w:cs="Arial"/>
          <w:sz w:val="22"/>
          <w:szCs w:val="22"/>
        </w:rPr>
        <w:t>Financial Counselling Victoria</w:t>
      </w:r>
    </w:p>
    <w:p w14:paraId="5D9D7626" w14:textId="68D02CE9" w:rsidR="00121550" w:rsidRDefault="007A188A" w:rsidP="004C7627">
      <w:pPr>
        <w:pStyle w:val="ListParagraph"/>
        <w:numPr>
          <w:ilvl w:val="0"/>
          <w:numId w:val="47"/>
        </w:numPr>
        <w:rPr>
          <w:rFonts w:cs="Arial"/>
          <w:sz w:val="22"/>
          <w:szCs w:val="22"/>
        </w:rPr>
      </w:pPr>
      <w:r>
        <w:rPr>
          <w:rFonts w:cs="Arial"/>
          <w:sz w:val="22"/>
          <w:szCs w:val="22"/>
        </w:rPr>
        <w:t>Internet Association of Australia</w:t>
      </w:r>
    </w:p>
    <w:p w14:paraId="07AE5AAB" w14:textId="728B4202" w:rsidR="00176672" w:rsidRPr="00FF0CFF" w:rsidRDefault="00176672" w:rsidP="004C7627">
      <w:pPr>
        <w:pStyle w:val="ListParagraph"/>
        <w:numPr>
          <w:ilvl w:val="0"/>
          <w:numId w:val="47"/>
        </w:numPr>
        <w:rPr>
          <w:rFonts w:cs="Arial"/>
          <w:sz w:val="22"/>
          <w:szCs w:val="22"/>
        </w:rPr>
      </w:pPr>
      <w:r>
        <w:rPr>
          <w:rFonts w:cs="Arial"/>
          <w:sz w:val="22"/>
          <w:szCs w:val="22"/>
        </w:rPr>
        <w:t>Three members of the public</w:t>
      </w:r>
    </w:p>
    <w:p w14:paraId="1CFC360A" w14:textId="77777777" w:rsidR="00E30DF5" w:rsidRDefault="00E30DF5" w:rsidP="00E30DF5">
      <w:pPr>
        <w:spacing w:after="0" w:line="240" w:lineRule="auto"/>
        <w:rPr>
          <w:rStyle w:val="normaltextrun"/>
          <w:rFonts w:ascii="Arial" w:eastAsia="Arial" w:hAnsi="Arial" w:cs="Arial"/>
          <w:color w:val="000000" w:themeColor="text2"/>
          <w:u w:val="single"/>
        </w:rPr>
      </w:pPr>
      <w:r w:rsidRPr="006B2110">
        <w:rPr>
          <w:rStyle w:val="normaltextrun"/>
          <w:rFonts w:ascii="Arial" w:eastAsia="Arial" w:hAnsi="Arial" w:cs="Arial"/>
          <w:color w:val="000000" w:themeColor="text2"/>
          <w:u w:val="single"/>
        </w:rPr>
        <w:t>Industry</w:t>
      </w:r>
    </w:p>
    <w:p w14:paraId="0F63D5B6" w14:textId="77777777" w:rsidR="00952E69" w:rsidRPr="006B2110" w:rsidRDefault="00952E69" w:rsidP="00E30DF5">
      <w:pPr>
        <w:spacing w:after="0" w:line="240" w:lineRule="auto"/>
        <w:rPr>
          <w:rStyle w:val="normaltextrun"/>
          <w:rFonts w:ascii="Arial" w:eastAsia="Arial" w:hAnsi="Arial" w:cs="Arial"/>
          <w:color w:val="000000" w:themeColor="text2"/>
          <w:u w:val="single"/>
        </w:rPr>
      </w:pPr>
    </w:p>
    <w:p w14:paraId="22ECA29D" w14:textId="487E9E96" w:rsidR="00E30DF5" w:rsidRDefault="00E30DF5" w:rsidP="004C7627">
      <w:pPr>
        <w:pStyle w:val="ListParagraph"/>
        <w:numPr>
          <w:ilvl w:val="0"/>
          <w:numId w:val="47"/>
        </w:numPr>
        <w:rPr>
          <w:rFonts w:cs="Arial"/>
          <w:sz w:val="22"/>
          <w:szCs w:val="22"/>
        </w:rPr>
      </w:pPr>
      <w:r>
        <w:rPr>
          <w:rFonts w:cs="Arial"/>
          <w:sz w:val="22"/>
          <w:szCs w:val="22"/>
        </w:rPr>
        <w:t>Optus</w:t>
      </w:r>
    </w:p>
    <w:p w14:paraId="5D26487A" w14:textId="15ACD824" w:rsidR="00D8375D" w:rsidRDefault="00E30DF5" w:rsidP="004C7627">
      <w:pPr>
        <w:pStyle w:val="ListParagraph"/>
        <w:numPr>
          <w:ilvl w:val="0"/>
          <w:numId w:val="47"/>
        </w:numPr>
        <w:rPr>
          <w:rFonts w:cs="Arial"/>
          <w:sz w:val="22"/>
          <w:szCs w:val="22"/>
        </w:rPr>
      </w:pPr>
      <w:r>
        <w:rPr>
          <w:rFonts w:cs="Arial"/>
          <w:sz w:val="22"/>
          <w:szCs w:val="22"/>
        </w:rPr>
        <w:t>Telstra</w:t>
      </w:r>
    </w:p>
    <w:p w14:paraId="0493EA12" w14:textId="4A30546E" w:rsidR="00E30DF5" w:rsidRDefault="00E30DF5" w:rsidP="004C7627">
      <w:pPr>
        <w:pStyle w:val="ListParagraph"/>
        <w:numPr>
          <w:ilvl w:val="0"/>
          <w:numId w:val="47"/>
        </w:numPr>
        <w:rPr>
          <w:rFonts w:cs="Arial"/>
          <w:sz w:val="22"/>
          <w:szCs w:val="22"/>
        </w:rPr>
      </w:pPr>
      <w:r>
        <w:rPr>
          <w:rFonts w:cs="Arial"/>
          <w:sz w:val="22"/>
          <w:szCs w:val="22"/>
        </w:rPr>
        <w:t>TPG Telecom</w:t>
      </w:r>
    </w:p>
    <w:p w14:paraId="4D9510A3" w14:textId="0104F5EE" w:rsidR="008E0ACE" w:rsidRDefault="008E0ACE" w:rsidP="004C7627">
      <w:pPr>
        <w:pStyle w:val="ListParagraph"/>
        <w:numPr>
          <w:ilvl w:val="0"/>
          <w:numId w:val="47"/>
        </w:numPr>
        <w:rPr>
          <w:rFonts w:cs="Arial"/>
          <w:sz w:val="22"/>
          <w:szCs w:val="22"/>
        </w:rPr>
      </w:pPr>
      <w:r>
        <w:rPr>
          <w:rFonts w:cs="Arial"/>
          <w:sz w:val="22"/>
          <w:szCs w:val="22"/>
        </w:rPr>
        <w:t>NBN Co</w:t>
      </w:r>
    </w:p>
    <w:p w14:paraId="27FF8E2E" w14:textId="2414F21B" w:rsidR="00E30DF5" w:rsidRDefault="00986758" w:rsidP="004C7627">
      <w:pPr>
        <w:pStyle w:val="ListParagraph"/>
        <w:numPr>
          <w:ilvl w:val="0"/>
          <w:numId w:val="47"/>
        </w:numPr>
        <w:rPr>
          <w:rFonts w:cs="Arial"/>
          <w:sz w:val="22"/>
          <w:szCs w:val="22"/>
        </w:rPr>
      </w:pPr>
      <w:r>
        <w:rPr>
          <w:rFonts w:cs="Arial"/>
          <w:sz w:val="22"/>
          <w:szCs w:val="22"/>
        </w:rPr>
        <w:t>Starlink</w:t>
      </w:r>
    </w:p>
    <w:p w14:paraId="64EBD228" w14:textId="4536C9F7" w:rsidR="00986758" w:rsidRDefault="007A188A" w:rsidP="004C7627">
      <w:pPr>
        <w:pStyle w:val="ListParagraph"/>
        <w:numPr>
          <w:ilvl w:val="0"/>
          <w:numId w:val="47"/>
        </w:numPr>
        <w:rPr>
          <w:rFonts w:cs="Arial"/>
          <w:sz w:val="22"/>
          <w:szCs w:val="22"/>
        </w:rPr>
      </w:pPr>
      <w:r>
        <w:rPr>
          <w:rFonts w:cs="Arial"/>
          <w:sz w:val="22"/>
          <w:szCs w:val="22"/>
        </w:rPr>
        <w:t>Communications Alliance</w:t>
      </w:r>
    </w:p>
    <w:p w14:paraId="54B36455" w14:textId="50088043" w:rsidR="007A188A" w:rsidRDefault="007A188A" w:rsidP="004C7627">
      <w:pPr>
        <w:pStyle w:val="ListParagraph"/>
        <w:numPr>
          <w:ilvl w:val="0"/>
          <w:numId w:val="47"/>
        </w:numPr>
        <w:rPr>
          <w:rFonts w:cs="Arial"/>
          <w:sz w:val="22"/>
          <w:szCs w:val="22"/>
        </w:rPr>
      </w:pPr>
      <w:r>
        <w:rPr>
          <w:rFonts w:cs="Arial"/>
          <w:sz w:val="22"/>
          <w:szCs w:val="22"/>
        </w:rPr>
        <w:t>Uniti Group</w:t>
      </w:r>
    </w:p>
    <w:p w14:paraId="7C923B22" w14:textId="224646D6" w:rsidR="006307EF" w:rsidRDefault="006307EF" w:rsidP="004C7627">
      <w:pPr>
        <w:pStyle w:val="ListParagraph"/>
        <w:numPr>
          <w:ilvl w:val="0"/>
          <w:numId w:val="47"/>
        </w:numPr>
        <w:rPr>
          <w:rFonts w:cs="Arial"/>
          <w:sz w:val="22"/>
          <w:szCs w:val="22"/>
        </w:rPr>
      </w:pPr>
      <w:r>
        <w:rPr>
          <w:rFonts w:cs="Arial"/>
          <w:sz w:val="22"/>
          <w:szCs w:val="22"/>
        </w:rPr>
        <w:t>Occum Pty Ltd</w:t>
      </w:r>
    </w:p>
    <w:p w14:paraId="1EB4C528" w14:textId="32646D88" w:rsidR="006307EF" w:rsidRDefault="006307EF" w:rsidP="004C7627">
      <w:pPr>
        <w:pStyle w:val="ListParagraph"/>
        <w:numPr>
          <w:ilvl w:val="0"/>
          <w:numId w:val="47"/>
        </w:numPr>
        <w:rPr>
          <w:rFonts w:cs="Arial"/>
          <w:sz w:val="22"/>
          <w:szCs w:val="22"/>
        </w:rPr>
      </w:pPr>
      <w:r>
        <w:rPr>
          <w:rFonts w:cs="Arial"/>
          <w:sz w:val="22"/>
          <w:szCs w:val="22"/>
        </w:rPr>
        <w:t>Vocus Group</w:t>
      </w:r>
    </w:p>
    <w:p w14:paraId="64088785" w14:textId="1BA1D602" w:rsidR="0026699A" w:rsidRDefault="0026699A" w:rsidP="004C7627">
      <w:pPr>
        <w:pStyle w:val="ListParagraph"/>
        <w:numPr>
          <w:ilvl w:val="0"/>
          <w:numId w:val="47"/>
        </w:numPr>
        <w:rPr>
          <w:rFonts w:cs="Arial"/>
          <w:sz w:val="22"/>
          <w:szCs w:val="22"/>
        </w:rPr>
      </w:pPr>
      <w:r>
        <w:rPr>
          <w:rFonts w:cs="Arial"/>
          <w:sz w:val="22"/>
          <w:szCs w:val="22"/>
        </w:rPr>
        <w:t>Symbio</w:t>
      </w:r>
    </w:p>
    <w:p w14:paraId="3DFA1A61" w14:textId="77777777" w:rsidR="004E16DA" w:rsidRDefault="004E16DA" w:rsidP="007C6EC1">
      <w:pPr>
        <w:spacing w:after="0" w:line="240" w:lineRule="auto"/>
        <w:rPr>
          <w:rStyle w:val="normaltextrun"/>
          <w:rFonts w:ascii="Arial" w:eastAsia="Arial" w:hAnsi="Arial" w:cs="Arial"/>
          <w:color w:val="000000" w:themeColor="text2"/>
          <w:u w:val="single"/>
        </w:rPr>
      </w:pPr>
    </w:p>
    <w:p w14:paraId="37C6E323" w14:textId="77777777" w:rsidR="004E16DA" w:rsidRDefault="004E16DA" w:rsidP="007C6EC1">
      <w:pPr>
        <w:spacing w:after="0" w:line="240" w:lineRule="auto"/>
        <w:rPr>
          <w:rStyle w:val="normaltextrun"/>
          <w:rFonts w:ascii="Arial" w:eastAsia="Arial" w:hAnsi="Arial" w:cs="Arial"/>
          <w:color w:val="000000" w:themeColor="text2"/>
          <w:u w:val="single"/>
        </w:rPr>
      </w:pPr>
    </w:p>
    <w:p w14:paraId="1F995A06" w14:textId="77777777" w:rsidR="004E16DA" w:rsidRDefault="004E16DA" w:rsidP="007C6EC1">
      <w:pPr>
        <w:spacing w:after="0" w:line="240" w:lineRule="auto"/>
        <w:rPr>
          <w:rStyle w:val="normaltextrun"/>
          <w:rFonts w:ascii="Arial" w:eastAsia="Arial" w:hAnsi="Arial" w:cs="Arial"/>
          <w:color w:val="000000" w:themeColor="text2"/>
          <w:u w:val="single"/>
        </w:rPr>
      </w:pPr>
    </w:p>
    <w:p w14:paraId="0A280D44" w14:textId="64049A1E" w:rsidR="007C6EC1" w:rsidRDefault="007C6EC1" w:rsidP="007C6EC1">
      <w:pPr>
        <w:spacing w:after="0" w:line="240" w:lineRule="auto"/>
        <w:rPr>
          <w:rStyle w:val="normaltextrun"/>
          <w:rFonts w:ascii="Arial" w:eastAsia="Arial" w:hAnsi="Arial" w:cs="Arial"/>
          <w:color w:val="000000" w:themeColor="text2"/>
          <w:u w:val="single"/>
        </w:rPr>
      </w:pPr>
      <w:r w:rsidRPr="006B2110">
        <w:rPr>
          <w:rStyle w:val="normaltextrun"/>
          <w:rFonts w:ascii="Arial" w:eastAsia="Arial" w:hAnsi="Arial" w:cs="Arial"/>
          <w:color w:val="000000" w:themeColor="text2"/>
          <w:u w:val="single"/>
        </w:rPr>
        <w:lastRenderedPageBreak/>
        <w:t>Government</w:t>
      </w:r>
    </w:p>
    <w:p w14:paraId="59B54C26" w14:textId="77777777" w:rsidR="006810C5" w:rsidRPr="006B2110" w:rsidRDefault="006810C5" w:rsidP="007C6EC1">
      <w:pPr>
        <w:spacing w:after="0" w:line="240" w:lineRule="auto"/>
        <w:rPr>
          <w:rStyle w:val="normaltextrun"/>
          <w:rFonts w:ascii="Arial" w:eastAsia="Arial" w:hAnsi="Arial" w:cs="Arial"/>
          <w:color w:val="000000" w:themeColor="text2"/>
          <w:u w:val="single"/>
        </w:rPr>
      </w:pPr>
    </w:p>
    <w:p w14:paraId="3D91A93E" w14:textId="77777777" w:rsidR="007C6EC1" w:rsidRPr="00BE48AD" w:rsidRDefault="007C6EC1" w:rsidP="004C7627">
      <w:pPr>
        <w:pStyle w:val="ListParagraph"/>
        <w:numPr>
          <w:ilvl w:val="0"/>
          <w:numId w:val="47"/>
        </w:numPr>
        <w:rPr>
          <w:rFonts w:cs="Arial"/>
          <w:sz w:val="22"/>
          <w:szCs w:val="22"/>
        </w:rPr>
      </w:pPr>
      <w:r w:rsidRPr="00BE48AD">
        <w:rPr>
          <w:rFonts w:cs="Arial"/>
          <w:sz w:val="22"/>
          <w:szCs w:val="22"/>
        </w:rPr>
        <w:t>Department of Infrastructure, Transport, Regional Development, Communications and the Arts</w:t>
      </w:r>
    </w:p>
    <w:p w14:paraId="14EC0EC0" w14:textId="6F282DEA" w:rsidR="00D94589" w:rsidRPr="006B2110" w:rsidRDefault="00D94589" w:rsidP="004C7627">
      <w:pPr>
        <w:pStyle w:val="ListParagraph"/>
        <w:numPr>
          <w:ilvl w:val="0"/>
          <w:numId w:val="47"/>
        </w:numPr>
        <w:rPr>
          <w:rFonts w:cs="Arial"/>
          <w:sz w:val="22"/>
          <w:szCs w:val="22"/>
        </w:rPr>
      </w:pPr>
      <w:r w:rsidRPr="00BE48AD">
        <w:rPr>
          <w:rFonts w:cs="Arial"/>
          <w:sz w:val="22"/>
          <w:szCs w:val="22"/>
        </w:rPr>
        <w:t>Department of Primary Industry and Regional Development (DPIRD) (Western Australia)</w:t>
      </w:r>
    </w:p>
    <w:p w14:paraId="18168A90" w14:textId="6D0748F3" w:rsidR="007C6EC1" w:rsidRDefault="007C6EC1" w:rsidP="004C7627">
      <w:pPr>
        <w:pStyle w:val="ListParagraph"/>
        <w:numPr>
          <w:ilvl w:val="0"/>
          <w:numId w:val="47"/>
        </w:numPr>
        <w:rPr>
          <w:rFonts w:cs="Arial"/>
          <w:sz w:val="22"/>
          <w:szCs w:val="22"/>
        </w:rPr>
      </w:pPr>
      <w:r w:rsidRPr="00BE48AD">
        <w:rPr>
          <w:rFonts w:cs="Arial"/>
          <w:sz w:val="22"/>
          <w:szCs w:val="22"/>
        </w:rPr>
        <w:t>Telecommunications Industry Ombudsman</w:t>
      </w:r>
      <w:r w:rsidR="00D94589" w:rsidRPr="00BE48AD">
        <w:rPr>
          <w:rFonts w:cs="Arial"/>
          <w:sz w:val="22"/>
          <w:szCs w:val="22"/>
        </w:rPr>
        <w:t xml:space="preserve"> (TIO)</w:t>
      </w:r>
    </w:p>
    <w:p w14:paraId="590AB197" w14:textId="597D9A36" w:rsidR="00856C30" w:rsidRDefault="00986758" w:rsidP="004C7627">
      <w:pPr>
        <w:pStyle w:val="ListParagraph"/>
        <w:numPr>
          <w:ilvl w:val="0"/>
          <w:numId w:val="47"/>
        </w:numPr>
        <w:rPr>
          <w:rFonts w:cs="Arial"/>
          <w:sz w:val="22"/>
          <w:szCs w:val="22"/>
        </w:rPr>
      </w:pPr>
      <w:r>
        <w:rPr>
          <w:rFonts w:cs="Arial"/>
          <w:sz w:val="22"/>
          <w:szCs w:val="22"/>
        </w:rPr>
        <w:t>Transport for NSW</w:t>
      </w:r>
    </w:p>
    <w:p w14:paraId="7D1D2147" w14:textId="33BB0297" w:rsidR="006307EF" w:rsidRDefault="006307EF" w:rsidP="004C7627">
      <w:pPr>
        <w:pStyle w:val="ListParagraph"/>
        <w:numPr>
          <w:ilvl w:val="0"/>
          <w:numId w:val="47"/>
        </w:numPr>
        <w:rPr>
          <w:rFonts w:cs="Arial"/>
          <w:sz w:val="22"/>
          <w:szCs w:val="22"/>
        </w:rPr>
      </w:pPr>
      <w:r>
        <w:rPr>
          <w:rFonts w:cs="Arial"/>
          <w:sz w:val="22"/>
          <w:szCs w:val="22"/>
        </w:rPr>
        <w:t xml:space="preserve">Australian Competition and </w:t>
      </w:r>
      <w:r w:rsidR="0026699A">
        <w:rPr>
          <w:rFonts w:cs="Arial"/>
          <w:sz w:val="22"/>
          <w:szCs w:val="22"/>
        </w:rPr>
        <w:t xml:space="preserve">Consumer Commission </w:t>
      </w:r>
    </w:p>
    <w:p w14:paraId="008D38AB" w14:textId="043897AD" w:rsidR="00C567AA" w:rsidRDefault="00BA4EDD" w:rsidP="00E30DF5">
      <w:pPr>
        <w:rPr>
          <w:rFonts w:cs="Arial"/>
          <w:sz w:val="22"/>
          <w:szCs w:val="22"/>
        </w:rPr>
      </w:pPr>
      <w:r>
        <w:rPr>
          <w:rFonts w:cs="Arial"/>
          <w:sz w:val="22"/>
          <w:szCs w:val="22"/>
        </w:rPr>
        <w:t xml:space="preserve">NSW Telco Authority </w:t>
      </w:r>
      <w:r w:rsidR="00C567AA">
        <w:rPr>
          <w:rFonts w:cs="Arial"/>
          <w:sz w:val="22"/>
          <w:szCs w:val="22"/>
        </w:rPr>
        <w:t>Generall</w:t>
      </w:r>
      <w:r w:rsidR="007164C6">
        <w:rPr>
          <w:rFonts w:cs="Arial"/>
          <w:sz w:val="22"/>
          <w:szCs w:val="22"/>
        </w:rPr>
        <w:t>y</w:t>
      </w:r>
      <w:r w:rsidR="00C567AA">
        <w:rPr>
          <w:rFonts w:cs="Arial"/>
          <w:sz w:val="22"/>
          <w:szCs w:val="22"/>
        </w:rPr>
        <w:t>, industry</w:t>
      </w:r>
      <w:r w:rsidR="000A6479">
        <w:rPr>
          <w:rFonts w:cs="Arial"/>
          <w:sz w:val="22"/>
          <w:szCs w:val="22"/>
        </w:rPr>
        <w:t xml:space="preserve">, </w:t>
      </w:r>
      <w:r w:rsidR="0090494E">
        <w:rPr>
          <w:rFonts w:cs="Arial"/>
          <w:sz w:val="22"/>
          <w:szCs w:val="22"/>
        </w:rPr>
        <w:t xml:space="preserve">consumer advocates and government </w:t>
      </w:r>
      <w:r w:rsidR="00C567AA">
        <w:rPr>
          <w:rFonts w:cs="Arial"/>
          <w:sz w:val="22"/>
          <w:szCs w:val="22"/>
        </w:rPr>
        <w:t xml:space="preserve">supported the </w:t>
      </w:r>
      <w:r w:rsidR="00FC4690">
        <w:rPr>
          <w:rFonts w:cs="Arial"/>
          <w:sz w:val="22"/>
          <w:szCs w:val="22"/>
        </w:rPr>
        <w:t>inten</w:t>
      </w:r>
      <w:r w:rsidR="000F625D">
        <w:rPr>
          <w:rFonts w:cs="Arial"/>
          <w:sz w:val="22"/>
          <w:szCs w:val="22"/>
        </w:rPr>
        <w:t>tion</w:t>
      </w:r>
      <w:r w:rsidR="00FC4690">
        <w:rPr>
          <w:rFonts w:cs="Arial"/>
          <w:sz w:val="22"/>
          <w:szCs w:val="22"/>
        </w:rPr>
        <w:t xml:space="preserve"> of the objectives to ensure that end-users and the public are appropriately informed when there is a major outage or significant local outage</w:t>
      </w:r>
      <w:r w:rsidR="00196C89">
        <w:rPr>
          <w:rFonts w:cs="Arial"/>
          <w:sz w:val="22"/>
          <w:szCs w:val="22"/>
        </w:rPr>
        <w:t>.</w:t>
      </w:r>
    </w:p>
    <w:p w14:paraId="6CAA181B" w14:textId="39CA2C22" w:rsidR="0042258C" w:rsidRDefault="00697173" w:rsidP="00E30DF5">
      <w:pPr>
        <w:rPr>
          <w:rFonts w:cs="Arial"/>
          <w:sz w:val="22"/>
          <w:szCs w:val="22"/>
        </w:rPr>
      </w:pPr>
      <w:r>
        <w:rPr>
          <w:rFonts w:cs="Arial"/>
          <w:sz w:val="22"/>
          <w:szCs w:val="22"/>
        </w:rPr>
        <w:t xml:space="preserve">A number of key themes </w:t>
      </w:r>
      <w:r w:rsidR="00C1373E">
        <w:rPr>
          <w:rFonts w:cs="Arial"/>
          <w:sz w:val="22"/>
          <w:szCs w:val="22"/>
        </w:rPr>
        <w:t>came through the submissions which are considered in</w:t>
      </w:r>
      <w:r w:rsidR="00184A29">
        <w:rPr>
          <w:rFonts w:cs="Arial"/>
          <w:sz w:val="22"/>
          <w:szCs w:val="22"/>
        </w:rPr>
        <w:t xml:space="preserve"> further</w:t>
      </w:r>
      <w:r w:rsidR="00C1373E">
        <w:rPr>
          <w:rFonts w:cs="Arial"/>
          <w:sz w:val="22"/>
          <w:szCs w:val="22"/>
        </w:rPr>
        <w:t xml:space="preserve"> detail below. Broadly, </w:t>
      </w:r>
      <w:r w:rsidR="00997369">
        <w:rPr>
          <w:rFonts w:cs="Arial"/>
          <w:sz w:val="22"/>
          <w:szCs w:val="22"/>
        </w:rPr>
        <w:t>concerns</w:t>
      </w:r>
      <w:r w:rsidR="00184A29">
        <w:rPr>
          <w:rFonts w:cs="Arial"/>
          <w:sz w:val="22"/>
          <w:szCs w:val="22"/>
        </w:rPr>
        <w:t xml:space="preserve"> were raised</w:t>
      </w:r>
      <w:r w:rsidR="00997369">
        <w:rPr>
          <w:rFonts w:cs="Arial"/>
          <w:sz w:val="22"/>
          <w:szCs w:val="22"/>
        </w:rPr>
        <w:t xml:space="preserve"> about</w:t>
      </w:r>
      <w:r w:rsidR="0042258C">
        <w:rPr>
          <w:rFonts w:cs="Arial"/>
          <w:sz w:val="22"/>
          <w:szCs w:val="22"/>
        </w:rPr>
        <w:t xml:space="preserve">: </w:t>
      </w:r>
    </w:p>
    <w:p w14:paraId="409CA2B4" w14:textId="5FAA4583" w:rsidR="00962DFB" w:rsidRPr="004C7627" w:rsidRDefault="00E02273" w:rsidP="00E02273">
      <w:pPr>
        <w:pStyle w:val="ListParagraph"/>
        <w:numPr>
          <w:ilvl w:val="0"/>
          <w:numId w:val="47"/>
        </w:numPr>
        <w:rPr>
          <w:rFonts w:cs="Arial"/>
          <w:sz w:val="22"/>
          <w:szCs w:val="22"/>
        </w:rPr>
      </w:pPr>
      <w:r>
        <w:rPr>
          <w:rFonts w:cs="Arial"/>
          <w:sz w:val="22"/>
          <w:szCs w:val="22"/>
        </w:rPr>
        <w:t>The proposed d</w:t>
      </w:r>
      <w:r w:rsidR="00BF6D69" w:rsidRPr="004C7627">
        <w:rPr>
          <w:rFonts w:cs="Arial"/>
          <w:sz w:val="22"/>
          <w:szCs w:val="22"/>
        </w:rPr>
        <w:t>efinitions</w:t>
      </w:r>
      <w:r w:rsidR="00C56763" w:rsidRPr="004C7627">
        <w:rPr>
          <w:rFonts w:cs="Arial"/>
          <w:sz w:val="22"/>
          <w:szCs w:val="22"/>
        </w:rPr>
        <w:t xml:space="preserve"> of </w:t>
      </w:r>
      <w:r w:rsidR="00962DFB" w:rsidRPr="004C7627">
        <w:rPr>
          <w:rFonts w:cs="Arial"/>
          <w:sz w:val="22"/>
          <w:szCs w:val="22"/>
        </w:rPr>
        <w:t>Major outage</w:t>
      </w:r>
      <w:r w:rsidR="00C56763" w:rsidRPr="004C7627">
        <w:rPr>
          <w:rFonts w:cs="Arial"/>
          <w:sz w:val="22"/>
          <w:szCs w:val="22"/>
        </w:rPr>
        <w:t xml:space="preserve"> </w:t>
      </w:r>
      <w:r w:rsidR="00784123">
        <w:rPr>
          <w:rFonts w:cs="Arial"/>
          <w:sz w:val="22"/>
          <w:szCs w:val="22"/>
        </w:rPr>
        <w:t xml:space="preserve">and </w:t>
      </w:r>
      <w:r w:rsidR="00962DFB" w:rsidRPr="004C7627">
        <w:rPr>
          <w:rFonts w:cs="Arial"/>
          <w:sz w:val="22"/>
          <w:szCs w:val="22"/>
        </w:rPr>
        <w:t>Significant local outage</w:t>
      </w:r>
    </w:p>
    <w:p w14:paraId="5DEA19F9" w14:textId="77777777" w:rsidR="00B44A3F" w:rsidRDefault="00B44A3F" w:rsidP="00B44A3F">
      <w:pPr>
        <w:pStyle w:val="ListParagraph"/>
        <w:numPr>
          <w:ilvl w:val="0"/>
          <w:numId w:val="47"/>
        </w:numPr>
        <w:rPr>
          <w:rFonts w:cs="Arial"/>
          <w:sz w:val="22"/>
          <w:szCs w:val="22"/>
        </w:rPr>
      </w:pPr>
      <w:r>
        <w:rPr>
          <w:rFonts w:cs="Arial"/>
          <w:sz w:val="22"/>
          <w:szCs w:val="22"/>
        </w:rPr>
        <w:t>Exclusion of outages caused by natural disasters</w:t>
      </w:r>
    </w:p>
    <w:p w14:paraId="4D5045A6" w14:textId="6EA0F44C" w:rsidR="00BF6D69" w:rsidRDefault="00BF6D69" w:rsidP="00BF6D69">
      <w:pPr>
        <w:pStyle w:val="ListParagraph"/>
        <w:numPr>
          <w:ilvl w:val="0"/>
          <w:numId w:val="47"/>
        </w:numPr>
        <w:rPr>
          <w:rFonts w:cs="Arial"/>
          <w:sz w:val="22"/>
          <w:szCs w:val="22"/>
        </w:rPr>
      </w:pPr>
      <w:r>
        <w:rPr>
          <w:rFonts w:cs="Arial"/>
          <w:sz w:val="22"/>
          <w:szCs w:val="22"/>
        </w:rPr>
        <w:t>Implementation timeframe</w:t>
      </w:r>
    </w:p>
    <w:p w14:paraId="1CCDBE27" w14:textId="6B18B61B" w:rsidR="00BF6D69" w:rsidRDefault="00E02273" w:rsidP="00BF6D69">
      <w:pPr>
        <w:pStyle w:val="ListParagraph"/>
        <w:numPr>
          <w:ilvl w:val="0"/>
          <w:numId w:val="47"/>
        </w:numPr>
        <w:rPr>
          <w:rFonts w:cs="Arial"/>
          <w:sz w:val="22"/>
          <w:szCs w:val="22"/>
        </w:rPr>
      </w:pPr>
      <w:r>
        <w:rPr>
          <w:rFonts w:cs="Arial"/>
          <w:sz w:val="22"/>
          <w:szCs w:val="22"/>
        </w:rPr>
        <w:t>The Standard imposing b</w:t>
      </w:r>
      <w:r w:rsidR="007A75BD">
        <w:rPr>
          <w:rFonts w:cs="Arial"/>
          <w:sz w:val="22"/>
          <w:szCs w:val="22"/>
        </w:rPr>
        <w:t>lanket provisions on all CSPs and carriers</w:t>
      </w:r>
      <w:r w:rsidR="00A70985">
        <w:rPr>
          <w:rFonts w:cs="Arial"/>
          <w:sz w:val="22"/>
          <w:szCs w:val="22"/>
        </w:rPr>
        <w:t xml:space="preserve"> and all end-users</w:t>
      </w:r>
      <w:r w:rsidR="00B25C83">
        <w:rPr>
          <w:rFonts w:cs="Arial"/>
          <w:sz w:val="22"/>
          <w:szCs w:val="22"/>
        </w:rPr>
        <w:t>, resulting in queries about</w:t>
      </w:r>
      <w:r w:rsidR="00C4681A">
        <w:rPr>
          <w:rFonts w:cs="Arial"/>
          <w:sz w:val="22"/>
          <w:szCs w:val="22"/>
        </w:rPr>
        <w:t>:</w:t>
      </w:r>
    </w:p>
    <w:p w14:paraId="586ED1E6" w14:textId="37B09207" w:rsidR="00C4681A" w:rsidRDefault="00C4681A" w:rsidP="004C7627">
      <w:pPr>
        <w:pStyle w:val="ListParagraph"/>
        <w:numPr>
          <w:ilvl w:val="1"/>
          <w:numId w:val="66"/>
        </w:numPr>
        <w:rPr>
          <w:rFonts w:cs="Arial"/>
          <w:sz w:val="22"/>
          <w:szCs w:val="22"/>
        </w:rPr>
      </w:pPr>
      <w:r>
        <w:rPr>
          <w:rFonts w:cs="Arial"/>
          <w:sz w:val="22"/>
          <w:szCs w:val="22"/>
        </w:rPr>
        <w:t>Arrangements for carriers without end-users</w:t>
      </w:r>
    </w:p>
    <w:p w14:paraId="61BF9239" w14:textId="0A1F69DE" w:rsidR="00C4681A" w:rsidRDefault="00962DFB" w:rsidP="004C7627">
      <w:pPr>
        <w:pStyle w:val="ListParagraph"/>
        <w:numPr>
          <w:ilvl w:val="1"/>
          <w:numId w:val="66"/>
        </w:numPr>
        <w:rPr>
          <w:rFonts w:cs="Arial"/>
          <w:sz w:val="22"/>
          <w:szCs w:val="22"/>
        </w:rPr>
      </w:pPr>
      <w:r>
        <w:rPr>
          <w:rFonts w:cs="Arial"/>
          <w:sz w:val="22"/>
          <w:szCs w:val="22"/>
        </w:rPr>
        <w:t xml:space="preserve">Arrangements for CSPs who are unable to identify number of </w:t>
      </w:r>
      <w:r w:rsidR="00FE1C42">
        <w:rPr>
          <w:rFonts w:cs="Arial"/>
          <w:sz w:val="22"/>
          <w:szCs w:val="22"/>
        </w:rPr>
        <w:t>Service In Operation (SIO)</w:t>
      </w:r>
      <w:r>
        <w:rPr>
          <w:rFonts w:cs="Arial"/>
          <w:sz w:val="22"/>
          <w:szCs w:val="22"/>
        </w:rPr>
        <w:t xml:space="preserve"> affected by an outage</w:t>
      </w:r>
    </w:p>
    <w:p w14:paraId="3D6252E7" w14:textId="77777777" w:rsidR="00D16B8B" w:rsidRDefault="00CC2DD1" w:rsidP="004C7627">
      <w:pPr>
        <w:pStyle w:val="ListParagraph"/>
        <w:numPr>
          <w:ilvl w:val="1"/>
          <w:numId w:val="66"/>
        </w:numPr>
        <w:rPr>
          <w:rFonts w:cs="Arial"/>
          <w:sz w:val="22"/>
          <w:szCs w:val="22"/>
        </w:rPr>
      </w:pPr>
      <w:r>
        <w:rPr>
          <w:rFonts w:cs="Arial"/>
          <w:sz w:val="22"/>
          <w:szCs w:val="22"/>
        </w:rPr>
        <w:t xml:space="preserve">Notification </w:t>
      </w:r>
      <w:r w:rsidR="007C6748">
        <w:rPr>
          <w:rFonts w:cs="Arial"/>
          <w:sz w:val="22"/>
          <w:szCs w:val="22"/>
        </w:rPr>
        <w:t xml:space="preserve">requirements for smaller CSPs </w:t>
      </w:r>
      <w:r w:rsidR="00F46E66">
        <w:rPr>
          <w:rFonts w:cs="Arial"/>
          <w:sz w:val="22"/>
          <w:szCs w:val="22"/>
        </w:rPr>
        <w:t>being the same</w:t>
      </w:r>
      <w:r w:rsidR="007C6748">
        <w:rPr>
          <w:rFonts w:cs="Arial"/>
          <w:sz w:val="22"/>
          <w:szCs w:val="22"/>
        </w:rPr>
        <w:t xml:space="preserve"> as the larger</w:t>
      </w:r>
      <w:r w:rsidR="008E72A5">
        <w:rPr>
          <w:rFonts w:cs="Arial"/>
          <w:sz w:val="22"/>
          <w:szCs w:val="22"/>
        </w:rPr>
        <w:t xml:space="preserve"> CSPs and carriers </w:t>
      </w:r>
      <w:r w:rsidR="00F46E66">
        <w:rPr>
          <w:rFonts w:cs="Arial"/>
          <w:sz w:val="22"/>
          <w:szCs w:val="22"/>
        </w:rPr>
        <w:t>despite</w:t>
      </w:r>
      <w:r w:rsidR="008E72A5">
        <w:rPr>
          <w:rFonts w:cs="Arial"/>
          <w:sz w:val="22"/>
          <w:szCs w:val="22"/>
        </w:rPr>
        <w:t xml:space="preserve"> the significantly lower resources they work with</w:t>
      </w:r>
    </w:p>
    <w:p w14:paraId="4F218C53" w14:textId="591F6BF3" w:rsidR="00D16B8B" w:rsidRPr="004E16DA" w:rsidRDefault="00D16B8B" w:rsidP="004C7627">
      <w:pPr>
        <w:pStyle w:val="ListParagraph"/>
        <w:numPr>
          <w:ilvl w:val="1"/>
          <w:numId w:val="66"/>
        </w:numPr>
        <w:rPr>
          <w:rFonts w:cs="Arial"/>
          <w:sz w:val="22"/>
          <w:szCs w:val="22"/>
        </w:rPr>
      </w:pPr>
      <w:r w:rsidRPr="004E16DA">
        <w:rPr>
          <w:rFonts w:cs="Arial"/>
          <w:sz w:val="22"/>
          <w:szCs w:val="22"/>
        </w:rPr>
        <w:t>The means for notifying and differentiating notification requirements for different end-users</w:t>
      </w:r>
    </w:p>
    <w:p w14:paraId="0B1E70DD" w14:textId="1144453C" w:rsidR="009E73BF" w:rsidRPr="004E16DA" w:rsidRDefault="00E730EC" w:rsidP="009E73BF">
      <w:pPr>
        <w:pStyle w:val="ListParagraph"/>
        <w:numPr>
          <w:ilvl w:val="0"/>
          <w:numId w:val="47"/>
        </w:numPr>
        <w:rPr>
          <w:rFonts w:cs="Arial"/>
          <w:sz w:val="22"/>
          <w:szCs w:val="22"/>
        </w:rPr>
      </w:pPr>
      <w:r w:rsidRPr="004E16DA">
        <w:rPr>
          <w:rFonts w:cs="Arial"/>
          <w:sz w:val="22"/>
          <w:szCs w:val="22"/>
        </w:rPr>
        <w:t>Unnecessary overlap with some notification provisions</w:t>
      </w:r>
    </w:p>
    <w:p w14:paraId="0F5057AC" w14:textId="70879AA9" w:rsidR="00DB0F02" w:rsidRPr="004E16DA" w:rsidRDefault="00DB0F02">
      <w:pPr>
        <w:pStyle w:val="ListParagraph"/>
        <w:numPr>
          <w:ilvl w:val="0"/>
          <w:numId w:val="47"/>
        </w:numPr>
        <w:rPr>
          <w:rFonts w:cs="Arial"/>
          <w:sz w:val="22"/>
          <w:szCs w:val="22"/>
        </w:rPr>
      </w:pPr>
      <w:r w:rsidRPr="004E16DA">
        <w:rPr>
          <w:rFonts w:cs="Arial"/>
          <w:sz w:val="22"/>
          <w:szCs w:val="22"/>
        </w:rPr>
        <w:t>In</w:t>
      </w:r>
      <w:r w:rsidR="00D16B8B" w:rsidRPr="004E16DA">
        <w:rPr>
          <w:rFonts w:cs="Arial"/>
          <w:sz w:val="22"/>
          <w:szCs w:val="22"/>
        </w:rPr>
        <w:t>adequate</w:t>
      </w:r>
      <w:r w:rsidRPr="004E16DA">
        <w:rPr>
          <w:rFonts w:cs="Arial"/>
          <w:sz w:val="22"/>
          <w:szCs w:val="22"/>
        </w:rPr>
        <w:t xml:space="preserve"> </w:t>
      </w:r>
      <w:r w:rsidR="009D3501" w:rsidRPr="004E16DA">
        <w:rPr>
          <w:rFonts w:cs="Arial"/>
          <w:sz w:val="22"/>
          <w:szCs w:val="22"/>
        </w:rPr>
        <w:t xml:space="preserve">inclusion of </w:t>
      </w:r>
      <w:r w:rsidRPr="004E16DA">
        <w:rPr>
          <w:rFonts w:cs="Arial"/>
          <w:sz w:val="22"/>
          <w:szCs w:val="22"/>
        </w:rPr>
        <w:t>accessibility</w:t>
      </w:r>
      <w:r w:rsidR="009D3501" w:rsidRPr="004E16DA">
        <w:rPr>
          <w:rFonts w:cs="Arial"/>
          <w:sz w:val="22"/>
          <w:szCs w:val="22"/>
        </w:rPr>
        <w:t xml:space="preserve"> requirements for methods of notification</w:t>
      </w:r>
      <w:r w:rsidR="006A5C60" w:rsidRPr="004E16DA">
        <w:rPr>
          <w:rFonts w:cs="Arial"/>
          <w:sz w:val="22"/>
          <w:szCs w:val="22"/>
        </w:rPr>
        <w:t xml:space="preserve"> to vulnerable consumers</w:t>
      </w:r>
      <w:r w:rsidR="00AE5215" w:rsidRPr="004E16DA">
        <w:rPr>
          <w:rFonts w:cs="Arial"/>
          <w:sz w:val="22"/>
          <w:szCs w:val="22"/>
        </w:rPr>
        <w:t xml:space="preserve"> </w:t>
      </w:r>
    </w:p>
    <w:p w14:paraId="1D381ED6" w14:textId="70817D17" w:rsidR="001A34EF" w:rsidRPr="004E16DA" w:rsidRDefault="001A34EF" w:rsidP="004C7627">
      <w:pPr>
        <w:pStyle w:val="ListParagraph"/>
        <w:numPr>
          <w:ilvl w:val="0"/>
          <w:numId w:val="47"/>
        </w:numPr>
        <w:rPr>
          <w:rFonts w:cs="Arial"/>
          <w:sz w:val="22"/>
          <w:szCs w:val="22"/>
        </w:rPr>
      </w:pPr>
      <w:r w:rsidRPr="004E16DA">
        <w:rPr>
          <w:rFonts w:cs="Arial"/>
          <w:sz w:val="22"/>
          <w:szCs w:val="22"/>
        </w:rPr>
        <w:t>Notification frequency</w:t>
      </w:r>
    </w:p>
    <w:p w14:paraId="754C3737" w14:textId="6B5479FD" w:rsidR="000F6DEB" w:rsidRPr="004C7627" w:rsidRDefault="00DB7538" w:rsidP="00E30DF5">
      <w:pPr>
        <w:rPr>
          <w:rFonts w:cs="Arial"/>
          <w:b/>
          <w:bCs/>
          <w:sz w:val="22"/>
          <w:szCs w:val="22"/>
        </w:rPr>
      </w:pPr>
      <w:r w:rsidRPr="004C7627">
        <w:rPr>
          <w:rFonts w:cs="Arial"/>
          <w:b/>
          <w:bCs/>
          <w:sz w:val="22"/>
          <w:szCs w:val="22"/>
          <w:u w:val="single"/>
        </w:rPr>
        <w:t xml:space="preserve">Definitions </w:t>
      </w:r>
      <w:r w:rsidR="00CC2DD1" w:rsidRPr="004C7627">
        <w:rPr>
          <w:rFonts w:cs="Arial"/>
          <w:b/>
          <w:bCs/>
          <w:sz w:val="22"/>
          <w:szCs w:val="22"/>
          <w:u w:val="single"/>
        </w:rPr>
        <w:t>of major outage and significant local outage</w:t>
      </w:r>
    </w:p>
    <w:p w14:paraId="5A195DF8" w14:textId="4FD7FD46" w:rsidR="000F6DEB" w:rsidRDefault="0090494E" w:rsidP="00E30DF5">
      <w:pPr>
        <w:rPr>
          <w:rFonts w:cs="Arial"/>
          <w:sz w:val="22"/>
          <w:szCs w:val="22"/>
        </w:rPr>
      </w:pPr>
      <w:r>
        <w:rPr>
          <w:rFonts w:cs="Arial"/>
          <w:sz w:val="22"/>
          <w:szCs w:val="22"/>
        </w:rPr>
        <w:t>S</w:t>
      </w:r>
      <w:r w:rsidR="00210C17" w:rsidRPr="0A220127">
        <w:rPr>
          <w:rFonts w:cs="Arial"/>
          <w:sz w:val="22"/>
          <w:szCs w:val="22"/>
        </w:rPr>
        <w:t xml:space="preserve">ubmissions </w:t>
      </w:r>
      <w:r>
        <w:rPr>
          <w:rFonts w:cs="Arial"/>
          <w:sz w:val="22"/>
          <w:szCs w:val="22"/>
        </w:rPr>
        <w:t xml:space="preserve">from all cohorts </w:t>
      </w:r>
      <w:r w:rsidR="00210C17" w:rsidRPr="0A220127">
        <w:rPr>
          <w:rFonts w:cs="Arial"/>
          <w:sz w:val="22"/>
          <w:szCs w:val="22"/>
        </w:rPr>
        <w:t>raised concerns with the definition of major outage and significant local outage proposed by the ACMA</w:t>
      </w:r>
      <w:r w:rsidR="004E16DA">
        <w:rPr>
          <w:rFonts w:cs="Arial"/>
          <w:sz w:val="22"/>
          <w:szCs w:val="22"/>
        </w:rPr>
        <w:t>.</w:t>
      </w:r>
      <w:r w:rsidR="00210C17" w:rsidRPr="0A220127">
        <w:rPr>
          <w:rFonts w:cs="Arial"/>
          <w:sz w:val="22"/>
          <w:szCs w:val="22"/>
        </w:rPr>
        <w:t xml:space="preserve"> </w:t>
      </w:r>
    </w:p>
    <w:p w14:paraId="4A6FAC4A" w14:textId="6A7F6074" w:rsidR="00E35650" w:rsidRDefault="00E35650" w:rsidP="00E30DF5">
      <w:pPr>
        <w:rPr>
          <w:rFonts w:cs="Arial"/>
          <w:sz w:val="22"/>
          <w:szCs w:val="22"/>
        </w:rPr>
      </w:pPr>
      <w:r>
        <w:rPr>
          <w:rFonts w:cs="Arial"/>
          <w:sz w:val="22"/>
          <w:szCs w:val="22"/>
        </w:rPr>
        <w:t xml:space="preserve">The definitions set out in the </w:t>
      </w:r>
      <w:r w:rsidR="006970F7">
        <w:rPr>
          <w:rFonts w:cs="Arial"/>
          <w:sz w:val="22"/>
          <w:szCs w:val="22"/>
        </w:rPr>
        <w:t xml:space="preserve">original </w:t>
      </w:r>
      <w:r>
        <w:rPr>
          <w:rFonts w:cs="Arial"/>
          <w:sz w:val="22"/>
          <w:szCs w:val="22"/>
        </w:rPr>
        <w:t xml:space="preserve">proposed draft standard </w:t>
      </w:r>
      <w:r w:rsidR="00DA37E0">
        <w:rPr>
          <w:rFonts w:cs="Arial"/>
          <w:sz w:val="22"/>
          <w:szCs w:val="22"/>
        </w:rPr>
        <w:t>for significant local outage and major outage encompassed:</w:t>
      </w:r>
    </w:p>
    <w:p w14:paraId="3E2766F4" w14:textId="7C9A71E9" w:rsidR="00DA37E0" w:rsidRPr="004E16DA" w:rsidRDefault="00D921B7" w:rsidP="004C7627">
      <w:pPr>
        <w:pStyle w:val="ListParagraph"/>
        <w:numPr>
          <w:ilvl w:val="0"/>
          <w:numId w:val="47"/>
        </w:numPr>
        <w:rPr>
          <w:rFonts w:cs="Arial"/>
          <w:sz w:val="22"/>
          <w:szCs w:val="22"/>
        </w:rPr>
      </w:pPr>
      <w:r w:rsidRPr="004E16DA">
        <w:rPr>
          <w:rFonts w:cs="Arial"/>
          <w:sz w:val="22"/>
          <w:szCs w:val="22"/>
          <w:u w:val="single"/>
        </w:rPr>
        <w:t>Major outage</w:t>
      </w:r>
      <w:r w:rsidRPr="004E16DA">
        <w:rPr>
          <w:rFonts w:cs="Arial"/>
          <w:sz w:val="22"/>
          <w:szCs w:val="22"/>
        </w:rPr>
        <w:t xml:space="preserve"> – </w:t>
      </w:r>
      <w:r w:rsidR="00404A7D" w:rsidRPr="004E16DA">
        <w:rPr>
          <w:rFonts w:cs="Arial"/>
          <w:sz w:val="22"/>
          <w:szCs w:val="22"/>
        </w:rPr>
        <w:t xml:space="preserve">being for a duration of </w:t>
      </w:r>
      <w:r w:rsidR="001318B7" w:rsidRPr="004E16DA">
        <w:rPr>
          <w:rFonts w:cs="Arial"/>
          <w:sz w:val="22"/>
          <w:szCs w:val="22"/>
        </w:rPr>
        <w:t xml:space="preserve">30 minutes; and </w:t>
      </w:r>
      <w:r w:rsidR="00713FEB" w:rsidRPr="004E16DA">
        <w:rPr>
          <w:rFonts w:cs="Arial"/>
          <w:sz w:val="22"/>
          <w:szCs w:val="22"/>
        </w:rPr>
        <w:t>affecting</w:t>
      </w:r>
      <w:r w:rsidR="001318B7" w:rsidRPr="004E16DA">
        <w:rPr>
          <w:rFonts w:cs="Arial"/>
          <w:sz w:val="22"/>
          <w:szCs w:val="22"/>
        </w:rPr>
        <w:t xml:space="preserve"> either</w:t>
      </w:r>
      <w:r w:rsidR="00713FEB" w:rsidRPr="004E16DA">
        <w:rPr>
          <w:rFonts w:cs="Arial"/>
          <w:sz w:val="22"/>
          <w:szCs w:val="22"/>
        </w:rPr>
        <w:t xml:space="preserve"> 500,000 or more the carrier’s or CSPs services in operation</w:t>
      </w:r>
      <w:r w:rsidR="00404A7D" w:rsidRPr="004E16DA">
        <w:rPr>
          <w:rFonts w:cs="Arial"/>
          <w:sz w:val="22"/>
          <w:szCs w:val="22"/>
        </w:rPr>
        <w:t>; or all carriage services provided by a carrier or carriage service provider in a State or Territory</w:t>
      </w:r>
      <w:r w:rsidR="001318B7" w:rsidRPr="004E16DA">
        <w:rPr>
          <w:rFonts w:cs="Arial"/>
          <w:sz w:val="22"/>
          <w:szCs w:val="22"/>
        </w:rPr>
        <w:t>.</w:t>
      </w:r>
    </w:p>
    <w:p w14:paraId="20685B50" w14:textId="40BF4CDD" w:rsidR="00DA37E0" w:rsidRPr="004E16DA" w:rsidRDefault="00D921B7" w:rsidP="004C7627">
      <w:pPr>
        <w:pStyle w:val="ListParagraph"/>
        <w:numPr>
          <w:ilvl w:val="0"/>
          <w:numId w:val="47"/>
        </w:numPr>
        <w:rPr>
          <w:rFonts w:cs="Arial"/>
          <w:sz w:val="22"/>
          <w:szCs w:val="22"/>
        </w:rPr>
      </w:pPr>
      <w:r w:rsidRPr="004E16DA">
        <w:rPr>
          <w:rFonts w:cs="Arial"/>
          <w:sz w:val="22"/>
          <w:szCs w:val="22"/>
          <w:u w:val="single"/>
        </w:rPr>
        <w:t>Significant local outage</w:t>
      </w:r>
      <w:r w:rsidRPr="004E16DA">
        <w:rPr>
          <w:rFonts w:cs="Arial"/>
          <w:sz w:val="22"/>
          <w:szCs w:val="22"/>
        </w:rPr>
        <w:t xml:space="preserve"> </w:t>
      </w:r>
      <w:r w:rsidR="00BF0EEE" w:rsidRPr="004E16DA">
        <w:rPr>
          <w:rFonts w:cs="Arial"/>
          <w:sz w:val="22"/>
          <w:szCs w:val="22"/>
        </w:rPr>
        <w:t>– being for a duration of longer than 6 hours</w:t>
      </w:r>
      <w:r w:rsidR="00CE1297" w:rsidRPr="004E16DA">
        <w:rPr>
          <w:rFonts w:cs="Arial"/>
          <w:sz w:val="22"/>
          <w:szCs w:val="22"/>
        </w:rPr>
        <w:t>; and affecting 50,000 or more</w:t>
      </w:r>
      <w:r w:rsidR="00CC5E17" w:rsidRPr="004E16DA">
        <w:rPr>
          <w:rFonts w:cs="Arial"/>
          <w:sz w:val="22"/>
          <w:szCs w:val="22"/>
        </w:rPr>
        <w:t xml:space="preserve"> of the CSPs services in operation. </w:t>
      </w:r>
    </w:p>
    <w:p w14:paraId="2B349B9F" w14:textId="1AB13DCB" w:rsidR="00826E95" w:rsidRDefault="006970F7" w:rsidP="00826E95">
      <w:pPr>
        <w:rPr>
          <w:rFonts w:cs="Arial"/>
          <w:sz w:val="22"/>
          <w:szCs w:val="22"/>
        </w:rPr>
      </w:pPr>
      <w:r>
        <w:rPr>
          <w:rFonts w:cs="Arial"/>
          <w:sz w:val="22"/>
          <w:szCs w:val="22"/>
        </w:rPr>
        <w:t xml:space="preserve">The original draft standard also </w:t>
      </w:r>
      <w:r w:rsidR="00B844AB">
        <w:rPr>
          <w:rFonts w:cs="Arial"/>
          <w:sz w:val="22"/>
          <w:szCs w:val="22"/>
        </w:rPr>
        <w:t xml:space="preserve">excluded outages that were planned and that were caused by natural disasters. </w:t>
      </w:r>
    </w:p>
    <w:p w14:paraId="0BED8686" w14:textId="77777777" w:rsidR="00E84F6B" w:rsidRDefault="00E84F6B" w:rsidP="00826E95">
      <w:pPr>
        <w:rPr>
          <w:rFonts w:cs="Arial"/>
          <w:sz w:val="22"/>
          <w:szCs w:val="22"/>
        </w:rPr>
      </w:pPr>
    </w:p>
    <w:p w14:paraId="0E1301BD" w14:textId="46700BED" w:rsidR="00B55917" w:rsidRPr="004C7627" w:rsidRDefault="00B55917" w:rsidP="00E30DF5">
      <w:pPr>
        <w:rPr>
          <w:rFonts w:cs="Arial"/>
          <w:i/>
          <w:iCs/>
          <w:sz w:val="22"/>
          <w:szCs w:val="22"/>
          <w:u w:val="single"/>
        </w:rPr>
      </w:pPr>
      <w:r w:rsidRPr="004C7627">
        <w:rPr>
          <w:rFonts w:cs="Arial"/>
          <w:i/>
          <w:iCs/>
          <w:sz w:val="22"/>
          <w:szCs w:val="22"/>
          <w:u w:val="single"/>
        </w:rPr>
        <w:lastRenderedPageBreak/>
        <w:t>Major outages</w:t>
      </w:r>
    </w:p>
    <w:p w14:paraId="5117737B" w14:textId="4830BBF6" w:rsidR="008B2DB6" w:rsidRDefault="00B55917" w:rsidP="00E30DF5">
      <w:pPr>
        <w:rPr>
          <w:rFonts w:cs="Arial"/>
          <w:sz w:val="22"/>
          <w:szCs w:val="22"/>
        </w:rPr>
      </w:pPr>
      <w:r w:rsidRPr="13E93F1A">
        <w:rPr>
          <w:rFonts w:cs="Arial"/>
          <w:sz w:val="22"/>
          <w:szCs w:val="22"/>
        </w:rPr>
        <w:t xml:space="preserve">Industry was comfortable with the threshold for major outages however had some concerns with the technical meaning of what constituted </w:t>
      </w:r>
      <w:r w:rsidR="00B12A00" w:rsidRPr="13E93F1A">
        <w:rPr>
          <w:rFonts w:cs="Arial"/>
          <w:sz w:val="22"/>
          <w:szCs w:val="22"/>
        </w:rPr>
        <w:t xml:space="preserve">an </w:t>
      </w:r>
      <w:r w:rsidRPr="13E93F1A">
        <w:rPr>
          <w:rFonts w:cs="Arial"/>
          <w:sz w:val="22"/>
          <w:szCs w:val="22"/>
        </w:rPr>
        <w:t xml:space="preserve">outage. </w:t>
      </w:r>
      <w:r w:rsidR="00E00098" w:rsidRPr="13E93F1A">
        <w:rPr>
          <w:rFonts w:cs="Arial"/>
          <w:sz w:val="22"/>
          <w:szCs w:val="22"/>
        </w:rPr>
        <w:t xml:space="preserve">ACCAN, the Department, TIO and some members of the public argued the threshold </w:t>
      </w:r>
      <w:r w:rsidR="007C7F86" w:rsidRPr="13E93F1A">
        <w:rPr>
          <w:rFonts w:cs="Arial"/>
          <w:sz w:val="22"/>
          <w:szCs w:val="22"/>
        </w:rPr>
        <w:t>of 500,000</w:t>
      </w:r>
      <w:r w:rsidR="006762E9" w:rsidRPr="13E93F1A">
        <w:rPr>
          <w:rFonts w:cs="Arial"/>
          <w:sz w:val="22"/>
          <w:szCs w:val="22"/>
        </w:rPr>
        <w:t xml:space="preserve"> impacted users</w:t>
      </w:r>
      <w:r w:rsidR="007C7F86" w:rsidRPr="13E93F1A">
        <w:rPr>
          <w:rFonts w:cs="Arial"/>
          <w:sz w:val="22"/>
          <w:szCs w:val="22"/>
        </w:rPr>
        <w:t xml:space="preserve"> i</w:t>
      </w:r>
      <w:r w:rsidR="000F6DEB" w:rsidRPr="13E93F1A">
        <w:rPr>
          <w:rFonts w:cs="Arial"/>
          <w:sz w:val="22"/>
          <w:szCs w:val="22"/>
        </w:rPr>
        <w:t xml:space="preserve">s too </w:t>
      </w:r>
      <w:r w:rsidR="004A6886" w:rsidRPr="13E93F1A">
        <w:rPr>
          <w:rFonts w:cs="Arial"/>
          <w:sz w:val="22"/>
          <w:szCs w:val="22"/>
        </w:rPr>
        <w:t>high for major outages</w:t>
      </w:r>
      <w:r w:rsidR="006762E9" w:rsidRPr="13E93F1A">
        <w:rPr>
          <w:rFonts w:cs="Arial"/>
          <w:sz w:val="22"/>
          <w:szCs w:val="22"/>
        </w:rPr>
        <w:t xml:space="preserve">. </w:t>
      </w:r>
      <w:r w:rsidR="001C6CA8" w:rsidRPr="13E93F1A">
        <w:rPr>
          <w:rFonts w:cs="Arial"/>
          <w:sz w:val="22"/>
          <w:szCs w:val="22"/>
        </w:rPr>
        <w:t>It was argued that larger communities and capital</w:t>
      </w:r>
      <w:r w:rsidR="002F577B" w:rsidRPr="13E93F1A">
        <w:rPr>
          <w:rFonts w:cs="Arial"/>
          <w:sz w:val="22"/>
          <w:szCs w:val="22"/>
        </w:rPr>
        <w:t xml:space="preserve"> cities such as Darwin and Hobart would not be captured by the </w:t>
      </w:r>
      <w:r w:rsidR="004F4480" w:rsidRPr="13E93F1A">
        <w:rPr>
          <w:rFonts w:cs="Arial"/>
          <w:sz w:val="22"/>
          <w:szCs w:val="22"/>
        </w:rPr>
        <w:t>definition,</w:t>
      </w:r>
      <w:r w:rsidR="00CB0133" w:rsidRPr="13E93F1A">
        <w:rPr>
          <w:rFonts w:cs="Arial"/>
          <w:sz w:val="22"/>
          <w:szCs w:val="22"/>
        </w:rPr>
        <w:t xml:space="preserve"> which is unacceptable</w:t>
      </w:r>
      <w:r w:rsidR="00BF2100" w:rsidRPr="13E93F1A">
        <w:rPr>
          <w:rFonts w:cs="Arial"/>
          <w:sz w:val="22"/>
          <w:szCs w:val="22"/>
        </w:rPr>
        <w:t>, although they would be captured if all service</w:t>
      </w:r>
      <w:r w:rsidR="00A67887" w:rsidRPr="13E93F1A">
        <w:rPr>
          <w:rFonts w:cs="Arial"/>
          <w:sz w:val="22"/>
          <w:szCs w:val="22"/>
        </w:rPr>
        <w:t>s</w:t>
      </w:r>
      <w:r w:rsidR="00BF2100" w:rsidRPr="13E93F1A">
        <w:rPr>
          <w:rFonts w:cs="Arial"/>
          <w:sz w:val="22"/>
          <w:szCs w:val="22"/>
        </w:rPr>
        <w:t xml:space="preserve"> provided by a carrier are not functioning in that state or territory</w:t>
      </w:r>
      <w:r w:rsidR="00CB0133" w:rsidRPr="13E93F1A">
        <w:rPr>
          <w:rFonts w:cs="Arial"/>
          <w:sz w:val="22"/>
          <w:szCs w:val="22"/>
        </w:rPr>
        <w:t xml:space="preserve">. </w:t>
      </w:r>
      <w:r w:rsidR="00342F93" w:rsidRPr="13E93F1A">
        <w:rPr>
          <w:rFonts w:cs="Arial"/>
          <w:sz w:val="22"/>
          <w:szCs w:val="22"/>
        </w:rPr>
        <w:t xml:space="preserve">The submissions </w:t>
      </w:r>
      <w:r w:rsidR="00CB0133" w:rsidRPr="13E93F1A">
        <w:rPr>
          <w:rFonts w:cs="Arial"/>
          <w:sz w:val="22"/>
          <w:szCs w:val="22"/>
        </w:rPr>
        <w:t xml:space="preserve">also </w:t>
      </w:r>
      <w:r w:rsidR="00342F93" w:rsidRPr="13E93F1A">
        <w:rPr>
          <w:rFonts w:cs="Arial"/>
          <w:sz w:val="22"/>
          <w:szCs w:val="22"/>
        </w:rPr>
        <w:t xml:space="preserve">argued that the impact to end-users is materially the same regardless of the size </w:t>
      </w:r>
      <w:r w:rsidR="0024149C" w:rsidRPr="13E93F1A">
        <w:rPr>
          <w:rFonts w:cs="Arial"/>
          <w:sz w:val="22"/>
          <w:szCs w:val="22"/>
        </w:rPr>
        <w:t xml:space="preserve">or cause </w:t>
      </w:r>
      <w:r w:rsidR="00342F93" w:rsidRPr="13E93F1A">
        <w:rPr>
          <w:rFonts w:cs="Arial"/>
          <w:sz w:val="22"/>
          <w:szCs w:val="22"/>
        </w:rPr>
        <w:t>of the outage</w:t>
      </w:r>
      <w:r w:rsidR="006762E9" w:rsidRPr="13E93F1A">
        <w:rPr>
          <w:rFonts w:cs="Arial"/>
          <w:sz w:val="22"/>
          <w:szCs w:val="22"/>
        </w:rPr>
        <w:t xml:space="preserve">, </w:t>
      </w:r>
      <w:r w:rsidR="008B2DB6" w:rsidRPr="13E93F1A">
        <w:rPr>
          <w:rFonts w:cs="Arial"/>
          <w:sz w:val="22"/>
          <w:szCs w:val="22"/>
        </w:rPr>
        <w:t>and that the</w:t>
      </w:r>
      <w:r w:rsidR="008A0F1F" w:rsidRPr="13E93F1A">
        <w:rPr>
          <w:rFonts w:cs="Arial"/>
          <w:sz w:val="22"/>
          <w:szCs w:val="22"/>
        </w:rPr>
        <w:t xml:space="preserve"> </w:t>
      </w:r>
      <w:r w:rsidR="00A62B19" w:rsidRPr="13E93F1A">
        <w:rPr>
          <w:rFonts w:cs="Arial"/>
          <w:sz w:val="22"/>
          <w:szCs w:val="22"/>
        </w:rPr>
        <w:t>impact to a community of an outage is significant, especially where a community relies on only one telecommunications service provider</w:t>
      </w:r>
      <w:r w:rsidR="00617043" w:rsidRPr="13E93F1A">
        <w:rPr>
          <w:rFonts w:cs="Arial"/>
          <w:sz w:val="22"/>
          <w:szCs w:val="22"/>
        </w:rPr>
        <w:t xml:space="preserve"> and can be ‘cut-off’ from essential telecommunications services.</w:t>
      </w:r>
    </w:p>
    <w:p w14:paraId="1B5F63D9" w14:textId="668AED45" w:rsidR="00B55917" w:rsidRPr="00E47E7D" w:rsidRDefault="00B55917" w:rsidP="00E30DF5">
      <w:pPr>
        <w:rPr>
          <w:rFonts w:cs="Arial"/>
          <w:i/>
          <w:iCs/>
          <w:sz w:val="22"/>
          <w:szCs w:val="22"/>
          <w:u w:val="single"/>
        </w:rPr>
      </w:pPr>
      <w:r w:rsidRPr="00E47E7D">
        <w:rPr>
          <w:rFonts w:cs="Arial"/>
          <w:i/>
          <w:iCs/>
          <w:sz w:val="22"/>
          <w:szCs w:val="22"/>
          <w:u w:val="single"/>
        </w:rPr>
        <w:t>Significant local outages</w:t>
      </w:r>
    </w:p>
    <w:p w14:paraId="6E700198" w14:textId="0CF31B47" w:rsidR="00196C89" w:rsidRDefault="005D790D" w:rsidP="00E30DF5">
      <w:pPr>
        <w:rPr>
          <w:rFonts w:cs="Arial"/>
          <w:sz w:val="22"/>
          <w:szCs w:val="22"/>
        </w:rPr>
      </w:pPr>
      <w:r>
        <w:rPr>
          <w:rFonts w:cs="Arial"/>
          <w:sz w:val="22"/>
          <w:szCs w:val="22"/>
        </w:rPr>
        <w:t xml:space="preserve">A number of submissions </w:t>
      </w:r>
      <w:r w:rsidR="00AB6879">
        <w:rPr>
          <w:rFonts w:cs="Arial"/>
          <w:sz w:val="22"/>
          <w:szCs w:val="22"/>
        </w:rPr>
        <w:t xml:space="preserve">raised </w:t>
      </w:r>
      <w:r>
        <w:rPr>
          <w:rFonts w:cs="Arial"/>
          <w:sz w:val="22"/>
          <w:szCs w:val="22"/>
        </w:rPr>
        <w:t xml:space="preserve">complexities in defining </w:t>
      </w:r>
      <w:r w:rsidR="006F5485">
        <w:rPr>
          <w:rFonts w:cs="Arial"/>
          <w:sz w:val="22"/>
          <w:szCs w:val="22"/>
        </w:rPr>
        <w:t xml:space="preserve">significant local outage pointing to </w:t>
      </w:r>
      <w:r w:rsidR="00030D14">
        <w:rPr>
          <w:rFonts w:cs="Arial"/>
          <w:sz w:val="22"/>
          <w:szCs w:val="22"/>
        </w:rPr>
        <w:t xml:space="preserve">the </w:t>
      </w:r>
      <w:r w:rsidR="007026D2">
        <w:rPr>
          <w:rFonts w:cs="Arial"/>
          <w:sz w:val="22"/>
          <w:szCs w:val="22"/>
        </w:rPr>
        <w:t xml:space="preserve">importance of including </w:t>
      </w:r>
      <w:r w:rsidR="006F5485">
        <w:rPr>
          <w:rFonts w:cs="Arial"/>
          <w:sz w:val="22"/>
          <w:szCs w:val="22"/>
        </w:rPr>
        <w:t>geographical boundaries</w:t>
      </w:r>
      <w:r w:rsidR="007026D2">
        <w:rPr>
          <w:rFonts w:cs="Arial"/>
          <w:sz w:val="22"/>
          <w:szCs w:val="22"/>
        </w:rPr>
        <w:t xml:space="preserve"> into the definitions.</w:t>
      </w:r>
      <w:r w:rsidR="005A60C6">
        <w:rPr>
          <w:rFonts w:cs="Arial"/>
          <w:sz w:val="22"/>
          <w:szCs w:val="22"/>
        </w:rPr>
        <w:t xml:space="preserve"> </w:t>
      </w:r>
      <w:r w:rsidR="005A60C6" w:rsidRPr="005A60C6">
        <w:rPr>
          <w:rFonts w:cs="Arial"/>
          <w:sz w:val="22"/>
          <w:szCs w:val="22"/>
        </w:rPr>
        <w:t xml:space="preserve">Concerns </w:t>
      </w:r>
      <w:r w:rsidR="00412DE6">
        <w:rPr>
          <w:rFonts w:cs="Arial"/>
          <w:sz w:val="22"/>
          <w:szCs w:val="22"/>
        </w:rPr>
        <w:t>were</w:t>
      </w:r>
      <w:r w:rsidR="005A60C6" w:rsidRPr="005A60C6">
        <w:rPr>
          <w:rFonts w:cs="Arial"/>
          <w:sz w:val="22"/>
          <w:szCs w:val="22"/>
        </w:rPr>
        <w:t xml:space="preserve"> raised that 50,000 is too high </w:t>
      </w:r>
      <w:r w:rsidR="005A60C6">
        <w:rPr>
          <w:rFonts w:cs="Arial"/>
          <w:sz w:val="22"/>
          <w:szCs w:val="22"/>
        </w:rPr>
        <w:t>and that</w:t>
      </w:r>
      <w:r w:rsidR="005A60C6" w:rsidRPr="005A60C6">
        <w:rPr>
          <w:rFonts w:cs="Arial"/>
          <w:sz w:val="22"/>
          <w:szCs w:val="22"/>
        </w:rPr>
        <w:t xml:space="preserve"> smaller communities with a single provider would not be captured. Some </w:t>
      </w:r>
      <w:r w:rsidR="002C3AD3">
        <w:rPr>
          <w:rFonts w:cs="Arial"/>
          <w:sz w:val="22"/>
          <w:szCs w:val="22"/>
        </w:rPr>
        <w:t xml:space="preserve">argued that the threshold </w:t>
      </w:r>
      <w:r w:rsidR="005A60C6" w:rsidRPr="005A60C6">
        <w:rPr>
          <w:rFonts w:cs="Arial"/>
          <w:sz w:val="22"/>
          <w:szCs w:val="22"/>
        </w:rPr>
        <w:t>should be</w:t>
      </w:r>
      <w:r w:rsidR="002C3AD3">
        <w:rPr>
          <w:rFonts w:cs="Arial"/>
          <w:sz w:val="22"/>
          <w:szCs w:val="22"/>
        </w:rPr>
        <w:t xml:space="preserve"> defined by</w:t>
      </w:r>
      <w:r w:rsidR="005A60C6" w:rsidRPr="005A60C6">
        <w:rPr>
          <w:rFonts w:cs="Arial"/>
          <w:sz w:val="22"/>
          <w:szCs w:val="22"/>
        </w:rPr>
        <w:t xml:space="preserve"> 100 services impacted or a population centre or a suburb</w:t>
      </w:r>
      <w:r w:rsidR="002C3AD3">
        <w:rPr>
          <w:rFonts w:cs="Arial"/>
          <w:sz w:val="22"/>
          <w:szCs w:val="22"/>
        </w:rPr>
        <w:t>. There were also c</w:t>
      </w:r>
      <w:r w:rsidR="005A60C6" w:rsidRPr="005A60C6">
        <w:rPr>
          <w:rFonts w:cs="Arial"/>
          <w:sz w:val="22"/>
          <w:szCs w:val="22"/>
        </w:rPr>
        <w:t xml:space="preserve">oncerns </w:t>
      </w:r>
      <w:r w:rsidR="002C3AD3">
        <w:rPr>
          <w:rFonts w:cs="Arial"/>
          <w:sz w:val="22"/>
          <w:szCs w:val="22"/>
        </w:rPr>
        <w:t xml:space="preserve">raised </w:t>
      </w:r>
      <w:r w:rsidR="005A60C6" w:rsidRPr="005A60C6">
        <w:rPr>
          <w:rFonts w:cs="Arial"/>
          <w:sz w:val="22"/>
          <w:szCs w:val="22"/>
        </w:rPr>
        <w:t>that the duration is too long at 6 hours and should be 30-60 mins.</w:t>
      </w:r>
      <w:r w:rsidR="004D0F6C">
        <w:rPr>
          <w:rFonts w:cs="Arial"/>
          <w:sz w:val="22"/>
          <w:szCs w:val="22"/>
        </w:rPr>
        <w:t xml:space="preserve"> The TIO recommended that further </w:t>
      </w:r>
      <w:r w:rsidR="001642AF">
        <w:rPr>
          <w:rFonts w:cs="Arial"/>
          <w:sz w:val="22"/>
          <w:szCs w:val="22"/>
        </w:rPr>
        <w:t>consultation be conducted with rural and remote working groups</w:t>
      </w:r>
      <w:r w:rsidR="00AB6879">
        <w:rPr>
          <w:rFonts w:cs="Arial"/>
          <w:sz w:val="22"/>
          <w:szCs w:val="22"/>
        </w:rPr>
        <w:t xml:space="preserve"> to settle on a practical and workable definition</w:t>
      </w:r>
      <w:r w:rsidR="001642AF">
        <w:rPr>
          <w:rFonts w:cs="Arial"/>
          <w:sz w:val="22"/>
          <w:szCs w:val="22"/>
        </w:rPr>
        <w:t xml:space="preserve">. </w:t>
      </w:r>
      <w:r w:rsidR="007026D2">
        <w:rPr>
          <w:rFonts w:cs="Arial"/>
          <w:sz w:val="22"/>
          <w:szCs w:val="22"/>
        </w:rPr>
        <w:t xml:space="preserve"> </w:t>
      </w:r>
    </w:p>
    <w:p w14:paraId="37629AFA" w14:textId="17730B6E" w:rsidR="00B55917" w:rsidRPr="004C7627" w:rsidRDefault="00B55917" w:rsidP="00E30DF5">
      <w:pPr>
        <w:rPr>
          <w:rFonts w:cs="Arial"/>
          <w:b/>
          <w:bCs/>
          <w:sz w:val="22"/>
          <w:szCs w:val="22"/>
          <w:u w:val="single"/>
        </w:rPr>
      </w:pPr>
      <w:r w:rsidRPr="004C7627">
        <w:rPr>
          <w:rFonts w:cs="Arial"/>
          <w:b/>
          <w:bCs/>
          <w:sz w:val="22"/>
          <w:szCs w:val="22"/>
          <w:u w:val="single"/>
        </w:rPr>
        <w:t>Outages caused by natural disasters</w:t>
      </w:r>
    </w:p>
    <w:p w14:paraId="2F61A1D7" w14:textId="0A545DAA" w:rsidR="00935C07" w:rsidRDefault="00254E6A" w:rsidP="00E30DF5">
      <w:pPr>
        <w:rPr>
          <w:rFonts w:cs="Arial"/>
          <w:sz w:val="22"/>
          <w:szCs w:val="22"/>
        </w:rPr>
      </w:pPr>
      <w:r>
        <w:rPr>
          <w:rFonts w:cs="Arial"/>
          <w:sz w:val="22"/>
          <w:szCs w:val="22"/>
        </w:rPr>
        <w:t xml:space="preserve">While industry supported the exclusion of natural disasters, </w:t>
      </w:r>
      <w:r w:rsidR="00A23244">
        <w:rPr>
          <w:rFonts w:cs="Arial"/>
          <w:sz w:val="22"/>
          <w:szCs w:val="22"/>
        </w:rPr>
        <w:t xml:space="preserve">consumers, </w:t>
      </w:r>
      <w:r>
        <w:rPr>
          <w:rFonts w:cs="Arial"/>
          <w:sz w:val="22"/>
          <w:szCs w:val="22"/>
        </w:rPr>
        <w:t>the TIO, ACCAN</w:t>
      </w:r>
      <w:r w:rsidR="001B0570">
        <w:rPr>
          <w:rFonts w:cs="Arial"/>
          <w:sz w:val="22"/>
          <w:szCs w:val="22"/>
        </w:rPr>
        <w:t>, ACCC</w:t>
      </w:r>
      <w:r w:rsidR="00A23244">
        <w:rPr>
          <w:rFonts w:cs="Arial"/>
          <w:sz w:val="22"/>
          <w:szCs w:val="22"/>
        </w:rPr>
        <w:t xml:space="preserve"> </w:t>
      </w:r>
      <w:r w:rsidR="001B0570">
        <w:rPr>
          <w:rFonts w:cs="Arial"/>
          <w:sz w:val="22"/>
          <w:szCs w:val="22"/>
        </w:rPr>
        <w:t xml:space="preserve">and other government agencies, </w:t>
      </w:r>
      <w:r w:rsidR="00876507">
        <w:rPr>
          <w:rFonts w:cs="Arial"/>
          <w:sz w:val="22"/>
          <w:szCs w:val="22"/>
        </w:rPr>
        <w:t xml:space="preserve">argued that outages caused by natural disasters needed to be included in the Standard. </w:t>
      </w:r>
      <w:r w:rsidR="000C1EF3">
        <w:rPr>
          <w:rFonts w:cs="Arial"/>
          <w:sz w:val="22"/>
          <w:szCs w:val="22"/>
        </w:rPr>
        <w:t xml:space="preserve">The ACMA met with some </w:t>
      </w:r>
      <w:r w:rsidR="00C95CC3" w:rsidRPr="0A220127">
        <w:rPr>
          <w:rFonts w:cs="Arial"/>
          <w:sz w:val="22"/>
          <w:szCs w:val="22"/>
        </w:rPr>
        <w:t>state government</w:t>
      </w:r>
      <w:r w:rsidR="000C1EF3">
        <w:rPr>
          <w:rFonts w:cs="Arial"/>
          <w:sz w:val="22"/>
          <w:szCs w:val="22"/>
        </w:rPr>
        <w:t xml:space="preserve"> agencies</w:t>
      </w:r>
      <w:r w:rsidR="00C95CC3" w:rsidRPr="0A220127">
        <w:rPr>
          <w:rFonts w:cs="Arial"/>
          <w:sz w:val="22"/>
          <w:szCs w:val="22"/>
        </w:rPr>
        <w:t xml:space="preserve"> </w:t>
      </w:r>
      <w:r w:rsidR="000C1EF3">
        <w:rPr>
          <w:rFonts w:cs="Arial"/>
          <w:sz w:val="22"/>
          <w:szCs w:val="22"/>
        </w:rPr>
        <w:t xml:space="preserve">that </w:t>
      </w:r>
      <w:r w:rsidR="00C95CC3" w:rsidRPr="0A220127">
        <w:rPr>
          <w:rFonts w:cs="Arial"/>
          <w:sz w:val="22"/>
          <w:szCs w:val="22"/>
        </w:rPr>
        <w:t>sought the application of the communications requirements to all telecommunications outages, regardless of the size or cause of the outage. They proposed that the application of the standard should be broad</w:t>
      </w:r>
      <w:r w:rsidR="00611822">
        <w:rPr>
          <w:rFonts w:cs="Arial"/>
          <w:sz w:val="22"/>
          <w:szCs w:val="22"/>
        </w:rPr>
        <w:t>-</w:t>
      </w:r>
      <w:r w:rsidR="00C95CC3" w:rsidRPr="0A220127">
        <w:rPr>
          <w:rFonts w:cs="Arial"/>
          <w:sz w:val="22"/>
          <w:szCs w:val="22"/>
        </w:rPr>
        <w:t>based, and not only apply to outages caused by telecommunications companies themselves (by technical faults within the telecommunications network, facilities and systems</w:t>
      </w:r>
      <w:r w:rsidR="000C3CB2">
        <w:rPr>
          <w:rFonts w:cs="Arial"/>
          <w:sz w:val="22"/>
          <w:szCs w:val="22"/>
        </w:rPr>
        <w:t>)</w:t>
      </w:r>
      <w:r w:rsidR="00C95CC3" w:rsidRPr="0A220127">
        <w:rPr>
          <w:rFonts w:cs="Arial"/>
          <w:sz w:val="22"/>
          <w:szCs w:val="22"/>
        </w:rPr>
        <w:t xml:space="preserve">, but should be applied for any outages experienced by end-users, such as natural disasters, or any level of storm or electricity supply outage. </w:t>
      </w:r>
      <w:r w:rsidR="00A50893">
        <w:rPr>
          <w:rFonts w:cs="Arial"/>
          <w:sz w:val="22"/>
          <w:szCs w:val="22"/>
        </w:rPr>
        <w:t>S</w:t>
      </w:r>
      <w:r w:rsidR="00C95CC3" w:rsidRPr="0A220127">
        <w:rPr>
          <w:rFonts w:cs="Arial"/>
          <w:sz w:val="22"/>
          <w:szCs w:val="22"/>
        </w:rPr>
        <w:t>ubmissions argued that the impact to end-users is materially the same regardless of the size or cause of the outage</w:t>
      </w:r>
      <w:r w:rsidR="00935C07">
        <w:rPr>
          <w:rFonts w:cs="Arial"/>
          <w:sz w:val="22"/>
          <w:szCs w:val="22"/>
        </w:rPr>
        <w:t xml:space="preserve">. </w:t>
      </w:r>
    </w:p>
    <w:p w14:paraId="5A87D507" w14:textId="77777777" w:rsidR="00B969E2" w:rsidRPr="004C7627" w:rsidRDefault="00B969E2" w:rsidP="00B969E2">
      <w:pPr>
        <w:rPr>
          <w:rFonts w:cs="Arial"/>
          <w:b/>
          <w:bCs/>
          <w:sz w:val="22"/>
          <w:szCs w:val="22"/>
          <w:u w:val="single"/>
        </w:rPr>
      </w:pPr>
      <w:r w:rsidRPr="004C7627">
        <w:rPr>
          <w:rFonts w:cs="Arial"/>
          <w:b/>
          <w:bCs/>
          <w:sz w:val="22"/>
          <w:szCs w:val="22"/>
          <w:u w:val="single"/>
        </w:rPr>
        <w:t>Implementation timeframe</w:t>
      </w:r>
    </w:p>
    <w:p w14:paraId="46788866" w14:textId="77777777" w:rsidR="00A92353" w:rsidRPr="004C7627" w:rsidRDefault="00BC33E5" w:rsidP="00562404">
      <w:pPr>
        <w:rPr>
          <w:rFonts w:cs="Arial"/>
          <w:sz w:val="22"/>
          <w:szCs w:val="22"/>
        </w:rPr>
      </w:pPr>
      <w:r w:rsidRPr="004C7627">
        <w:rPr>
          <w:rFonts w:cs="Arial"/>
          <w:sz w:val="22"/>
          <w:szCs w:val="22"/>
        </w:rPr>
        <w:t xml:space="preserve">Industry raised concerns about the timing for implementation of the Standard being </w:t>
      </w:r>
      <w:r w:rsidR="00CB777F" w:rsidRPr="004C7627">
        <w:rPr>
          <w:rFonts w:cs="Arial"/>
          <w:sz w:val="22"/>
          <w:szCs w:val="22"/>
        </w:rPr>
        <w:t>31 December 2024. There are embargoes put in place over the Christmas fire and storm season until the end of January pro</w:t>
      </w:r>
      <w:r w:rsidR="00165695" w:rsidRPr="004C7627">
        <w:rPr>
          <w:rFonts w:cs="Arial"/>
          <w:sz w:val="22"/>
          <w:szCs w:val="22"/>
        </w:rPr>
        <w:t>hibiting any changes or upgrades to systems. This would prevent them from being able to implement changes enabling them to give effect to</w:t>
      </w:r>
      <w:r w:rsidR="009033C6" w:rsidRPr="004C7627">
        <w:rPr>
          <w:rFonts w:cs="Arial"/>
          <w:sz w:val="22"/>
          <w:szCs w:val="22"/>
        </w:rPr>
        <w:t xml:space="preserve"> and comply with</w:t>
      </w:r>
      <w:r w:rsidR="00165695" w:rsidRPr="004C7627">
        <w:rPr>
          <w:rFonts w:cs="Arial"/>
          <w:sz w:val="22"/>
          <w:szCs w:val="22"/>
        </w:rPr>
        <w:t xml:space="preserve"> the obligations in the Standard. </w:t>
      </w:r>
    </w:p>
    <w:p w14:paraId="4BB9B828" w14:textId="4EC4EF53" w:rsidR="00B969E2" w:rsidRPr="004C7627" w:rsidRDefault="00B969E2" w:rsidP="00A92353">
      <w:pPr>
        <w:rPr>
          <w:rFonts w:cs="Arial"/>
          <w:b/>
          <w:bCs/>
          <w:sz w:val="22"/>
          <w:szCs w:val="22"/>
          <w:u w:val="single"/>
        </w:rPr>
      </w:pPr>
      <w:r w:rsidRPr="004C7627">
        <w:rPr>
          <w:rFonts w:cs="Arial"/>
          <w:b/>
          <w:bCs/>
          <w:sz w:val="22"/>
          <w:szCs w:val="22"/>
          <w:u w:val="single"/>
        </w:rPr>
        <w:t>Arrangements for carriers without end-users</w:t>
      </w:r>
    </w:p>
    <w:p w14:paraId="23E63A9F" w14:textId="670B2722" w:rsidR="00BF46B7" w:rsidRPr="001D7903" w:rsidRDefault="00BF46B7" w:rsidP="001D7903">
      <w:pPr>
        <w:rPr>
          <w:rFonts w:cs="Arial"/>
          <w:sz w:val="22"/>
          <w:szCs w:val="22"/>
        </w:rPr>
      </w:pPr>
      <w:r w:rsidRPr="001D7903">
        <w:rPr>
          <w:rFonts w:cs="Arial"/>
          <w:sz w:val="22"/>
          <w:szCs w:val="22"/>
        </w:rPr>
        <w:t xml:space="preserve">Several submissions raised concerns </w:t>
      </w:r>
      <w:r w:rsidR="001101A0">
        <w:rPr>
          <w:rFonts w:cs="Arial"/>
          <w:sz w:val="22"/>
          <w:szCs w:val="22"/>
        </w:rPr>
        <w:t>that the</w:t>
      </w:r>
      <w:r w:rsidRPr="001D7903">
        <w:rPr>
          <w:rFonts w:cs="Arial"/>
          <w:sz w:val="22"/>
          <w:szCs w:val="22"/>
        </w:rPr>
        <w:t xml:space="preserve"> requirements</w:t>
      </w:r>
      <w:r w:rsidR="001101A0">
        <w:rPr>
          <w:rFonts w:cs="Arial"/>
          <w:sz w:val="22"/>
          <w:szCs w:val="22"/>
        </w:rPr>
        <w:t xml:space="preserve"> apply</w:t>
      </w:r>
      <w:r w:rsidRPr="001D7903">
        <w:rPr>
          <w:rFonts w:cs="Arial"/>
          <w:sz w:val="22"/>
          <w:szCs w:val="22"/>
        </w:rPr>
        <w:t xml:space="preserve"> to carriers that do not have end-users, and sought clarity on the requirements that would potentially apply to such carriers (for example carriers that only provide backhaul services, either domestically or via international submarine cables and sell capacity to other carriers or carriage service providers, but do not directly supply carriage services to end-users).</w:t>
      </w:r>
    </w:p>
    <w:p w14:paraId="1FA2A834" w14:textId="77777777" w:rsidR="005845E7" w:rsidRDefault="00BF46B7" w:rsidP="00C53285">
      <w:pPr>
        <w:rPr>
          <w:rFonts w:cs="Arial"/>
          <w:sz w:val="22"/>
          <w:szCs w:val="22"/>
        </w:rPr>
      </w:pPr>
      <w:r w:rsidRPr="001D7903">
        <w:rPr>
          <w:rFonts w:cs="Arial"/>
          <w:sz w:val="22"/>
          <w:szCs w:val="22"/>
        </w:rPr>
        <w:lastRenderedPageBreak/>
        <w:t xml:space="preserve">These submissions advocated that it would be unnecessary for these types of carriers to provide information to end-users, as end-users that ultimately rely on their services (through contractual arrangements with other carriage service providers to provide telecommunications services) would not look to such a carrier for information, as they are not aware of that carrier’s role in the supply chain. </w:t>
      </w:r>
    </w:p>
    <w:p w14:paraId="47EE5C93" w14:textId="1DFB1327" w:rsidR="00553CCA" w:rsidRPr="004C7627" w:rsidRDefault="00553CCA" w:rsidP="0066671B">
      <w:pPr>
        <w:rPr>
          <w:rFonts w:cs="Arial"/>
          <w:b/>
          <w:bCs/>
          <w:sz w:val="22"/>
          <w:szCs w:val="22"/>
          <w:u w:val="single"/>
        </w:rPr>
      </w:pPr>
      <w:r w:rsidRPr="004C7627">
        <w:rPr>
          <w:rFonts w:cs="Arial"/>
          <w:b/>
          <w:bCs/>
          <w:sz w:val="22"/>
          <w:szCs w:val="22"/>
          <w:u w:val="single"/>
        </w:rPr>
        <w:t>Arrangements for carriers vs CSPs</w:t>
      </w:r>
    </w:p>
    <w:p w14:paraId="14EF723B" w14:textId="083D4284" w:rsidR="00B969E2" w:rsidRPr="007C6282" w:rsidRDefault="00F03E1A" w:rsidP="004C7627">
      <w:pPr>
        <w:rPr>
          <w:rFonts w:cs="Arial"/>
          <w:sz w:val="22"/>
          <w:szCs w:val="22"/>
        </w:rPr>
      </w:pPr>
      <w:r w:rsidRPr="004C7627">
        <w:rPr>
          <w:rFonts w:cs="Arial"/>
          <w:sz w:val="22"/>
          <w:szCs w:val="22"/>
        </w:rPr>
        <w:t xml:space="preserve">Concerns were also raised about where the responsibility and capability lie in determining the </w:t>
      </w:r>
      <w:r w:rsidR="005845E7" w:rsidRPr="004C7627">
        <w:rPr>
          <w:rFonts w:cs="Arial"/>
          <w:sz w:val="22"/>
          <w:szCs w:val="22"/>
        </w:rPr>
        <w:t xml:space="preserve">scale of an outage. </w:t>
      </w:r>
      <w:r w:rsidR="00B969E2" w:rsidRPr="007C6282">
        <w:rPr>
          <w:rFonts w:cs="Arial"/>
          <w:sz w:val="22"/>
          <w:szCs w:val="22"/>
        </w:rPr>
        <w:t xml:space="preserve">CSPs </w:t>
      </w:r>
      <w:r w:rsidR="005845E7" w:rsidRPr="004C7627">
        <w:rPr>
          <w:rFonts w:cs="Arial"/>
          <w:sz w:val="22"/>
          <w:szCs w:val="22"/>
        </w:rPr>
        <w:t>argued that</w:t>
      </w:r>
      <w:r w:rsidR="006F3A65" w:rsidRPr="004C7627">
        <w:rPr>
          <w:rFonts w:cs="Arial"/>
          <w:sz w:val="22"/>
          <w:szCs w:val="22"/>
        </w:rPr>
        <w:t xml:space="preserve">, given they do not own the network, they are </w:t>
      </w:r>
      <w:r w:rsidR="00B969E2" w:rsidRPr="007C6282">
        <w:rPr>
          <w:rFonts w:cs="Arial"/>
          <w:sz w:val="22"/>
          <w:szCs w:val="22"/>
        </w:rPr>
        <w:t xml:space="preserve">unable to identify number of </w:t>
      </w:r>
      <w:r w:rsidR="006F3A65" w:rsidRPr="004C7627">
        <w:rPr>
          <w:rFonts w:cs="Arial"/>
          <w:sz w:val="22"/>
          <w:szCs w:val="22"/>
        </w:rPr>
        <w:t>services in operation that are</w:t>
      </w:r>
      <w:r w:rsidR="00B969E2" w:rsidRPr="007C6282">
        <w:rPr>
          <w:rFonts w:cs="Arial"/>
          <w:sz w:val="22"/>
          <w:szCs w:val="22"/>
        </w:rPr>
        <w:t xml:space="preserve"> affected by an outage</w:t>
      </w:r>
      <w:r w:rsidR="000C5ED7" w:rsidRPr="004C7627">
        <w:rPr>
          <w:rFonts w:cs="Arial"/>
          <w:sz w:val="22"/>
          <w:szCs w:val="22"/>
        </w:rPr>
        <w:t xml:space="preserve"> as that information is held by the carrier – the owner of the network</w:t>
      </w:r>
      <w:r w:rsidR="0066671B" w:rsidRPr="004C7627">
        <w:rPr>
          <w:rFonts w:cs="Arial"/>
          <w:sz w:val="22"/>
          <w:szCs w:val="22"/>
        </w:rPr>
        <w:t xml:space="preserve">. </w:t>
      </w:r>
      <w:r w:rsidR="00513D28" w:rsidRPr="004C7627">
        <w:rPr>
          <w:rFonts w:cs="Arial"/>
          <w:sz w:val="22"/>
          <w:szCs w:val="22"/>
        </w:rPr>
        <w:t>Some CSPs also argued that the n</w:t>
      </w:r>
      <w:r w:rsidR="00B969E2" w:rsidRPr="007C6282">
        <w:rPr>
          <w:rFonts w:cs="Arial"/>
          <w:sz w:val="22"/>
          <w:szCs w:val="22"/>
        </w:rPr>
        <w:t>otification requirements for smaller CSPs should not be the same as the larger CSPs and carriers given the significantly lower resources they work with</w:t>
      </w:r>
      <w:r w:rsidR="00B567F9">
        <w:rPr>
          <w:rFonts w:cs="Arial"/>
          <w:sz w:val="22"/>
          <w:szCs w:val="22"/>
        </w:rPr>
        <w:t>.</w:t>
      </w:r>
    </w:p>
    <w:p w14:paraId="3FAA8FBD" w14:textId="637FBE0F" w:rsidR="007C6282" w:rsidRPr="00D04EB8" w:rsidRDefault="007C6282">
      <w:pPr>
        <w:rPr>
          <w:rFonts w:cs="Arial"/>
          <w:b/>
          <w:bCs/>
          <w:sz w:val="22"/>
          <w:szCs w:val="22"/>
          <w:u w:val="single"/>
        </w:rPr>
      </w:pPr>
      <w:r w:rsidRPr="00D04EB8">
        <w:rPr>
          <w:rFonts w:cs="Arial"/>
          <w:b/>
          <w:bCs/>
          <w:sz w:val="22"/>
          <w:szCs w:val="22"/>
          <w:u w:val="single"/>
        </w:rPr>
        <w:t>Differentiating between end-users</w:t>
      </w:r>
    </w:p>
    <w:p w14:paraId="6D555606" w14:textId="628FBF4B" w:rsidR="00B969E2" w:rsidRPr="004C7627" w:rsidRDefault="008C0E53" w:rsidP="004C7627">
      <w:pPr>
        <w:rPr>
          <w:rFonts w:cs="Arial"/>
          <w:sz w:val="22"/>
          <w:szCs w:val="22"/>
        </w:rPr>
      </w:pPr>
      <w:r w:rsidRPr="00C77183">
        <w:rPr>
          <w:rFonts w:cs="Arial"/>
          <w:sz w:val="22"/>
          <w:szCs w:val="22"/>
        </w:rPr>
        <w:t xml:space="preserve">Some </w:t>
      </w:r>
      <w:r w:rsidR="0086579A" w:rsidRPr="00C77183">
        <w:rPr>
          <w:rFonts w:cs="Arial"/>
          <w:sz w:val="22"/>
          <w:szCs w:val="22"/>
        </w:rPr>
        <w:t xml:space="preserve">stakeholders argued that notification frequency and type should differ depending on the end-user (for example, small businesses, large enterprises or members of the public). </w:t>
      </w:r>
    </w:p>
    <w:p w14:paraId="2392728E" w14:textId="5ACA9896" w:rsidR="00B969E2" w:rsidRPr="004C7627" w:rsidRDefault="00AE5215" w:rsidP="00E30DF5">
      <w:pPr>
        <w:rPr>
          <w:rFonts w:cs="Arial"/>
          <w:b/>
          <w:bCs/>
          <w:sz w:val="22"/>
          <w:szCs w:val="22"/>
          <w:u w:val="single"/>
        </w:rPr>
      </w:pPr>
      <w:r w:rsidRPr="004C7627">
        <w:rPr>
          <w:rFonts w:cs="Arial"/>
          <w:b/>
          <w:bCs/>
          <w:sz w:val="22"/>
          <w:szCs w:val="22"/>
          <w:u w:val="single"/>
        </w:rPr>
        <w:t>Accessibility</w:t>
      </w:r>
    </w:p>
    <w:p w14:paraId="1640CC41" w14:textId="3AD0CBA8" w:rsidR="0047481C" w:rsidRPr="00C77183" w:rsidRDefault="0047481C" w:rsidP="00E30DF5">
      <w:pPr>
        <w:rPr>
          <w:rFonts w:cs="Arial"/>
          <w:sz w:val="22"/>
          <w:szCs w:val="22"/>
        </w:rPr>
      </w:pPr>
      <w:r w:rsidRPr="00C77183">
        <w:rPr>
          <w:rFonts w:cs="Arial"/>
          <w:sz w:val="22"/>
          <w:szCs w:val="22"/>
        </w:rPr>
        <w:t xml:space="preserve">ACCAN submitted accessibility requirements </w:t>
      </w:r>
      <w:r w:rsidR="00AE72CE" w:rsidRPr="00C77183">
        <w:rPr>
          <w:rFonts w:cs="Arial"/>
          <w:sz w:val="22"/>
          <w:szCs w:val="22"/>
        </w:rPr>
        <w:t>for vulnerable end-users w</w:t>
      </w:r>
      <w:r w:rsidR="00680195" w:rsidRPr="00C77183">
        <w:rPr>
          <w:rFonts w:cs="Arial"/>
          <w:sz w:val="22"/>
          <w:szCs w:val="22"/>
        </w:rPr>
        <w:t>ere</w:t>
      </w:r>
      <w:r w:rsidR="00AE72CE" w:rsidRPr="00C77183">
        <w:rPr>
          <w:rFonts w:cs="Arial"/>
          <w:sz w:val="22"/>
          <w:szCs w:val="22"/>
        </w:rPr>
        <w:t xml:space="preserve"> inadequate and did not meet the objective </w:t>
      </w:r>
      <w:r w:rsidR="008C0E53" w:rsidRPr="00C77183">
        <w:rPr>
          <w:rFonts w:cs="Arial"/>
          <w:sz w:val="22"/>
          <w:szCs w:val="22"/>
        </w:rPr>
        <w:t>of the Minister’s Direction</w:t>
      </w:r>
      <w:r w:rsidRPr="00C77183">
        <w:rPr>
          <w:rFonts w:cs="Arial"/>
          <w:sz w:val="22"/>
          <w:szCs w:val="22"/>
        </w:rPr>
        <w:t>.</w:t>
      </w:r>
      <w:r w:rsidR="00680195" w:rsidRPr="00C77183">
        <w:rPr>
          <w:rFonts w:cs="Arial"/>
          <w:sz w:val="22"/>
          <w:szCs w:val="22"/>
        </w:rPr>
        <w:t xml:space="preserve"> </w:t>
      </w:r>
    </w:p>
    <w:p w14:paraId="63A797E5" w14:textId="6E7EF2C0" w:rsidR="003E75ED" w:rsidRPr="00D04EB8" w:rsidRDefault="003E75ED" w:rsidP="003E75ED">
      <w:pPr>
        <w:rPr>
          <w:rFonts w:cs="Arial"/>
          <w:b/>
          <w:bCs/>
          <w:sz w:val="22"/>
          <w:szCs w:val="22"/>
          <w:u w:val="single"/>
        </w:rPr>
      </w:pPr>
      <w:r w:rsidRPr="00D04EB8">
        <w:rPr>
          <w:rFonts w:cs="Arial"/>
          <w:b/>
          <w:bCs/>
          <w:sz w:val="22"/>
          <w:szCs w:val="22"/>
          <w:u w:val="single"/>
        </w:rPr>
        <w:t>Notification frequency</w:t>
      </w:r>
    </w:p>
    <w:p w14:paraId="088D9EDE" w14:textId="389A254B" w:rsidR="003E75ED" w:rsidRPr="004C7627" w:rsidRDefault="003E75ED" w:rsidP="004C7627">
      <w:pPr>
        <w:rPr>
          <w:rFonts w:cs="Arial"/>
          <w:sz w:val="22"/>
          <w:szCs w:val="22"/>
        </w:rPr>
      </w:pPr>
      <w:r w:rsidRPr="004C7627">
        <w:rPr>
          <w:rFonts w:cs="Arial"/>
          <w:sz w:val="22"/>
          <w:szCs w:val="22"/>
        </w:rPr>
        <w:t>Carriers advised</w:t>
      </w:r>
      <w:r w:rsidR="009A6539" w:rsidRPr="00C77183">
        <w:rPr>
          <w:rFonts w:cs="Arial"/>
          <w:sz w:val="22"/>
          <w:szCs w:val="22"/>
        </w:rPr>
        <w:t xml:space="preserve"> their</w:t>
      </w:r>
      <w:r w:rsidRPr="004C7627">
        <w:rPr>
          <w:rFonts w:cs="Arial"/>
          <w:sz w:val="22"/>
          <w:szCs w:val="22"/>
        </w:rPr>
        <w:t xml:space="preserve"> systems will need to be updated to send mass volumes of SMS notifications and email </w:t>
      </w:r>
      <w:r w:rsidRPr="00C77183">
        <w:rPr>
          <w:rFonts w:cs="Arial"/>
          <w:sz w:val="22"/>
          <w:szCs w:val="22"/>
        </w:rPr>
        <w:t>as their</w:t>
      </w:r>
      <w:r w:rsidRPr="004C7627">
        <w:rPr>
          <w:rFonts w:cs="Arial"/>
          <w:sz w:val="22"/>
          <w:szCs w:val="22"/>
        </w:rPr>
        <w:t xml:space="preserve"> current systems </w:t>
      </w:r>
      <w:r w:rsidRPr="00C77183">
        <w:rPr>
          <w:rFonts w:cs="Arial"/>
          <w:sz w:val="22"/>
          <w:szCs w:val="22"/>
        </w:rPr>
        <w:t xml:space="preserve">are </w:t>
      </w:r>
      <w:r w:rsidRPr="004C7627">
        <w:rPr>
          <w:rFonts w:cs="Arial"/>
          <w:sz w:val="22"/>
          <w:szCs w:val="22"/>
        </w:rPr>
        <w:t>not adequate</w:t>
      </w:r>
      <w:r w:rsidRPr="00C77183">
        <w:rPr>
          <w:rFonts w:cs="Arial"/>
          <w:sz w:val="22"/>
          <w:szCs w:val="22"/>
        </w:rPr>
        <w:t xml:space="preserve">. </w:t>
      </w:r>
      <w:r w:rsidRPr="004C7627">
        <w:rPr>
          <w:rFonts w:cs="Arial"/>
          <w:sz w:val="22"/>
          <w:szCs w:val="22"/>
        </w:rPr>
        <w:t>​</w:t>
      </w:r>
    </w:p>
    <w:p w14:paraId="595D4F2F" w14:textId="0F9F276A" w:rsidR="003E75ED" w:rsidRDefault="003E75ED">
      <w:pPr>
        <w:rPr>
          <w:rFonts w:cs="Arial"/>
          <w:color w:val="000000"/>
          <w:position w:val="2"/>
          <w:sz w:val="40"/>
          <w:szCs w:val="40"/>
          <w:lang w:val="en-US"/>
        </w:rPr>
      </w:pPr>
      <w:r w:rsidRPr="004C7627">
        <w:rPr>
          <w:rFonts w:cs="Arial"/>
          <w:sz w:val="22"/>
          <w:szCs w:val="22"/>
          <w:u w:val="single"/>
        </w:rPr>
        <w:t>​</w:t>
      </w:r>
      <w:r w:rsidR="00B15577" w:rsidRPr="00C77183">
        <w:rPr>
          <w:rFonts w:cs="Arial"/>
          <w:sz w:val="22"/>
          <w:szCs w:val="22"/>
        </w:rPr>
        <w:t>C</w:t>
      </w:r>
      <w:r w:rsidR="009A6539" w:rsidRPr="00C77183">
        <w:rPr>
          <w:rFonts w:cs="Arial"/>
          <w:sz w:val="22"/>
          <w:szCs w:val="22"/>
        </w:rPr>
        <w:t xml:space="preserve">arriers also </w:t>
      </w:r>
      <w:r w:rsidR="00576C3D" w:rsidRPr="00C77183">
        <w:rPr>
          <w:rFonts w:cs="Arial"/>
          <w:sz w:val="22"/>
          <w:szCs w:val="22"/>
        </w:rPr>
        <w:t xml:space="preserve">advised </w:t>
      </w:r>
      <w:r w:rsidR="009A6539" w:rsidRPr="00C77183">
        <w:rPr>
          <w:rFonts w:cs="Arial"/>
          <w:sz w:val="22"/>
          <w:szCs w:val="22"/>
        </w:rPr>
        <w:t>that</w:t>
      </w:r>
      <w:r w:rsidRPr="004C7627">
        <w:rPr>
          <w:rFonts w:cs="Arial"/>
          <w:sz w:val="22"/>
          <w:szCs w:val="22"/>
        </w:rPr>
        <w:t xml:space="preserve"> notifications every two hours will be too frequent for long duration outages – especially if applied to natural disasters that may last days</w:t>
      </w:r>
      <w:r w:rsidR="00C276D6">
        <w:rPr>
          <w:rFonts w:cs="Arial"/>
          <w:sz w:val="22"/>
          <w:szCs w:val="22"/>
        </w:rPr>
        <w:t xml:space="preserve"> or </w:t>
      </w:r>
      <w:r w:rsidRPr="004C7627">
        <w:rPr>
          <w:rFonts w:cs="Arial"/>
          <w:sz w:val="22"/>
          <w:szCs w:val="22"/>
        </w:rPr>
        <w:t>weeks</w:t>
      </w:r>
      <w:r w:rsidR="009A6539" w:rsidRPr="00C77183">
        <w:rPr>
          <w:rFonts w:cs="Arial"/>
          <w:sz w:val="22"/>
          <w:szCs w:val="22"/>
        </w:rPr>
        <w:t xml:space="preserve">. Carriers also argued that </w:t>
      </w:r>
      <w:r w:rsidRPr="004C7627">
        <w:rPr>
          <w:rFonts w:cs="Arial"/>
          <w:sz w:val="22"/>
          <w:szCs w:val="22"/>
        </w:rPr>
        <w:t>SMS notifications risk clogging mobile networks when they are recovering</w:t>
      </w:r>
      <w:r w:rsidR="009A6539" w:rsidRPr="00C77183">
        <w:rPr>
          <w:rFonts w:cs="Arial"/>
          <w:sz w:val="22"/>
          <w:szCs w:val="22"/>
        </w:rPr>
        <w:t xml:space="preserve"> from outages</w:t>
      </w:r>
      <w:r w:rsidRPr="004C7627">
        <w:rPr>
          <w:rFonts w:cs="Arial"/>
          <w:sz w:val="22"/>
          <w:szCs w:val="22"/>
        </w:rPr>
        <w:t xml:space="preserve">, especially where staged every 2 hours but cannot be sent due to </w:t>
      </w:r>
      <w:r w:rsidR="009A6539" w:rsidRPr="00C77183">
        <w:rPr>
          <w:rFonts w:cs="Arial"/>
          <w:sz w:val="22"/>
          <w:szCs w:val="22"/>
        </w:rPr>
        <w:t xml:space="preserve">the </w:t>
      </w:r>
      <w:r w:rsidRPr="004C7627">
        <w:rPr>
          <w:rFonts w:cs="Arial"/>
          <w:sz w:val="22"/>
          <w:szCs w:val="22"/>
        </w:rPr>
        <w:t xml:space="preserve">network outage. </w:t>
      </w:r>
      <w:r w:rsidR="00DF4CA5" w:rsidRPr="00C77183">
        <w:rPr>
          <w:rFonts w:cs="Arial"/>
          <w:sz w:val="22"/>
          <w:szCs w:val="22"/>
        </w:rPr>
        <w:t xml:space="preserve">This </w:t>
      </w:r>
      <w:r w:rsidR="00BE0BD3" w:rsidRPr="00C77183">
        <w:rPr>
          <w:rFonts w:cs="Arial"/>
          <w:sz w:val="22"/>
          <w:szCs w:val="22"/>
        </w:rPr>
        <w:t xml:space="preserve">gives rise to the potential </w:t>
      </w:r>
      <w:r w:rsidRPr="004C7627">
        <w:rPr>
          <w:rFonts w:cs="Arial"/>
          <w:sz w:val="22"/>
          <w:szCs w:val="22"/>
        </w:rPr>
        <w:t xml:space="preserve">for confusion with end users when notifications </w:t>
      </w:r>
      <w:r w:rsidR="00BE0BD3" w:rsidRPr="00C77183">
        <w:rPr>
          <w:rFonts w:cs="Arial"/>
          <w:sz w:val="22"/>
          <w:szCs w:val="22"/>
        </w:rPr>
        <w:t xml:space="preserve">are </w:t>
      </w:r>
      <w:r w:rsidRPr="004C7627">
        <w:rPr>
          <w:rFonts w:cs="Arial"/>
          <w:sz w:val="22"/>
          <w:szCs w:val="22"/>
        </w:rPr>
        <w:t xml:space="preserve">received, </w:t>
      </w:r>
      <w:r w:rsidR="00BC3F1E" w:rsidRPr="00C77183">
        <w:rPr>
          <w:rFonts w:cs="Arial"/>
          <w:sz w:val="22"/>
          <w:szCs w:val="22"/>
        </w:rPr>
        <w:t xml:space="preserve">and the </w:t>
      </w:r>
      <w:r w:rsidRPr="004C7627">
        <w:rPr>
          <w:rFonts w:cs="Arial"/>
          <w:sz w:val="22"/>
          <w:szCs w:val="22"/>
        </w:rPr>
        <w:t>info</w:t>
      </w:r>
      <w:r w:rsidR="00BC3F1E" w:rsidRPr="00C77183">
        <w:rPr>
          <w:rFonts w:cs="Arial"/>
          <w:sz w:val="22"/>
          <w:szCs w:val="22"/>
        </w:rPr>
        <w:t>rmation received</w:t>
      </w:r>
      <w:r w:rsidRPr="004C7627">
        <w:rPr>
          <w:rFonts w:cs="Arial"/>
          <w:sz w:val="22"/>
          <w:szCs w:val="22"/>
        </w:rPr>
        <w:t xml:space="preserve"> may not be accurate.</w:t>
      </w:r>
    </w:p>
    <w:p w14:paraId="2C0BBAF2" w14:textId="51328414" w:rsidR="00D4130C" w:rsidRPr="004C7627" w:rsidRDefault="00D4130C" w:rsidP="00E30DF5">
      <w:pPr>
        <w:rPr>
          <w:rFonts w:cs="Arial"/>
          <w:b/>
          <w:bCs/>
          <w:sz w:val="22"/>
          <w:szCs w:val="22"/>
        </w:rPr>
      </w:pPr>
      <w:r w:rsidRPr="004C7627">
        <w:rPr>
          <w:rFonts w:cs="Arial"/>
          <w:b/>
          <w:bCs/>
          <w:sz w:val="22"/>
          <w:szCs w:val="22"/>
        </w:rPr>
        <w:t xml:space="preserve">How were these submissions </w:t>
      </w:r>
      <w:r w:rsidR="00A80E3B" w:rsidRPr="004C7627">
        <w:rPr>
          <w:rFonts w:cs="Arial"/>
          <w:b/>
          <w:bCs/>
          <w:sz w:val="22"/>
          <w:szCs w:val="22"/>
        </w:rPr>
        <w:t>considered in shaping the approach to the final Standard</w:t>
      </w:r>
      <w:r w:rsidR="0089080B" w:rsidRPr="004C7627">
        <w:rPr>
          <w:rFonts w:cs="Arial"/>
          <w:b/>
          <w:bCs/>
          <w:sz w:val="22"/>
          <w:szCs w:val="22"/>
        </w:rPr>
        <w:t xml:space="preserve">? </w:t>
      </w:r>
    </w:p>
    <w:p w14:paraId="5040BFA9" w14:textId="60BB4B0F" w:rsidR="00210C17" w:rsidRDefault="007E5EE5" w:rsidP="00E30DF5">
      <w:pPr>
        <w:rPr>
          <w:rFonts w:cs="Arial"/>
          <w:sz w:val="22"/>
          <w:szCs w:val="22"/>
        </w:rPr>
      </w:pPr>
      <w:r>
        <w:rPr>
          <w:rFonts w:cs="Arial"/>
          <w:sz w:val="22"/>
          <w:szCs w:val="22"/>
        </w:rPr>
        <w:t xml:space="preserve">These issues, along with editorial feedback from all submissions, </w:t>
      </w:r>
      <w:r w:rsidR="007C6282">
        <w:rPr>
          <w:rFonts w:cs="Arial"/>
          <w:sz w:val="22"/>
          <w:szCs w:val="22"/>
        </w:rPr>
        <w:t>were</w:t>
      </w:r>
      <w:r>
        <w:rPr>
          <w:rFonts w:cs="Arial"/>
          <w:sz w:val="22"/>
          <w:szCs w:val="22"/>
        </w:rPr>
        <w:t xml:space="preserve"> considered in shaping the approach to finalise the Standard. </w:t>
      </w:r>
      <w:r w:rsidR="001B15A8">
        <w:rPr>
          <w:rFonts w:cs="Arial"/>
          <w:sz w:val="22"/>
          <w:szCs w:val="22"/>
        </w:rPr>
        <w:t xml:space="preserve">Notable changes to the </w:t>
      </w:r>
      <w:r w:rsidR="007C6282">
        <w:rPr>
          <w:rFonts w:cs="Arial"/>
          <w:sz w:val="22"/>
          <w:szCs w:val="22"/>
        </w:rPr>
        <w:t xml:space="preserve">current </w:t>
      </w:r>
      <w:r w:rsidR="00E64D71">
        <w:rPr>
          <w:rFonts w:cs="Arial"/>
          <w:sz w:val="22"/>
          <w:szCs w:val="22"/>
        </w:rPr>
        <w:t xml:space="preserve">drafting of the </w:t>
      </w:r>
      <w:r w:rsidR="001B15A8">
        <w:rPr>
          <w:rFonts w:cs="Arial"/>
          <w:sz w:val="22"/>
          <w:szCs w:val="22"/>
        </w:rPr>
        <w:t xml:space="preserve">Standard include: </w:t>
      </w:r>
    </w:p>
    <w:p w14:paraId="2D0D59AB" w14:textId="4B18E94E" w:rsidR="007609C2" w:rsidRDefault="001B15A8" w:rsidP="007609C2">
      <w:pPr>
        <w:pStyle w:val="ListParagraph"/>
        <w:numPr>
          <w:ilvl w:val="0"/>
          <w:numId w:val="47"/>
        </w:numPr>
        <w:rPr>
          <w:rFonts w:cs="Arial"/>
          <w:sz w:val="22"/>
          <w:szCs w:val="22"/>
        </w:rPr>
      </w:pPr>
      <w:r>
        <w:rPr>
          <w:rFonts w:cs="Arial"/>
          <w:sz w:val="22"/>
          <w:szCs w:val="22"/>
        </w:rPr>
        <w:t>Significant local outage</w:t>
      </w:r>
      <w:r w:rsidR="00E41B66">
        <w:rPr>
          <w:rFonts w:cs="Arial"/>
          <w:sz w:val="22"/>
          <w:szCs w:val="22"/>
        </w:rPr>
        <w:t>s</w:t>
      </w:r>
      <w:r>
        <w:rPr>
          <w:rFonts w:cs="Arial"/>
          <w:sz w:val="22"/>
          <w:szCs w:val="22"/>
        </w:rPr>
        <w:t xml:space="preserve"> </w:t>
      </w:r>
      <w:r w:rsidR="00E41B66">
        <w:rPr>
          <w:rFonts w:cs="Arial"/>
          <w:sz w:val="22"/>
          <w:szCs w:val="22"/>
        </w:rPr>
        <w:t xml:space="preserve">inclusion in the Standard </w:t>
      </w:r>
      <w:r>
        <w:rPr>
          <w:rFonts w:cs="Arial"/>
          <w:sz w:val="22"/>
          <w:szCs w:val="22"/>
        </w:rPr>
        <w:t xml:space="preserve">has been deferred to a later date to allow for due consideration of the </w:t>
      </w:r>
      <w:r w:rsidR="009E677D">
        <w:rPr>
          <w:rFonts w:cs="Arial"/>
          <w:sz w:val="22"/>
          <w:szCs w:val="22"/>
        </w:rPr>
        <w:t>appropriate definition</w:t>
      </w:r>
      <w:r w:rsidR="00E41B66">
        <w:rPr>
          <w:rFonts w:cs="Arial"/>
          <w:sz w:val="22"/>
          <w:szCs w:val="22"/>
        </w:rPr>
        <w:t xml:space="preserve"> (these rules do not have to be determined until 30 April)</w:t>
      </w:r>
    </w:p>
    <w:p w14:paraId="2B40B7D9" w14:textId="555EA647" w:rsidR="00D84BBC" w:rsidRPr="003129A4" w:rsidRDefault="00D84BBC" w:rsidP="00963356">
      <w:pPr>
        <w:pStyle w:val="ListParagraph"/>
        <w:numPr>
          <w:ilvl w:val="0"/>
          <w:numId w:val="47"/>
        </w:numPr>
        <w:rPr>
          <w:rFonts w:cs="Arial"/>
          <w:sz w:val="22"/>
          <w:szCs w:val="22"/>
        </w:rPr>
      </w:pPr>
      <w:r w:rsidRPr="00963356">
        <w:rPr>
          <w:rFonts w:cs="Arial"/>
          <w:sz w:val="22"/>
          <w:szCs w:val="22"/>
        </w:rPr>
        <w:t>Changes were made to the definition of major outages</w:t>
      </w:r>
      <w:r w:rsidR="00E64D71" w:rsidRPr="00963356">
        <w:rPr>
          <w:rFonts w:cs="Arial"/>
          <w:sz w:val="22"/>
          <w:szCs w:val="22"/>
        </w:rPr>
        <w:t xml:space="preserve"> to reduce the threshold </w:t>
      </w:r>
      <w:r w:rsidR="009C5AF8" w:rsidRPr="00963356">
        <w:rPr>
          <w:rFonts w:cs="Arial"/>
          <w:sz w:val="22"/>
          <w:szCs w:val="22"/>
        </w:rPr>
        <w:t>t</w:t>
      </w:r>
      <w:r w:rsidR="00E64D71" w:rsidRPr="00963356">
        <w:rPr>
          <w:rFonts w:cs="Arial"/>
          <w:sz w:val="22"/>
          <w:szCs w:val="22"/>
        </w:rPr>
        <w:t>hat constitutes an outage</w:t>
      </w:r>
      <w:r w:rsidR="009C5AF8" w:rsidRPr="00963356">
        <w:rPr>
          <w:rFonts w:cs="Arial"/>
          <w:sz w:val="22"/>
          <w:szCs w:val="22"/>
        </w:rPr>
        <w:t xml:space="preserve"> from 500,000 services to 100,000</w:t>
      </w:r>
    </w:p>
    <w:p w14:paraId="41FB1836" w14:textId="51FCA313" w:rsidR="00640331" w:rsidRDefault="00640331" w:rsidP="007609C2">
      <w:pPr>
        <w:pStyle w:val="ListParagraph"/>
        <w:numPr>
          <w:ilvl w:val="0"/>
          <w:numId w:val="47"/>
        </w:numPr>
        <w:rPr>
          <w:rFonts w:cs="Arial"/>
          <w:sz w:val="22"/>
          <w:szCs w:val="22"/>
        </w:rPr>
      </w:pPr>
      <w:r>
        <w:rPr>
          <w:rFonts w:cs="Arial"/>
          <w:sz w:val="22"/>
          <w:szCs w:val="22"/>
        </w:rPr>
        <w:t>Obligations on CSPs and Carriers regarding the identification of outages and notification requirements have been differentiated</w:t>
      </w:r>
      <w:r w:rsidR="00F764F5">
        <w:rPr>
          <w:rFonts w:cs="Arial"/>
          <w:sz w:val="22"/>
          <w:szCs w:val="22"/>
        </w:rPr>
        <w:t xml:space="preserve"> and clarified </w:t>
      </w:r>
    </w:p>
    <w:p w14:paraId="7A3EA4B3" w14:textId="438080C4" w:rsidR="00F764F5" w:rsidRDefault="003254E9" w:rsidP="007609C2">
      <w:pPr>
        <w:pStyle w:val="ListParagraph"/>
        <w:numPr>
          <w:ilvl w:val="0"/>
          <w:numId w:val="47"/>
        </w:numPr>
        <w:rPr>
          <w:rFonts w:cs="Arial"/>
          <w:sz w:val="22"/>
          <w:szCs w:val="22"/>
        </w:rPr>
      </w:pPr>
      <w:r>
        <w:rPr>
          <w:rFonts w:cs="Arial"/>
          <w:sz w:val="22"/>
          <w:szCs w:val="22"/>
        </w:rPr>
        <w:t>Clarification on accessibility requirements for end-users receiving notifications has been included</w:t>
      </w:r>
    </w:p>
    <w:p w14:paraId="45300961" w14:textId="324B662B" w:rsidR="00DB0F02" w:rsidRPr="00C276D6" w:rsidRDefault="00BC3F1E" w:rsidP="00C276D6">
      <w:pPr>
        <w:pStyle w:val="ListParagraph"/>
        <w:numPr>
          <w:ilvl w:val="0"/>
          <w:numId w:val="47"/>
        </w:numPr>
        <w:rPr>
          <w:rFonts w:cs="Arial"/>
          <w:sz w:val="22"/>
          <w:szCs w:val="22"/>
        </w:rPr>
      </w:pPr>
      <w:r>
        <w:rPr>
          <w:rFonts w:cs="Arial"/>
          <w:sz w:val="22"/>
          <w:szCs w:val="22"/>
        </w:rPr>
        <w:t xml:space="preserve">Notification frequency was amended. </w:t>
      </w:r>
    </w:p>
    <w:p w14:paraId="40E263A2" w14:textId="6AAA03FF" w:rsidR="008E3AC8" w:rsidRDefault="45B51100" w:rsidP="004D382D">
      <w:pPr>
        <w:pStyle w:val="Heading1"/>
      </w:pPr>
      <w:bookmarkStart w:id="63" w:name="_Toc181713916"/>
      <w:r>
        <w:lastRenderedPageBreak/>
        <w:t>What is the best option from those considered and how will it be implemented?</w:t>
      </w:r>
      <w:bookmarkEnd w:id="63"/>
    </w:p>
    <w:p w14:paraId="3234F7EC" w14:textId="77777777" w:rsidR="00204CBE" w:rsidRDefault="00204CBE" w:rsidP="00204CBE">
      <w:pPr>
        <w:pStyle w:val="Heading2"/>
      </w:pPr>
      <w:bookmarkStart w:id="64" w:name="_Toc181713917"/>
      <w:r w:rsidRPr="006A0868">
        <w:t>Option 2 – Direct regulation (Industry Standard)</w:t>
      </w:r>
      <w:bookmarkEnd w:id="64"/>
    </w:p>
    <w:p w14:paraId="0064E0A2" w14:textId="5776211D" w:rsidR="00204CBE" w:rsidRPr="00322F42" w:rsidRDefault="00204CBE" w:rsidP="00322F42">
      <w:pPr>
        <w:pStyle w:val="ListParagraph"/>
        <w:ind w:left="0"/>
        <w:contextualSpacing w:val="0"/>
        <w:rPr>
          <w:sz w:val="22"/>
          <w:szCs w:val="22"/>
        </w:rPr>
      </w:pPr>
      <w:r w:rsidRPr="00322F42">
        <w:rPr>
          <w:sz w:val="22"/>
          <w:szCs w:val="22"/>
        </w:rPr>
        <w:t>Option 2 to make an industry standard is the best option with the highest net benefit of the options considered and aligns with the Direction. This option most effectively and efficiently addresses the identified deficiencies in the voluntary Guideline</w:t>
      </w:r>
      <w:r w:rsidR="00474EAF">
        <w:rPr>
          <w:sz w:val="22"/>
          <w:szCs w:val="22"/>
        </w:rPr>
        <w:t>s</w:t>
      </w:r>
      <w:r w:rsidRPr="00322F42">
        <w:rPr>
          <w:sz w:val="22"/>
          <w:szCs w:val="22"/>
        </w:rPr>
        <w:t xml:space="preserve"> relating to telco communications with customers during an outage. It ensures that telcos appropriately prioritise keeping customers informed during outages without delaying the restoration of services. The costs associated with implementing an industry standard are </w:t>
      </w:r>
      <w:r w:rsidR="00877B83">
        <w:rPr>
          <w:sz w:val="22"/>
          <w:szCs w:val="22"/>
        </w:rPr>
        <w:t>low</w:t>
      </w:r>
      <w:r w:rsidRPr="00322F42">
        <w:rPr>
          <w:sz w:val="22"/>
          <w:szCs w:val="22"/>
        </w:rPr>
        <w:t xml:space="preserve"> because telcos already have appropriate mechanisms in place to communicate with customers via various channels.</w:t>
      </w:r>
    </w:p>
    <w:p w14:paraId="390A4546" w14:textId="6DF0B408" w:rsidR="00204CBE" w:rsidRDefault="00204CBE" w:rsidP="00322F42">
      <w:pPr>
        <w:pStyle w:val="ListParagraph"/>
        <w:ind w:left="0"/>
        <w:contextualSpacing w:val="0"/>
        <w:rPr>
          <w:sz w:val="22"/>
          <w:szCs w:val="22"/>
        </w:rPr>
      </w:pPr>
      <w:r w:rsidRPr="00322F42">
        <w:rPr>
          <w:sz w:val="22"/>
          <w:szCs w:val="22"/>
        </w:rPr>
        <w:t xml:space="preserve">An industry standard with directly enforceable obligations has the potential for positive impacts, including ensuring customers impacted by an outage are reassured and armed with enough information to enable them to manage </w:t>
      </w:r>
      <w:r w:rsidR="00477BF5">
        <w:rPr>
          <w:sz w:val="22"/>
          <w:szCs w:val="22"/>
        </w:rPr>
        <w:t xml:space="preserve">and plan </w:t>
      </w:r>
      <w:r w:rsidRPr="00322F42">
        <w:rPr>
          <w:sz w:val="22"/>
          <w:szCs w:val="22"/>
        </w:rPr>
        <w:t>while temporarily without tel</w:t>
      </w:r>
      <w:r w:rsidR="00477BF5">
        <w:rPr>
          <w:sz w:val="22"/>
          <w:szCs w:val="22"/>
        </w:rPr>
        <w:t>e</w:t>
      </w:r>
      <w:r w:rsidRPr="00322F42">
        <w:rPr>
          <w:sz w:val="22"/>
          <w:szCs w:val="22"/>
        </w:rPr>
        <w:t>co</w:t>
      </w:r>
      <w:r w:rsidR="00477BF5">
        <w:rPr>
          <w:sz w:val="22"/>
          <w:szCs w:val="22"/>
        </w:rPr>
        <w:t>mmunications</w:t>
      </w:r>
      <w:r w:rsidRPr="00322F42">
        <w:rPr>
          <w:sz w:val="22"/>
          <w:szCs w:val="22"/>
        </w:rPr>
        <w:t xml:space="preserve"> services. A consistent and clear industry approach to customer communications during outages is also likely to enhance consumer confidence in the telecommunications industry and improve customer relations for CSPs, potentially yielding reputational benefits.</w:t>
      </w:r>
    </w:p>
    <w:p w14:paraId="5A105E87" w14:textId="6C07797C" w:rsidR="00204CBE" w:rsidRDefault="00204CBE" w:rsidP="00322F42">
      <w:pPr>
        <w:pStyle w:val="ListParagraph"/>
        <w:ind w:left="0"/>
        <w:contextualSpacing w:val="0"/>
        <w:rPr>
          <w:sz w:val="22"/>
          <w:szCs w:val="22"/>
        </w:rPr>
      </w:pPr>
      <w:r w:rsidRPr="00322F42">
        <w:rPr>
          <w:sz w:val="22"/>
          <w:szCs w:val="22"/>
        </w:rPr>
        <w:t>Clear and directly enforceable obligations incentivise compliance, potentially reducing complaints to the TIO, the ACMA</w:t>
      </w:r>
      <w:r w:rsidR="00EB40EC">
        <w:rPr>
          <w:sz w:val="22"/>
          <w:szCs w:val="22"/>
        </w:rPr>
        <w:t>,</w:t>
      </w:r>
      <w:r w:rsidRPr="00322F42">
        <w:rPr>
          <w:sz w:val="22"/>
          <w:szCs w:val="22"/>
        </w:rPr>
        <w:t xml:space="preserve"> and CSPs and carriers relating to outages and associated costs. They ensure consistent practices, enabling the ACMA to monitor and enforce compliance more efficiently. </w:t>
      </w:r>
    </w:p>
    <w:p w14:paraId="04DA78E2" w14:textId="66549A42" w:rsidR="00B7186E" w:rsidRDefault="00B7186E" w:rsidP="00322F42">
      <w:pPr>
        <w:pStyle w:val="ListParagraph"/>
        <w:ind w:left="0"/>
        <w:contextualSpacing w:val="0"/>
        <w:rPr>
          <w:sz w:val="22"/>
          <w:szCs w:val="22"/>
        </w:rPr>
      </w:pPr>
      <w:r>
        <w:rPr>
          <w:sz w:val="22"/>
          <w:szCs w:val="22"/>
        </w:rPr>
        <w:t xml:space="preserve">Consultation and engagement indicate support for customer communications requirements to be codified from government, consumer groups and industry. </w:t>
      </w:r>
    </w:p>
    <w:p w14:paraId="14B770D7" w14:textId="0F02734C" w:rsidR="007D7FDF" w:rsidRPr="007D7FDF" w:rsidRDefault="007D7FDF" w:rsidP="007D7FDF">
      <w:pPr>
        <w:pStyle w:val="Heading2"/>
      </w:pPr>
      <w:bookmarkStart w:id="65" w:name="_Toc181713918"/>
      <w:r w:rsidRPr="007D7FDF">
        <w:t>Implementation</w:t>
      </w:r>
      <w:bookmarkEnd w:id="65"/>
    </w:p>
    <w:p w14:paraId="24C7A408" w14:textId="77777777" w:rsidR="00642677" w:rsidRDefault="00642677" w:rsidP="00322F42">
      <w:pPr>
        <w:pStyle w:val="ListParagraph"/>
        <w:ind w:left="0"/>
        <w:contextualSpacing w:val="0"/>
        <w:rPr>
          <w:sz w:val="22"/>
          <w:szCs w:val="22"/>
        </w:rPr>
      </w:pPr>
      <w:r>
        <w:rPr>
          <w:sz w:val="22"/>
          <w:szCs w:val="22"/>
        </w:rPr>
        <w:t xml:space="preserve">Key milestones to implement Option 2 are: </w:t>
      </w:r>
    </w:p>
    <w:p w14:paraId="1F00AE3B" w14:textId="0C4D11DE" w:rsidR="00626369" w:rsidRPr="00756613" w:rsidRDefault="002C5311" w:rsidP="00642677">
      <w:pPr>
        <w:pStyle w:val="ListParagraph"/>
        <w:numPr>
          <w:ilvl w:val="0"/>
          <w:numId w:val="47"/>
        </w:numPr>
        <w:rPr>
          <w:rFonts w:cs="Arial"/>
          <w:sz w:val="22"/>
          <w:szCs w:val="22"/>
        </w:rPr>
      </w:pPr>
      <w:r w:rsidRPr="00756613">
        <w:rPr>
          <w:rFonts w:cs="Arial"/>
          <w:sz w:val="22"/>
          <w:szCs w:val="22"/>
        </w:rPr>
        <w:t>Friday 8 November</w:t>
      </w:r>
      <w:r w:rsidR="00942718">
        <w:rPr>
          <w:rFonts w:cs="Arial"/>
          <w:sz w:val="22"/>
          <w:szCs w:val="22"/>
        </w:rPr>
        <w:t xml:space="preserve"> 2024</w:t>
      </w:r>
      <w:r w:rsidR="00626369" w:rsidRPr="00756613">
        <w:rPr>
          <w:rFonts w:cs="Arial"/>
          <w:sz w:val="22"/>
          <w:szCs w:val="22"/>
        </w:rPr>
        <w:t xml:space="preserve"> – Second Pass Impact Assessment cleared by the Office of Impact Analysis</w:t>
      </w:r>
    </w:p>
    <w:p w14:paraId="201022A2" w14:textId="1E407970" w:rsidR="00756613" w:rsidRPr="00756613" w:rsidRDefault="002E3646" w:rsidP="00642677">
      <w:pPr>
        <w:pStyle w:val="ListParagraph"/>
        <w:numPr>
          <w:ilvl w:val="0"/>
          <w:numId w:val="47"/>
        </w:numPr>
        <w:rPr>
          <w:rFonts w:cs="Arial"/>
          <w:sz w:val="22"/>
          <w:szCs w:val="22"/>
        </w:rPr>
      </w:pPr>
      <w:r w:rsidRPr="00756613">
        <w:rPr>
          <w:rFonts w:cs="Arial"/>
          <w:sz w:val="22"/>
          <w:szCs w:val="22"/>
        </w:rPr>
        <w:t>11-12 November</w:t>
      </w:r>
      <w:r w:rsidR="00942718">
        <w:rPr>
          <w:rFonts w:cs="Arial"/>
          <w:sz w:val="22"/>
          <w:szCs w:val="22"/>
        </w:rPr>
        <w:t xml:space="preserve"> 2024</w:t>
      </w:r>
      <w:r w:rsidRPr="00756613">
        <w:rPr>
          <w:rFonts w:cs="Arial"/>
          <w:sz w:val="22"/>
          <w:szCs w:val="22"/>
        </w:rPr>
        <w:t xml:space="preserve"> </w:t>
      </w:r>
      <w:r w:rsidR="00756613" w:rsidRPr="00756613">
        <w:rPr>
          <w:rFonts w:cs="Arial"/>
          <w:sz w:val="22"/>
          <w:szCs w:val="22"/>
        </w:rPr>
        <w:t>–</w:t>
      </w:r>
      <w:r w:rsidRPr="00756613">
        <w:rPr>
          <w:rFonts w:cs="Arial"/>
          <w:sz w:val="22"/>
          <w:szCs w:val="22"/>
        </w:rPr>
        <w:t xml:space="preserve"> </w:t>
      </w:r>
      <w:r w:rsidR="00756613" w:rsidRPr="00756613">
        <w:rPr>
          <w:rFonts w:cs="Arial"/>
          <w:sz w:val="22"/>
          <w:szCs w:val="22"/>
        </w:rPr>
        <w:t xml:space="preserve">Authority consideration of draft instrument and making amendments </w:t>
      </w:r>
    </w:p>
    <w:p w14:paraId="65A73AEB" w14:textId="0C876431" w:rsidR="00756613" w:rsidRDefault="00756613" w:rsidP="00642677">
      <w:pPr>
        <w:pStyle w:val="ListParagraph"/>
        <w:numPr>
          <w:ilvl w:val="0"/>
          <w:numId w:val="47"/>
        </w:numPr>
        <w:rPr>
          <w:rFonts w:cs="Arial"/>
          <w:sz w:val="22"/>
          <w:szCs w:val="22"/>
        </w:rPr>
      </w:pPr>
      <w:r w:rsidRPr="00756613">
        <w:rPr>
          <w:rFonts w:cs="Arial"/>
          <w:sz w:val="22"/>
          <w:szCs w:val="22"/>
        </w:rPr>
        <w:t>Wednesday 13 November</w:t>
      </w:r>
      <w:r w:rsidR="00B720EF">
        <w:rPr>
          <w:rFonts w:cs="Arial"/>
          <w:sz w:val="22"/>
          <w:szCs w:val="22"/>
        </w:rPr>
        <w:t xml:space="preserve"> 2024</w:t>
      </w:r>
      <w:r w:rsidRPr="00756613">
        <w:rPr>
          <w:rFonts w:cs="Arial"/>
          <w:sz w:val="22"/>
          <w:szCs w:val="22"/>
        </w:rPr>
        <w:t xml:space="preserve"> – instrument registered on Federal Register of Legislative Instruments at</w:t>
      </w:r>
      <w:r>
        <w:rPr>
          <w:rFonts w:cs="Arial"/>
          <w:sz w:val="22"/>
          <w:szCs w:val="22"/>
        </w:rPr>
        <w:t xml:space="preserve"> </w:t>
      </w:r>
      <w:hyperlink r:id="rId37" w:history="1">
        <w:r w:rsidRPr="00003C56">
          <w:rPr>
            <w:rStyle w:val="Hyperlink"/>
            <w:rFonts w:cs="Arial"/>
            <w:sz w:val="22"/>
            <w:szCs w:val="22"/>
          </w:rPr>
          <w:t>www.legislation.gov.au</w:t>
        </w:r>
      </w:hyperlink>
    </w:p>
    <w:p w14:paraId="66497902" w14:textId="77777777" w:rsidR="009474DE" w:rsidRDefault="009474DE" w:rsidP="00642677">
      <w:pPr>
        <w:pStyle w:val="ListParagraph"/>
        <w:numPr>
          <w:ilvl w:val="0"/>
          <w:numId w:val="47"/>
        </w:numPr>
        <w:rPr>
          <w:rFonts w:cs="Arial"/>
          <w:sz w:val="22"/>
          <w:szCs w:val="22"/>
        </w:rPr>
      </w:pPr>
      <w:r>
        <w:rPr>
          <w:rFonts w:cs="Arial"/>
          <w:sz w:val="22"/>
          <w:szCs w:val="22"/>
        </w:rPr>
        <w:t xml:space="preserve">The instrument will commence operation on 31 December 2024. </w:t>
      </w:r>
    </w:p>
    <w:p w14:paraId="13B4B7B7" w14:textId="4101348A" w:rsidR="008C299B" w:rsidRPr="00756613" w:rsidRDefault="00756613" w:rsidP="004C7627">
      <w:pPr>
        <w:pStyle w:val="ListParagraph"/>
        <w:rPr>
          <w:rFonts w:cs="Arial"/>
          <w:sz w:val="22"/>
          <w:szCs w:val="22"/>
        </w:rPr>
      </w:pPr>
      <w:r>
        <w:rPr>
          <w:rFonts w:cs="Arial"/>
          <w:sz w:val="22"/>
          <w:szCs w:val="22"/>
        </w:rPr>
        <w:t xml:space="preserve"> </w:t>
      </w:r>
      <w:r w:rsidRPr="00756613">
        <w:rPr>
          <w:rFonts w:cs="Arial"/>
          <w:sz w:val="22"/>
          <w:szCs w:val="22"/>
        </w:rPr>
        <w:t xml:space="preserve"> </w:t>
      </w:r>
    </w:p>
    <w:p w14:paraId="65EDDE68" w14:textId="29DDD946" w:rsidR="002D59A7" w:rsidRDefault="002D59A7" w:rsidP="00322F42">
      <w:pPr>
        <w:pStyle w:val="ListParagraph"/>
        <w:ind w:left="0"/>
        <w:contextualSpacing w:val="0"/>
        <w:rPr>
          <w:sz w:val="22"/>
          <w:szCs w:val="22"/>
        </w:rPr>
      </w:pPr>
      <w:r>
        <w:rPr>
          <w:sz w:val="22"/>
          <w:szCs w:val="22"/>
        </w:rPr>
        <w:t>The Industry Standard will be implemented as outline</w:t>
      </w:r>
      <w:r w:rsidR="00D551B1">
        <w:rPr>
          <w:sz w:val="22"/>
          <w:szCs w:val="22"/>
        </w:rPr>
        <w:t>d</w:t>
      </w:r>
      <w:r>
        <w:rPr>
          <w:sz w:val="22"/>
          <w:szCs w:val="22"/>
        </w:rPr>
        <w:t xml:space="preserve"> in Option 2 and in accordance with the Direction. </w:t>
      </w:r>
      <w:r w:rsidR="006276AE">
        <w:rPr>
          <w:sz w:val="22"/>
          <w:szCs w:val="22"/>
        </w:rPr>
        <w:t xml:space="preserve">The final decision point under this option will be made by the ACMA at an Authority meeting scheduled for </w:t>
      </w:r>
      <w:r w:rsidR="00475EE4">
        <w:rPr>
          <w:sz w:val="22"/>
          <w:szCs w:val="22"/>
        </w:rPr>
        <w:t>week commencing 11 November 2024.</w:t>
      </w:r>
      <w:r w:rsidR="003C7966">
        <w:rPr>
          <w:sz w:val="22"/>
          <w:szCs w:val="22"/>
        </w:rPr>
        <w:t xml:space="preserve"> If the Authority approves this option, the </w:t>
      </w:r>
      <w:r w:rsidR="009D11B1" w:rsidRPr="004C7627">
        <w:rPr>
          <w:i/>
          <w:iCs/>
          <w:sz w:val="22"/>
          <w:szCs w:val="22"/>
        </w:rPr>
        <w:t>Telecommunications (Customer Communications for Outages) Industry Standard 2024</w:t>
      </w:r>
      <w:r w:rsidR="004F24B9">
        <w:rPr>
          <w:sz w:val="22"/>
          <w:szCs w:val="22"/>
        </w:rPr>
        <w:t xml:space="preserve"> will be registered on the Federal Register of Legislation and be made available at </w:t>
      </w:r>
      <w:hyperlink r:id="rId38" w:history="1">
        <w:r w:rsidR="004F24B9" w:rsidRPr="00AE6282">
          <w:rPr>
            <w:rStyle w:val="Hyperlink"/>
            <w:sz w:val="22"/>
            <w:szCs w:val="22"/>
          </w:rPr>
          <w:t>www.legislation.gov.au</w:t>
        </w:r>
      </w:hyperlink>
      <w:r w:rsidR="004F24B9">
        <w:rPr>
          <w:sz w:val="22"/>
          <w:szCs w:val="22"/>
        </w:rPr>
        <w:t xml:space="preserve">. </w:t>
      </w:r>
      <w:r>
        <w:rPr>
          <w:sz w:val="22"/>
          <w:szCs w:val="22"/>
        </w:rPr>
        <w:t xml:space="preserve"> The </w:t>
      </w:r>
      <w:r w:rsidR="00545137">
        <w:rPr>
          <w:sz w:val="22"/>
          <w:szCs w:val="22"/>
        </w:rPr>
        <w:t xml:space="preserve">Standard must be determined by </w:t>
      </w:r>
      <w:r w:rsidR="00D73A77">
        <w:rPr>
          <w:sz w:val="22"/>
          <w:szCs w:val="22"/>
        </w:rPr>
        <w:t xml:space="preserve">14 November 2024 and </w:t>
      </w:r>
      <w:r w:rsidR="006863E7">
        <w:rPr>
          <w:sz w:val="22"/>
          <w:szCs w:val="22"/>
        </w:rPr>
        <w:t>commence no later than 31 December 2024.</w:t>
      </w:r>
    </w:p>
    <w:p w14:paraId="41A9A9AD" w14:textId="00334008" w:rsidR="004F24B9" w:rsidRDefault="004F24B9" w:rsidP="00322F42">
      <w:pPr>
        <w:pStyle w:val="ListParagraph"/>
        <w:ind w:left="0"/>
        <w:contextualSpacing w:val="0"/>
        <w:rPr>
          <w:sz w:val="22"/>
          <w:szCs w:val="22"/>
        </w:rPr>
      </w:pPr>
      <w:r>
        <w:rPr>
          <w:sz w:val="22"/>
          <w:szCs w:val="22"/>
        </w:rPr>
        <w:lastRenderedPageBreak/>
        <w:t xml:space="preserve">There are risks to the implementation of this option. </w:t>
      </w:r>
      <w:r w:rsidR="00180A83">
        <w:rPr>
          <w:sz w:val="22"/>
          <w:szCs w:val="22"/>
        </w:rPr>
        <w:t xml:space="preserve">Procedurally, the approval and registration </w:t>
      </w:r>
      <w:r w:rsidR="00E6746C">
        <w:rPr>
          <w:sz w:val="22"/>
          <w:szCs w:val="22"/>
        </w:rPr>
        <w:t>of regulatory instruments is a standard process for the ACMA. In the circumstances, given the unusually limited time available to design and consult on the draft instrument, there is an inherent risk</w:t>
      </w:r>
      <w:r w:rsidR="00EE6704">
        <w:rPr>
          <w:sz w:val="22"/>
          <w:szCs w:val="22"/>
        </w:rPr>
        <w:t xml:space="preserve"> that this could result</w:t>
      </w:r>
      <w:r w:rsidR="00DA25BC">
        <w:rPr>
          <w:sz w:val="22"/>
          <w:szCs w:val="22"/>
        </w:rPr>
        <w:t xml:space="preserve"> in</w:t>
      </w:r>
      <w:r w:rsidR="00EE6704">
        <w:rPr>
          <w:sz w:val="22"/>
          <w:szCs w:val="22"/>
        </w:rPr>
        <w:t xml:space="preserve"> an unworkable or poorly drafted instrument that does not meet stakeholder needs or expectations and that is not in line with the objectives of the Direction. This risk </w:t>
      </w:r>
      <w:r w:rsidR="007B3CE3">
        <w:rPr>
          <w:sz w:val="22"/>
          <w:szCs w:val="22"/>
        </w:rPr>
        <w:t xml:space="preserve">has been mitigated via engagement with stakeholders before, during and after the formal consultation period to understand the challenges and test ideas. </w:t>
      </w:r>
    </w:p>
    <w:p w14:paraId="284C961F" w14:textId="3DA11116" w:rsidR="00B31344" w:rsidRDefault="00573B96" w:rsidP="00322F42">
      <w:pPr>
        <w:pStyle w:val="ListParagraph"/>
        <w:ind w:left="0"/>
        <w:contextualSpacing w:val="0"/>
        <w:rPr>
          <w:sz w:val="22"/>
          <w:szCs w:val="22"/>
        </w:rPr>
      </w:pPr>
      <w:r>
        <w:rPr>
          <w:sz w:val="22"/>
          <w:szCs w:val="22"/>
        </w:rPr>
        <w:t>In addition, t</w:t>
      </w:r>
      <w:r w:rsidR="00380EB0">
        <w:rPr>
          <w:sz w:val="22"/>
          <w:szCs w:val="22"/>
        </w:rPr>
        <w:t xml:space="preserve">he short timeframe to commence the new requirements </w:t>
      </w:r>
      <w:r w:rsidR="00423035">
        <w:rPr>
          <w:sz w:val="22"/>
          <w:szCs w:val="22"/>
        </w:rPr>
        <w:t xml:space="preserve">gives rise to a risk that industry </w:t>
      </w:r>
      <w:r w:rsidR="00705565">
        <w:rPr>
          <w:sz w:val="22"/>
          <w:szCs w:val="22"/>
        </w:rPr>
        <w:t xml:space="preserve">may not have time to </w:t>
      </w:r>
      <w:r w:rsidR="00F56373">
        <w:rPr>
          <w:sz w:val="22"/>
          <w:szCs w:val="22"/>
        </w:rPr>
        <w:t xml:space="preserve">prepare for the additional regulatory burden and make any required changes to systems and </w:t>
      </w:r>
      <w:r w:rsidR="00CD67AF">
        <w:rPr>
          <w:sz w:val="22"/>
          <w:szCs w:val="22"/>
        </w:rPr>
        <w:t xml:space="preserve">processes. The consequences could involve </w:t>
      </w:r>
      <w:r w:rsidR="00B56DD9">
        <w:rPr>
          <w:sz w:val="22"/>
          <w:szCs w:val="22"/>
        </w:rPr>
        <w:t>resistance to compliance</w:t>
      </w:r>
      <w:r w:rsidR="00762673">
        <w:rPr>
          <w:sz w:val="22"/>
          <w:szCs w:val="22"/>
        </w:rPr>
        <w:t>, affecting the success of the Standard.</w:t>
      </w:r>
    </w:p>
    <w:p w14:paraId="0EDF3759" w14:textId="7F36C089" w:rsidR="002E0DEF" w:rsidRDefault="002E0DEF" w:rsidP="00322F42">
      <w:pPr>
        <w:pStyle w:val="ListParagraph"/>
        <w:ind w:left="0"/>
        <w:contextualSpacing w:val="0"/>
        <w:rPr>
          <w:sz w:val="22"/>
          <w:szCs w:val="22"/>
        </w:rPr>
      </w:pPr>
      <w:r>
        <w:rPr>
          <w:sz w:val="22"/>
          <w:szCs w:val="22"/>
        </w:rPr>
        <w:t>To mitigate this risk, the ACMA has, and will continue to, employ a collaborative approach</w:t>
      </w:r>
      <w:r w:rsidR="00666D56">
        <w:rPr>
          <w:sz w:val="22"/>
          <w:szCs w:val="22"/>
        </w:rPr>
        <w:t xml:space="preserve">, engaging in regular and transparent communication with industry to address concerns constructively. </w:t>
      </w:r>
      <w:r w:rsidR="00271F25">
        <w:rPr>
          <w:sz w:val="22"/>
          <w:szCs w:val="22"/>
        </w:rPr>
        <w:t>Stakeholder engagement will remain pivotal.</w:t>
      </w:r>
      <w:r w:rsidR="003B299A">
        <w:rPr>
          <w:sz w:val="22"/>
          <w:szCs w:val="22"/>
        </w:rPr>
        <w:t xml:space="preserve"> </w:t>
      </w:r>
      <w:r w:rsidR="008046DE">
        <w:rPr>
          <w:sz w:val="22"/>
          <w:szCs w:val="22"/>
        </w:rPr>
        <w:t xml:space="preserve">The ACMA intends to engage with Communications Alliance to ensure that </w:t>
      </w:r>
      <w:r w:rsidR="0008140A">
        <w:rPr>
          <w:sz w:val="22"/>
          <w:szCs w:val="22"/>
        </w:rPr>
        <w:t>industry is aware</w:t>
      </w:r>
      <w:r w:rsidR="00E21CFD">
        <w:rPr>
          <w:sz w:val="22"/>
          <w:szCs w:val="22"/>
        </w:rPr>
        <w:t xml:space="preserve"> of</w:t>
      </w:r>
      <w:r w:rsidR="0008140A">
        <w:rPr>
          <w:sz w:val="22"/>
          <w:szCs w:val="22"/>
        </w:rPr>
        <w:t xml:space="preserve"> and understands the new obligations.</w:t>
      </w:r>
    </w:p>
    <w:p w14:paraId="1164DC46" w14:textId="59B1A721" w:rsidR="009F6E4F" w:rsidRPr="009F6E4F" w:rsidRDefault="00B10FB4" w:rsidP="009F6E4F">
      <w:pPr>
        <w:pStyle w:val="Heading2"/>
      </w:pPr>
      <w:bookmarkStart w:id="66" w:name="_Toc181713919"/>
      <w:r w:rsidRPr="00263EFE">
        <w:t>Alternat</w:t>
      </w:r>
      <w:r>
        <w:t>iv</w:t>
      </w:r>
      <w:r w:rsidRPr="00263EFE">
        <w:t>e options</w:t>
      </w:r>
      <w:bookmarkEnd w:id="66"/>
    </w:p>
    <w:p w14:paraId="4A738D75" w14:textId="13964AE9" w:rsidR="00B10FB4" w:rsidRPr="004C7627" w:rsidRDefault="009F6E4F" w:rsidP="00B10FB4">
      <w:pPr>
        <w:pStyle w:val="ListParagraph"/>
        <w:ind w:left="0"/>
        <w:contextualSpacing w:val="0"/>
        <w:rPr>
          <w:i/>
          <w:iCs/>
          <w:sz w:val="22"/>
          <w:szCs w:val="22"/>
        </w:rPr>
      </w:pPr>
      <w:r>
        <w:rPr>
          <w:i/>
          <w:iCs/>
          <w:sz w:val="22"/>
          <w:szCs w:val="22"/>
        </w:rPr>
        <w:t xml:space="preserve">Option 1 - </w:t>
      </w:r>
      <w:r w:rsidR="00B10FB4" w:rsidRPr="004C7627">
        <w:rPr>
          <w:i/>
          <w:iCs/>
          <w:sz w:val="22"/>
          <w:szCs w:val="22"/>
        </w:rPr>
        <w:t xml:space="preserve">Status Quo </w:t>
      </w:r>
    </w:p>
    <w:p w14:paraId="69DC0C5A" w14:textId="5591BA3F" w:rsidR="009B245C" w:rsidRDefault="009B245C" w:rsidP="00B10FB4">
      <w:pPr>
        <w:pStyle w:val="ListParagraph"/>
        <w:ind w:left="0"/>
        <w:contextualSpacing w:val="0"/>
        <w:rPr>
          <w:sz w:val="22"/>
          <w:szCs w:val="22"/>
        </w:rPr>
      </w:pPr>
      <w:r>
        <w:rPr>
          <w:sz w:val="22"/>
          <w:szCs w:val="22"/>
        </w:rPr>
        <w:t xml:space="preserve">This is the least preferred option to achieve the policy objective. </w:t>
      </w:r>
    </w:p>
    <w:p w14:paraId="2D491A28" w14:textId="44F79A02" w:rsidR="00B10FB4" w:rsidRPr="00322F42" w:rsidRDefault="00B10FB4" w:rsidP="00B10FB4">
      <w:pPr>
        <w:pStyle w:val="ListParagraph"/>
        <w:ind w:left="0"/>
        <w:contextualSpacing w:val="0"/>
        <w:rPr>
          <w:sz w:val="22"/>
          <w:szCs w:val="22"/>
        </w:rPr>
      </w:pPr>
      <w:r w:rsidRPr="00322F42">
        <w:rPr>
          <w:sz w:val="22"/>
          <w:szCs w:val="22"/>
        </w:rPr>
        <w:t>Continuing to rely on the voluntary Guideline does not sufficiently protect consumers. A lack of clear rules means that telcos will continue to apply a discretionary approach to customer communications during outages. This</w:t>
      </w:r>
      <w:r>
        <w:rPr>
          <w:sz w:val="22"/>
          <w:szCs w:val="22"/>
        </w:rPr>
        <w:t xml:space="preserve"> likely</w:t>
      </w:r>
      <w:r w:rsidRPr="00322F42">
        <w:rPr>
          <w:sz w:val="22"/>
          <w:szCs w:val="22"/>
        </w:rPr>
        <w:t xml:space="preserve"> mean</w:t>
      </w:r>
      <w:r>
        <w:rPr>
          <w:sz w:val="22"/>
          <w:szCs w:val="22"/>
        </w:rPr>
        <w:t>s</w:t>
      </w:r>
      <w:r w:rsidRPr="00322F42">
        <w:rPr>
          <w:sz w:val="22"/>
          <w:szCs w:val="22"/>
        </w:rPr>
        <w:t xml:space="preserve"> that future major outages will result in similar confusion and distress amongst end-users as seen amongst Optus customers </w:t>
      </w:r>
      <w:r>
        <w:rPr>
          <w:sz w:val="22"/>
          <w:szCs w:val="22"/>
        </w:rPr>
        <w:t xml:space="preserve">and the public </w:t>
      </w:r>
      <w:r w:rsidRPr="00322F42">
        <w:rPr>
          <w:sz w:val="22"/>
          <w:szCs w:val="22"/>
        </w:rPr>
        <w:t>during the November 2023 outage.</w:t>
      </w:r>
    </w:p>
    <w:p w14:paraId="0880C841" w14:textId="0E95FDB8" w:rsidR="009F6E4F" w:rsidRPr="004C7627" w:rsidRDefault="009F6E4F" w:rsidP="00B10FB4">
      <w:pPr>
        <w:pStyle w:val="ListParagraph"/>
        <w:ind w:left="0"/>
        <w:rPr>
          <w:i/>
          <w:iCs/>
          <w:sz w:val="22"/>
          <w:szCs w:val="22"/>
        </w:rPr>
      </w:pPr>
      <w:r w:rsidRPr="004C7627">
        <w:rPr>
          <w:i/>
          <w:iCs/>
          <w:sz w:val="22"/>
          <w:szCs w:val="22"/>
        </w:rPr>
        <w:t xml:space="preserve">Option 3 – Direct Regulation – Amend the ECS Determination </w:t>
      </w:r>
    </w:p>
    <w:p w14:paraId="11F626C9" w14:textId="77777777" w:rsidR="009F6E4F" w:rsidRDefault="009F6E4F" w:rsidP="00B10FB4">
      <w:pPr>
        <w:pStyle w:val="ListParagraph"/>
        <w:ind w:left="0"/>
        <w:rPr>
          <w:sz w:val="22"/>
          <w:szCs w:val="22"/>
        </w:rPr>
      </w:pPr>
    </w:p>
    <w:p w14:paraId="687D4473" w14:textId="3F32911F" w:rsidR="00B10FB4" w:rsidRDefault="00B10FB4" w:rsidP="00B10FB4">
      <w:pPr>
        <w:pStyle w:val="ListParagraph"/>
        <w:ind w:left="0"/>
        <w:rPr>
          <w:sz w:val="22"/>
          <w:szCs w:val="22"/>
        </w:rPr>
      </w:pPr>
      <w:r w:rsidRPr="0A220127">
        <w:rPr>
          <w:sz w:val="22"/>
          <w:szCs w:val="22"/>
        </w:rPr>
        <w:t xml:space="preserve">Amending the ECSD is not preferred as it deals with the obligations of carriers and CSPs in relation to the emergency call service and has a much narrower focus. Amendments to the ECSD could only deal with outages that impact the ability to make an emergency call to Triple Zero and could not, for example, apply to specific outages where data services may fail, but voice services do not. Nor would amending the ECSD align with the requirements of the Direction. </w:t>
      </w:r>
    </w:p>
    <w:p w14:paraId="28B7DA67" w14:textId="77777777" w:rsidR="00B10FB4" w:rsidRDefault="00B10FB4" w:rsidP="00B10FB4">
      <w:pPr>
        <w:pStyle w:val="ListParagraph"/>
        <w:ind w:left="0"/>
        <w:rPr>
          <w:sz w:val="22"/>
          <w:szCs w:val="22"/>
        </w:rPr>
      </w:pPr>
    </w:p>
    <w:p w14:paraId="07377C92" w14:textId="0D193D1B" w:rsidR="009F6E4F" w:rsidRPr="004C7627" w:rsidRDefault="009F6E4F" w:rsidP="00B10FB4">
      <w:pPr>
        <w:pStyle w:val="ListParagraph"/>
        <w:ind w:left="0"/>
        <w:contextualSpacing w:val="0"/>
        <w:rPr>
          <w:i/>
          <w:iCs/>
          <w:sz w:val="22"/>
          <w:szCs w:val="22"/>
        </w:rPr>
      </w:pPr>
      <w:r w:rsidRPr="004C7627">
        <w:rPr>
          <w:i/>
          <w:iCs/>
          <w:sz w:val="22"/>
          <w:szCs w:val="22"/>
        </w:rPr>
        <w:t>Option 4 – Co-regulation</w:t>
      </w:r>
    </w:p>
    <w:p w14:paraId="3042671A" w14:textId="0FE825AB" w:rsidR="00B10FB4" w:rsidRDefault="0004655E" w:rsidP="00B10FB4">
      <w:pPr>
        <w:pStyle w:val="ListParagraph"/>
        <w:ind w:left="0"/>
        <w:contextualSpacing w:val="0"/>
        <w:rPr>
          <w:sz w:val="22"/>
          <w:szCs w:val="22"/>
        </w:rPr>
      </w:pPr>
      <w:r>
        <w:rPr>
          <w:sz w:val="22"/>
          <w:szCs w:val="22"/>
        </w:rPr>
        <w:t>Developing a</w:t>
      </w:r>
      <w:r w:rsidR="00B10FB4">
        <w:rPr>
          <w:sz w:val="22"/>
          <w:szCs w:val="22"/>
        </w:rPr>
        <w:t>n industry code is not preferred because it would be less effective at addressing the identified issues. While the ACMA can provide feedback and set expectations for the requirements to be included the code, the content of an industry code is determined by the representative industry body. There may be protracted negotiations before an acceptable draft code is developed. An Industry Code would also provide less effective deterrence against non-compliance because a telco must be found non-compliant twice before the stronger enforcement actions available under the Act can apply.</w:t>
      </w:r>
    </w:p>
    <w:p w14:paraId="1D468396" w14:textId="6E303EE7" w:rsidR="007A3011" w:rsidRDefault="007A3011" w:rsidP="007A3011">
      <w:pPr>
        <w:pStyle w:val="Paragraph"/>
        <w:spacing w:after="0" w:line="240" w:lineRule="auto"/>
        <w:rPr>
          <w:rFonts w:eastAsia="Arial"/>
          <w:color w:val="000000" w:themeColor="text2"/>
        </w:rPr>
      </w:pPr>
      <w:r>
        <w:rPr>
          <w:rFonts w:eastAsia="Arial"/>
          <w:color w:val="000000" w:themeColor="text2"/>
        </w:rPr>
        <w:t>G</w:t>
      </w:r>
      <w:r w:rsidRPr="1638F3F5">
        <w:rPr>
          <w:rFonts w:eastAsia="Arial"/>
          <w:color w:val="000000" w:themeColor="text2"/>
        </w:rPr>
        <w:t xml:space="preserve">iven the immediacy of action required, </w:t>
      </w:r>
      <w:r>
        <w:rPr>
          <w:rFonts w:eastAsia="Arial"/>
          <w:color w:val="000000" w:themeColor="text2"/>
        </w:rPr>
        <w:t xml:space="preserve">with the Minister’s direction stipulating a Standard be determined by 14 November, </w:t>
      </w:r>
      <w:r w:rsidRPr="1638F3F5">
        <w:rPr>
          <w:rFonts w:eastAsia="Arial"/>
          <w:color w:val="000000" w:themeColor="text2"/>
        </w:rPr>
        <w:t>amending the Code is not the preferred option</w:t>
      </w:r>
      <w:r w:rsidR="006618A5">
        <w:rPr>
          <w:rFonts w:eastAsia="Arial"/>
          <w:color w:val="000000" w:themeColor="text2"/>
        </w:rPr>
        <w:t xml:space="preserve">. Industry Codes typically take a minimum of twelve months to be developed through the </w:t>
      </w:r>
      <w:r w:rsidR="006618A5">
        <w:rPr>
          <w:rFonts w:eastAsia="Arial"/>
          <w:color w:val="000000" w:themeColor="text2"/>
        </w:rPr>
        <w:lastRenderedPageBreak/>
        <w:t>Communications Alliance industry body</w:t>
      </w:r>
      <w:r w:rsidR="008F1AB2">
        <w:rPr>
          <w:rFonts w:eastAsia="Arial"/>
          <w:color w:val="000000" w:themeColor="text2"/>
        </w:rPr>
        <w:t>,</w:t>
      </w:r>
      <w:r w:rsidR="006F0F4F">
        <w:rPr>
          <w:rFonts w:eastAsia="Arial"/>
          <w:color w:val="000000" w:themeColor="text2"/>
        </w:rPr>
        <w:t xml:space="preserve"> public </w:t>
      </w:r>
      <w:r w:rsidR="00D828EB">
        <w:rPr>
          <w:rFonts w:eastAsia="Arial"/>
          <w:color w:val="000000" w:themeColor="text2"/>
        </w:rPr>
        <w:t xml:space="preserve">consultation to be undertaken </w:t>
      </w:r>
      <w:r w:rsidR="006F0F4F">
        <w:rPr>
          <w:rFonts w:eastAsia="Arial"/>
          <w:color w:val="000000" w:themeColor="text2"/>
        </w:rPr>
        <w:t>and registered by the ACMA</w:t>
      </w:r>
      <w:r w:rsidR="006618A5">
        <w:rPr>
          <w:rFonts w:eastAsia="Arial"/>
          <w:color w:val="000000" w:themeColor="text2"/>
        </w:rPr>
        <w:t xml:space="preserve">. </w:t>
      </w:r>
      <w:r w:rsidRPr="1638F3F5">
        <w:rPr>
          <w:rFonts w:eastAsia="Arial"/>
          <w:color w:val="000000" w:themeColor="text2"/>
        </w:rPr>
        <w:t xml:space="preserve"> </w:t>
      </w:r>
    </w:p>
    <w:p w14:paraId="3532C173" w14:textId="77777777" w:rsidR="007A3011" w:rsidRDefault="007A3011" w:rsidP="007A3011">
      <w:pPr>
        <w:pStyle w:val="Paragraph"/>
        <w:spacing w:after="0" w:line="240" w:lineRule="auto"/>
        <w:rPr>
          <w:rFonts w:eastAsia="Arial"/>
          <w:color w:val="000000" w:themeColor="text2"/>
        </w:rPr>
      </w:pPr>
    </w:p>
    <w:p w14:paraId="63BF24B1" w14:textId="44BC7D85" w:rsidR="00DA25BC" w:rsidRDefault="000C2C74" w:rsidP="00DA25BC">
      <w:pPr>
        <w:pStyle w:val="Paragraph"/>
        <w:spacing w:after="0" w:line="240" w:lineRule="auto"/>
        <w:rPr>
          <w:rFonts w:eastAsia="Arial"/>
          <w:color w:val="000000" w:themeColor="text2"/>
        </w:rPr>
      </w:pPr>
      <w:r>
        <w:rPr>
          <w:rFonts w:eastAsia="Arial"/>
          <w:color w:val="000000" w:themeColor="text2"/>
        </w:rPr>
        <w:t>In order to take enforcement action</w:t>
      </w:r>
      <w:r w:rsidR="0084760A">
        <w:rPr>
          <w:rFonts w:eastAsia="Arial"/>
          <w:color w:val="000000" w:themeColor="text2"/>
        </w:rPr>
        <w:t>,</w:t>
      </w:r>
      <w:r>
        <w:rPr>
          <w:rFonts w:eastAsia="Arial"/>
          <w:color w:val="000000" w:themeColor="text2"/>
        </w:rPr>
        <w:t xml:space="preserve"> </w:t>
      </w:r>
      <w:r w:rsidR="0084760A">
        <w:rPr>
          <w:rFonts w:eastAsia="Arial"/>
          <w:color w:val="000000" w:themeColor="text2"/>
        </w:rPr>
        <w:t>the ACMA is</w:t>
      </w:r>
      <w:r w:rsidR="007A3011" w:rsidRPr="1638F3F5">
        <w:rPr>
          <w:rFonts w:eastAsia="Arial"/>
          <w:color w:val="000000" w:themeColor="text2"/>
        </w:rPr>
        <w:t xml:space="preserve"> require</w:t>
      </w:r>
      <w:r w:rsidR="0084760A">
        <w:rPr>
          <w:rFonts w:eastAsia="Arial"/>
          <w:color w:val="000000" w:themeColor="text2"/>
        </w:rPr>
        <w:t>d</w:t>
      </w:r>
      <w:r w:rsidR="007A3011" w:rsidRPr="1638F3F5">
        <w:rPr>
          <w:rFonts w:eastAsia="Arial"/>
          <w:color w:val="000000" w:themeColor="text2"/>
        </w:rPr>
        <w:t xml:space="preserve"> to direct a carrier or CSP to comply with the code </w:t>
      </w:r>
      <w:r w:rsidR="007A3011">
        <w:rPr>
          <w:rFonts w:eastAsia="Arial"/>
          <w:color w:val="000000" w:themeColor="text2"/>
        </w:rPr>
        <w:t xml:space="preserve">before it can require compliance with the code. This requires the ACMA </w:t>
      </w:r>
      <w:r w:rsidR="00B74BDD">
        <w:rPr>
          <w:rFonts w:eastAsia="Arial"/>
          <w:color w:val="000000" w:themeColor="text2"/>
        </w:rPr>
        <w:t xml:space="preserve">to conduct an </w:t>
      </w:r>
      <w:r w:rsidR="007A3011">
        <w:rPr>
          <w:rFonts w:eastAsia="Arial"/>
          <w:color w:val="000000" w:themeColor="text2"/>
        </w:rPr>
        <w:t xml:space="preserve">investigation </w:t>
      </w:r>
      <w:r w:rsidR="00B74BDD">
        <w:rPr>
          <w:rFonts w:eastAsia="Arial"/>
          <w:color w:val="000000" w:themeColor="text2"/>
        </w:rPr>
        <w:t>into</w:t>
      </w:r>
      <w:r w:rsidR="007A3011">
        <w:rPr>
          <w:rFonts w:eastAsia="Arial"/>
          <w:color w:val="000000" w:themeColor="text2"/>
        </w:rPr>
        <w:t xml:space="preserve"> the requirements of the code, which can be a time-consuming process, requiring procedural fairness and natural justice considerations. In comparison, option two would determine an Industry Standard and have immediate regulatory effect requiring compliance by carriers and CSPs.</w:t>
      </w:r>
      <w:r w:rsidR="00952913">
        <w:rPr>
          <w:rFonts w:eastAsia="Arial"/>
          <w:color w:val="000000" w:themeColor="text2"/>
        </w:rPr>
        <w:t xml:space="preserve"> Option </w:t>
      </w:r>
      <w:r w:rsidR="00DA25BC">
        <w:rPr>
          <w:rFonts w:eastAsia="Arial"/>
          <w:color w:val="000000" w:themeColor="text2"/>
        </w:rPr>
        <w:t>2</w:t>
      </w:r>
      <w:r w:rsidR="00952913">
        <w:rPr>
          <w:rFonts w:eastAsia="Arial"/>
          <w:color w:val="000000" w:themeColor="text2"/>
        </w:rPr>
        <w:t xml:space="preserve"> would also </w:t>
      </w:r>
      <w:r w:rsidR="00E4143C">
        <w:rPr>
          <w:rFonts w:eastAsia="Arial"/>
          <w:color w:val="000000" w:themeColor="text2"/>
        </w:rPr>
        <w:t xml:space="preserve">enable the ACMA to enforce compliance </w:t>
      </w:r>
      <w:r w:rsidR="004A3986">
        <w:rPr>
          <w:rFonts w:eastAsia="Arial"/>
          <w:color w:val="000000" w:themeColor="text2"/>
        </w:rPr>
        <w:t xml:space="preserve">and enforcement action </w:t>
      </w:r>
      <w:r w:rsidR="00E4143C">
        <w:rPr>
          <w:rFonts w:eastAsia="Arial"/>
          <w:color w:val="000000" w:themeColor="text2"/>
        </w:rPr>
        <w:t xml:space="preserve">immediately </w:t>
      </w:r>
      <w:r w:rsidR="004A3986">
        <w:rPr>
          <w:rFonts w:eastAsia="Arial"/>
          <w:color w:val="000000" w:themeColor="text2"/>
        </w:rPr>
        <w:t xml:space="preserve">after a breach of the standard is found. </w:t>
      </w:r>
    </w:p>
    <w:p w14:paraId="1DC85DEA" w14:textId="77777777" w:rsidR="00DA25BC" w:rsidRDefault="00DA25BC" w:rsidP="00DA25BC">
      <w:pPr>
        <w:pStyle w:val="Paragraph"/>
        <w:spacing w:after="0" w:line="240" w:lineRule="auto"/>
        <w:rPr>
          <w:rFonts w:eastAsia="Arial"/>
          <w:color w:val="000000" w:themeColor="text2"/>
        </w:rPr>
      </w:pPr>
    </w:p>
    <w:p w14:paraId="7E7A276F" w14:textId="36EF84DA" w:rsidR="00B10FB4" w:rsidRPr="00DA25BC" w:rsidRDefault="00B10FB4" w:rsidP="00DA25BC">
      <w:pPr>
        <w:pStyle w:val="Paragraph"/>
        <w:spacing w:after="0" w:line="240" w:lineRule="auto"/>
        <w:rPr>
          <w:rFonts w:eastAsia="Arial"/>
          <w:color w:val="000000" w:themeColor="text2"/>
        </w:rPr>
      </w:pPr>
      <w:r>
        <w:rPr>
          <w:color w:val="000000"/>
          <w:szCs w:val="22"/>
          <w:shd w:val="clear" w:color="auto" w:fill="FFFFFF"/>
        </w:rPr>
        <w:t xml:space="preserve">Options 1, 3 and 4 </w:t>
      </w:r>
      <w:r w:rsidRPr="00F60A82">
        <w:rPr>
          <w:color w:val="000000"/>
          <w:szCs w:val="22"/>
          <w:shd w:val="clear" w:color="auto" w:fill="FFFFFF"/>
        </w:rPr>
        <w:t>would also not satisfy the Ministerial direction, leaving the ACMA non-compliant.  </w:t>
      </w:r>
    </w:p>
    <w:p w14:paraId="2CDDB4F7" w14:textId="77777777" w:rsidR="00B10FB4" w:rsidRPr="00322F42" w:rsidRDefault="00B10FB4" w:rsidP="00322F42">
      <w:pPr>
        <w:pStyle w:val="ListParagraph"/>
        <w:ind w:left="0"/>
        <w:contextualSpacing w:val="0"/>
        <w:rPr>
          <w:sz w:val="22"/>
          <w:szCs w:val="22"/>
        </w:rPr>
      </w:pPr>
    </w:p>
    <w:p w14:paraId="0592729C" w14:textId="01700A62" w:rsidR="008E3AC8" w:rsidRDefault="45B51100" w:rsidP="004D382D">
      <w:pPr>
        <w:pStyle w:val="Heading1"/>
      </w:pPr>
      <w:bookmarkStart w:id="67" w:name="_Toc181713920"/>
      <w:r>
        <w:lastRenderedPageBreak/>
        <w:t>How will you evaluate your chosen option against the success metrics?</w:t>
      </w:r>
      <w:bookmarkEnd w:id="67"/>
    </w:p>
    <w:p w14:paraId="22FA45C9" w14:textId="34728B94" w:rsidR="008E3AC8" w:rsidRDefault="00AF7A9A" w:rsidP="0074716D">
      <w:pPr>
        <w:pStyle w:val="ListParagraph"/>
        <w:ind w:left="0"/>
        <w:contextualSpacing w:val="0"/>
        <w:rPr>
          <w:sz w:val="22"/>
          <w:szCs w:val="22"/>
        </w:rPr>
      </w:pPr>
      <w:r>
        <w:rPr>
          <w:sz w:val="22"/>
          <w:szCs w:val="22"/>
        </w:rPr>
        <w:t xml:space="preserve">The ACMA will monitor and evaluate the implementation of the Industry Standard to ensure it aligns with the objectives and success metrics outlined in </w:t>
      </w:r>
      <w:r w:rsidR="00451A88">
        <w:rPr>
          <w:sz w:val="22"/>
          <w:szCs w:val="22"/>
        </w:rPr>
        <w:t xml:space="preserve">Question 2 and gauge its effectiveness. </w:t>
      </w:r>
      <w:r w:rsidR="00DB093B">
        <w:rPr>
          <w:sz w:val="22"/>
          <w:szCs w:val="22"/>
        </w:rPr>
        <w:t xml:space="preserve">In its evaluation, the </w:t>
      </w:r>
      <w:r w:rsidR="009B76FE">
        <w:rPr>
          <w:sz w:val="22"/>
          <w:szCs w:val="22"/>
        </w:rPr>
        <w:t xml:space="preserve">ACMA will assess the following key questions: </w:t>
      </w:r>
    </w:p>
    <w:p w14:paraId="7BEC519C" w14:textId="20DAF55B" w:rsidR="009B76FE" w:rsidRPr="009B76FE" w:rsidRDefault="009B76FE" w:rsidP="004C7627">
      <w:pPr>
        <w:numPr>
          <w:ilvl w:val="0"/>
          <w:numId w:val="72"/>
        </w:numPr>
        <w:shd w:val="clear" w:color="auto" w:fill="FFFFFF"/>
        <w:spacing w:after="0" w:line="240" w:lineRule="auto"/>
        <w:ind w:left="709"/>
        <w:textAlignment w:val="baseline"/>
        <w:rPr>
          <w:rFonts w:cs="Arial"/>
          <w:sz w:val="22"/>
          <w:szCs w:val="22"/>
        </w:rPr>
      </w:pPr>
      <w:r w:rsidRPr="009B76FE">
        <w:rPr>
          <w:rFonts w:cs="Arial"/>
          <w:color w:val="1F1F1F"/>
          <w:sz w:val="22"/>
          <w:szCs w:val="22"/>
        </w:rPr>
        <w:t xml:space="preserve">Did the </w:t>
      </w:r>
      <w:r w:rsidR="00B57EA6">
        <w:rPr>
          <w:rFonts w:cs="Arial"/>
          <w:color w:val="1F1F1F"/>
          <w:sz w:val="22"/>
          <w:szCs w:val="22"/>
        </w:rPr>
        <w:t>Industry Standard</w:t>
      </w:r>
      <w:r w:rsidRPr="009B76FE">
        <w:rPr>
          <w:rFonts w:cs="Arial"/>
          <w:color w:val="1F1F1F"/>
          <w:sz w:val="22"/>
          <w:szCs w:val="22"/>
        </w:rPr>
        <w:t xml:space="preserve"> achieve the intended outcome?  </w:t>
      </w:r>
    </w:p>
    <w:p w14:paraId="3403C4E2" w14:textId="77777777" w:rsidR="009B76FE" w:rsidRPr="009B76FE" w:rsidRDefault="009B76FE" w:rsidP="004C7627">
      <w:pPr>
        <w:numPr>
          <w:ilvl w:val="0"/>
          <w:numId w:val="72"/>
        </w:numPr>
        <w:shd w:val="clear" w:color="auto" w:fill="FFFFFF"/>
        <w:spacing w:after="0" w:line="240" w:lineRule="auto"/>
        <w:ind w:left="709"/>
        <w:textAlignment w:val="baseline"/>
        <w:rPr>
          <w:rFonts w:cs="Arial"/>
          <w:sz w:val="22"/>
          <w:szCs w:val="22"/>
        </w:rPr>
      </w:pPr>
      <w:r w:rsidRPr="009B76FE">
        <w:rPr>
          <w:rFonts w:cs="Arial"/>
          <w:color w:val="1F1F1F"/>
          <w:sz w:val="22"/>
          <w:szCs w:val="22"/>
        </w:rPr>
        <w:t>What were the key activities involved in implementing the chosen option?  </w:t>
      </w:r>
    </w:p>
    <w:p w14:paraId="0FA4EBA5" w14:textId="031C4376" w:rsidR="009B76FE" w:rsidRPr="009B76FE" w:rsidRDefault="009B76FE" w:rsidP="004C7627">
      <w:pPr>
        <w:numPr>
          <w:ilvl w:val="0"/>
          <w:numId w:val="72"/>
        </w:numPr>
        <w:shd w:val="clear" w:color="auto" w:fill="FFFFFF"/>
        <w:spacing w:after="0" w:line="240" w:lineRule="auto"/>
        <w:ind w:left="709"/>
        <w:textAlignment w:val="baseline"/>
        <w:rPr>
          <w:rFonts w:cs="Arial"/>
          <w:sz w:val="22"/>
          <w:szCs w:val="22"/>
        </w:rPr>
      </w:pPr>
      <w:r w:rsidRPr="009B76FE">
        <w:rPr>
          <w:rFonts w:cs="Arial"/>
          <w:color w:val="1F1F1F"/>
          <w:sz w:val="22"/>
          <w:szCs w:val="22"/>
        </w:rPr>
        <w:t xml:space="preserve">Were there any other unintended impacts </w:t>
      </w:r>
      <w:r w:rsidR="00694354">
        <w:rPr>
          <w:rFonts w:cs="Arial"/>
          <w:color w:val="1F1F1F"/>
          <w:sz w:val="22"/>
          <w:szCs w:val="22"/>
        </w:rPr>
        <w:t xml:space="preserve">from </w:t>
      </w:r>
      <w:r w:rsidRPr="009B76FE">
        <w:rPr>
          <w:rFonts w:cs="Arial"/>
          <w:color w:val="1F1F1F"/>
          <w:sz w:val="22"/>
          <w:szCs w:val="22"/>
        </w:rPr>
        <w:t xml:space="preserve">the </w:t>
      </w:r>
      <w:r w:rsidR="00B57EA6">
        <w:rPr>
          <w:rFonts w:cs="Arial"/>
          <w:color w:val="1F1F1F"/>
          <w:sz w:val="22"/>
          <w:szCs w:val="22"/>
        </w:rPr>
        <w:t>Industry Standard</w:t>
      </w:r>
      <w:r w:rsidRPr="009B76FE">
        <w:rPr>
          <w:rFonts w:cs="Arial"/>
          <w:color w:val="1F1F1F"/>
          <w:sz w:val="22"/>
          <w:szCs w:val="22"/>
        </w:rPr>
        <w:t>? </w:t>
      </w:r>
    </w:p>
    <w:p w14:paraId="44F0CEBD" w14:textId="56FB8E4E" w:rsidR="009B76FE" w:rsidRPr="009B76FE" w:rsidRDefault="009B76FE" w:rsidP="004C7627">
      <w:pPr>
        <w:numPr>
          <w:ilvl w:val="0"/>
          <w:numId w:val="72"/>
        </w:numPr>
        <w:shd w:val="clear" w:color="auto" w:fill="FFFFFF"/>
        <w:spacing w:after="0" w:line="240" w:lineRule="auto"/>
        <w:ind w:left="709"/>
        <w:textAlignment w:val="baseline"/>
        <w:rPr>
          <w:rFonts w:cs="Arial"/>
          <w:sz w:val="22"/>
          <w:szCs w:val="22"/>
        </w:rPr>
      </w:pPr>
      <w:r w:rsidRPr="009B76FE">
        <w:rPr>
          <w:rFonts w:cs="Arial"/>
          <w:color w:val="1F1F1F"/>
          <w:sz w:val="22"/>
          <w:szCs w:val="22"/>
        </w:rPr>
        <w:t xml:space="preserve">How well was the </w:t>
      </w:r>
      <w:r w:rsidR="00B57EA6">
        <w:rPr>
          <w:rFonts w:cs="Arial"/>
          <w:color w:val="1F1F1F"/>
          <w:sz w:val="22"/>
          <w:szCs w:val="22"/>
        </w:rPr>
        <w:t xml:space="preserve">Industry Standard </w:t>
      </w:r>
      <w:r w:rsidRPr="009B76FE">
        <w:rPr>
          <w:rFonts w:cs="Arial"/>
          <w:color w:val="1F1F1F"/>
          <w:sz w:val="22"/>
          <w:szCs w:val="22"/>
        </w:rPr>
        <w:t>implemented? Are there any improvements that could be made to the design or delivery of the instrument? </w:t>
      </w:r>
    </w:p>
    <w:p w14:paraId="05C19962" w14:textId="77777777" w:rsidR="0073740E" w:rsidRDefault="0073740E" w:rsidP="0074716D">
      <w:pPr>
        <w:pStyle w:val="ListParagraph"/>
        <w:ind w:left="0"/>
        <w:contextualSpacing w:val="0"/>
        <w:rPr>
          <w:i/>
          <w:iCs/>
          <w:sz w:val="22"/>
          <w:szCs w:val="22"/>
          <w:u w:val="single"/>
        </w:rPr>
      </w:pPr>
    </w:p>
    <w:p w14:paraId="33425140" w14:textId="29323254" w:rsidR="00754C8B" w:rsidRPr="004C7627" w:rsidRDefault="00754C8B" w:rsidP="0074716D">
      <w:pPr>
        <w:pStyle w:val="ListParagraph"/>
        <w:ind w:left="0"/>
        <w:contextualSpacing w:val="0"/>
        <w:rPr>
          <w:i/>
          <w:iCs/>
          <w:sz w:val="22"/>
          <w:szCs w:val="22"/>
          <w:u w:val="single"/>
        </w:rPr>
      </w:pPr>
      <w:r w:rsidRPr="004C7627">
        <w:rPr>
          <w:i/>
          <w:iCs/>
          <w:sz w:val="22"/>
          <w:szCs w:val="22"/>
          <w:u w:val="single"/>
        </w:rPr>
        <w:t>Intended outcome</w:t>
      </w:r>
    </w:p>
    <w:p w14:paraId="4FCFBDFD" w14:textId="77777777" w:rsidR="00AF701C" w:rsidRPr="009E58FA" w:rsidRDefault="00980C50" w:rsidP="00AF701C">
      <w:pPr>
        <w:rPr>
          <w:sz w:val="22"/>
          <w:szCs w:val="22"/>
        </w:rPr>
      </w:pPr>
      <w:r>
        <w:rPr>
          <w:sz w:val="22"/>
          <w:szCs w:val="22"/>
        </w:rPr>
        <w:t xml:space="preserve">The objectives of the ACMA’s chosen option are to </w:t>
      </w:r>
      <w:r w:rsidR="00AF701C" w:rsidRPr="009E58FA">
        <w:rPr>
          <w:sz w:val="22"/>
          <w:szCs w:val="22"/>
        </w:rPr>
        <w:t>place clear obligations on carriers and CSPs to prioritise customer communications during outages and to ensure that:</w:t>
      </w:r>
    </w:p>
    <w:p w14:paraId="6FB87B0F" w14:textId="6F260869" w:rsidR="00AF701C" w:rsidRPr="00826435" w:rsidRDefault="00AF701C" w:rsidP="00AF701C">
      <w:pPr>
        <w:numPr>
          <w:ilvl w:val="0"/>
          <w:numId w:val="42"/>
        </w:numPr>
        <w:spacing w:after="120" w:line="240" w:lineRule="auto"/>
        <w:ind w:left="709" w:hanging="425"/>
        <w:textAlignment w:val="baseline"/>
        <w:rPr>
          <w:sz w:val="22"/>
          <w:szCs w:val="22"/>
        </w:rPr>
      </w:pPr>
      <w:r w:rsidRPr="00826435">
        <w:rPr>
          <w:rFonts w:cs="Arial"/>
          <w:sz w:val="22"/>
          <w:szCs w:val="22"/>
        </w:rPr>
        <w:t>communication</w:t>
      </w:r>
      <w:r w:rsidRPr="00826435">
        <w:rPr>
          <w:sz w:val="22"/>
          <w:szCs w:val="22"/>
        </w:rPr>
        <w:t xml:space="preserve"> with end-users in relation to outages will:</w:t>
      </w:r>
    </w:p>
    <w:p w14:paraId="1355DAB9" w14:textId="77777777" w:rsidR="00AF701C" w:rsidRPr="009E58FA" w:rsidRDefault="00AF701C" w:rsidP="00AF701C">
      <w:pPr>
        <w:pStyle w:val="ListParagraph"/>
        <w:numPr>
          <w:ilvl w:val="1"/>
          <w:numId w:val="43"/>
        </w:numPr>
        <w:spacing w:after="160" w:line="259" w:lineRule="auto"/>
        <w:ind w:left="1276" w:hanging="425"/>
        <w:rPr>
          <w:sz w:val="22"/>
          <w:szCs w:val="22"/>
        </w:rPr>
      </w:pPr>
      <w:r w:rsidRPr="70349D15">
        <w:rPr>
          <w:sz w:val="22"/>
          <w:szCs w:val="22"/>
        </w:rPr>
        <w:t>be</w:t>
      </w:r>
      <w:r w:rsidRPr="7C0D791E">
        <w:rPr>
          <w:sz w:val="22"/>
          <w:szCs w:val="22"/>
        </w:rPr>
        <w:t xml:space="preserve"> timely</w:t>
      </w:r>
      <w:r w:rsidRPr="009E58FA">
        <w:rPr>
          <w:sz w:val="22"/>
          <w:szCs w:val="22"/>
        </w:rPr>
        <w:t xml:space="preserve"> and up-to-date</w:t>
      </w:r>
    </w:p>
    <w:p w14:paraId="5FB4B0D0" w14:textId="77777777" w:rsidR="00AF701C" w:rsidRPr="009E58FA" w:rsidRDefault="00AF701C" w:rsidP="00AF701C">
      <w:pPr>
        <w:pStyle w:val="ListParagraph"/>
        <w:numPr>
          <w:ilvl w:val="1"/>
          <w:numId w:val="43"/>
        </w:numPr>
        <w:spacing w:after="160" w:line="259" w:lineRule="auto"/>
        <w:ind w:left="1276" w:hanging="425"/>
        <w:rPr>
          <w:sz w:val="22"/>
          <w:szCs w:val="22"/>
        </w:rPr>
      </w:pPr>
      <w:r w:rsidRPr="009E58FA">
        <w:rPr>
          <w:sz w:val="22"/>
          <w:szCs w:val="22"/>
        </w:rPr>
        <w:t>accessible and made through a mix of public and direct communication channels</w:t>
      </w:r>
    </w:p>
    <w:p w14:paraId="56DD9CBC" w14:textId="77777777" w:rsidR="008E0A98" w:rsidRDefault="00AF701C" w:rsidP="008E0A98">
      <w:pPr>
        <w:pStyle w:val="ListParagraph"/>
        <w:numPr>
          <w:ilvl w:val="1"/>
          <w:numId w:val="43"/>
        </w:numPr>
        <w:spacing w:after="160" w:line="259" w:lineRule="auto"/>
        <w:ind w:left="1276" w:hanging="425"/>
        <w:rPr>
          <w:sz w:val="22"/>
          <w:szCs w:val="22"/>
        </w:rPr>
      </w:pPr>
      <w:r w:rsidRPr="009E58FA">
        <w:rPr>
          <w:sz w:val="22"/>
          <w:szCs w:val="22"/>
        </w:rPr>
        <w:t>identify, as appropriate, methods for end-users to seek a real-time or near real-time update or assistance</w:t>
      </w:r>
    </w:p>
    <w:p w14:paraId="6D0DDE16" w14:textId="48B8067C" w:rsidR="00AF701C" w:rsidRPr="008E0A98" w:rsidRDefault="00AF701C" w:rsidP="008E0A98">
      <w:pPr>
        <w:pStyle w:val="ListParagraph"/>
        <w:numPr>
          <w:ilvl w:val="1"/>
          <w:numId w:val="43"/>
        </w:numPr>
        <w:spacing w:after="160" w:line="259" w:lineRule="auto"/>
        <w:ind w:left="1276" w:hanging="425"/>
        <w:rPr>
          <w:sz w:val="22"/>
          <w:szCs w:val="22"/>
        </w:rPr>
      </w:pPr>
      <w:r w:rsidRPr="008E0A98">
        <w:rPr>
          <w:sz w:val="22"/>
          <w:szCs w:val="22"/>
        </w:rPr>
        <w:t>inform end-users and the public about the status, scale, cause, and estimated timing for rectification of the outage</w:t>
      </w:r>
    </w:p>
    <w:p w14:paraId="480DDBDE" w14:textId="0ED2C266" w:rsidR="00AF701C" w:rsidRPr="009E58FA" w:rsidRDefault="00AF701C" w:rsidP="00AF701C">
      <w:pPr>
        <w:pStyle w:val="ListParagraph"/>
        <w:numPr>
          <w:ilvl w:val="1"/>
          <w:numId w:val="43"/>
        </w:numPr>
        <w:spacing w:after="160" w:line="259" w:lineRule="auto"/>
        <w:ind w:left="1276" w:hanging="425"/>
        <w:rPr>
          <w:sz w:val="22"/>
          <w:szCs w:val="22"/>
        </w:rPr>
      </w:pPr>
      <w:r w:rsidRPr="009E58FA">
        <w:rPr>
          <w:sz w:val="22"/>
          <w:szCs w:val="22"/>
        </w:rPr>
        <w:t>provide prompt notification when services are restored</w:t>
      </w:r>
      <w:r w:rsidR="008E0A98">
        <w:rPr>
          <w:sz w:val="22"/>
          <w:szCs w:val="22"/>
        </w:rPr>
        <w:t>.</w:t>
      </w:r>
    </w:p>
    <w:p w14:paraId="56B8A073" w14:textId="46787E53" w:rsidR="00AF701C" w:rsidRPr="009E58FA" w:rsidRDefault="00AF701C" w:rsidP="00AF701C">
      <w:pPr>
        <w:numPr>
          <w:ilvl w:val="0"/>
          <w:numId w:val="42"/>
        </w:numPr>
        <w:spacing w:after="120" w:line="240" w:lineRule="auto"/>
        <w:ind w:left="709" w:hanging="425"/>
        <w:textAlignment w:val="baseline"/>
        <w:rPr>
          <w:rFonts w:cs="Arial"/>
          <w:sz w:val="22"/>
          <w:szCs w:val="22"/>
        </w:rPr>
      </w:pPr>
      <w:r w:rsidRPr="009E58FA">
        <w:rPr>
          <w:rFonts w:cs="Arial"/>
          <w:sz w:val="22"/>
          <w:szCs w:val="22"/>
        </w:rPr>
        <w:t>carriers and CSPs share information about outages with each other and relevant stakeholders to enable effective communication with end-users affected by the outage</w:t>
      </w:r>
      <w:r w:rsidR="008E0A98">
        <w:rPr>
          <w:rFonts w:cs="Arial"/>
          <w:sz w:val="22"/>
          <w:szCs w:val="22"/>
        </w:rPr>
        <w:t>.</w:t>
      </w:r>
    </w:p>
    <w:p w14:paraId="03F03C97" w14:textId="77777777" w:rsidR="00AF701C" w:rsidRPr="009D7C42" w:rsidRDefault="00AF701C" w:rsidP="00AF701C">
      <w:pPr>
        <w:numPr>
          <w:ilvl w:val="0"/>
          <w:numId w:val="42"/>
        </w:numPr>
        <w:spacing w:after="120" w:line="240" w:lineRule="auto"/>
        <w:ind w:left="709" w:hanging="425"/>
        <w:textAlignment w:val="baseline"/>
      </w:pPr>
      <w:r w:rsidRPr="009E58FA">
        <w:rPr>
          <w:rFonts w:cs="Arial"/>
          <w:sz w:val="22"/>
          <w:szCs w:val="22"/>
        </w:rPr>
        <w:t xml:space="preserve">carriers and CSPs make information about their process for communicating about outages publicly </w:t>
      </w:r>
      <w:r w:rsidRPr="0086376F">
        <w:rPr>
          <w:rFonts w:cs="Arial"/>
          <w:sz w:val="22"/>
          <w:szCs w:val="22"/>
        </w:rPr>
        <w:t>available</w:t>
      </w:r>
      <w:r w:rsidRPr="006B2110">
        <w:rPr>
          <w:sz w:val="22"/>
          <w:szCs w:val="22"/>
        </w:rPr>
        <w:t xml:space="preserve"> and easily accessible.</w:t>
      </w:r>
      <w:r w:rsidRPr="006B2110">
        <w:rPr>
          <w:rStyle w:val="FootnoteReference"/>
          <w:sz w:val="22"/>
          <w:szCs w:val="22"/>
        </w:rPr>
        <w:footnoteReference w:id="26"/>
      </w:r>
    </w:p>
    <w:p w14:paraId="04AAFBD1" w14:textId="38067FDE" w:rsidR="007F3C57" w:rsidRDefault="007F3C57" w:rsidP="007F3C57">
      <w:pPr>
        <w:pStyle w:val="ListParagraph"/>
        <w:ind w:left="0"/>
        <w:contextualSpacing w:val="0"/>
        <w:rPr>
          <w:sz w:val="22"/>
          <w:szCs w:val="22"/>
        </w:rPr>
      </w:pPr>
      <w:r>
        <w:rPr>
          <w:sz w:val="22"/>
          <w:szCs w:val="22"/>
        </w:rPr>
        <w:t>Success will be measured by</w:t>
      </w:r>
      <w:r w:rsidR="0018042C">
        <w:rPr>
          <w:sz w:val="22"/>
          <w:szCs w:val="22"/>
        </w:rPr>
        <w:t xml:space="preserve"> how t</w:t>
      </w:r>
      <w:r w:rsidR="00193869">
        <w:rPr>
          <w:sz w:val="22"/>
          <w:szCs w:val="22"/>
        </w:rPr>
        <w:t>he CSPs and carriers respond to major outage</w:t>
      </w:r>
      <w:r w:rsidR="00752792">
        <w:rPr>
          <w:sz w:val="22"/>
          <w:szCs w:val="22"/>
        </w:rPr>
        <w:t>s</w:t>
      </w:r>
      <w:r w:rsidR="00193869">
        <w:rPr>
          <w:sz w:val="22"/>
          <w:szCs w:val="22"/>
        </w:rPr>
        <w:t xml:space="preserve"> including</w:t>
      </w:r>
      <w:r>
        <w:rPr>
          <w:sz w:val="22"/>
          <w:szCs w:val="22"/>
        </w:rPr>
        <w:t>:</w:t>
      </w:r>
    </w:p>
    <w:p w14:paraId="2E8B233F" w14:textId="77777777" w:rsidR="007F3C57" w:rsidRDefault="007F3C57" w:rsidP="007F3C57">
      <w:pPr>
        <w:numPr>
          <w:ilvl w:val="0"/>
          <w:numId w:val="42"/>
        </w:numPr>
        <w:spacing w:after="120" w:line="240" w:lineRule="auto"/>
        <w:ind w:left="709" w:hanging="425"/>
        <w:textAlignment w:val="baseline"/>
        <w:rPr>
          <w:sz w:val="22"/>
          <w:szCs w:val="22"/>
        </w:rPr>
      </w:pPr>
      <w:r>
        <w:rPr>
          <w:sz w:val="22"/>
          <w:szCs w:val="22"/>
        </w:rPr>
        <w:t>analysis of the reduction in complaints received by the TIO from consumers affected by outages compared to complaints received following the Optus outage</w:t>
      </w:r>
    </w:p>
    <w:p w14:paraId="2AD3E2B5" w14:textId="77777777" w:rsidR="007F3C57" w:rsidRDefault="007F3C57" w:rsidP="007F3C57">
      <w:pPr>
        <w:numPr>
          <w:ilvl w:val="0"/>
          <w:numId w:val="42"/>
        </w:numPr>
        <w:spacing w:after="120" w:line="240" w:lineRule="auto"/>
        <w:ind w:left="709" w:hanging="425"/>
        <w:textAlignment w:val="baseline"/>
        <w:rPr>
          <w:sz w:val="22"/>
          <w:szCs w:val="22"/>
        </w:rPr>
      </w:pPr>
      <w:r>
        <w:rPr>
          <w:sz w:val="22"/>
          <w:szCs w:val="22"/>
        </w:rPr>
        <w:t>assessment of the accessibility of information about processes for communicating about outages from carriers and CSPs</w:t>
      </w:r>
    </w:p>
    <w:p w14:paraId="1DAD03C9" w14:textId="77777777" w:rsidR="007F3C57" w:rsidRDefault="007F3C57" w:rsidP="007F3C57">
      <w:pPr>
        <w:numPr>
          <w:ilvl w:val="0"/>
          <w:numId w:val="42"/>
        </w:numPr>
        <w:spacing w:after="120" w:line="240" w:lineRule="auto"/>
        <w:ind w:left="709" w:hanging="425"/>
        <w:textAlignment w:val="baseline"/>
        <w:rPr>
          <w:sz w:val="22"/>
          <w:szCs w:val="22"/>
        </w:rPr>
      </w:pPr>
      <w:r>
        <w:rPr>
          <w:sz w:val="22"/>
          <w:szCs w:val="22"/>
        </w:rPr>
        <w:t>assessment of information carriers and CSPs experiencing outages share with other carriers, CSPs and relevant stakeholders about the outages.</w:t>
      </w:r>
    </w:p>
    <w:p w14:paraId="4226EEEE" w14:textId="77777777" w:rsidR="00C87B76" w:rsidRDefault="00C87B76" w:rsidP="00C87B76">
      <w:pPr>
        <w:spacing w:after="120" w:line="240" w:lineRule="auto"/>
        <w:ind w:left="709"/>
        <w:textAlignment w:val="baseline"/>
        <w:rPr>
          <w:sz w:val="22"/>
          <w:szCs w:val="22"/>
        </w:rPr>
      </w:pPr>
    </w:p>
    <w:p w14:paraId="7088A2C7" w14:textId="77777777" w:rsidR="00C87B76" w:rsidRDefault="00C87B76" w:rsidP="00C87B76">
      <w:pPr>
        <w:spacing w:after="120" w:line="240" w:lineRule="auto"/>
        <w:ind w:left="709"/>
        <w:textAlignment w:val="baseline"/>
        <w:rPr>
          <w:sz w:val="22"/>
          <w:szCs w:val="22"/>
        </w:rPr>
      </w:pPr>
    </w:p>
    <w:p w14:paraId="425AC142" w14:textId="6BE4BFB7" w:rsidR="009B76FE" w:rsidRPr="004C7627" w:rsidRDefault="00754C8B" w:rsidP="0074716D">
      <w:pPr>
        <w:pStyle w:val="ListParagraph"/>
        <w:ind w:left="0"/>
        <w:contextualSpacing w:val="0"/>
        <w:rPr>
          <w:i/>
          <w:iCs/>
          <w:sz w:val="22"/>
          <w:szCs w:val="22"/>
          <w:u w:val="single"/>
        </w:rPr>
      </w:pPr>
      <w:r w:rsidRPr="004C7627">
        <w:rPr>
          <w:i/>
          <w:iCs/>
          <w:sz w:val="22"/>
          <w:szCs w:val="22"/>
          <w:u w:val="single"/>
        </w:rPr>
        <w:lastRenderedPageBreak/>
        <w:t xml:space="preserve">Key activities </w:t>
      </w:r>
    </w:p>
    <w:p w14:paraId="6B9A9EED" w14:textId="3FCFA9E7" w:rsidR="00CA4261" w:rsidRDefault="00EF3679" w:rsidP="0074716D">
      <w:pPr>
        <w:pStyle w:val="ListParagraph"/>
        <w:ind w:left="0"/>
        <w:contextualSpacing w:val="0"/>
        <w:rPr>
          <w:sz w:val="22"/>
          <w:szCs w:val="22"/>
        </w:rPr>
      </w:pPr>
      <w:r>
        <w:rPr>
          <w:sz w:val="22"/>
          <w:szCs w:val="22"/>
        </w:rPr>
        <w:t>In t</w:t>
      </w:r>
      <w:r w:rsidR="00D1452E">
        <w:rPr>
          <w:sz w:val="22"/>
          <w:szCs w:val="22"/>
        </w:rPr>
        <w:t xml:space="preserve">he </w:t>
      </w:r>
      <w:r w:rsidR="00A63F35">
        <w:rPr>
          <w:sz w:val="22"/>
          <w:szCs w:val="22"/>
        </w:rPr>
        <w:t xml:space="preserve">post-implementation phase </w:t>
      </w:r>
      <w:r>
        <w:rPr>
          <w:sz w:val="22"/>
          <w:szCs w:val="22"/>
        </w:rPr>
        <w:t xml:space="preserve">the ACMA will </w:t>
      </w:r>
      <w:r w:rsidR="00AB777D">
        <w:rPr>
          <w:sz w:val="22"/>
          <w:szCs w:val="22"/>
        </w:rPr>
        <w:t xml:space="preserve">actively </w:t>
      </w:r>
      <w:r w:rsidR="00CA4261">
        <w:rPr>
          <w:sz w:val="22"/>
          <w:szCs w:val="22"/>
        </w:rPr>
        <w:t>evaluate the</w:t>
      </w:r>
      <w:r w:rsidR="004E279D">
        <w:rPr>
          <w:sz w:val="22"/>
          <w:szCs w:val="22"/>
        </w:rPr>
        <w:t xml:space="preserve"> effectiveness of the I</w:t>
      </w:r>
      <w:r w:rsidR="00D5442E">
        <w:rPr>
          <w:sz w:val="22"/>
          <w:szCs w:val="22"/>
        </w:rPr>
        <w:t>ndustry Standard against the</w:t>
      </w:r>
      <w:r w:rsidR="00CA4261">
        <w:rPr>
          <w:sz w:val="22"/>
          <w:szCs w:val="22"/>
        </w:rPr>
        <w:t xml:space="preserve"> success metrics by:</w:t>
      </w:r>
    </w:p>
    <w:p w14:paraId="552F919C" w14:textId="676AF911" w:rsidR="00D1452E" w:rsidRDefault="00BE5FBB" w:rsidP="00CA4261">
      <w:pPr>
        <w:numPr>
          <w:ilvl w:val="0"/>
          <w:numId w:val="42"/>
        </w:numPr>
        <w:spacing w:after="120" w:line="240" w:lineRule="auto"/>
        <w:ind w:left="709" w:hanging="425"/>
        <w:textAlignment w:val="baseline"/>
        <w:rPr>
          <w:sz w:val="22"/>
          <w:szCs w:val="22"/>
        </w:rPr>
      </w:pPr>
      <w:r>
        <w:rPr>
          <w:sz w:val="22"/>
          <w:szCs w:val="22"/>
        </w:rPr>
        <w:t xml:space="preserve">auditing carrier and CSP </w:t>
      </w:r>
      <w:r w:rsidR="00F664F1">
        <w:rPr>
          <w:sz w:val="22"/>
          <w:szCs w:val="22"/>
        </w:rPr>
        <w:t>websites to ensure that information about their processes for communicating about outages is publicly available and easily accessible</w:t>
      </w:r>
    </w:p>
    <w:p w14:paraId="2E22E88A" w14:textId="00807015" w:rsidR="00F664F1" w:rsidRDefault="004105D0" w:rsidP="00CA4261">
      <w:pPr>
        <w:numPr>
          <w:ilvl w:val="0"/>
          <w:numId w:val="42"/>
        </w:numPr>
        <w:spacing w:after="120" w:line="240" w:lineRule="auto"/>
        <w:ind w:left="709" w:hanging="425"/>
        <w:textAlignment w:val="baseline"/>
        <w:rPr>
          <w:sz w:val="22"/>
          <w:szCs w:val="22"/>
        </w:rPr>
      </w:pPr>
      <w:r>
        <w:rPr>
          <w:sz w:val="22"/>
          <w:szCs w:val="22"/>
        </w:rPr>
        <w:t>monitoring complaints received by the TIO following outages</w:t>
      </w:r>
    </w:p>
    <w:p w14:paraId="36517D4E" w14:textId="37609280" w:rsidR="00736196" w:rsidRPr="009762BF" w:rsidRDefault="00350259" w:rsidP="00CA4261">
      <w:pPr>
        <w:numPr>
          <w:ilvl w:val="0"/>
          <w:numId w:val="42"/>
        </w:numPr>
        <w:spacing w:after="120" w:line="240" w:lineRule="auto"/>
        <w:ind w:left="709" w:hanging="425"/>
        <w:textAlignment w:val="baseline"/>
        <w:rPr>
          <w:sz w:val="22"/>
          <w:szCs w:val="22"/>
        </w:rPr>
      </w:pPr>
      <w:r>
        <w:rPr>
          <w:sz w:val="22"/>
          <w:szCs w:val="22"/>
        </w:rPr>
        <w:t xml:space="preserve">monitoring </w:t>
      </w:r>
      <w:r w:rsidR="00D65A6E">
        <w:rPr>
          <w:sz w:val="22"/>
          <w:szCs w:val="22"/>
        </w:rPr>
        <w:t xml:space="preserve">carrier and CSP public communications during outages to </w:t>
      </w:r>
      <w:r w:rsidR="00107073">
        <w:rPr>
          <w:sz w:val="22"/>
          <w:szCs w:val="22"/>
        </w:rPr>
        <w:t>assess compliance and identify potential areas of concern</w:t>
      </w:r>
      <w:r w:rsidR="00AB07E6">
        <w:rPr>
          <w:sz w:val="22"/>
          <w:szCs w:val="22"/>
        </w:rPr>
        <w:t>.</w:t>
      </w:r>
    </w:p>
    <w:p w14:paraId="25C13B2E" w14:textId="08512B19" w:rsidR="00C01043" w:rsidRDefault="005B7E9C" w:rsidP="0074716D">
      <w:pPr>
        <w:pStyle w:val="ListParagraph"/>
        <w:ind w:left="0"/>
        <w:contextualSpacing w:val="0"/>
        <w:rPr>
          <w:i/>
          <w:iCs/>
          <w:sz w:val="22"/>
          <w:szCs w:val="22"/>
          <w:u w:val="single"/>
        </w:rPr>
      </w:pPr>
      <w:r w:rsidRPr="004C7627">
        <w:rPr>
          <w:i/>
          <w:iCs/>
          <w:sz w:val="22"/>
          <w:szCs w:val="22"/>
          <w:u w:val="single"/>
        </w:rPr>
        <w:t>Unintended impacts</w:t>
      </w:r>
    </w:p>
    <w:p w14:paraId="400D4940" w14:textId="2C24CFA0" w:rsidR="00C01043" w:rsidRPr="00C01043" w:rsidRDefault="00C01043" w:rsidP="00C01043">
      <w:pPr>
        <w:spacing w:after="0" w:line="240" w:lineRule="auto"/>
        <w:textAlignment w:val="baseline"/>
        <w:rPr>
          <w:rFonts w:ascii="Segoe UI" w:hAnsi="Segoe UI" w:cs="Segoe UI"/>
          <w:sz w:val="18"/>
          <w:szCs w:val="18"/>
        </w:rPr>
      </w:pPr>
      <w:r w:rsidRPr="00C01043">
        <w:rPr>
          <w:rFonts w:cs="Arial"/>
          <w:color w:val="000000"/>
          <w:sz w:val="22"/>
          <w:szCs w:val="22"/>
        </w:rPr>
        <w:t xml:space="preserve">The ACMA will request information from providers about any difficulties that may be experienced with </w:t>
      </w:r>
      <w:r>
        <w:rPr>
          <w:rFonts w:cs="Arial"/>
          <w:color w:val="000000"/>
          <w:sz w:val="22"/>
          <w:szCs w:val="22"/>
        </w:rPr>
        <w:t>upgrading systems</w:t>
      </w:r>
      <w:r w:rsidRPr="00C01043">
        <w:rPr>
          <w:rFonts w:cs="Arial"/>
          <w:color w:val="000000"/>
          <w:sz w:val="22"/>
          <w:szCs w:val="22"/>
        </w:rPr>
        <w:t xml:space="preserve"> to ascertain if there are improvements in processes, information sharing or regulatory arrangements that may assist to meet the policy objectives. </w:t>
      </w:r>
    </w:p>
    <w:p w14:paraId="58BFE980" w14:textId="77777777" w:rsidR="00C01043" w:rsidRPr="00C01043" w:rsidRDefault="00C01043" w:rsidP="00C01043">
      <w:pPr>
        <w:spacing w:after="0" w:line="240" w:lineRule="auto"/>
        <w:textAlignment w:val="baseline"/>
        <w:rPr>
          <w:rFonts w:ascii="Segoe UI" w:hAnsi="Segoe UI" w:cs="Segoe UI"/>
          <w:sz w:val="18"/>
          <w:szCs w:val="18"/>
        </w:rPr>
      </w:pPr>
      <w:r w:rsidRPr="00C01043">
        <w:rPr>
          <w:rFonts w:cs="Arial"/>
          <w:color w:val="000000"/>
          <w:sz w:val="22"/>
          <w:szCs w:val="22"/>
        </w:rPr>
        <w:t> </w:t>
      </w:r>
    </w:p>
    <w:p w14:paraId="556DB7C1" w14:textId="6D0A7128" w:rsidR="00C01043" w:rsidRPr="00C01043" w:rsidRDefault="00C01043" w:rsidP="00C01043">
      <w:pPr>
        <w:spacing w:after="0" w:line="240" w:lineRule="auto"/>
        <w:textAlignment w:val="baseline"/>
        <w:rPr>
          <w:rFonts w:ascii="Segoe UI" w:hAnsi="Segoe UI" w:cs="Segoe UI"/>
          <w:sz w:val="18"/>
          <w:szCs w:val="18"/>
        </w:rPr>
      </w:pPr>
      <w:r w:rsidRPr="00C01043">
        <w:rPr>
          <w:rFonts w:cs="Arial"/>
          <w:color w:val="000000"/>
          <w:sz w:val="22"/>
          <w:szCs w:val="22"/>
        </w:rPr>
        <w:t xml:space="preserve">The ACMA will </w:t>
      </w:r>
      <w:r w:rsidR="005B376E">
        <w:rPr>
          <w:rFonts w:cs="Arial"/>
          <w:color w:val="000000"/>
          <w:sz w:val="22"/>
          <w:szCs w:val="22"/>
        </w:rPr>
        <w:t xml:space="preserve">also monitor closely </w:t>
      </w:r>
      <w:r w:rsidR="009D6C96">
        <w:rPr>
          <w:rFonts w:cs="Arial"/>
          <w:color w:val="000000"/>
          <w:sz w:val="22"/>
          <w:szCs w:val="22"/>
        </w:rPr>
        <w:t xml:space="preserve">difficulties experienced during outages such as congestion and will </w:t>
      </w:r>
      <w:r w:rsidRPr="00C01043">
        <w:rPr>
          <w:rFonts w:cs="Arial"/>
          <w:color w:val="000000"/>
          <w:sz w:val="22"/>
          <w:szCs w:val="22"/>
        </w:rPr>
        <w:t xml:space="preserve">undertake desktop audits to check that providers </w:t>
      </w:r>
      <w:r w:rsidR="002C710B">
        <w:rPr>
          <w:rFonts w:cs="Arial"/>
          <w:color w:val="000000"/>
          <w:sz w:val="22"/>
          <w:szCs w:val="22"/>
        </w:rPr>
        <w:t xml:space="preserve">are providing information about outages to communicate with the public. </w:t>
      </w:r>
      <w:r w:rsidRPr="00C01043">
        <w:rPr>
          <w:rFonts w:cs="Arial"/>
          <w:color w:val="000000"/>
          <w:sz w:val="22"/>
          <w:szCs w:val="22"/>
        </w:rPr>
        <w:t>The ACMA will consider appropriate compliance action where these policies have not been updated. </w:t>
      </w:r>
    </w:p>
    <w:p w14:paraId="0369B528" w14:textId="77777777" w:rsidR="00C01043" w:rsidRPr="004C7627" w:rsidRDefault="00C01043" w:rsidP="0074716D">
      <w:pPr>
        <w:pStyle w:val="ListParagraph"/>
        <w:ind w:left="0"/>
        <w:contextualSpacing w:val="0"/>
        <w:rPr>
          <w:i/>
          <w:iCs/>
          <w:sz w:val="22"/>
          <w:szCs w:val="22"/>
          <w:u w:val="single"/>
        </w:rPr>
      </w:pPr>
    </w:p>
    <w:p w14:paraId="2F50668C" w14:textId="0FA88C45" w:rsidR="00D6102C" w:rsidRPr="004C7627" w:rsidRDefault="00D6102C" w:rsidP="0074716D">
      <w:pPr>
        <w:pStyle w:val="ListParagraph"/>
        <w:ind w:left="0"/>
        <w:contextualSpacing w:val="0"/>
        <w:rPr>
          <w:i/>
          <w:iCs/>
          <w:sz w:val="22"/>
          <w:szCs w:val="22"/>
          <w:u w:val="single"/>
        </w:rPr>
      </w:pPr>
      <w:r w:rsidRPr="004C7627">
        <w:rPr>
          <w:i/>
          <w:iCs/>
          <w:sz w:val="22"/>
          <w:szCs w:val="22"/>
          <w:u w:val="single"/>
        </w:rPr>
        <w:t>How well the Industry Standard was implemented</w:t>
      </w:r>
    </w:p>
    <w:p w14:paraId="49576AE3" w14:textId="1F75D005" w:rsidR="004D2536" w:rsidRDefault="004D2536" w:rsidP="001D2915">
      <w:pPr>
        <w:spacing w:after="120" w:line="240" w:lineRule="auto"/>
        <w:textAlignment w:val="baseline"/>
        <w:rPr>
          <w:sz w:val="22"/>
          <w:szCs w:val="22"/>
        </w:rPr>
      </w:pPr>
      <w:r w:rsidRPr="004D2536">
        <w:rPr>
          <w:rFonts w:cs="Arial"/>
          <w:color w:val="000000"/>
          <w:sz w:val="22"/>
          <w:szCs w:val="22"/>
          <w:shd w:val="clear" w:color="auto" w:fill="FFFFFF"/>
        </w:rPr>
        <w:t>This will be the subject of ongoing evaluation and monitoring through a combination of a measurement of success of reaching the intended outcome and unintended impacts.  </w:t>
      </w:r>
    </w:p>
    <w:p w14:paraId="2FD14939" w14:textId="3D3AE494" w:rsidR="00EF3DBD" w:rsidRDefault="00EF3DBD" w:rsidP="00EF3DBD">
      <w:pPr>
        <w:spacing w:after="120" w:line="240" w:lineRule="auto"/>
        <w:textAlignment w:val="baseline"/>
        <w:rPr>
          <w:sz w:val="22"/>
          <w:szCs w:val="22"/>
        </w:rPr>
      </w:pPr>
      <w:r>
        <w:rPr>
          <w:sz w:val="22"/>
          <w:szCs w:val="22"/>
        </w:rPr>
        <w:t>Should the Industry Standard prove ineffective, we may consider regulatory reform or advice to government about</w:t>
      </w:r>
      <w:r w:rsidR="001A43B1">
        <w:rPr>
          <w:sz w:val="22"/>
          <w:szCs w:val="22"/>
        </w:rPr>
        <w:t xml:space="preserve"> implementing further rules or amending the Industry Standard to address </w:t>
      </w:r>
      <w:r w:rsidR="001B14ED">
        <w:rPr>
          <w:sz w:val="22"/>
          <w:szCs w:val="22"/>
        </w:rPr>
        <w:t>any regulatory gaps.</w:t>
      </w:r>
      <w:r w:rsidR="00F11C3C">
        <w:rPr>
          <w:sz w:val="22"/>
          <w:szCs w:val="22"/>
        </w:rPr>
        <w:t xml:space="preserve"> An opportunity for amendments will be available also </w:t>
      </w:r>
      <w:r w:rsidR="00CE695F">
        <w:rPr>
          <w:sz w:val="22"/>
          <w:szCs w:val="22"/>
        </w:rPr>
        <w:t xml:space="preserve">for when circulating the draft proposed standard for </w:t>
      </w:r>
      <w:r w:rsidR="00B57EA6">
        <w:rPr>
          <w:sz w:val="22"/>
          <w:szCs w:val="22"/>
        </w:rPr>
        <w:t xml:space="preserve">significant local outages. </w:t>
      </w:r>
    </w:p>
    <w:p w14:paraId="1850809D" w14:textId="63C14DAD" w:rsidR="00057101" w:rsidRPr="00057101" w:rsidRDefault="00057101" w:rsidP="00057101">
      <w:pPr>
        <w:spacing w:after="0" w:line="240" w:lineRule="auto"/>
        <w:textAlignment w:val="baseline"/>
        <w:rPr>
          <w:rFonts w:ascii="Segoe UI" w:hAnsi="Segoe UI" w:cs="Segoe UI"/>
          <w:sz w:val="18"/>
          <w:szCs w:val="18"/>
        </w:rPr>
      </w:pPr>
      <w:r w:rsidRPr="00057101">
        <w:rPr>
          <w:rFonts w:cs="Arial"/>
          <w:color w:val="000000"/>
          <w:sz w:val="22"/>
          <w:szCs w:val="22"/>
        </w:rPr>
        <w:t xml:space="preserve">The above program of work will be undertaken by the Telecommunications Safeguards and Numbering Branch of the ACMA within existing resource allocations. The ACMA will work with industry to receive reporting against key metrics </w:t>
      </w:r>
      <w:r>
        <w:rPr>
          <w:rFonts w:cs="Arial"/>
          <w:color w:val="000000"/>
          <w:sz w:val="22"/>
          <w:szCs w:val="22"/>
        </w:rPr>
        <w:t>when outages occur</w:t>
      </w:r>
      <w:r w:rsidRPr="00057101">
        <w:rPr>
          <w:rFonts w:cs="Arial"/>
          <w:color w:val="000000"/>
          <w:sz w:val="22"/>
          <w:szCs w:val="22"/>
        </w:rPr>
        <w:t>. We anticipate major providers will provide relevant information voluntarily, but the ACMA can rely on formal powers in the Tel</w:t>
      </w:r>
      <w:r w:rsidR="00AE0565">
        <w:rPr>
          <w:rFonts w:cs="Arial"/>
          <w:color w:val="000000"/>
          <w:sz w:val="22"/>
          <w:szCs w:val="22"/>
        </w:rPr>
        <w:t>co</w:t>
      </w:r>
      <w:r w:rsidRPr="00057101">
        <w:rPr>
          <w:rFonts w:cs="Arial"/>
          <w:color w:val="000000"/>
          <w:sz w:val="22"/>
          <w:szCs w:val="22"/>
        </w:rPr>
        <w:t xml:space="preserve"> Act to require providers to give information and data if necessary. </w:t>
      </w:r>
    </w:p>
    <w:p w14:paraId="6362BCC2" w14:textId="77777777" w:rsidR="00057101" w:rsidRPr="00057101" w:rsidRDefault="00057101" w:rsidP="00057101">
      <w:pPr>
        <w:spacing w:after="0" w:line="240" w:lineRule="auto"/>
        <w:textAlignment w:val="baseline"/>
        <w:rPr>
          <w:rFonts w:ascii="Segoe UI" w:hAnsi="Segoe UI" w:cs="Segoe UI"/>
          <w:sz w:val="18"/>
          <w:szCs w:val="18"/>
        </w:rPr>
      </w:pPr>
      <w:r w:rsidRPr="00057101">
        <w:rPr>
          <w:rFonts w:cs="Arial"/>
          <w:color w:val="000000"/>
          <w:sz w:val="22"/>
          <w:szCs w:val="22"/>
        </w:rPr>
        <w:t> </w:t>
      </w:r>
    </w:p>
    <w:p w14:paraId="4C99320E" w14:textId="77777777" w:rsidR="00057101" w:rsidRPr="0074716D" w:rsidRDefault="00057101" w:rsidP="00EF3DBD">
      <w:pPr>
        <w:spacing w:after="120" w:line="240" w:lineRule="auto"/>
        <w:textAlignment w:val="baseline"/>
        <w:rPr>
          <w:sz w:val="22"/>
          <w:szCs w:val="22"/>
        </w:rPr>
      </w:pPr>
    </w:p>
    <w:p w14:paraId="70A6582C" w14:textId="65EA5173" w:rsidR="00313337" w:rsidRDefault="00313337" w:rsidP="00313337">
      <w:pPr>
        <w:pStyle w:val="Heading1"/>
      </w:pPr>
      <w:bookmarkStart w:id="68" w:name="_Toc181713921"/>
      <w:bookmarkEnd w:id="11"/>
      <w:r w:rsidRPr="004C7627">
        <w:rPr>
          <w:b/>
        </w:rPr>
        <w:lastRenderedPageBreak/>
        <w:t>Attachment 1:</w:t>
      </w:r>
      <w:r>
        <w:t xml:space="preserve"> </w:t>
      </w:r>
      <w:r w:rsidRPr="004C7627">
        <w:t>Table of major telecommunications network outages in Australia from 201</w:t>
      </w:r>
      <w:r w:rsidR="0076337F">
        <w:t>2</w:t>
      </w:r>
      <w:r w:rsidRPr="004C7627">
        <w:t xml:space="preserve"> to 2024</w:t>
      </w:r>
      <w:bookmarkEnd w:id="68"/>
    </w:p>
    <w:p w14:paraId="41C2E54A" w14:textId="77777777" w:rsidR="00313337" w:rsidRPr="005E1245" w:rsidRDefault="00313337" w:rsidP="00313337">
      <w:r>
        <w:t>Each of these outages meet minimum trigger of impacting 100,000 customers and consumers impacted for more than 60 minutes.</w:t>
      </w:r>
    </w:p>
    <w:tbl>
      <w:tblPr>
        <w:tblStyle w:val="TableGrid"/>
        <w:tblW w:w="0" w:type="auto"/>
        <w:tblLayout w:type="fixed"/>
        <w:tblLook w:val="04A0" w:firstRow="1" w:lastRow="0" w:firstColumn="1" w:lastColumn="0" w:noHBand="0" w:noVBand="1"/>
      </w:tblPr>
      <w:tblGrid>
        <w:gridCol w:w="1497"/>
        <w:gridCol w:w="1514"/>
        <w:gridCol w:w="3221"/>
        <w:gridCol w:w="2784"/>
      </w:tblGrid>
      <w:tr w:rsidR="00313337" w:rsidRPr="005E1245" w14:paraId="0774B41C" w14:textId="77777777" w:rsidTr="00313337">
        <w:tc>
          <w:tcPr>
            <w:tcW w:w="1497" w:type="dxa"/>
            <w:tcBorders>
              <w:top w:val="single" w:sz="4" w:space="0" w:color="auto"/>
              <w:left w:val="single" w:sz="4" w:space="0" w:color="auto"/>
              <w:bottom w:val="single" w:sz="4" w:space="0" w:color="auto"/>
              <w:right w:val="single" w:sz="4" w:space="0" w:color="auto"/>
            </w:tcBorders>
            <w:shd w:val="clear" w:color="auto" w:fill="EDF4F5" w:themeFill="accent6" w:themeFillTint="66"/>
            <w:hideMark/>
          </w:tcPr>
          <w:p w14:paraId="6CE329BD" w14:textId="77777777" w:rsidR="00313337" w:rsidRPr="005E1245" w:rsidRDefault="00313337" w:rsidP="00313337">
            <w:pPr>
              <w:rPr>
                <w:b/>
                <w:bCs/>
              </w:rPr>
            </w:pPr>
            <w:r w:rsidRPr="005E1245">
              <w:rPr>
                <w:b/>
                <w:bCs/>
              </w:rPr>
              <w:t>Date of outage</w:t>
            </w:r>
          </w:p>
        </w:tc>
        <w:tc>
          <w:tcPr>
            <w:tcW w:w="1514" w:type="dxa"/>
            <w:tcBorders>
              <w:top w:val="single" w:sz="4" w:space="0" w:color="auto"/>
              <w:left w:val="single" w:sz="4" w:space="0" w:color="auto"/>
              <w:bottom w:val="single" w:sz="4" w:space="0" w:color="auto"/>
              <w:right w:val="single" w:sz="4" w:space="0" w:color="auto"/>
            </w:tcBorders>
            <w:shd w:val="clear" w:color="auto" w:fill="CEE5E6" w:themeFill="accent4" w:themeFillTint="66"/>
            <w:hideMark/>
          </w:tcPr>
          <w:p w14:paraId="61C51A0A" w14:textId="77777777" w:rsidR="00313337" w:rsidRPr="005E1245" w:rsidRDefault="00313337" w:rsidP="00313337">
            <w:pPr>
              <w:rPr>
                <w:b/>
                <w:bCs/>
              </w:rPr>
            </w:pPr>
            <w:r w:rsidRPr="005E1245">
              <w:rPr>
                <w:b/>
                <w:bCs/>
              </w:rPr>
              <w:t>Company</w:t>
            </w:r>
          </w:p>
        </w:tc>
        <w:tc>
          <w:tcPr>
            <w:tcW w:w="3221" w:type="dxa"/>
            <w:tcBorders>
              <w:top w:val="single" w:sz="4" w:space="0" w:color="auto"/>
              <w:left w:val="single" w:sz="4" w:space="0" w:color="auto"/>
              <w:bottom w:val="single" w:sz="4" w:space="0" w:color="auto"/>
              <w:right w:val="single" w:sz="4" w:space="0" w:color="auto"/>
            </w:tcBorders>
            <w:shd w:val="clear" w:color="auto" w:fill="EAE1E9" w:themeFill="accent5" w:themeFillTint="66"/>
            <w:hideMark/>
          </w:tcPr>
          <w:p w14:paraId="6184DE80" w14:textId="77777777" w:rsidR="00313337" w:rsidRPr="005E1245" w:rsidRDefault="00313337" w:rsidP="00313337">
            <w:pPr>
              <w:rPr>
                <w:b/>
                <w:bCs/>
              </w:rPr>
            </w:pPr>
            <w:r w:rsidRPr="005E1245">
              <w:rPr>
                <w:b/>
                <w:bCs/>
              </w:rPr>
              <w:t>Details of outage</w:t>
            </w:r>
          </w:p>
        </w:tc>
        <w:tc>
          <w:tcPr>
            <w:tcW w:w="2784" w:type="dxa"/>
            <w:tcBorders>
              <w:top w:val="single" w:sz="4" w:space="0" w:color="auto"/>
              <w:left w:val="single" w:sz="4" w:space="0" w:color="auto"/>
              <w:bottom w:val="single" w:sz="4" w:space="0" w:color="auto"/>
              <w:right w:val="single" w:sz="4" w:space="0" w:color="auto"/>
            </w:tcBorders>
            <w:shd w:val="clear" w:color="auto" w:fill="D2ABC9" w:themeFill="accent2" w:themeFillTint="66"/>
            <w:hideMark/>
          </w:tcPr>
          <w:p w14:paraId="4158D1C8" w14:textId="77777777" w:rsidR="00313337" w:rsidRPr="005E1245" w:rsidRDefault="00313337" w:rsidP="00313337">
            <w:pPr>
              <w:rPr>
                <w:b/>
                <w:bCs/>
              </w:rPr>
            </w:pPr>
            <w:r w:rsidRPr="005E1245">
              <w:rPr>
                <w:b/>
                <w:bCs/>
              </w:rPr>
              <w:t>Reporting of outage</w:t>
            </w:r>
          </w:p>
        </w:tc>
      </w:tr>
      <w:tr w:rsidR="00313337" w:rsidRPr="005E1245" w14:paraId="6BACC7CC"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232E5078" w14:textId="77777777" w:rsidR="00313337" w:rsidRPr="005E1245" w:rsidRDefault="00313337" w:rsidP="00313337">
            <w:r w:rsidRPr="005E1245">
              <w:t>26 June 2012</w:t>
            </w:r>
          </w:p>
        </w:tc>
        <w:tc>
          <w:tcPr>
            <w:tcW w:w="1514" w:type="dxa"/>
            <w:tcBorders>
              <w:top w:val="single" w:sz="4" w:space="0" w:color="auto"/>
              <w:left w:val="single" w:sz="4" w:space="0" w:color="auto"/>
              <w:bottom w:val="single" w:sz="4" w:space="0" w:color="auto"/>
              <w:right w:val="single" w:sz="4" w:space="0" w:color="auto"/>
            </w:tcBorders>
            <w:hideMark/>
          </w:tcPr>
          <w:p w14:paraId="42D1CB35" w14:textId="77777777" w:rsidR="00313337" w:rsidRPr="005E1245" w:rsidRDefault="00313337" w:rsidP="00313337">
            <w:r w:rsidRPr="005E1245">
              <w:t>Vodafone</w:t>
            </w:r>
          </w:p>
        </w:tc>
        <w:tc>
          <w:tcPr>
            <w:tcW w:w="3221" w:type="dxa"/>
            <w:tcBorders>
              <w:top w:val="single" w:sz="4" w:space="0" w:color="auto"/>
              <w:left w:val="single" w:sz="4" w:space="0" w:color="auto"/>
              <w:bottom w:val="single" w:sz="4" w:space="0" w:color="auto"/>
              <w:right w:val="single" w:sz="4" w:space="0" w:color="auto"/>
            </w:tcBorders>
            <w:hideMark/>
          </w:tcPr>
          <w:p w14:paraId="056D9244" w14:textId="77777777" w:rsidR="00313337" w:rsidRPr="005E1245" w:rsidRDefault="00313337" w:rsidP="00313337">
            <w:r w:rsidRPr="005E1245">
              <w:t>Duration approximately 3 hours with 3G mobile network voice and data outages.</w:t>
            </w:r>
          </w:p>
        </w:tc>
        <w:tc>
          <w:tcPr>
            <w:tcW w:w="2784" w:type="dxa"/>
            <w:tcBorders>
              <w:top w:val="single" w:sz="4" w:space="0" w:color="auto"/>
              <w:left w:val="single" w:sz="4" w:space="0" w:color="auto"/>
              <w:bottom w:val="single" w:sz="4" w:space="0" w:color="auto"/>
              <w:right w:val="single" w:sz="4" w:space="0" w:color="auto"/>
            </w:tcBorders>
            <w:hideMark/>
          </w:tcPr>
          <w:p w14:paraId="5790DE4B" w14:textId="77777777" w:rsidR="00313337" w:rsidRPr="005E1245" w:rsidRDefault="00626044" w:rsidP="00313337">
            <w:hyperlink r:id="rId39" w:history="1">
              <w:r w:rsidR="00313337" w:rsidRPr="005E1245">
                <w:rPr>
                  <w:rStyle w:val="Hyperlink"/>
                </w:rPr>
                <w:t>https://www.itnews.com.au/news/vodafone-suffers-near-nationwide-3g-outage-306421</w:t>
              </w:r>
            </w:hyperlink>
          </w:p>
        </w:tc>
      </w:tr>
      <w:tr w:rsidR="00313337" w:rsidRPr="005E1245" w14:paraId="186C0526"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5E79D42B" w14:textId="77777777" w:rsidR="00313337" w:rsidRPr="005E1245" w:rsidRDefault="00313337" w:rsidP="00313337">
            <w:r w:rsidRPr="005E1245">
              <w:t>9 February 2016</w:t>
            </w:r>
          </w:p>
        </w:tc>
        <w:tc>
          <w:tcPr>
            <w:tcW w:w="1514" w:type="dxa"/>
            <w:tcBorders>
              <w:top w:val="single" w:sz="4" w:space="0" w:color="auto"/>
              <w:left w:val="single" w:sz="4" w:space="0" w:color="auto"/>
              <w:bottom w:val="single" w:sz="4" w:space="0" w:color="auto"/>
              <w:right w:val="single" w:sz="4" w:space="0" w:color="auto"/>
            </w:tcBorders>
            <w:hideMark/>
          </w:tcPr>
          <w:p w14:paraId="02CD6797"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1D0BC9E6" w14:textId="77777777" w:rsidR="00313337" w:rsidRPr="005E1245" w:rsidRDefault="00313337" w:rsidP="00313337">
            <w:r w:rsidRPr="005E1245">
              <w:t xml:space="preserve">Mobile voice and data networks outage for 3 hours due to ‘human error’ by Telstra staff. </w:t>
            </w:r>
          </w:p>
        </w:tc>
        <w:tc>
          <w:tcPr>
            <w:tcW w:w="2784" w:type="dxa"/>
            <w:tcBorders>
              <w:top w:val="single" w:sz="4" w:space="0" w:color="auto"/>
              <w:left w:val="single" w:sz="4" w:space="0" w:color="auto"/>
              <w:bottom w:val="single" w:sz="4" w:space="0" w:color="auto"/>
              <w:right w:val="single" w:sz="4" w:space="0" w:color="auto"/>
            </w:tcBorders>
          </w:tcPr>
          <w:p w14:paraId="684D3F51" w14:textId="77777777" w:rsidR="00313337" w:rsidRPr="005E1245" w:rsidRDefault="00626044" w:rsidP="00313337">
            <w:hyperlink r:id="rId40" w:history="1">
              <w:r w:rsidR="00313337" w:rsidRPr="005E1245">
                <w:rPr>
                  <w:rStyle w:val="Hyperlink"/>
                </w:rPr>
                <w:t>'Embarrassing' human error behind national Telstra outage - Telco/ISP - iTnews</w:t>
              </w:r>
            </w:hyperlink>
          </w:p>
          <w:p w14:paraId="7682F132" w14:textId="77777777" w:rsidR="00313337" w:rsidRPr="005E1245" w:rsidRDefault="00313337" w:rsidP="00313337"/>
        </w:tc>
      </w:tr>
      <w:tr w:rsidR="00313337" w:rsidRPr="005E1245" w14:paraId="73EA4A2A"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030E518F" w14:textId="77777777" w:rsidR="00313337" w:rsidRPr="005E1245" w:rsidRDefault="00313337" w:rsidP="00313337">
            <w:r w:rsidRPr="005E1245">
              <w:t>17 March 2016</w:t>
            </w:r>
          </w:p>
        </w:tc>
        <w:tc>
          <w:tcPr>
            <w:tcW w:w="1514" w:type="dxa"/>
            <w:tcBorders>
              <w:top w:val="single" w:sz="4" w:space="0" w:color="auto"/>
              <w:left w:val="single" w:sz="4" w:space="0" w:color="auto"/>
              <w:bottom w:val="single" w:sz="4" w:space="0" w:color="auto"/>
              <w:right w:val="single" w:sz="4" w:space="0" w:color="auto"/>
            </w:tcBorders>
            <w:hideMark/>
          </w:tcPr>
          <w:p w14:paraId="575B8AC1"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6DE6E39B" w14:textId="77777777" w:rsidR="00313337" w:rsidRPr="005E1245" w:rsidRDefault="00313337" w:rsidP="00313337">
            <w:r w:rsidRPr="005E1245">
              <w:t>Outage of Telstra 3G and 4G networks. Customers unable to make or receive calls or use data.</w:t>
            </w:r>
          </w:p>
        </w:tc>
        <w:tc>
          <w:tcPr>
            <w:tcW w:w="2784" w:type="dxa"/>
            <w:tcBorders>
              <w:top w:val="single" w:sz="4" w:space="0" w:color="auto"/>
              <w:left w:val="single" w:sz="4" w:space="0" w:color="auto"/>
              <w:bottom w:val="single" w:sz="4" w:space="0" w:color="auto"/>
              <w:right w:val="single" w:sz="4" w:space="0" w:color="auto"/>
            </w:tcBorders>
            <w:hideMark/>
          </w:tcPr>
          <w:p w14:paraId="4DB6ABD1" w14:textId="77777777" w:rsidR="00313337" w:rsidRPr="005E1245" w:rsidRDefault="00626044" w:rsidP="00313337">
            <w:hyperlink r:id="rId41" w:history="1">
              <w:r w:rsidR="00313337" w:rsidRPr="005E1245">
                <w:rPr>
                  <w:rStyle w:val="Hyperlink"/>
                </w:rPr>
                <w:t>Telstra outage forces another free data day - Collaboration - Telco - Networking - CRN Australia</w:t>
              </w:r>
            </w:hyperlink>
          </w:p>
        </w:tc>
      </w:tr>
      <w:tr w:rsidR="00313337" w:rsidRPr="005E1245" w14:paraId="0312EF61"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7E2C13E8" w14:textId="77777777" w:rsidR="00313337" w:rsidRPr="005E1245" w:rsidRDefault="00313337" w:rsidP="00313337">
            <w:r w:rsidRPr="005E1245">
              <w:t>22 March 2016</w:t>
            </w:r>
          </w:p>
        </w:tc>
        <w:tc>
          <w:tcPr>
            <w:tcW w:w="1514" w:type="dxa"/>
            <w:tcBorders>
              <w:top w:val="single" w:sz="4" w:space="0" w:color="auto"/>
              <w:left w:val="single" w:sz="4" w:space="0" w:color="auto"/>
              <w:bottom w:val="single" w:sz="4" w:space="0" w:color="auto"/>
              <w:right w:val="single" w:sz="4" w:space="0" w:color="auto"/>
            </w:tcBorders>
            <w:hideMark/>
          </w:tcPr>
          <w:p w14:paraId="7C04A5C9"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59590F9F" w14:textId="77777777" w:rsidR="00313337" w:rsidRPr="005E1245" w:rsidRDefault="00313337" w:rsidP="00313337">
            <w:r w:rsidRPr="005E1245">
              <w:t xml:space="preserve">Victoria and Tasmania. Caused by card failure in a media gateway in Victoria prevented calls from working. </w:t>
            </w:r>
          </w:p>
        </w:tc>
        <w:tc>
          <w:tcPr>
            <w:tcW w:w="2784" w:type="dxa"/>
            <w:tcBorders>
              <w:top w:val="single" w:sz="4" w:space="0" w:color="auto"/>
              <w:left w:val="single" w:sz="4" w:space="0" w:color="auto"/>
              <w:bottom w:val="single" w:sz="4" w:space="0" w:color="auto"/>
              <w:right w:val="single" w:sz="4" w:space="0" w:color="auto"/>
            </w:tcBorders>
            <w:hideMark/>
          </w:tcPr>
          <w:p w14:paraId="48B92D7D" w14:textId="77777777" w:rsidR="00313337" w:rsidRPr="005E1245" w:rsidRDefault="00626044" w:rsidP="00313337">
            <w:hyperlink r:id="rId42" w:history="1">
              <w:r w:rsidR="00313337" w:rsidRPr="005E1245">
                <w:rPr>
                  <w:rStyle w:val="Hyperlink"/>
                </w:rPr>
                <w:t>Third time unlucky for Telstra after yet another outage - Tech Guide</w:t>
              </w:r>
            </w:hyperlink>
          </w:p>
        </w:tc>
      </w:tr>
      <w:tr w:rsidR="00313337" w:rsidRPr="005E1245" w14:paraId="3AFFFCFF"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0875FCFC" w14:textId="77777777" w:rsidR="00313337" w:rsidRPr="005E1245" w:rsidRDefault="00313337" w:rsidP="00313337">
            <w:r w:rsidRPr="005E1245">
              <w:t>20 – 23 May 2016</w:t>
            </w:r>
          </w:p>
        </w:tc>
        <w:tc>
          <w:tcPr>
            <w:tcW w:w="1514" w:type="dxa"/>
            <w:tcBorders>
              <w:top w:val="single" w:sz="4" w:space="0" w:color="auto"/>
              <w:left w:val="single" w:sz="4" w:space="0" w:color="auto"/>
              <w:bottom w:val="single" w:sz="4" w:space="0" w:color="auto"/>
              <w:right w:val="single" w:sz="4" w:space="0" w:color="auto"/>
            </w:tcBorders>
            <w:hideMark/>
          </w:tcPr>
          <w:p w14:paraId="3177117D"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3FE6ACE3" w14:textId="06789DE5" w:rsidR="00313337" w:rsidRPr="005E1245" w:rsidRDefault="00313337" w:rsidP="00313337">
            <w:r w:rsidRPr="005E1245">
              <w:t>375,000 NBN and ADSL customers offline for as long as four days. Caused by software update.</w:t>
            </w:r>
          </w:p>
        </w:tc>
        <w:tc>
          <w:tcPr>
            <w:tcW w:w="2784" w:type="dxa"/>
            <w:tcBorders>
              <w:top w:val="single" w:sz="4" w:space="0" w:color="auto"/>
              <w:left w:val="single" w:sz="4" w:space="0" w:color="auto"/>
              <w:bottom w:val="single" w:sz="4" w:space="0" w:color="auto"/>
              <w:right w:val="single" w:sz="4" w:space="0" w:color="auto"/>
            </w:tcBorders>
            <w:hideMark/>
          </w:tcPr>
          <w:p w14:paraId="0F834BCF" w14:textId="77777777" w:rsidR="00313337" w:rsidRPr="005E1245" w:rsidRDefault="00626044" w:rsidP="00313337">
            <w:hyperlink r:id="rId43" w:history="1">
              <w:r w:rsidR="00313337" w:rsidRPr="005E1245">
                <w:rPr>
                  <w:rStyle w:val="Hyperlink"/>
                </w:rPr>
                <w:t>Telstra still struggling with fourth big outage this year - Telco/ISP - iTnews</w:t>
              </w:r>
            </w:hyperlink>
          </w:p>
        </w:tc>
      </w:tr>
      <w:tr w:rsidR="00313337" w:rsidRPr="005E1245" w14:paraId="4F29DA85"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09999057" w14:textId="77777777" w:rsidR="00313337" w:rsidRPr="005E1245" w:rsidRDefault="00313337" w:rsidP="00313337">
            <w:r w:rsidRPr="005E1245">
              <w:t>30 June 2016</w:t>
            </w:r>
          </w:p>
        </w:tc>
        <w:tc>
          <w:tcPr>
            <w:tcW w:w="1514" w:type="dxa"/>
            <w:tcBorders>
              <w:top w:val="single" w:sz="4" w:space="0" w:color="auto"/>
              <w:left w:val="single" w:sz="4" w:space="0" w:color="auto"/>
              <w:bottom w:val="single" w:sz="4" w:space="0" w:color="auto"/>
              <w:right w:val="single" w:sz="4" w:space="0" w:color="auto"/>
            </w:tcBorders>
            <w:hideMark/>
          </w:tcPr>
          <w:p w14:paraId="63431AF1"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206D7861" w14:textId="77777777" w:rsidR="00313337" w:rsidRPr="005E1245" w:rsidRDefault="00313337" w:rsidP="00313337">
            <w:r w:rsidRPr="005E1245">
              <w:t>Started 2pm. Impacted business and enterprise customers. Telstra announced rectification at 956pm.</w:t>
            </w:r>
          </w:p>
        </w:tc>
        <w:tc>
          <w:tcPr>
            <w:tcW w:w="2784" w:type="dxa"/>
            <w:tcBorders>
              <w:top w:val="single" w:sz="4" w:space="0" w:color="auto"/>
              <w:left w:val="single" w:sz="4" w:space="0" w:color="auto"/>
              <w:bottom w:val="single" w:sz="4" w:space="0" w:color="auto"/>
              <w:right w:val="single" w:sz="4" w:space="0" w:color="auto"/>
            </w:tcBorders>
            <w:hideMark/>
          </w:tcPr>
          <w:p w14:paraId="22AFD923" w14:textId="77777777" w:rsidR="00313337" w:rsidRPr="005E1245" w:rsidRDefault="00626044" w:rsidP="00313337">
            <w:hyperlink r:id="rId44" w:history="1">
              <w:r w:rsidR="00313337" w:rsidRPr="005E1245">
                <w:rPr>
                  <w:rStyle w:val="Hyperlink"/>
                </w:rPr>
                <w:t>Not again! Telstra suffers another outage - Telco - CRN Australia</w:t>
              </w:r>
            </w:hyperlink>
          </w:p>
        </w:tc>
      </w:tr>
      <w:tr w:rsidR="00313337" w:rsidRPr="005E1245" w14:paraId="20AEC73B"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13B1131C" w14:textId="77777777" w:rsidR="00313337" w:rsidRPr="005E1245" w:rsidRDefault="00313337" w:rsidP="00313337">
            <w:r w:rsidRPr="005E1245">
              <w:t>25 September 2016</w:t>
            </w:r>
          </w:p>
        </w:tc>
        <w:tc>
          <w:tcPr>
            <w:tcW w:w="1514" w:type="dxa"/>
            <w:tcBorders>
              <w:top w:val="single" w:sz="4" w:space="0" w:color="auto"/>
              <w:left w:val="single" w:sz="4" w:space="0" w:color="auto"/>
              <w:bottom w:val="single" w:sz="4" w:space="0" w:color="auto"/>
              <w:right w:val="single" w:sz="4" w:space="0" w:color="auto"/>
            </w:tcBorders>
            <w:hideMark/>
          </w:tcPr>
          <w:p w14:paraId="0B36D724" w14:textId="77777777" w:rsidR="00313337" w:rsidRPr="005E1245" w:rsidRDefault="00313337" w:rsidP="00313337">
            <w:r w:rsidRPr="005E1245">
              <w:t>Vodafone</w:t>
            </w:r>
          </w:p>
        </w:tc>
        <w:tc>
          <w:tcPr>
            <w:tcW w:w="3221" w:type="dxa"/>
            <w:tcBorders>
              <w:top w:val="single" w:sz="4" w:space="0" w:color="auto"/>
              <w:left w:val="single" w:sz="4" w:space="0" w:color="auto"/>
              <w:bottom w:val="single" w:sz="4" w:space="0" w:color="auto"/>
              <w:right w:val="single" w:sz="4" w:space="0" w:color="auto"/>
            </w:tcBorders>
            <w:hideMark/>
          </w:tcPr>
          <w:p w14:paraId="51E83BDF" w14:textId="77777777" w:rsidR="00313337" w:rsidRPr="005E1245" w:rsidRDefault="00313337" w:rsidP="00313337">
            <w:r w:rsidRPr="005E1245">
              <w:t>Voice and data did not work for 8 hours from 5pm Sunday night. Intermittent issues continued until 1030pm on Monday 26 September.</w:t>
            </w:r>
          </w:p>
        </w:tc>
        <w:tc>
          <w:tcPr>
            <w:tcW w:w="2784" w:type="dxa"/>
            <w:tcBorders>
              <w:top w:val="single" w:sz="4" w:space="0" w:color="auto"/>
              <w:left w:val="single" w:sz="4" w:space="0" w:color="auto"/>
              <w:bottom w:val="single" w:sz="4" w:space="0" w:color="auto"/>
              <w:right w:val="single" w:sz="4" w:space="0" w:color="auto"/>
            </w:tcBorders>
            <w:hideMark/>
          </w:tcPr>
          <w:p w14:paraId="554DB1E7" w14:textId="77777777" w:rsidR="00313337" w:rsidRPr="005E1245" w:rsidRDefault="00626044" w:rsidP="00313337">
            <w:hyperlink r:id="rId45" w:history="1">
              <w:r w:rsidR="00313337" w:rsidRPr="005E1245">
                <w:rPr>
                  <w:rStyle w:val="Hyperlink"/>
                </w:rPr>
                <w:t>Vodafail: Vodafone customers slam network after nationwide outage</w:t>
              </w:r>
            </w:hyperlink>
          </w:p>
        </w:tc>
      </w:tr>
      <w:tr w:rsidR="00313337" w:rsidRPr="005E1245" w14:paraId="273E084D"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6C1DF3E1" w14:textId="77777777" w:rsidR="00313337" w:rsidRPr="005E1245" w:rsidRDefault="00313337" w:rsidP="00313337">
            <w:r w:rsidRPr="005E1245">
              <w:t>3 and 4 May 2018</w:t>
            </w:r>
          </w:p>
        </w:tc>
        <w:tc>
          <w:tcPr>
            <w:tcW w:w="1514" w:type="dxa"/>
            <w:tcBorders>
              <w:top w:val="single" w:sz="4" w:space="0" w:color="auto"/>
              <w:left w:val="single" w:sz="4" w:space="0" w:color="auto"/>
              <w:bottom w:val="single" w:sz="4" w:space="0" w:color="auto"/>
              <w:right w:val="single" w:sz="4" w:space="0" w:color="auto"/>
            </w:tcBorders>
            <w:hideMark/>
          </w:tcPr>
          <w:p w14:paraId="5421E996"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340AFA3B" w14:textId="77777777" w:rsidR="00313337" w:rsidRPr="005E1245" w:rsidRDefault="00313337" w:rsidP="00313337">
            <w:r w:rsidRPr="005E1245">
              <w:t>Intermittent voice calling for 8 hours caused by Infrastructure damage then subsequent impacts.</w:t>
            </w:r>
          </w:p>
        </w:tc>
        <w:tc>
          <w:tcPr>
            <w:tcW w:w="2784" w:type="dxa"/>
            <w:tcBorders>
              <w:top w:val="single" w:sz="4" w:space="0" w:color="auto"/>
              <w:left w:val="single" w:sz="4" w:space="0" w:color="auto"/>
              <w:bottom w:val="single" w:sz="4" w:space="0" w:color="auto"/>
              <w:right w:val="single" w:sz="4" w:space="0" w:color="auto"/>
            </w:tcBorders>
            <w:hideMark/>
          </w:tcPr>
          <w:p w14:paraId="242E8200" w14:textId="77777777" w:rsidR="00313337" w:rsidRPr="005E1245" w:rsidRDefault="00626044" w:rsidP="00313337">
            <w:hyperlink r:id="rId46" w:history="1">
              <w:r w:rsidR="00313337" w:rsidRPr="005E1245">
                <w:rPr>
                  <w:rStyle w:val="Hyperlink"/>
                </w:rPr>
                <w:t>Investigation Report into the Triple Zero Service disruptions of 4 &amp; 26 May 2018</w:t>
              </w:r>
            </w:hyperlink>
          </w:p>
        </w:tc>
      </w:tr>
      <w:tr w:rsidR="00313337" w:rsidRPr="005E1245" w14:paraId="4E03F775"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11D144B2" w14:textId="77777777" w:rsidR="00313337" w:rsidRPr="005E1245" w:rsidRDefault="00313337" w:rsidP="00313337">
            <w:r w:rsidRPr="005E1245">
              <w:lastRenderedPageBreak/>
              <w:t>26 May 2018</w:t>
            </w:r>
          </w:p>
        </w:tc>
        <w:tc>
          <w:tcPr>
            <w:tcW w:w="1514" w:type="dxa"/>
            <w:tcBorders>
              <w:top w:val="single" w:sz="4" w:space="0" w:color="auto"/>
              <w:left w:val="single" w:sz="4" w:space="0" w:color="auto"/>
              <w:bottom w:val="single" w:sz="4" w:space="0" w:color="auto"/>
              <w:right w:val="single" w:sz="4" w:space="0" w:color="auto"/>
            </w:tcBorders>
            <w:hideMark/>
          </w:tcPr>
          <w:p w14:paraId="24452886"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0C305794" w14:textId="77777777" w:rsidR="00313337" w:rsidRPr="005E1245" w:rsidRDefault="00313337" w:rsidP="00313337">
            <w:r w:rsidRPr="005E1245">
              <w:t>Two hours impact to voice calls.</w:t>
            </w:r>
          </w:p>
        </w:tc>
        <w:tc>
          <w:tcPr>
            <w:tcW w:w="2784" w:type="dxa"/>
            <w:tcBorders>
              <w:top w:val="single" w:sz="4" w:space="0" w:color="auto"/>
              <w:left w:val="single" w:sz="4" w:space="0" w:color="auto"/>
              <w:bottom w:val="single" w:sz="4" w:space="0" w:color="auto"/>
              <w:right w:val="single" w:sz="4" w:space="0" w:color="auto"/>
            </w:tcBorders>
            <w:hideMark/>
          </w:tcPr>
          <w:p w14:paraId="359C7367" w14:textId="77777777" w:rsidR="00313337" w:rsidRPr="005E1245" w:rsidRDefault="00626044" w:rsidP="00313337">
            <w:hyperlink r:id="rId47" w:history="1">
              <w:r w:rsidR="00313337" w:rsidRPr="005E1245">
                <w:rPr>
                  <w:rStyle w:val="Hyperlink"/>
                </w:rPr>
                <w:t>Investigation Report into the Triple Zero Service disruptions of 4 &amp; 26 May 2018</w:t>
              </w:r>
            </w:hyperlink>
          </w:p>
        </w:tc>
      </w:tr>
      <w:tr w:rsidR="00313337" w:rsidRPr="005E1245" w14:paraId="45B5D7F2"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09391075" w14:textId="77777777" w:rsidR="00313337" w:rsidRPr="005E1245" w:rsidRDefault="00313337" w:rsidP="00313337">
            <w:r w:rsidRPr="005E1245">
              <w:t>2 July 2021</w:t>
            </w:r>
          </w:p>
        </w:tc>
        <w:tc>
          <w:tcPr>
            <w:tcW w:w="1514" w:type="dxa"/>
            <w:tcBorders>
              <w:top w:val="single" w:sz="4" w:space="0" w:color="auto"/>
              <w:left w:val="single" w:sz="4" w:space="0" w:color="auto"/>
              <w:bottom w:val="single" w:sz="4" w:space="0" w:color="auto"/>
              <w:right w:val="single" w:sz="4" w:space="0" w:color="auto"/>
            </w:tcBorders>
            <w:hideMark/>
          </w:tcPr>
          <w:p w14:paraId="6D3920E2" w14:textId="77777777" w:rsidR="00313337" w:rsidRPr="005E1245" w:rsidRDefault="00313337" w:rsidP="00313337">
            <w:r w:rsidRPr="005E1245">
              <w:t>Optus</w:t>
            </w:r>
          </w:p>
        </w:tc>
        <w:tc>
          <w:tcPr>
            <w:tcW w:w="3221" w:type="dxa"/>
            <w:tcBorders>
              <w:top w:val="single" w:sz="4" w:space="0" w:color="auto"/>
              <w:left w:val="single" w:sz="4" w:space="0" w:color="auto"/>
              <w:bottom w:val="single" w:sz="4" w:space="0" w:color="auto"/>
              <w:right w:val="single" w:sz="4" w:space="0" w:color="auto"/>
            </w:tcBorders>
            <w:hideMark/>
          </w:tcPr>
          <w:p w14:paraId="43AF69C6" w14:textId="77777777" w:rsidR="00313337" w:rsidRPr="005E1245" w:rsidRDefault="00313337" w:rsidP="00313337">
            <w:r w:rsidRPr="005E1245">
              <w:t xml:space="preserve">Nationwide outage of mobile and internet services from 1030am. 4G and 5G services restored by 350pm, but 3G continued </w:t>
            </w:r>
          </w:p>
        </w:tc>
        <w:tc>
          <w:tcPr>
            <w:tcW w:w="2784" w:type="dxa"/>
            <w:tcBorders>
              <w:top w:val="single" w:sz="4" w:space="0" w:color="auto"/>
              <w:left w:val="single" w:sz="4" w:space="0" w:color="auto"/>
              <w:bottom w:val="single" w:sz="4" w:space="0" w:color="auto"/>
              <w:right w:val="single" w:sz="4" w:space="0" w:color="auto"/>
            </w:tcBorders>
            <w:hideMark/>
          </w:tcPr>
          <w:p w14:paraId="3B79AB85" w14:textId="77777777" w:rsidR="00313337" w:rsidRPr="005E1245" w:rsidRDefault="00626044" w:rsidP="00313337">
            <w:hyperlink r:id="rId48" w:history="1">
              <w:r w:rsidR="00313337" w:rsidRPr="005E1245">
                <w:rPr>
                  <w:rStyle w:val="Hyperlink"/>
                </w:rPr>
                <w:t>Optus outage affects mobile and internet customers across Australia | The Chronicle</w:t>
              </w:r>
            </w:hyperlink>
          </w:p>
        </w:tc>
      </w:tr>
      <w:tr w:rsidR="00313337" w:rsidRPr="005E1245" w14:paraId="352A1AD0"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6C2A3574" w14:textId="77777777" w:rsidR="00313337" w:rsidRPr="005E1245" w:rsidRDefault="00313337" w:rsidP="00313337">
            <w:r w:rsidRPr="005E1245">
              <w:t>18 October 2022</w:t>
            </w:r>
          </w:p>
        </w:tc>
        <w:tc>
          <w:tcPr>
            <w:tcW w:w="1514" w:type="dxa"/>
            <w:tcBorders>
              <w:top w:val="single" w:sz="4" w:space="0" w:color="auto"/>
              <w:left w:val="single" w:sz="4" w:space="0" w:color="auto"/>
              <w:bottom w:val="single" w:sz="4" w:space="0" w:color="auto"/>
              <w:right w:val="single" w:sz="4" w:space="0" w:color="auto"/>
            </w:tcBorders>
            <w:hideMark/>
          </w:tcPr>
          <w:p w14:paraId="2A519B7A"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17C6665F" w14:textId="77777777" w:rsidR="00313337" w:rsidRPr="005E1245" w:rsidRDefault="00313337" w:rsidP="00313337">
            <w:r w:rsidRPr="005E1245">
              <w:t>Started 6am, finished 930am, calls on mobiles failing.</w:t>
            </w:r>
          </w:p>
        </w:tc>
        <w:tc>
          <w:tcPr>
            <w:tcW w:w="2784" w:type="dxa"/>
            <w:tcBorders>
              <w:top w:val="single" w:sz="4" w:space="0" w:color="auto"/>
              <w:left w:val="single" w:sz="4" w:space="0" w:color="auto"/>
              <w:bottom w:val="single" w:sz="4" w:space="0" w:color="auto"/>
              <w:right w:val="single" w:sz="4" w:space="0" w:color="auto"/>
            </w:tcBorders>
            <w:hideMark/>
          </w:tcPr>
          <w:p w14:paraId="31521631" w14:textId="77777777" w:rsidR="00313337" w:rsidRPr="005E1245" w:rsidRDefault="00626044" w:rsidP="00313337">
            <w:hyperlink r:id="rId49" w:history="1">
              <w:r w:rsidR="00313337" w:rsidRPr="005E1245">
                <w:rPr>
                  <w:rStyle w:val="Hyperlink"/>
                </w:rPr>
                <w:t>Telstra outage hits Australians, as Sydney, Melbourne users unable to make calls | news.com.au — Australia’s leading news site</w:t>
              </w:r>
            </w:hyperlink>
          </w:p>
        </w:tc>
      </w:tr>
      <w:tr w:rsidR="00313337" w:rsidRPr="005E1245" w14:paraId="76D1D7D7"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2B535C34" w14:textId="77777777" w:rsidR="00313337" w:rsidRPr="005E1245" w:rsidRDefault="00313337" w:rsidP="00313337">
            <w:r w:rsidRPr="005E1245">
              <w:t>14 March 2023</w:t>
            </w:r>
          </w:p>
        </w:tc>
        <w:tc>
          <w:tcPr>
            <w:tcW w:w="1514" w:type="dxa"/>
            <w:tcBorders>
              <w:top w:val="single" w:sz="4" w:space="0" w:color="auto"/>
              <w:left w:val="single" w:sz="4" w:space="0" w:color="auto"/>
              <w:bottom w:val="single" w:sz="4" w:space="0" w:color="auto"/>
              <w:right w:val="single" w:sz="4" w:space="0" w:color="auto"/>
            </w:tcBorders>
            <w:hideMark/>
          </w:tcPr>
          <w:p w14:paraId="38050B09" w14:textId="77777777" w:rsidR="00313337" w:rsidRPr="005E1245" w:rsidRDefault="00313337" w:rsidP="00313337">
            <w:r w:rsidRPr="005E1245">
              <w:t>Vodafone</w:t>
            </w:r>
          </w:p>
        </w:tc>
        <w:tc>
          <w:tcPr>
            <w:tcW w:w="3221" w:type="dxa"/>
            <w:tcBorders>
              <w:top w:val="single" w:sz="4" w:space="0" w:color="auto"/>
              <w:left w:val="single" w:sz="4" w:space="0" w:color="auto"/>
              <w:bottom w:val="single" w:sz="4" w:space="0" w:color="auto"/>
              <w:right w:val="single" w:sz="4" w:space="0" w:color="auto"/>
            </w:tcBorders>
            <w:hideMark/>
          </w:tcPr>
          <w:p w14:paraId="3485316F" w14:textId="40BB0020" w:rsidR="00313337" w:rsidRPr="005E1245" w:rsidRDefault="00313337" w:rsidP="00313337">
            <w:r w:rsidRPr="005E1245">
              <w:t xml:space="preserve">Duration approximately 4 – 530 pm. 200,000 customers in Sydney and Melbourne impacted.  Unable to make voice calls or text. </w:t>
            </w:r>
          </w:p>
        </w:tc>
        <w:tc>
          <w:tcPr>
            <w:tcW w:w="2784" w:type="dxa"/>
            <w:tcBorders>
              <w:top w:val="single" w:sz="4" w:space="0" w:color="auto"/>
              <w:left w:val="single" w:sz="4" w:space="0" w:color="auto"/>
              <w:bottom w:val="single" w:sz="4" w:space="0" w:color="auto"/>
              <w:right w:val="single" w:sz="4" w:space="0" w:color="auto"/>
            </w:tcBorders>
            <w:hideMark/>
          </w:tcPr>
          <w:p w14:paraId="74C64F01" w14:textId="77777777" w:rsidR="00313337" w:rsidRPr="005E1245" w:rsidRDefault="00626044" w:rsidP="00313337">
            <w:hyperlink r:id="rId50" w:history="1">
              <w:r w:rsidR="00313337" w:rsidRPr="005E1245">
                <w:rPr>
                  <w:rStyle w:val="Hyperlink"/>
                </w:rPr>
                <w:t>Vodafone outage: Australian customers report issues with mobile service</w:t>
              </w:r>
            </w:hyperlink>
          </w:p>
        </w:tc>
      </w:tr>
      <w:tr w:rsidR="00313337" w:rsidRPr="005E1245" w14:paraId="1B5993A4"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6B524452" w14:textId="77777777" w:rsidR="00313337" w:rsidRPr="005E1245" w:rsidRDefault="00313337" w:rsidP="00313337">
            <w:r w:rsidRPr="005E1245">
              <w:t>9 May 2023</w:t>
            </w:r>
          </w:p>
        </w:tc>
        <w:tc>
          <w:tcPr>
            <w:tcW w:w="1514" w:type="dxa"/>
            <w:tcBorders>
              <w:top w:val="single" w:sz="4" w:space="0" w:color="auto"/>
              <w:left w:val="single" w:sz="4" w:space="0" w:color="auto"/>
              <w:bottom w:val="single" w:sz="4" w:space="0" w:color="auto"/>
              <w:right w:val="single" w:sz="4" w:space="0" w:color="auto"/>
            </w:tcBorders>
            <w:hideMark/>
          </w:tcPr>
          <w:p w14:paraId="4E13E950" w14:textId="77777777" w:rsidR="00313337" w:rsidRPr="005E1245" w:rsidRDefault="00313337" w:rsidP="00313337">
            <w:r w:rsidRPr="005E1245">
              <w:t>Telstra</w:t>
            </w:r>
          </w:p>
        </w:tc>
        <w:tc>
          <w:tcPr>
            <w:tcW w:w="3221" w:type="dxa"/>
            <w:tcBorders>
              <w:top w:val="single" w:sz="4" w:space="0" w:color="auto"/>
              <w:left w:val="single" w:sz="4" w:space="0" w:color="auto"/>
              <w:bottom w:val="single" w:sz="4" w:space="0" w:color="auto"/>
              <w:right w:val="single" w:sz="4" w:space="0" w:color="auto"/>
            </w:tcBorders>
            <w:hideMark/>
          </w:tcPr>
          <w:p w14:paraId="6CEA6EB6" w14:textId="77777777" w:rsidR="00313337" w:rsidRPr="005E1245" w:rsidRDefault="00313337" w:rsidP="00313337">
            <w:r w:rsidRPr="005E1245">
              <w:t>Outage from 10pm mainly in NSW and QLD, resolved around 10am next day. Voice calls</w:t>
            </w:r>
          </w:p>
        </w:tc>
        <w:tc>
          <w:tcPr>
            <w:tcW w:w="2784" w:type="dxa"/>
            <w:tcBorders>
              <w:top w:val="single" w:sz="4" w:space="0" w:color="auto"/>
              <w:left w:val="single" w:sz="4" w:space="0" w:color="auto"/>
              <w:bottom w:val="single" w:sz="4" w:space="0" w:color="auto"/>
              <w:right w:val="single" w:sz="4" w:space="0" w:color="auto"/>
            </w:tcBorders>
          </w:tcPr>
          <w:p w14:paraId="78A63559" w14:textId="77777777" w:rsidR="00313337" w:rsidRPr="005E1245" w:rsidRDefault="00626044" w:rsidP="00313337">
            <w:hyperlink r:id="rId51" w:history="1">
              <w:r w:rsidR="00313337" w:rsidRPr="005E1245">
                <w:rPr>
                  <w:rStyle w:val="Hyperlink"/>
                </w:rPr>
                <w:t>Telstra outage update: Telstra apologises to customers after outage left them unable to make or take calls</w:t>
              </w:r>
            </w:hyperlink>
          </w:p>
        </w:tc>
      </w:tr>
      <w:tr w:rsidR="00313337" w:rsidRPr="005E1245" w14:paraId="148F1B13"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5681BB3D" w14:textId="77777777" w:rsidR="00313337" w:rsidRPr="005E1245" w:rsidRDefault="00313337" w:rsidP="00313337">
            <w:r w:rsidRPr="005E1245">
              <w:t>8 November 2023</w:t>
            </w:r>
          </w:p>
        </w:tc>
        <w:tc>
          <w:tcPr>
            <w:tcW w:w="1514" w:type="dxa"/>
            <w:tcBorders>
              <w:top w:val="single" w:sz="4" w:space="0" w:color="auto"/>
              <w:left w:val="single" w:sz="4" w:space="0" w:color="auto"/>
              <w:bottom w:val="single" w:sz="4" w:space="0" w:color="auto"/>
              <w:right w:val="single" w:sz="4" w:space="0" w:color="auto"/>
            </w:tcBorders>
            <w:hideMark/>
          </w:tcPr>
          <w:p w14:paraId="49F909FF" w14:textId="77777777" w:rsidR="00313337" w:rsidRPr="005E1245" w:rsidRDefault="00313337" w:rsidP="00313337">
            <w:r w:rsidRPr="005E1245">
              <w:t>Optus</w:t>
            </w:r>
          </w:p>
        </w:tc>
        <w:tc>
          <w:tcPr>
            <w:tcW w:w="3221" w:type="dxa"/>
            <w:tcBorders>
              <w:top w:val="single" w:sz="4" w:space="0" w:color="auto"/>
              <w:left w:val="single" w:sz="4" w:space="0" w:color="auto"/>
              <w:bottom w:val="single" w:sz="4" w:space="0" w:color="auto"/>
              <w:right w:val="single" w:sz="4" w:space="0" w:color="auto"/>
            </w:tcBorders>
            <w:hideMark/>
          </w:tcPr>
          <w:p w14:paraId="7201589F" w14:textId="77777777" w:rsidR="00313337" w:rsidRPr="005E1245" w:rsidRDefault="00313337" w:rsidP="00313337">
            <w:r w:rsidRPr="005E1245">
              <w:t>Nationwide outage from 5am until 4pm impacting the Optus mobile network and fixed-line networks.</w:t>
            </w:r>
          </w:p>
        </w:tc>
        <w:tc>
          <w:tcPr>
            <w:tcW w:w="2784" w:type="dxa"/>
            <w:tcBorders>
              <w:top w:val="single" w:sz="4" w:space="0" w:color="auto"/>
              <w:left w:val="single" w:sz="4" w:space="0" w:color="auto"/>
              <w:bottom w:val="single" w:sz="4" w:space="0" w:color="auto"/>
              <w:right w:val="single" w:sz="4" w:space="0" w:color="auto"/>
            </w:tcBorders>
            <w:hideMark/>
          </w:tcPr>
          <w:p w14:paraId="38B1B590" w14:textId="77777777" w:rsidR="00313337" w:rsidRPr="005E1245" w:rsidRDefault="00626044" w:rsidP="00313337">
            <w:hyperlink r:id="rId52" w:history="1">
              <w:r w:rsidR="00313337" w:rsidRPr="005E1245">
                <w:rPr>
                  <w:rStyle w:val="Hyperlink"/>
                </w:rPr>
                <w:t>Optus outage updates: Services 'gradually' restored as experts warn outage exposes serious vulnerabilities in Australian networks — as it happened - ABC News</w:t>
              </w:r>
            </w:hyperlink>
          </w:p>
        </w:tc>
      </w:tr>
      <w:tr w:rsidR="00313337" w:rsidRPr="005E1245" w14:paraId="34FF352F" w14:textId="77777777" w:rsidTr="00313337">
        <w:tc>
          <w:tcPr>
            <w:tcW w:w="1497" w:type="dxa"/>
            <w:tcBorders>
              <w:top w:val="single" w:sz="4" w:space="0" w:color="auto"/>
              <w:left w:val="single" w:sz="4" w:space="0" w:color="auto"/>
              <w:bottom w:val="single" w:sz="4" w:space="0" w:color="auto"/>
              <w:right w:val="single" w:sz="4" w:space="0" w:color="auto"/>
            </w:tcBorders>
            <w:hideMark/>
          </w:tcPr>
          <w:p w14:paraId="510E5F80" w14:textId="77777777" w:rsidR="00313337" w:rsidRPr="005E1245" w:rsidRDefault="00313337" w:rsidP="00313337">
            <w:r w:rsidRPr="005E1245">
              <w:t>14 April 2024</w:t>
            </w:r>
          </w:p>
        </w:tc>
        <w:tc>
          <w:tcPr>
            <w:tcW w:w="1514" w:type="dxa"/>
            <w:tcBorders>
              <w:top w:val="single" w:sz="4" w:space="0" w:color="auto"/>
              <w:left w:val="single" w:sz="4" w:space="0" w:color="auto"/>
              <w:bottom w:val="single" w:sz="4" w:space="0" w:color="auto"/>
              <w:right w:val="single" w:sz="4" w:space="0" w:color="auto"/>
            </w:tcBorders>
            <w:hideMark/>
          </w:tcPr>
          <w:p w14:paraId="2F7282CC" w14:textId="77777777" w:rsidR="00313337" w:rsidRPr="005E1245" w:rsidRDefault="00313337" w:rsidP="00313337">
            <w:r w:rsidRPr="005E1245">
              <w:t>Vodafone</w:t>
            </w:r>
          </w:p>
        </w:tc>
        <w:tc>
          <w:tcPr>
            <w:tcW w:w="3221" w:type="dxa"/>
            <w:tcBorders>
              <w:top w:val="single" w:sz="4" w:space="0" w:color="auto"/>
              <w:left w:val="single" w:sz="4" w:space="0" w:color="auto"/>
              <w:bottom w:val="single" w:sz="4" w:space="0" w:color="auto"/>
              <w:right w:val="single" w:sz="4" w:space="0" w:color="auto"/>
            </w:tcBorders>
            <w:hideMark/>
          </w:tcPr>
          <w:p w14:paraId="5710A905" w14:textId="77777777" w:rsidR="00313337" w:rsidRPr="005E1245" w:rsidRDefault="00313337" w:rsidP="00313337">
            <w:r w:rsidRPr="005E1245">
              <w:t>Outage to mobile services nationally impacting voice calls for several hours. Data and text messages and calls to 000 continued to work.</w:t>
            </w:r>
          </w:p>
        </w:tc>
        <w:tc>
          <w:tcPr>
            <w:tcW w:w="2784" w:type="dxa"/>
            <w:tcBorders>
              <w:top w:val="single" w:sz="4" w:space="0" w:color="auto"/>
              <w:left w:val="single" w:sz="4" w:space="0" w:color="auto"/>
              <w:bottom w:val="single" w:sz="4" w:space="0" w:color="auto"/>
              <w:right w:val="single" w:sz="4" w:space="0" w:color="auto"/>
            </w:tcBorders>
            <w:hideMark/>
          </w:tcPr>
          <w:p w14:paraId="353107A6" w14:textId="77777777" w:rsidR="00313337" w:rsidRPr="005E1245" w:rsidRDefault="00626044" w:rsidP="00313337">
            <w:hyperlink r:id="rId53" w:history="1">
              <w:r w:rsidR="00313337" w:rsidRPr="005E1245">
                <w:rPr>
                  <w:rStyle w:val="Hyperlink"/>
                </w:rPr>
                <w:t>Vodafone resolves national outage impacting voice calls | The Nightly</w:t>
              </w:r>
            </w:hyperlink>
          </w:p>
        </w:tc>
      </w:tr>
    </w:tbl>
    <w:p w14:paraId="0DD5131E" w14:textId="77777777" w:rsidR="004C7ACF" w:rsidRPr="00A17B1B" w:rsidRDefault="004C7ACF" w:rsidP="00D414E9">
      <w:pPr>
        <w:pStyle w:val="Paragraph"/>
      </w:pPr>
    </w:p>
    <w:sectPr w:rsidR="004C7ACF" w:rsidRPr="00A17B1B" w:rsidSect="00591D5A">
      <w:headerReference w:type="even" r:id="rId54"/>
      <w:headerReference w:type="default" r:id="rId55"/>
      <w:footerReference w:type="even" r:id="rId56"/>
      <w:footerReference w:type="default" r:id="rId57"/>
      <w:pgSz w:w="11906" w:h="16838" w:code="9"/>
      <w:pgMar w:top="1418" w:right="1418" w:bottom="1134" w:left="1418" w:header="709" w:footer="119"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40FEA" w14:textId="77777777" w:rsidR="00626044" w:rsidRDefault="00626044">
      <w:r>
        <w:separator/>
      </w:r>
    </w:p>
  </w:endnote>
  <w:endnote w:type="continuationSeparator" w:id="0">
    <w:p w14:paraId="036FF603" w14:textId="77777777" w:rsidR="00626044" w:rsidRDefault="00626044">
      <w:r>
        <w:continuationSeparator/>
      </w:r>
    </w:p>
  </w:endnote>
  <w:endnote w:type="continuationNotice" w:id="1">
    <w:p w14:paraId="463C158F" w14:textId="77777777" w:rsidR="00626044" w:rsidRDefault="00626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HelveticaNeueLT Std">
    <w:altName w:val="Arial"/>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719B17AA" w14:paraId="7979251B" w14:textId="77777777" w:rsidTr="6F090CDC">
      <w:trPr>
        <w:trHeight w:val="300"/>
      </w:trPr>
      <w:tc>
        <w:tcPr>
          <w:tcW w:w="3020" w:type="dxa"/>
        </w:tcPr>
        <w:p w14:paraId="24ACAF94" w14:textId="6CE8A462" w:rsidR="719B17AA" w:rsidRDefault="719B17AA" w:rsidP="719B17AA">
          <w:pPr>
            <w:pStyle w:val="Header"/>
            <w:ind w:left="-115"/>
          </w:pPr>
        </w:p>
      </w:tc>
      <w:tc>
        <w:tcPr>
          <w:tcW w:w="3020" w:type="dxa"/>
        </w:tcPr>
        <w:p w14:paraId="3D580FBB" w14:textId="694478AA" w:rsidR="719B17AA" w:rsidRDefault="719B17AA" w:rsidP="719B17AA">
          <w:pPr>
            <w:pStyle w:val="Header"/>
            <w:jc w:val="center"/>
          </w:pPr>
          <w:r>
            <w:fldChar w:fldCharType="begin"/>
          </w:r>
          <w:r>
            <w:instrText>PAGE</w:instrText>
          </w:r>
          <w:r>
            <w:fldChar w:fldCharType="end"/>
          </w:r>
        </w:p>
      </w:tc>
      <w:tc>
        <w:tcPr>
          <w:tcW w:w="3020" w:type="dxa"/>
        </w:tcPr>
        <w:p w14:paraId="2C9D7481" w14:textId="3B3A5203" w:rsidR="719B17AA" w:rsidRDefault="719B17AA" w:rsidP="719B17AA">
          <w:pPr>
            <w:pStyle w:val="Header"/>
            <w:ind w:right="-115"/>
            <w:jc w:val="right"/>
          </w:pPr>
        </w:p>
      </w:tc>
    </w:tr>
  </w:tbl>
  <w:p w14:paraId="6B19E42B" w14:textId="572345E1" w:rsidR="719B17AA" w:rsidRDefault="719B17AA" w:rsidP="719B17A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5497" w14:textId="69FB0112" w:rsidR="6F090CDC" w:rsidRDefault="6F090CDC" w:rsidP="6F090CDC">
    <w:pPr>
      <w:pStyle w:val="Footer"/>
      <w:jc w:val="center"/>
    </w:pPr>
    <w:r>
      <w:fldChar w:fldCharType="begin"/>
    </w:r>
    <w:r>
      <w:instrText>PAGE</w:instrText>
    </w:r>
    <w:r>
      <w:fldChar w:fldCharType="separate"/>
    </w:r>
    <w:r w:rsidR="00CF7640">
      <w:rPr>
        <w:noProof/>
      </w:rPr>
      <w:t>2</w:t>
    </w:r>
    <w:r>
      <w:fldChar w:fldCharType="end"/>
    </w:r>
  </w:p>
  <w:p w14:paraId="67C1B113" w14:textId="4FFFA47A" w:rsidR="6C7B2EF8" w:rsidRDefault="6C7B2EF8" w:rsidP="6C7B2EF8">
    <w:pPr>
      <w:pStyle w:val="Footer"/>
      <w:jc w:val="right"/>
    </w:pPr>
  </w:p>
  <w:p w14:paraId="1C475309" w14:textId="60013001" w:rsidR="00C053A1" w:rsidRPr="005A62E5" w:rsidRDefault="6C7B2EF8" w:rsidP="6C7B2EF8">
    <w:pPr>
      <w:pStyle w:val="Header"/>
      <w:tabs>
        <w:tab w:val="clear" w:pos="4153"/>
        <w:tab w:val="clear" w:pos="8306"/>
        <w:tab w:val="left" w:pos="5445"/>
        <w:tab w:val="right" w:pos="9072"/>
      </w:tabs>
      <w:rPr>
        <w:noProof/>
      </w:rPr>
    </w:pPr>
    <w:r w:rsidRPr="6C7B2EF8">
      <w:rPr>
        <w:color w:val="505050"/>
      </w:rPr>
      <w:t>Australian Communications and Media Authority</w:t>
    </w:r>
    <w:r w:rsidR="005A62E5">
      <w:tab/>
    </w:r>
    <w:r w:rsidR="005A62E5">
      <w:tab/>
    </w:r>
    <w:sdt>
      <w:sdtPr>
        <w:id w:val="-305168851"/>
        <w:showingPlcHdr/>
        <w:docPartObj>
          <w:docPartGallery w:val="Page Numbers (Top of Page)"/>
          <w:docPartUnique/>
        </w:docPartObj>
      </w:sdtPr>
      <w:sdtEndPr>
        <w:rPr>
          <w:noProof/>
        </w:rPr>
      </w:sdtEndPr>
      <w:sdtContent>
        <w:r w:rsidRPr="6C7B2EF8">
          <w:rPr>
            <w:rStyle w:val="PlaceholderText"/>
          </w:rPr>
          <w:t>Click here to enter text.</w:t>
        </w:r>
      </w:sdtContent>
    </w:sdt>
  </w:p>
  <w:p w14:paraId="4DFE5CE8" w14:textId="77777777" w:rsidR="00740A3E" w:rsidRDefault="00740A3E"/>
  <w:p w14:paraId="4F007454" w14:textId="77777777" w:rsidR="00C053A1" w:rsidRPr="005A62E5" w:rsidRDefault="00C053A1">
    <w:pPr>
      <w:rPr>
        <w:noProof/>
      </w:rPr>
    </w:pPr>
  </w:p>
  <w:p w14:paraId="174994A7" w14:textId="77777777" w:rsidR="00735007" w:rsidRDefault="00735007"/>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626659"/>
      <w:docPartObj>
        <w:docPartGallery w:val="Page Numbers (Bottom of Page)"/>
        <w:docPartUnique/>
      </w:docPartObj>
    </w:sdtPr>
    <w:sdtEndPr>
      <w:rPr>
        <w:noProof/>
      </w:rPr>
    </w:sdtEndPr>
    <w:sdtContent>
      <w:p w14:paraId="0672AA0D" w14:textId="639D8946" w:rsidR="005E7698" w:rsidRDefault="005E7698">
        <w:pPr>
          <w:pStyle w:val="Footer"/>
          <w:jc w:val="center"/>
        </w:pPr>
        <w:r>
          <w:fldChar w:fldCharType="begin"/>
        </w:r>
        <w:r>
          <w:instrText xml:space="preserve"> PAGE   \* MERGEFORMAT </w:instrText>
        </w:r>
        <w:r>
          <w:fldChar w:fldCharType="separate"/>
        </w:r>
        <w:r w:rsidR="00CA440B">
          <w:rPr>
            <w:noProof/>
          </w:rPr>
          <w:t>39</w:t>
        </w:r>
        <w:r>
          <w:rPr>
            <w:noProof/>
          </w:rPr>
          <w:fldChar w:fldCharType="end"/>
        </w:r>
      </w:p>
    </w:sdtContent>
  </w:sdt>
  <w:p w14:paraId="58B85827" w14:textId="4CF07850" w:rsidR="00C053A1" w:rsidRPr="005A62E5" w:rsidRDefault="00626044">
    <w:pPr>
      <w:rPr>
        <w:noProof/>
      </w:rPr>
    </w:pPr>
    <w:sdt>
      <w:sdtPr>
        <w:id w:val="1510954915"/>
        <w:docPartObj>
          <w:docPartGallery w:val="Page Numbers (Top of Page)"/>
          <w:docPartUnique/>
        </w:docPartObj>
      </w:sdtPr>
      <w:sdtEndPr>
        <w:rPr>
          <w:noProof/>
        </w:rPr>
      </w:sdtEndPr>
      <w:sdtContent>
        <w:r w:rsidR="00824BEB" w:rsidRPr="6C7B2EF8">
          <w:rPr>
            <w:color w:val="505050"/>
          </w:rPr>
          <w:t>Australian Communications and Media Authority</w:t>
        </w:r>
      </w:sdtContent>
    </w:sdt>
  </w:p>
  <w:p w14:paraId="7C815C45" w14:textId="77777777" w:rsidR="00735007" w:rsidRDefault="0073500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E54D" w14:textId="4B7C28A5" w:rsidR="6F090CDC" w:rsidRDefault="6F090CDC" w:rsidP="6F090CDC">
    <w:pPr>
      <w:pStyle w:val="Footer"/>
      <w:jc w:val="center"/>
    </w:pPr>
    <w:r>
      <w:fldChar w:fldCharType="begin"/>
    </w:r>
    <w:r>
      <w:instrText>PAGE</w:instrText>
    </w:r>
    <w:r>
      <w:fldChar w:fldCharType="separate"/>
    </w:r>
    <w:r w:rsidR="00CA440B">
      <w:rPr>
        <w:noProof/>
      </w:rPr>
      <w:t>2</w:t>
    </w:r>
    <w:r>
      <w:fldChar w:fldCharType="end"/>
    </w:r>
  </w:p>
  <w:p w14:paraId="2E060841" w14:textId="5980AEDF" w:rsidR="6C7B2EF8" w:rsidRDefault="6C7B2EF8" w:rsidP="6C7B2EF8">
    <w:pPr>
      <w:pStyle w:val="Footer"/>
      <w:jc w:val="right"/>
    </w:pPr>
  </w:p>
  <w:p w14:paraId="0233E9A7" w14:textId="77777777" w:rsidR="005E250B" w:rsidRDefault="005E250B" w:rsidP="005E250B">
    <w:pPr>
      <w:pStyle w:val="Footer"/>
      <w:jc w:val="right"/>
    </w:pPr>
    <w:r w:rsidRPr="005E250B">
      <w:rPr>
        <w:noProof/>
        <w:vertAlign w:val="subscript"/>
      </w:rPr>
      <w:drawing>
        <wp:inline distT="0" distB="0" distL="0" distR="0" wp14:anchorId="0D22A076" wp14:editId="04727589">
          <wp:extent cx="1066800" cy="277368"/>
          <wp:effectExtent l="0" t="0" r="0" b="0"/>
          <wp:docPr id="298555472" name="Picture 298555472"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719B17AA" w14:paraId="68AF6C89" w14:textId="77777777" w:rsidTr="719B17AA">
      <w:trPr>
        <w:trHeight w:val="300"/>
      </w:trPr>
      <w:tc>
        <w:tcPr>
          <w:tcW w:w="3020" w:type="dxa"/>
        </w:tcPr>
        <w:p w14:paraId="0DADB7A5" w14:textId="5E037B76" w:rsidR="719B17AA" w:rsidRDefault="719B17AA" w:rsidP="719B17AA">
          <w:pPr>
            <w:pStyle w:val="Header"/>
            <w:ind w:left="-115"/>
          </w:pPr>
        </w:p>
      </w:tc>
      <w:tc>
        <w:tcPr>
          <w:tcW w:w="3020" w:type="dxa"/>
        </w:tcPr>
        <w:p w14:paraId="4AC9BD71" w14:textId="54256F65" w:rsidR="719B17AA" w:rsidRDefault="719B17AA" w:rsidP="719B17AA">
          <w:pPr>
            <w:pStyle w:val="Header"/>
            <w:jc w:val="center"/>
          </w:pPr>
        </w:p>
      </w:tc>
      <w:tc>
        <w:tcPr>
          <w:tcW w:w="3020" w:type="dxa"/>
        </w:tcPr>
        <w:p w14:paraId="77868C44" w14:textId="4184786F" w:rsidR="719B17AA" w:rsidRDefault="719B17AA" w:rsidP="719B17AA">
          <w:pPr>
            <w:pStyle w:val="Header"/>
            <w:ind w:right="-115"/>
            <w:jc w:val="right"/>
          </w:pPr>
        </w:p>
      </w:tc>
    </w:tr>
  </w:tbl>
  <w:p w14:paraId="2FA1C1CD" w14:textId="608EE86B" w:rsidR="719B17AA" w:rsidRDefault="719B17AA" w:rsidP="719B17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BAB73" w14:textId="62F6D75F" w:rsidR="6F090CDC" w:rsidRDefault="6F090CDC" w:rsidP="6F090CDC">
    <w:pPr>
      <w:pStyle w:val="Footer"/>
      <w:jc w:val="center"/>
    </w:pPr>
    <w:r>
      <w:fldChar w:fldCharType="begin"/>
    </w:r>
    <w:r>
      <w:instrText>PAGE</w:instrText>
    </w:r>
    <w:r>
      <w:fldChar w:fldCharType="separate"/>
    </w:r>
    <w:r w:rsidR="0042013A">
      <w:rPr>
        <w:noProof/>
      </w:rPr>
      <w:t>2</w:t>
    </w:r>
    <w:r>
      <w:fldChar w:fldCharType="end"/>
    </w:r>
  </w:p>
  <w:p w14:paraId="0757B0FA" w14:textId="58AD2574" w:rsidR="6C7B2EF8" w:rsidRDefault="6C7B2EF8" w:rsidP="6C7B2EF8">
    <w:pPr>
      <w:pStyle w:val="Footer"/>
      <w:jc w:val="right"/>
    </w:pPr>
  </w:p>
  <w:p w14:paraId="1CCF4043" w14:textId="77777777" w:rsidR="00C053A1" w:rsidRDefault="00C053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2410"/>
      <w:docPartObj>
        <w:docPartGallery w:val="Page Numbers (Bottom of Page)"/>
        <w:docPartUnique/>
      </w:docPartObj>
    </w:sdtPr>
    <w:sdtEndPr>
      <w:rPr>
        <w:noProof/>
      </w:rPr>
    </w:sdtEndPr>
    <w:sdtContent>
      <w:p w14:paraId="42C8204A" w14:textId="658A5C86" w:rsidR="00481F11" w:rsidRDefault="00481F11">
        <w:pPr>
          <w:pStyle w:val="Footer"/>
          <w:jc w:val="center"/>
        </w:pPr>
        <w:r>
          <w:fldChar w:fldCharType="begin"/>
        </w:r>
        <w:r>
          <w:instrText xml:space="preserve"> PAGE   \* MERGEFORMAT </w:instrText>
        </w:r>
        <w:r>
          <w:fldChar w:fldCharType="separate"/>
        </w:r>
        <w:r w:rsidR="00CA440B">
          <w:rPr>
            <w:noProof/>
          </w:rPr>
          <w:t>3</w:t>
        </w:r>
        <w:r>
          <w:rPr>
            <w:noProof/>
          </w:rPr>
          <w:fldChar w:fldCharType="end"/>
        </w:r>
      </w:p>
    </w:sdtContent>
  </w:sdt>
  <w:p w14:paraId="0BDD605B" w14:textId="01BA4F12" w:rsidR="719B17AA" w:rsidRDefault="719B17AA" w:rsidP="719B17A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2CD57" w14:textId="560C3558" w:rsidR="6F090CDC" w:rsidRDefault="6F090CDC" w:rsidP="6F090CDC">
    <w:pPr>
      <w:pStyle w:val="Footer"/>
      <w:jc w:val="center"/>
    </w:pPr>
    <w:r>
      <w:fldChar w:fldCharType="begin"/>
    </w:r>
    <w:r>
      <w:instrText>PAGE</w:instrText>
    </w:r>
    <w:r>
      <w:fldChar w:fldCharType="separate"/>
    </w:r>
    <w:r w:rsidR="0042013A">
      <w:rPr>
        <w:noProof/>
      </w:rPr>
      <w:t>iv</w:t>
    </w:r>
    <w:r>
      <w:fldChar w:fldCharType="end"/>
    </w:r>
  </w:p>
  <w:p w14:paraId="7AB5DDBE" w14:textId="23510E93" w:rsidR="6C7B2EF8" w:rsidRDefault="6C7B2EF8" w:rsidP="6C7B2EF8">
    <w:pPr>
      <w:pStyle w:val="Footer"/>
      <w:jc w:val="right"/>
    </w:pPr>
  </w:p>
  <w:p w14:paraId="3731FD50" w14:textId="77777777" w:rsidR="00971914" w:rsidRPr="00622A3B" w:rsidRDefault="6C7B2EF8" w:rsidP="6C7B2EF8">
    <w:pPr>
      <w:pStyle w:val="Footer"/>
      <w:framePr w:w="1334" w:h="357" w:hRule="exact" w:vSpace="425" w:wrap="around" w:vAnchor="page" w:hAnchor="page" w:x="1156" w:y="16166"/>
      <w:pBdr>
        <w:top w:val="single" w:sz="4" w:space="1" w:color="auto"/>
      </w:pBdr>
      <w:tabs>
        <w:tab w:val="clear" w:pos="113"/>
        <w:tab w:val="left" w:pos="284"/>
      </w:tabs>
      <w:rPr>
        <w:noProof/>
        <w:color w:val="505050"/>
      </w:rPr>
    </w:pPr>
    <w:r w:rsidRPr="6C7B2EF8">
      <w:rPr>
        <w:rFonts w:cs="Arial"/>
        <w:b/>
        <w:bCs/>
        <w:noProof/>
        <w:spacing w:val="-16"/>
        <w:sz w:val="20"/>
        <w:szCs w:val="20"/>
      </w:rPr>
      <w:t>a</w:t>
    </w:r>
    <w:r w:rsidRPr="6C7B2EF8">
      <w:rPr>
        <w:rFonts w:cs="Arial"/>
        <w:b/>
        <w:bCs/>
        <w:noProof/>
        <w:spacing w:val="-15"/>
        <w:sz w:val="20"/>
        <w:szCs w:val="20"/>
      </w:rPr>
      <w:t>c</w:t>
    </w:r>
    <w:r w:rsidRPr="6C7B2EF8">
      <w:rPr>
        <w:rFonts w:cs="Arial"/>
        <w:b/>
        <w:bCs/>
        <w:noProof/>
        <w:spacing w:val="-16"/>
        <w:sz w:val="20"/>
        <w:szCs w:val="20"/>
      </w:rPr>
      <w:t>m</w:t>
    </w:r>
    <w:r w:rsidRPr="6C7B2EF8">
      <w:rPr>
        <w:rFonts w:cs="Arial"/>
        <w:b/>
        <w:bCs/>
        <w:noProof/>
        <w:spacing w:val="-14"/>
        <w:sz w:val="20"/>
        <w:szCs w:val="20"/>
      </w:rPr>
      <w:t>a</w:t>
    </w:r>
    <w:r w:rsidR="00971914" w:rsidRPr="0094078F">
      <w:rPr>
        <w:rFonts w:cs="Arial"/>
      </w:rPr>
      <w:tab/>
    </w:r>
    <w:r>
      <w:rPr>
        <w:rFonts w:cs="Arial"/>
      </w:rPr>
      <w:t xml:space="preserve"> </w:t>
    </w:r>
    <w:r w:rsidRPr="00622A3B">
      <w:rPr>
        <w:rFonts w:cs="Arial"/>
      </w:rPr>
      <w:t>|</w:t>
    </w:r>
    <w:r w:rsidR="00971914">
      <w:tab/>
    </w:r>
  </w:p>
  <w:p w14:paraId="13CFC1A1"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A0FC" w14:textId="5908ADF5" w:rsidR="6F090CDC" w:rsidRDefault="6F090CDC" w:rsidP="6F090CDC">
    <w:pPr>
      <w:pStyle w:val="Footer"/>
      <w:jc w:val="center"/>
    </w:pPr>
    <w:r>
      <w:fldChar w:fldCharType="begin"/>
    </w:r>
    <w:r>
      <w:instrText>PAGE</w:instrText>
    </w:r>
    <w:r>
      <w:fldChar w:fldCharType="separate"/>
    </w:r>
    <w:r w:rsidR="00CA440B">
      <w:rPr>
        <w:noProof/>
      </w:rPr>
      <w:t>4</w:t>
    </w:r>
    <w:r>
      <w:fldChar w:fldCharType="end"/>
    </w:r>
  </w:p>
  <w:p w14:paraId="438B6516" w14:textId="0740692D" w:rsidR="6C7B2EF8" w:rsidRDefault="6C7B2EF8" w:rsidP="6C7B2EF8">
    <w:pPr>
      <w:pStyle w:val="Footer"/>
      <w:jc w:val="right"/>
    </w:pPr>
  </w:p>
  <w:p w14:paraId="5D4C47BB" w14:textId="77777777" w:rsidR="00971914" w:rsidRPr="00622A3B" w:rsidRDefault="6C7B2EF8" w:rsidP="6C7B2EF8">
    <w:pPr>
      <w:pStyle w:val="Footer"/>
      <w:framePr w:w="1334" w:h="357" w:hRule="exact" w:vSpace="425" w:wrap="around" w:vAnchor="page" w:hAnchor="page" w:x="7335" w:y="16166"/>
      <w:pBdr>
        <w:top w:val="single" w:sz="4" w:space="1" w:color="auto"/>
      </w:pBdr>
      <w:tabs>
        <w:tab w:val="clear" w:pos="113"/>
        <w:tab w:val="left" w:pos="284"/>
      </w:tabs>
      <w:jc w:val="right"/>
      <w:rPr>
        <w:noProof/>
        <w:color w:val="505050"/>
      </w:rPr>
    </w:pPr>
    <w:r w:rsidRPr="6C7B2EF8">
      <w:rPr>
        <w:rFonts w:cs="Arial"/>
        <w:b/>
        <w:bCs/>
        <w:noProof/>
        <w:spacing w:val="-16"/>
        <w:sz w:val="20"/>
        <w:szCs w:val="20"/>
      </w:rPr>
      <w:t>a</w:t>
    </w:r>
    <w:r w:rsidRPr="6C7B2EF8">
      <w:rPr>
        <w:rFonts w:cs="Arial"/>
        <w:b/>
        <w:bCs/>
        <w:noProof/>
        <w:spacing w:val="-15"/>
        <w:sz w:val="20"/>
        <w:szCs w:val="20"/>
      </w:rPr>
      <w:t>c</w:t>
    </w:r>
    <w:r w:rsidRPr="6C7B2EF8">
      <w:rPr>
        <w:rFonts w:cs="Arial"/>
        <w:b/>
        <w:bCs/>
        <w:noProof/>
        <w:spacing w:val="-16"/>
        <w:sz w:val="20"/>
        <w:szCs w:val="20"/>
      </w:rPr>
      <w:t>m</w:t>
    </w:r>
    <w:r w:rsidRPr="6C7B2EF8">
      <w:rPr>
        <w:rFonts w:cs="Arial"/>
        <w:b/>
        <w:bCs/>
        <w:noProof/>
        <w:spacing w:val="-14"/>
        <w:sz w:val="20"/>
        <w:szCs w:val="20"/>
      </w:rPr>
      <w:t>a</w:t>
    </w:r>
    <w:r w:rsidR="00971914" w:rsidRPr="0094078F">
      <w:rPr>
        <w:rFonts w:cs="Arial"/>
      </w:rPr>
      <w:tab/>
    </w:r>
    <w:r>
      <w:rPr>
        <w:rFonts w:cs="Arial"/>
      </w:rPr>
      <w:t xml:space="preserve"> </w:t>
    </w:r>
    <w:r w:rsidRPr="00622A3B">
      <w:rPr>
        <w:rFonts w:cs="Arial"/>
      </w:rPr>
      <w:t>|</w:t>
    </w:r>
    <w:r w:rsidR="00971914">
      <w:tab/>
    </w:r>
  </w:p>
  <w:p w14:paraId="5268A7C6"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13B08" w14:textId="71039DF8" w:rsidR="6F090CDC" w:rsidRDefault="6F090CDC" w:rsidP="6F090CDC">
    <w:pPr>
      <w:pStyle w:val="Footer"/>
      <w:jc w:val="center"/>
    </w:pPr>
    <w:r>
      <w:fldChar w:fldCharType="begin"/>
    </w:r>
    <w:r>
      <w:instrText>PAGE</w:instrText>
    </w:r>
    <w:r>
      <w:fldChar w:fldCharType="separate"/>
    </w:r>
    <w:r w:rsidR="0042013A">
      <w:rPr>
        <w:noProof/>
      </w:rPr>
      <w:t>2</w:t>
    </w:r>
    <w:r>
      <w:fldChar w:fldCharType="end"/>
    </w:r>
  </w:p>
  <w:p w14:paraId="2B564DF8" w14:textId="6ADC249D" w:rsidR="6C7B2EF8" w:rsidRDefault="6C7B2EF8" w:rsidP="6C7B2EF8">
    <w:pPr>
      <w:pStyle w:val="Footer"/>
      <w:jc w:val="right"/>
    </w:pPr>
  </w:p>
  <w:p w14:paraId="2365F127" w14:textId="39BC4BC0" w:rsidR="005F274C" w:rsidRPr="005A62E5" w:rsidRDefault="6C7B2EF8" w:rsidP="6C7B2EF8">
    <w:pPr>
      <w:pStyle w:val="Header"/>
      <w:tabs>
        <w:tab w:val="clear" w:pos="4153"/>
        <w:tab w:val="clear" w:pos="8306"/>
        <w:tab w:val="left" w:pos="5445"/>
        <w:tab w:val="right" w:pos="9072"/>
      </w:tabs>
      <w:rPr>
        <w:noProof/>
      </w:rPr>
    </w:pPr>
    <w:r w:rsidRPr="6C7B2EF8">
      <w:rPr>
        <w:color w:val="505050"/>
      </w:rPr>
      <w:t>Australian Communications and Media Authority</w:t>
    </w:r>
    <w:r w:rsidR="005F274C">
      <w:tab/>
    </w:r>
    <w:r w:rsidR="005F274C">
      <w:tab/>
    </w:r>
    <w:sdt>
      <w:sdtPr>
        <w:id w:val="-1171944216"/>
        <w:showingPlcHdr/>
        <w:docPartObj>
          <w:docPartGallery w:val="Page Numbers (Top of Page)"/>
          <w:docPartUnique/>
        </w:docPartObj>
      </w:sdtPr>
      <w:sdtEndPr>
        <w:rPr>
          <w:noProof/>
        </w:rPr>
      </w:sdtEndPr>
      <w:sdtContent>
        <w:r w:rsidRPr="6C7B2EF8">
          <w:rPr>
            <w:rStyle w:val="PlaceholderText"/>
          </w:rPr>
          <w:t>Click here to enter text.</w:t>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4CEFB" w14:textId="0ED6A61C" w:rsidR="6F090CDC" w:rsidRDefault="6F090CDC" w:rsidP="6F090CDC">
    <w:pPr>
      <w:pStyle w:val="Footer"/>
      <w:jc w:val="center"/>
    </w:pPr>
    <w:r>
      <w:fldChar w:fldCharType="begin"/>
    </w:r>
    <w:r>
      <w:instrText>PAGE</w:instrText>
    </w:r>
    <w:r>
      <w:fldChar w:fldCharType="separate"/>
    </w:r>
    <w:r w:rsidR="00CA440B">
      <w:rPr>
        <w:noProof/>
      </w:rPr>
      <w:t>26</w:t>
    </w:r>
    <w:r>
      <w:fldChar w:fldCharType="end"/>
    </w:r>
  </w:p>
  <w:p w14:paraId="6CB9E39A" w14:textId="19FA59E9" w:rsidR="6C7B2EF8" w:rsidRDefault="6C7B2EF8" w:rsidP="6C7B2EF8">
    <w:pPr>
      <w:pStyle w:val="Footer"/>
      <w:jc w:val="right"/>
    </w:pPr>
  </w:p>
  <w:p w14:paraId="138029CF" w14:textId="1FB41155" w:rsidR="005F274C" w:rsidRPr="005A62E5" w:rsidRDefault="6C7B2EF8" w:rsidP="6C7B2EF8">
    <w:pPr>
      <w:pStyle w:val="Header"/>
      <w:tabs>
        <w:tab w:val="clear" w:pos="4153"/>
        <w:tab w:val="clear" w:pos="8306"/>
        <w:tab w:val="left" w:pos="5445"/>
        <w:tab w:val="right" w:pos="9072"/>
      </w:tabs>
      <w:rPr>
        <w:noProof/>
      </w:rPr>
    </w:pPr>
    <w:r w:rsidRPr="6C7B2EF8">
      <w:rPr>
        <w:color w:val="505050"/>
      </w:rPr>
      <w:t>Australian Communications and Media Authority</w:t>
    </w:r>
    <w:r w:rsidR="005F274C">
      <w:tab/>
    </w:r>
    <w:r w:rsidR="005F274C">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EE5F3" w14:textId="77777777" w:rsidR="00626044" w:rsidRDefault="00626044" w:rsidP="00DB3A64">
      <w:pPr>
        <w:spacing w:after="0"/>
      </w:pPr>
      <w:r>
        <w:separator/>
      </w:r>
    </w:p>
  </w:footnote>
  <w:footnote w:type="continuationSeparator" w:id="0">
    <w:p w14:paraId="6279D9D8" w14:textId="77777777" w:rsidR="00626044" w:rsidRDefault="00626044">
      <w:r>
        <w:continuationSeparator/>
      </w:r>
    </w:p>
  </w:footnote>
  <w:footnote w:type="continuationNotice" w:id="1">
    <w:p w14:paraId="63B2A7F3" w14:textId="77777777" w:rsidR="00626044" w:rsidRDefault="00626044">
      <w:pPr>
        <w:spacing w:after="0" w:line="240" w:lineRule="auto"/>
      </w:pPr>
    </w:p>
  </w:footnote>
  <w:footnote w:id="2">
    <w:p w14:paraId="72C1C645" w14:textId="59B33033" w:rsidR="00A55181" w:rsidRDefault="00A55181">
      <w:pPr>
        <w:pStyle w:val="FootnoteText"/>
      </w:pPr>
      <w:r>
        <w:rPr>
          <w:rStyle w:val="FootnoteReference"/>
        </w:rPr>
        <w:footnoteRef/>
      </w:r>
      <w:r>
        <w:t xml:space="preserve"> </w:t>
      </w:r>
      <w:hyperlink r:id="rId1" w:history="1">
        <w:r w:rsidR="00EE5682">
          <w:rPr>
            <w:rStyle w:val="Hyperlink"/>
          </w:rPr>
          <w:t>Federal Register of Legislation - Telecommunications (Customer Communications for Outages Industry Standards) Direction 2024</w:t>
        </w:r>
      </w:hyperlink>
      <w:r w:rsidR="00EE5682">
        <w:t xml:space="preserve"> – accessed </w:t>
      </w:r>
      <w:r w:rsidR="00BB0849">
        <w:t>30/10/2024.</w:t>
      </w:r>
    </w:p>
  </w:footnote>
  <w:footnote w:id="3">
    <w:p w14:paraId="6C268669" w14:textId="77777777" w:rsidR="00A03154" w:rsidRDefault="00A03154" w:rsidP="00A03154">
      <w:pPr>
        <w:pStyle w:val="FootnoteText"/>
        <w:spacing w:line="240" w:lineRule="auto"/>
        <w:ind w:left="142" w:hanging="142"/>
      </w:pPr>
      <w:r>
        <w:rPr>
          <w:rStyle w:val="FootnoteReference"/>
        </w:rPr>
        <w:footnoteRef/>
      </w:r>
      <w:r>
        <w:t xml:space="preserve"> </w:t>
      </w:r>
      <w:hyperlink r:id="rId2" w:history="1">
        <w:r w:rsidRPr="005D0CA3">
          <w:rPr>
            <w:rStyle w:val="Hyperlink"/>
          </w:rPr>
          <w:t>https://www.aph.gov.au/DocumentStore.ashx?id=2ed95079-023d-49d5-87fd-d9029740629b&amp;subId=750333</w:t>
        </w:r>
      </w:hyperlink>
      <w:r>
        <w:t>, accessed 21 August 2024.</w:t>
      </w:r>
    </w:p>
  </w:footnote>
  <w:footnote w:id="4">
    <w:p w14:paraId="21476D82" w14:textId="5F38365A" w:rsidR="007A6D64" w:rsidRDefault="007A6D64" w:rsidP="00007DAB">
      <w:pPr>
        <w:pStyle w:val="FootnoteText"/>
        <w:spacing w:line="240" w:lineRule="auto"/>
        <w:ind w:left="142" w:hanging="142"/>
      </w:pPr>
      <w:r>
        <w:rPr>
          <w:rStyle w:val="FootnoteReference"/>
        </w:rPr>
        <w:footnoteRef/>
      </w:r>
      <w:r>
        <w:t xml:space="preserve"> </w:t>
      </w:r>
      <w:hyperlink r:id="rId3" w:history="1">
        <w:r w:rsidR="00BD11E9" w:rsidRPr="005D0CA3">
          <w:rPr>
            <w:rStyle w:val="Hyperlink"/>
          </w:rPr>
          <w:t>https://www.aph.gov.au/DocumentStore.ashx?id=2ed95079-023d-49d5-87fd-d9029740629b&amp;subId=750333</w:t>
        </w:r>
      </w:hyperlink>
      <w:r w:rsidR="00BD11E9">
        <w:t>, accessed 21 August 2024.</w:t>
      </w:r>
    </w:p>
  </w:footnote>
  <w:footnote w:id="5">
    <w:p w14:paraId="16AA7635" w14:textId="59C64D51" w:rsidR="00DF2EC6" w:rsidRDefault="00DF2EC6" w:rsidP="00007DAB">
      <w:pPr>
        <w:pStyle w:val="FootnoteText"/>
        <w:spacing w:line="240" w:lineRule="auto"/>
        <w:ind w:left="142" w:hanging="142"/>
      </w:pPr>
      <w:r>
        <w:rPr>
          <w:rStyle w:val="FootnoteReference"/>
        </w:rPr>
        <w:footnoteRef/>
      </w:r>
      <w:r>
        <w:t xml:space="preserve"> </w:t>
      </w:r>
      <w:hyperlink r:id="rId4" w:history="1">
        <w:r w:rsidR="00D3116F">
          <w:rPr>
            <w:rStyle w:val="Hyperlink"/>
          </w:rPr>
          <w:t>https://web.archive.org/web/20231108030028/https:/www.afr.com/technology/chaos-as-optus-crashes-nationwide-20231108-p5eid1</w:t>
        </w:r>
      </w:hyperlink>
      <w:r w:rsidR="00D3116F" w:rsidRPr="00D23935">
        <w:rPr>
          <w:rStyle w:val="Hyperlink"/>
        </w:rPr>
        <w:t xml:space="preserve">, </w:t>
      </w:r>
      <w:r w:rsidR="00D3116F">
        <w:rPr>
          <w:rStyle w:val="Hyperlink"/>
        </w:rPr>
        <w:t xml:space="preserve">and </w:t>
      </w:r>
      <w:hyperlink r:id="rId5" w:history="1">
        <w:r w:rsidR="00D3116F">
          <w:rPr>
            <w:rStyle w:val="Hyperlink"/>
          </w:rPr>
          <w:t>https://www.abc.net.au/news/2023-11-09/how-the-optus-outage-played-out/103079768</w:t>
        </w:r>
      </w:hyperlink>
      <w:r w:rsidR="00D3116F">
        <w:t>,</w:t>
      </w:r>
      <w:r w:rsidR="00D3116F">
        <w:rPr>
          <w:rStyle w:val="Hyperlink"/>
        </w:rPr>
        <w:t xml:space="preserve"> </w:t>
      </w:r>
      <w:r w:rsidR="00D3116F" w:rsidRPr="00D23935">
        <w:t>accessed 21 August 2024</w:t>
      </w:r>
    </w:p>
  </w:footnote>
  <w:footnote w:id="6">
    <w:p w14:paraId="6BB0F108" w14:textId="160BE0DE" w:rsidR="00007DAB" w:rsidRDefault="00007DAB" w:rsidP="00007DAB">
      <w:pPr>
        <w:pStyle w:val="FootnoteText"/>
        <w:ind w:left="142" w:hanging="142"/>
      </w:pPr>
      <w:r>
        <w:rPr>
          <w:rStyle w:val="FootnoteReference"/>
        </w:rPr>
        <w:footnoteRef/>
      </w:r>
      <w:r>
        <w:t xml:space="preserve"> </w:t>
      </w:r>
      <w:hyperlink r:id="rId6" w:history="1">
        <w:r w:rsidRPr="00DC326D">
          <w:rPr>
            <w:rStyle w:val="Hyperlink"/>
          </w:rPr>
          <w:t>https://www.aph.gov.au/DocumentStore.ashx?id=bb403a80-115f-44d6-818a-5900073c38f4&amp;subId=750366</w:t>
        </w:r>
      </w:hyperlink>
      <w:r>
        <w:t xml:space="preserve"> and </w:t>
      </w:r>
      <w:hyperlink r:id="rId7" w:history="1">
        <w:r>
          <w:rPr>
            <w:rStyle w:val="Hyperlink"/>
          </w:rPr>
          <w:t>https://www.tio.com.au/sites/default/files/2024-02/Data%20Insights%20Q2%202023-24.pdf</w:t>
        </w:r>
      </w:hyperlink>
      <w:r>
        <w:t>, accessed 21 August 2024</w:t>
      </w:r>
    </w:p>
  </w:footnote>
  <w:footnote w:id="7">
    <w:p w14:paraId="018A464E" w14:textId="1B4EB062" w:rsidR="00007DAB" w:rsidRDefault="00007DAB">
      <w:pPr>
        <w:pStyle w:val="FootnoteText"/>
      </w:pPr>
      <w:r>
        <w:rPr>
          <w:rStyle w:val="FootnoteReference"/>
        </w:rPr>
        <w:footnoteRef/>
      </w:r>
      <w:r>
        <w:t xml:space="preserve"> </w:t>
      </w:r>
      <w:hyperlink r:id="rId8" w:history="1">
        <w:r w:rsidR="001A117D" w:rsidRPr="00DC326D">
          <w:rPr>
            <w:rStyle w:val="Hyperlink"/>
          </w:rPr>
          <w:t>https://www.infrastructure.gov.au/sites/default/files/documents/review_into_the_optus_outage_of_8_november.pdf</w:t>
        </w:r>
      </w:hyperlink>
      <w:r w:rsidR="001A117D">
        <w:t>, accessed 21 August 2024.</w:t>
      </w:r>
    </w:p>
  </w:footnote>
  <w:footnote w:id="8">
    <w:p w14:paraId="12C11B8A" w14:textId="62878E6E" w:rsidR="004E3A72" w:rsidRDefault="004E3A72">
      <w:pPr>
        <w:pStyle w:val="FootnoteText"/>
      </w:pPr>
      <w:r>
        <w:rPr>
          <w:rStyle w:val="FootnoteReference"/>
        </w:rPr>
        <w:footnoteRef/>
      </w:r>
      <w:r>
        <w:t xml:space="preserve"> </w:t>
      </w:r>
      <w:hyperlink r:id="rId9" w:history="1">
        <w:r>
          <w:rPr>
            <w:rStyle w:val="Hyperlink"/>
          </w:rPr>
          <w:t>Communications Alliance - G663:2022 Telecommunications – Emergency Communications Protocol (commsalliance.com.au)</w:t>
        </w:r>
      </w:hyperlink>
      <w:r>
        <w:t>, accessed 27 August 2024.</w:t>
      </w:r>
    </w:p>
  </w:footnote>
  <w:footnote w:id="9">
    <w:p w14:paraId="6453DC56" w14:textId="77777777" w:rsidR="000521FE" w:rsidRDefault="000521FE" w:rsidP="000521FE">
      <w:pPr>
        <w:pStyle w:val="FootnoteText"/>
      </w:pPr>
      <w:r>
        <w:rPr>
          <w:rStyle w:val="FootnoteReference"/>
        </w:rPr>
        <w:footnoteRef/>
      </w:r>
      <w:hyperlink r:id="rId10" w:history="1">
        <w:r w:rsidRPr="00DC326D">
          <w:rPr>
            <w:rStyle w:val="Hyperlink"/>
          </w:rPr>
          <w:t>https://www.infrastructure.gov.au/sites/default/files/documents/review_into_the_optus_outage_of_8_november.pdf</w:t>
        </w:r>
      </w:hyperlink>
      <w:r>
        <w:t>, accessed 21 August 2024</w:t>
      </w:r>
    </w:p>
  </w:footnote>
  <w:footnote w:id="10">
    <w:p w14:paraId="6B459CEA" w14:textId="447A288D" w:rsidR="002F5F25" w:rsidRDefault="002F5F25">
      <w:pPr>
        <w:pStyle w:val="FootnoteText"/>
      </w:pPr>
      <w:r>
        <w:rPr>
          <w:rStyle w:val="FootnoteReference"/>
        </w:rPr>
        <w:footnoteRef/>
      </w:r>
      <w:r>
        <w:t xml:space="preserve"> See </w:t>
      </w:r>
      <w:r w:rsidR="00095B71">
        <w:t xml:space="preserve">Attachment </w:t>
      </w:r>
      <w:r w:rsidR="0031315A">
        <w:t>1</w:t>
      </w:r>
    </w:p>
  </w:footnote>
  <w:footnote w:id="11">
    <w:p w14:paraId="7430AD0A" w14:textId="4979412B" w:rsidR="008E6B7C" w:rsidRDefault="008E6B7C">
      <w:pPr>
        <w:pStyle w:val="FootnoteText"/>
      </w:pPr>
      <w:r>
        <w:rPr>
          <w:rStyle w:val="FootnoteReference"/>
        </w:rPr>
        <w:footnoteRef/>
      </w:r>
      <w:r>
        <w:t xml:space="preserve"> </w:t>
      </w:r>
      <w:hyperlink r:id="rId11" w:history="1">
        <w:r w:rsidR="00AB5B85">
          <w:rPr>
            <w:rStyle w:val="Hyperlink"/>
          </w:rPr>
          <w:t>Investigation Report into the Triple Zero Service disruptions of 4 &amp; 26 May 2018</w:t>
        </w:r>
      </w:hyperlink>
    </w:p>
  </w:footnote>
  <w:footnote w:id="12">
    <w:p w14:paraId="0038B5AC" w14:textId="77777777" w:rsidR="000521FE" w:rsidRDefault="000521FE" w:rsidP="000521FE">
      <w:pPr>
        <w:pStyle w:val="FootnoteText"/>
      </w:pPr>
      <w:r>
        <w:rPr>
          <w:rStyle w:val="FootnoteReference"/>
        </w:rPr>
        <w:footnoteRef/>
      </w:r>
      <w:r>
        <w:t xml:space="preserve"> </w:t>
      </w:r>
      <w:hyperlink r:id="rId12" w:history="1">
        <w:r>
          <w:rPr>
            <w:rStyle w:val="Hyperlink"/>
          </w:rPr>
          <w:t>https://www.legislation.gov.au/F2024L01060/asmade/text</w:t>
        </w:r>
      </w:hyperlink>
      <w:r>
        <w:t>, accessed 27 August 2024.</w:t>
      </w:r>
    </w:p>
  </w:footnote>
  <w:footnote w:id="13">
    <w:p w14:paraId="4250B1DE" w14:textId="77777777" w:rsidR="006A0868" w:rsidRDefault="006A0868" w:rsidP="006A0868">
      <w:pPr>
        <w:pStyle w:val="FootnoteText"/>
      </w:pPr>
      <w:r>
        <w:rPr>
          <w:rStyle w:val="FootnoteReference"/>
        </w:rPr>
        <w:footnoteRef/>
      </w:r>
      <w:hyperlink r:id="rId13" w:history="1">
        <w:r w:rsidRPr="00664FC4">
          <w:rPr>
            <w:rStyle w:val="Hyperlink"/>
          </w:rPr>
          <w:t>https://www.infrastructure.gov.au/sites/default/files/documents/review_into_the_optus_outage_of_8_november.pdf</w:t>
        </w:r>
      </w:hyperlink>
      <w:r>
        <w:t>, accessed 27 August 2024.</w:t>
      </w:r>
    </w:p>
  </w:footnote>
  <w:footnote w:id="14">
    <w:p w14:paraId="2CC469D7" w14:textId="77777777" w:rsidR="006A0868" w:rsidRDefault="006A0868" w:rsidP="006A0868">
      <w:pPr>
        <w:pStyle w:val="FootnoteText"/>
      </w:pPr>
      <w:r>
        <w:rPr>
          <w:rStyle w:val="FootnoteReference"/>
        </w:rPr>
        <w:footnoteRef/>
      </w:r>
      <w:r>
        <w:t xml:space="preserve"> </w:t>
      </w:r>
      <w:hyperlink r:id="rId14" w:history="1">
        <w:r>
          <w:rPr>
            <w:rStyle w:val="Hyperlink"/>
          </w:rPr>
          <w:t>https://www.infrastructure.gov.au/department/media/publications/australian-government-response-bean-review-final-report-review-optus-outage-8-november-2023-april</w:t>
        </w:r>
      </w:hyperlink>
      <w:r>
        <w:t>, accessed 27 August 2024.</w:t>
      </w:r>
    </w:p>
  </w:footnote>
  <w:footnote w:id="15">
    <w:p w14:paraId="061D2EEE" w14:textId="77777777" w:rsidR="006A0868" w:rsidRDefault="006A0868" w:rsidP="006A0868">
      <w:pPr>
        <w:pStyle w:val="FootnoteText"/>
      </w:pPr>
      <w:r>
        <w:rPr>
          <w:rStyle w:val="FootnoteReference"/>
        </w:rPr>
        <w:footnoteRef/>
      </w:r>
      <w:r>
        <w:t xml:space="preserve"> </w:t>
      </w:r>
      <w:hyperlink r:id="rId15" w:history="1">
        <w:r>
          <w:rPr>
            <w:rStyle w:val="Hyperlink"/>
          </w:rPr>
          <w:t>https://www.legislation.gov.au/F2024L01060/asmade/text</w:t>
        </w:r>
      </w:hyperlink>
      <w:r>
        <w:t>, accessed 27 August 2024.</w:t>
      </w:r>
    </w:p>
  </w:footnote>
  <w:footnote w:id="16">
    <w:p w14:paraId="289E216D" w14:textId="77777777" w:rsidR="006A0868" w:rsidRDefault="006A0868" w:rsidP="006A0868">
      <w:pPr>
        <w:pStyle w:val="FootnoteText"/>
      </w:pPr>
      <w:r>
        <w:rPr>
          <w:rStyle w:val="FootnoteReference"/>
        </w:rPr>
        <w:footnoteRef/>
      </w:r>
      <w:r>
        <w:t xml:space="preserve"> </w:t>
      </w:r>
      <w:hyperlink r:id="rId16" w:history="1">
        <w:r>
          <w:rPr>
            <w:rStyle w:val="Hyperlink"/>
          </w:rPr>
          <w:t>https://www.legislation.gov.au/F2019L01509/latest/text</w:t>
        </w:r>
      </w:hyperlink>
    </w:p>
  </w:footnote>
  <w:footnote w:id="17">
    <w:p w14:paraId="7265429B" w14:textId="228B528E" w:rsidR="00885907" w:rsidRDefault="00885907">
      <w:pPr>
        <w:pStyle w:val="FootnoteText"/>
      </w:pPr>
      <w:r>
        <w:rPr>
          <w:rStyle w:val="FootnoteReference"/>
        </w:rPr>
        <w:footnoteRef/>
      </w:r>
      <w:r>
        <w:t xml:space="preserve"> </w:t>
      </w:r>
      <w:hyperlink r:id="rId17" w:history="1">
        <w:r>
          <w:rPr>
            <w:rStyle w:val="Hyperlink"/>
          </w:rPr>
          <w:t>Memorandum of Understanding on Telecommunications Reliability</w:t>
        </w:r>
      </w:hyperlink>
      <w:r w:rsidR="003B5D84">
        <w:t xml:space="preserve"> accessed </w:t>
      </w:r>
      <w:r w:rsidR="00BB0849">
        <w:t>31/10/2024.</w:t>
      </w:r>
    </w:p>
  </w:footnote>
  <w:footnote w:id="18">
    <w:p w14:paraId="345213F6" w14:textId="2AC2D8C4" w:rsidR="00D10879" w:rsidRDefault="00D10879">
      <w:pPr>
        <w:pStyle w:val="FootnoteText"/>
      </w:pPr>
      <w:r>
        <w:rPr>
          <w:rStyle w:val="FootnoteReference"/>
        </w:rPr>
        <w:footnoteRef/>
      </w:r>
      <w:r>
        <w:t xml:space="preserve"> </w:t>
      </w:r>
      <w:hyperlink r:id="rId18" w:history="1">
        <w:r>
          <w:rPr>
            <w:rStyle w:val="Hyperlink"/>
          </w:rPr>
          <w:t>Consultation on notification and reporting about major telecom service outages | CRTC</w:t>
        </w:r>
      </w:hyperlink>
      <w:r>
        <w:t xml:space="preserve"> accessed </w:t>
      </w:r>
      <w:r w:rsidR="00BB0849">
        <w:t>31/10/2024.</w:t>
      </w:r>
    </w:p>
  </w:footnote>
  <w:footnote w:id="19">
    <w:p w14:paraId="1F9A9C2B" w14:textId="78195C18" w:rsidR="00295A1B" w:rsidRDefault="00295A1B">
      <w:pPr>
        <w:pStyle w:val="FootnoteText"/>
      </w:pPr>
      <w:r>
        <w:rPr>
          <w:rStyle w:val="FootnoteReference"/>
        </w:rPr>
        <w:footnoteRef/>
      </w:r>
      <w:r>
        <w:t xml:space="preserve"> </w:t>
      </w:r>
      <w:hyperlink r:id="rId19" w:history="1">
        <w:r>
          <w:rPr>
            <w:rStyle w:val="Hyperlink"/>
          </w:rPr>
          <w:t>Telecoms companies have 24 hours to report major security breaches or outages, says Ofcom</w:t>
        </w:r>
      </w:hyperlink>
      <w:r>
        <w:t xml:space="preserve"> accessed </w:t>
      </w:r>
      <w:r w:rsidR="00BB0849">
        <w:t>31/10/2024.</w:t>
      </w:r>
    </w:p>
  </w:footnote>
  <w:footnote w:id="20">
    <w:p w14:paraId="55BAF595" w14:textId="77777777" w:rsidR="005F274C" w:rsidRDefault="005F274C" w:rsidP="005F274C">
      <w:pPr>
        <w:pStyle w:val="FootnoteText"/>
      </w:pPr>
      <w:r>
        <w:rPr>
          <w:rStyle w:val="FootnoteReference"/>
        </w:rPr>
        <w:footnoteRef/>
      </w:r>
      <w:r>
        <w:t xml:space="preserve"> </w:t>
      </w:r>
      <w:r>
        <w:tab/>
      </w:r>
      <w:r w:rsidRPr="00AE721F">
        <w:t>Lyons</w:t>
      </w:r>
      <w:r>
        <w:t xml:space="preserve"> S,</w:t>
      </w:r>
      <w:r w:rsidRPr="00AE721F">
        <w:t xml:space="preserve"> Morgenroth </w:t>
      </w:r>
      <w:r>
        <w:t>E</w:t>
      </w:r>
      <w:r w:rsidRPr="00AE721F">
        <w:t xml:space="preserve">, Tol </w:t>
      </w:r>
      <w:r>
        <w:t xml:space="preserve">RSJ, </w:t>
      </w:r>
      <w:r w:rsidRPr="00141DA8">
        <w:rPr>
          <w:i/>
          <w:iCs/>
        </w:rPr>
        <w:t>Estimating the value of lost telecoms connectivity</w:t>
      </w:r>
      <w:r>
        <w:t xml:space="preserve"> in </w:t>
      </w:r>
      <w:r w:rsidRPr="0034773C">
        <w:t>Electronic Commerce Research and Applications</w:t>
      </w:r>
      <w:r>
        <w:t xml:space="preserve">. Volume 12, Issue 1, January–February 2013, Pages 40-51 </w:t>
      </w:r>
      <w:hyperlink r:id="rId20" w:history="1">
        <w:r w:rsidRPr="00B86431">
          <w:rPr>
            <w:rStyle w:val="Hyperlink"/>
          </w:rPr>
          <w:t>https://www.sciencedirect.com/science/article/abs/pii/S1567422312000452</w:t>
        </w:r>
      </w:hyperlink>
      <w:r>
        <w:t xml:space="preserve"> </w:t>
      </w:r>
    </w:p>
  </w:footnote>
  <w:footnote w:id="21">
    <w:p w14:paraId="006C2588" w14:textId="77777777" w:rsidR="005F274C" w:rsidRDefault="005F274C" w:rsidP="005F274C">
      <w:pPr>
        <w:pStyle w:val="FootnoteText"/>
      </w:pPr>
      <w:r>
        <w:rPr>
          <w:rStyle w:val="FootnoteReference"/>
        </w:rPr>
        <w:footnoteRef/>
      </w:r>
      <w:r>
        <w:t xml:space="preserve"> </w:t>
      </w:r>
      <w:r>
        <w:tab/>
      </w:r>
      <w:hyperlink r:id="rId21" w:history="1">
        <w:r w:rsidRPr="000421B7">
          <w:rPr>
            <w:rStyle w:val="Hyperlink"/>
          </w:rPr>
          <w:t>https://blog.cspire.com/how-much-does-an-internet-outage-cost-your-business</w:t>
        </w:r>
      </w:hyperlink>
      <w:r>
        <w:t xml:space="preserve"> </w:t>
      </w:r>
    </w:p>
  </w:footnote>
  <w:footnote w:id="22">
    <w:p w14:paraId="4FE8820F" w14:textId="77777777" w:rsidR="00571A20" w:rsidRDefault="00571A20" w:rsidP="00571A20">
      <w:pPr>
        <w:pStyle w:val="FootnoteText"/>
      </w:pPr>
      <w:r>
        <w:rPr>
          <w:rStyle w:val="FootnoteReference"/>
        </w:rPr>
        <w:footnoteRef/>
      </w:r>
      <w:r>
        <w:t xml:space="preserve"> </w:t>
      </w:r>
      <w:r>
        <w:tab/>
      </w:r>
      <w:r w:rsidRPr="00BF17F4">
        <w:t>Associate Professor</w:t>
      </w:r>
      <w:r>
        <w:t xml:space="preserve"> Mark Gregory, </w:t>
      </w:r>
      <w:hyperlink r:id="rId22" w:history="1">
        <w:r w:rsidRPr="00427D0A">
          <w:rPr>
            <w:rStyle w:val="Hyperlink"/>
          </w:rPr>
          <w:t>Submissions – Parliament of Australia (aph.gov.au)</w:t>
        </w:r>
      </w:hyperlink>
    </w:p>
  </w:footnote>
  <w:footnote w:id="23">
    <w:p w14:paraId="25D2675F" w14:textId="77777777" w:rsidR="00571A20" w:rsidRDefault="00571A20" w:rsidP="00571A20">
      <w:pPr>
        <w:pStyle w:val="FootnoteText"/>
      </w:pPr>
      <w:r>
        <w:rPr>
          <w:rStyle w:val="FootnoteReference"/>
        </w:rPr>
        <w:footnoteRef/>
      </w:r>
      <w:r>
        <w:t xml:space="preserve"> </w:t>
      </w:r>
      <w:r>
        <w:tab/>
      </w:r>
      <w:hyperlink r:id="rId23" w:anchor="data-download" w:history="1">
        <w:r w:rsidRPr="00FF4A25">
          <w:rPr>
            <w:rStyle w:val="Hyperlink"/>
          </w:rPr>
          <w:t>www.abs.gov.au/statistics/industry/industry-overview/australian-industry/latest-release#data-download</w:t>
        </w:r>
      </w:hyperlink>
      <w:r>
        <w:t xml:space="preserve"> </w:t>
      </w:r>
    </w:p>
  </w:footnote>
  <w:footnote w:id="24">
    <w:p w14:paraId="2661C261" w14:textId="40F5CCE1" w:rsidR="00436B30" w:rsidRDefault="00436B30" w:rsidP="00436B30">
      <w:pPr>
        <w:pStyle w:val="FootnoteText"/>
      </w:pPr>
      <w:r>
        <w:rPr>
          <w:rStyle w:val="FootnoteReference"/>
        </w:rPr>
        <w:footnoteRef/>
      </w:r>
      <w:r>
        <w:t xml:space="preserve"> </w:t>
      </w:r>
      <w:r>
        <w:tab/>
        <w:t xml:space="preserve">250 days is based on 52 weeks and 5 working </w:t>
      </w:r>
      <w:r w:rsidR="00CC3850">
        <w:t>days but</w:t>
      </w:r>
      <w:r>
        <w:t xml:space="preserve"> excluding 10 public holidays.</w:t>
      </w:r>
    </w:p>
  </w:footnote>
  <w:footnote w:id="25">
    <w:p w14:paraId="5DAE7579" w14:textId="77777777" w:rsidR="00741C9E" w:rsidRDefault="00741C9E" w:rsidP="00741C9E">
      <w:pPr>
        <w:pStyle w:val="FootnoteText"/>
      </w:pPr>
      <w:r>
        <w:rPr>
          <w:rStyle w:val="FootnoteReference"/>
        </w:rPr>
        <w:footnoteRef/>
      </w:r>
      <w:r>
        <w:t xml:space="preserve"> </w:t>
      </w:r>
      <w:r>
        <w:tab/>
      </w:r>
      <w:r w:rsidRPr="003D17B2">
        <w:t>8165.0 Counts of Australian Businesses, including Entries and Exits, Jun 2018 to Jun 2022</w:t>
      </w:r>
      <w:r>
        <w:t xml:space="preserve"> and   </w:t>
      </w:r>
      <w:hyperlink r:id="rId24" w:anchor="data-download" w:history="1">
        <w:r w:rsidRPr="00FF4A25">
          <w:rPr>
            <w:rStyle w:val="Hyperlink"/>
          </w:rPr>
          <w:t>www.abs.gov.au/statistics/industry/industry-overview/australian-industry/latest-release#data-download</w:t>
        </w:r>
      </w:hyperlink>
    </w:p>
  </w:footnote>
  <w:footnote w:id="26">
    <w:p w14:paraId="6B7AC3C2" w14:textId="77777777" w:rsidR="00AF701C" w:rsidRDefault="00AF701C" w:rsidP="00AF701C">
      <w:pPr>
        <w:pStyle w:val="FootnoteText"/>
      </w:pPr>
      <w:r>
        <w:rPr>
          <w:rStyle w:val="FootnoteReference"/>
        </w:rPr>
        <w:footnoteRef/>
      </w:r>
      <w:r>
        <w:t xml:space="preserve"> </w:t>
      </w:r>
      <w:hyperlink r:id="rId25" w:history="1">
        <w:r>
          <w:rPr>
            <w:rStyle w:val="Hyperlink"/>
          </w:rPr>
          <w:t>https://www.legislation.gov.au/F2024L01060/asmade/text</w:t>
        </w:r>
      </w:hyperlink>
      <w:r>
        <w:t>, accessed 27 August 2024.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719B17AA" w14:paraId="26D1CC93" w14:textId="77777777" w:rsidTr="719B17AA">
      <w:trPr>
        <w:trHeight w:val="300"/>
      </w:trPr>
      <w:tc>
        <w:tcPr>
          <w:tcW w:w="3020" w:type="dxa"/>
        </w:tcPr>
        <w:p w14:paraId="2188DD11" w14:textId="360D1663" w:rsidR="719B17AA" w:rsidRDefault="719B17AA" w:rsidP="719B17AA">
          <w:pPr>
            <w:pStyle w:val="Header"/>
            <w:ind w:left="-115"/>
          </w:pPr>
        </w:p>
      </w:tc>
      <w:tc>
        <w:tcPr>
          <w:tcW w:w="3020" w:type="dxa"/>
        </w:tcPr>
        <w:p w14:paraId="56750668" w14:textId="6F7D96D5" w:rsidR="719B17AA" w:rsidRDefault="719B17AA" w:rsidP="719B17AA">
          <w:pPr>
            <w:pStyle w:val="Header"/>
            <w:jc w:val="center"/>
          </w:pPr>
        </w:p>
      </w:tc>
      <w:tc>
        <w:tcPr>
          <w:tcW w:w="3020" w:type="dxa"/>
        </w:tcPr>
        <w:p w14:paraId="5C9A4E37" w14:textId="0FB46FF8" w:rsidR="719B17AA" w:rsidRDefault="719B17AA" w:rsidP="719B17AA">
          <w:pPr>
            <w:pStyle w:val="Header"/>
            <w:ind w:right="-115"/>
            <w:jc w:val="right"/>
          </w:pPr>
        </w:p>
      </w:tc>
    </w:tr>
  </w:tbl>
  <w:p w14:paraId="1C83FEBA" w14:textId="60B36C67" w:rsidR="719B17AA" w:rsidRDefault="719B17AA" w:rsidP="719B17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BD96" w14:textId="77777777" w:rsidR="00C053A1" w:rsidRDefault="00C053A1">
    <w:pPr>
      <w:pStyle w:val="Header"/>
    </w:pPr>
  </w:p>
  <w:p w14:paraId="75FAC4CC" w14:textId="77777777" w:rsidR="00740A3E" w:rsidRDefault="00740A3E"/>
  <w:p w14:paraId="2C47271C" w14:textId="77777777" w:rsidR="00C053A1" w:rsidRDefault="00C053A1"/>
  <w:p w14:paraId="3A3D9C5B" w14:textId="77777777" w:rsidR="00735007" w:rsidRDefault="00735007"/>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8F68" w14:textId="77777777" w:rsidR="00C053A1" w:rsidRDefault="00C053A1">
    <w:pPr>
      <w:pStyle w:val="Header"/>
    </w:pPr>
  </w:p>
  <w:p w14:paraId="21D8018D" w14:textId="77777777" w:rsidR="00735007" w:rsidRDefault="0073500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B6F5" w14:textId="77777777" w:rsidR="00C053A1" w:rsidRPr="005A62E5" w:rsidRDefault="005A62E5" w:rsidP="005A62E5">
    <w:pPr>
      <w:pStyle w:val="Header"/>
    </w:pPr>
    <w:r>
      <w:rPr>
        <w:noProof/>
      </w:rPr>
      <w:drawing>
        <wp:inline distT="0" distB="0" distL="0" distR="0" wp14:anchorId="67DDC608" wp14:editId="1F82D6E8">
          <wp:extent cx="3229598" cy="381000"/>
          <wp:effectExtent l="0" t="0" r="9525" b="0"/>
          <wp:docPr id="1864791754" name="Picture 186479175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91754" name="Picture 1864791754">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stretch>
                    <a:fillRect/>
                  </a:stretch>
                </pic:blipFill>
                <pic:spPr>
                  <a:xfrm>
                    <a:off x="0" y="0"/>
                    <a:ext cx="3300801" cy="389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5DBF9" w14:textId="77777777" w:rsidR="00C053A1" w:rsidRPr="00A5474E" w:rsidRDefault="00C053A1" w:rsidP="00594E9C">
    <w:pPr>
      <w:pStyle w:val="TOCHeading"/>
    </w:pPr>
    <w:r w:rsidRPr="0029593B">
      <w:t>Contents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7E1C"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0C184" w14:textId="77777777" w:rsidR="00C053A1" w:rsidRDefault="00C053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D8A37A0" w14:textId="77777777" w:rsidTr="009E58FA">
      <w:trPr>
        <w:trHeight w:hRule="exact" w:val="988"/>
      </w:trPr>
      <w:tc>
        <w:tcPr>
          <w:tcW w:w="7678" w:type="dxa"/>
          <w:shd w:val="clear" w:color="auto" w:fill="auto"/>
        </w:tcPr>
        <w:p w14:paraId="697B62CD" w14:textId="77777777" w:rsidR="00971914" w:rsidRDefault="00971914" w:rsidP="00971914">
          <w:pPr>
            <w:pStyle w:val="Header"/>
          </w:pPr>
        </w:p>
      </w:tc>
    </w:tr>
    <w:tr w:rsidR="00971914" w14:paraId="5540DD2D" w14:textId="77777777" w:rsidTr="009E58FA">
      <w:tc>
        <w:tcPr>
          <w:tcW w:w="7678" w:type="dxa"/>
          <w:shd w:val="clear" w:color="auto" w:fill="auto"/>
        </w:tcPr>
        <w:p w14:paraId="7A84D734" w14:textId="77777777" w:rsidR="00971914" w:rsidRDefault="00971914" w:rsidP="00971914">
          <w:pPr>
            <w:pStyle w:val="GridTable31"/>
          </w:pPr>
          <w:r>
            <w:t xml:space="preserve">Contents </w:t>
          </w:r>
          <w:r w:rsidRPr="00915B1C">
            <w:rPr>
              <w:b w:val="0"/>
              <w:spacing w:val="0"/>
              <w:sz w:val="28"/>
              <w:szCs w:val="28"/>
            </w:rPr>
            <w:t>(Continued)</w:t>
          </w:r>
        </w:p>
      </w:tc>
    </w:tr>
    <w:tr w:rsidR="00971914" w14:paraId="10D5B4BB" w14:textId="77777777" w:rsidTr="009E58FA">
      <w:trPr>
        <w:trHeight w:val="1220"/>
      </w:trPr>
      <w:tc>
        <w:tcPr>
          <w:tcW w:w="7678" w:type="dxa"/>
          <w:shd w:val="clear" w:color="auto" w:fill="auto"/>
        </w:tcPr>
        <w:p w14:paraId="3471E7C8" w14:textId="77777777" w:rsidR="00971914" w:rsidRDefault="00971914" w:rsidP="00971914"/>
      </w:tc>
    </w:tr>
  </w:tbl>
  <w:p w14:paraId="718331F0" w14:textId="77777777" w:rsidR="00971914" w:rsidRDefault="00971914"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2DEFAE36" w14:textId="77777777" w:rsidTr="009E58FA">
      <w:trPr>
        <w:trHeight w:hRule="exact" w:val="988"/>
      </w:trPr>
      <w:tc>
        <w:tcPr>
          <w:tcW w:w="7678" w:type="dxa"/>
          <w:shd w:val="clear" w:color="auto" w:fill="auto"/>
        </w:tcPr>
        <w:p w14:paraId="48317F5B" w14:textId="77777777" w:rsidR="00971914" w:rsidRDefault="00971914" w:rsidP="00971914">
          <w:pPr>
            <w:pStyle w:val="Header"/>
          </w:pPr>
        </w:p>
      </w:tc>
    </w:tr>
    <w:tr w:rsidR="00971914" w14:paraId="6128E793" w14:textId="77777777" w:rsidTr="009E58FA">
      <w:tc>
        <w:tcPr>
          <w:tcW w:w="7678" w:type="dxa"/>
          <w:shd w:val="clear" w:color="auto" w:fill="auto"/>
        </w:tcPr>
        <w:p w14:paraId="5EFB1386" w14:textId="77777777" w:rsidR="00971914" w:rsidRDefault="00971914" w:rsidP="00971914">
          <w:pPr>
            <w:pStyle w:val="GridTable31"/>
          </w:pPr>
          <w:r>
            <w:t xml:space="preserve">Contents </w:t>
          </w:r>
          <w:r w:rsidRPr="00915B1C">
            <w:rPr>
              <w:b w:val="0"/>
              <w:spacing w:val="0"/>
              <w:sz w:val="28"/>
              <w:szCs w:val="28"/>
            </w:rPr>
            <w:t>(Continued)</w:t>
          </w:r>
        </w:p>
      </w:tc>
    </w:tr>
    <w:tr w:rsidR="00971914" w14:paraId="7C0C12F2" w14:textId="77777777" w:rsidTr="009E58FA">
      <w:trPr>
        <w:trHeight w:val="1220"/>
      </w:trPr>
      <w:tc>
        <w:tcPr>
          <w:tcW w:w="7678" w:type="dxa"/>
          <w:shd w:val="clear" w:color="auto" w:fill="auto"/>
        </w:tcPr>
        <w:p w14:paraId="7948E1D1" w14:textId="77777777" w:rsidR="00971914" w:rsidRDefault="00971914" w:rsidP="00971914"/>
      </w:tc>
    </w:tr>
  </w:tbl>
  <w:p w14:paraId="763FD036" w14:textId="77777777" w:rsidR="00C053A1" w:rsidRPr="00A5474E" w:rsidRDefault="00C053A1"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933B" w14:textId="77777777" w:rsidR="005F274C" w:rsidRDefault="005F27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9521" w14:textId="77777777" w:rsidR="005F274C" w:rsidRDefault="005F274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93C0CEB6"/>
    <w:lvl w:ilvl="0">
      <w:start w:val="1"/>
      <w:numFmt w:val="decimal"/>
      <w:pStyle w:val="ListNumber"/>
      <w:lvlText w:val="%1."/>
      <w:lvlJc w:val="left"/>
      <w:pPr>
        <w:ind w:left="360" w:hanging="360"/>
      </w:pPr>
      <w:rPr>
        <w:rFonts w:hint="default"/>
        <w:b w:val="0"/>
        <w:bCs/>
        <w:caps/>
        <w:sz w:val="22"/>
        <w:szCs w:val="28"/>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0C240A1"/>
    <w:multiLevelType w:val="multilevel"/>
    <w:tmpl w:val="5B8C5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36876"/>
    <w:multiLevelType w:val="hybridMultilevel"/>
    <w:tmpl w:val="89F64BC2"/>
    <w:lvl w:ilvl="0" w:tplc="AFBA2140">
      <w:start w:val="1"/>
      <w:numFmt w:val="bullet"/>
      <w:lvlText w:val=""/>
      <w:lvlJc w:val="left"/>
      <w:pPr>
        <w:ind w:left="1440" w:hanging="360"/>
      </w:pPr>
      <w:rPr>
        <w:rFonts w:ascii="Symbol" w:hAnsi="Symbol"/>
      </w:rPr>
    </w:lvl>
    <w:lvl w:ilvl="1" w:tplc="F1807F2C">
      <w:start w:val="1"/>
      <w:numFmt w:val="bullet"/>
      <w:lvlText w:val=""/>
      <w:lvlJc w:val="left"/>
      <w:pPr>
        <w:ind w:left="1440" w:hanging="360"/>
      </w:pPr>
      <w:rPr>
        <w:rFonts w:ascii="Symbol" w:hAnsi="Symbol"/>
      </w:rPr>
    </w:lvl>
    <w:lvl w:ilvl="2" w:tplc="27FC4A5E">
      <w:start w:val="1"/>
      <w:numFmt w:val="bullet"/>
      <w:lvlText w:val=""/>
      <w:lvlJc w:val="left"/>
      <w:pPr>
        <w:ind w:left="1440" w:hanging="360"/>
      </w:pPr>
      <w:rPr>
        <w:rFonts w:ascii="Symbol" w:hAnsi="Symbol"/>
      </w:rPr>
    </w:lvl>
    <w:lvl w:ilvl="3" w:tplc="89F0445C">
      <w:start w:val="1"/>
      <w:numFmt w:val="bullet"/>
      <w:lvlText w:val=""/>
      <w:lvlJc w:val="left"/>
      <w:pPr>
        <w:ind w:left="1440" w:hanging="360"/>
      </w:pPr>
      <w:rPr>
        <w:rFonts w:ascii="Symbol" w:hAnsi="Symbol"/>
      </w:rPr>
    </w:lvl>
    <w:lvl w:ilvl="4" w:tplc="1250D23C">
      <w:start w:val="1"/>
      <w:numFmt w:val="bullet"/>
      <w:lvlText w:val=""/>
      <w:lvlJc w:val="left"/>
      <w:pPr>
        <w:ind w:left="1440" w:hanging="360"/>
      </w:pPr>
      <w:rPr>
        <w:rFonts w:ascii="Symbol" w:hAnsi="Symbol"/>
      </w:rPr>
    </w:lvl>
    <w:lvl w:ilvl="5" w:tplc="D52A69CA">
      <w:start w:val="1"/>
      <w:numFmt w:val="bullet"/>
      <w:lvlText w:val=""/>
      <w:lvlJc w:val="left"/>
      <w:pPr>
        <w:ind w:left="1440" w:hanging="360"/>
      </w:pPr>
      <w:rPr>
        <w:rFonts w:ascii="Symbol" w:hAnsi="Symbol"/>
      </w:rPr>
    </w:lvl>
    <w:lvl w:ilvl="6" w:tplc="C2E45486">
      <w:start w:val="1"/>
      <w:numFmt w:val="bullet"/>
      <w:lvlText w:val=""/>
      <w:lvlJc w:val="left"/>
      <w:pPr>
        <w:ind w:left="1440" w:hanging="360"/>
      </w:pPr>
      <w:rPr>
        <w:rFonts w:ascii="Symbol" w:hAnsi="Symbol"/>
      </w:rPr>
    </w:lvl>
    <w:lvl w:ilvl="7" w:tplc="FC5ACA88">
      <w:start w:val="1"/>
      <w:numFmt w:val="bullet"/>
      <w:lvlText w:val=""/>
      <w:lvlJc w:val="left"/>
      <w:pPr>
        <w:ind w:left="1440" w:hanging="360"/>
      </w:pPr>
      <w:rPr>
        <w:rFonts w:ascii="Symbol" w:hAnsi="Symbol"/>
      </w:rPr>
    </w:lvl>
    <w:lvl w:ilvl="8" w:tplc="6BB6BC60">
      <w:start w:val="1"/>
      <w:numFmt w:val="bullet"/>
      <w:lvlText w:val=""/>
      <w:lvlJc w:val="left"/>
      <w:pPr>
        <w:ind w:left="1440" w:hanging="360"/>
      </w:pPr>
      <w:rPr>
        <w:rFonts w:ascii="Symbol" w:hAnsi="Symbol"/>
      </w:rPr>
    </w:lvl>
  </w:abstractNum>
  <w:abstractNum w:abstractNumId="6" w15:restartNumberingAfterBreak="0">
    <w:nsid w:val="079B7CD3"/>
    <w:multiLevelType w:val="multilevel"/>
    <w:tmpl w:val="F894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3037F6"/>
    <w:multiLevelType w:val="hybridMultilevel"/>
    <w:tmpl w:val="2BA8443E"/>
    <w:lvl w:ilvl="0" w:tplc="87B24D68">
      <w:start w:val="1"/>
      <w:numFmt w:val="bullet"/>
      <w:lvlText w:val=""/>
      <w:lvlJc w:val="left"/>
      <w:pPr>
        <w:ind w:left="1420" w:hanging="360"/>
      </w:pPr>
      <w:rPr>
        <w:rFonts w:ascii="Symbol" w:hAnsi="Symbol"/>
      </w:rPr>
    </w:lvl>
    <w:lvl w:ilvl="1" w:tplc="0E00959E">
      <w:start w:val="1"/>
      <w:numFmt w:val="bullet"/>
      <w:lvlText w:val=""/>
      <w:lvlJc w:val="left"/>
      <w:pPr>
        <w:ind w:left="1420" w:hanging="360"/>
      </w:pPr>
      <w:rPr>
        <w:rFonts w:ascii="Symbol" w:hAnsi="Symbol"/>
      </w:rPr>
    </w:lvl>
    <w:lvl w:ilvl="2" w:tplc="5A56ED2A">
      <w:start w:val="1"/>
      <w:numFmt w:val="bullet"/>
      <w:lvlText w:val=""/>
      <w:lvlJc w:val="left"/>
      <w:pPr>
        <w:ind w:left="1420" w:hanging="360"/>
      </w:pPr>
      <w:rPr>
        <w:rFonts w:ascii="Symbol" w:hAnsi="Symbol"/>
      </w:rPr>
    </w:lvl>
    <w:lvl w:ilvl="3" w:tplc="27A092F0">
      <w:start w:val="1"/>
      <w:numFmt w:val="bullet"/>
      <w:lvlText w:val=""/>
      <w:lvlJc w:val="left"/>
      <w:pPr>
        <w:ind w:left="1420" w:hanging="360"/>
      </w:pPr>
      <w:rPr>
        <w:rFonts w:ascii="Symbol" w:hAnsi="Symbol"/>
      </w:rPr>
    </w:lvl>
    <w:lvl w:ilvl="4" w:tplc="9078E432">
      <w:start w:val="1"/>
      <w:numFmt w:val="bullet"/>
      <w:lvlText w:val=""/>
      <w:lvlJc w:val="left"/>
      <w:pPr>
        <w:ind w:left="1420" w:hanging="360"/>
      </w:pPr>
      <w:rPr>
        <w:rFonts w:ascii="Symbol" w:hAnsi="Symbol"/>
      </w:rPr>
    </w:lvl>
    <w:lvl w:ilvl="5" w:tplc="FE0EEAA8">
      <w:start w:val="1"/>
      <w:numFmt w:val="bullet"/>
      <w:lvlText w:val=""/>
      <w:lvlJc w:val="left"/>
      <w:pPr>
        <w:ind w:left="1420" w:hanging="360"/>
      </w:pPr>
      <w:rPr>
        <w:rFonts w:ascii="Symbol" w:hAnsi="Symbol"/>
      </w:rPr>
    </w:lvl>
    <w:lvl w:ilvl="6" w:tplc="B0A42EBA">
      <w:start w:val="1"/>
      <w:numFmt w:val="bullet"/>
      <w:lvlText w:val=""/>
      <w:lvlJc w:val="left"/>
      <w:pPr>
        <w:ind w:left="1420" w:hanging="360"/>
      </w:pPr>
      <w:rPr>
        <w:rFonts w:ascii="Symbol" w:hAnsi="Symbol"/>
      </w:rPr>
    </w:lvl>
    <w:lvl w:ilvl="7" w:tplc="04161B10">
      <w:start w:val="1"/>
      <w:numFmt w:val="bullet"/>
      <w:lvlText w:val=""/>
      <w:lvlJc w:val="left"/>
      <w:pPr>
        <w:ind w:left="1420" w:hanging="360"/>
      </w:pPr>
      <w:rPr>
        <w:rFonts w:ascii="Symbol" w:hAnsi="Symbol"/>
      </w:rPr>
    </w:lvl>
    <w:lvl w:ilvl="8" w:tplc="B72A5B4E">
      <w:start w:val="1"/>
      <w:numFmt w:val="bullet"/>
      <w:lvlText w:val=""/>
      <w:lvlJc w:val="left"/>
      <w:pPr>
        <w:ind w:left="1420" w:hanging="360"/>
      </w:pPr>
      <w:rPr>
        <w:rFonts w:ascii="Symbol" w:hAnsi="Symbol"/>
      </w:rPr>
    </w:lvl>
  </w:abstractNum>
  <w:abstractNum w:abstractNumId="9" w15:restartNumberingAfterBreak="0">
    <w:nsid w:val="0A212DC8"/>
    <w:multiLevelType w:val="hybridMultilevel"/>
    <w:tmpl w:val="FFFFFFFF"/>
    <w:lvl w:ilvl="0" w:tplc="F0685A18">
      <w:start w:val="1"/>
      <w:numFmt w:val="bullet"/>
      <w:lvlText w:val=""/>
      <w:lvlJc w:val="left"/>
      <w:pPr>
        <w:ind w:left="1725" w:hanging="360"/>
      </w:pPr>
      <w:rPr>
        <w:rFonts w:ascii="Symbol" w:hAnsi="Symbol" w:hint="default"/>
      </w:rPr>
    </w:lvl>
    <w:lvl w:ilvl="1" w:tplc="C9D20EF2">
      <w:start w:val="1"/>
      <w:numFmt w:val="bullet"/>
      <w:lvlText w:val="o"/>
      <w:lvlJc w:val="left"/>
      <w:pPr>
        <w:ind w:left="1440" w:hanging="360"/>
      </w:pPr>
      <w:rPr>
        <w:rFonts w:ascii="Courier New" w:hAnsi="Courier New" w:hint="default"/>
      </w:rPr>
    </w:lvl>
    <w:lvl w:ilvl="2" w:tplc="AB184914">
      <w:start w:val="1"/>
      <w:numFmt w:val="bullet"/>
      <w:lvlText w:val=""/>
      <w:lvlJc w:val="left"/>
      <w:pPr>
        <w:ind w:left="2160" w:hanging="360"/>
      </w:pPr>
      <w:rPr>
        <w:rFonts w:ascii="Wingdings" w:hAnsi="Wingdings" w:hint="default"/>
      </w:rPr>
    </w:lvl>
    <w:lvl w:ilvl="3" w:tplc="E18081F8">
      <w:start w:val="1"/>
      <w:numFmt w:val="bullet"/>
      <w:lvlText w:val=""/>
      <w:lvlJc w:val="left"/>
      <w:pPr>
        <w:ind w:left="2880" w:hanging="360"/>
      </w:pPr>
      <w:rPr>
        <w:rFonts w:ascii="Symbol" w:hAnsi="Symbol" w:hint="default"/>
      </w:rPr>
    </w:lvl>
    <w:lvl w:ilvl="4" w:tplc="84E02C88">
      <w:start w:val="1"/>
      <w:numFmt w:val="bullet"/>
      <w:lvlText w:val="o"/>
      <w:lvlJc w:val="left"/>
      <w:pPr>
        <w:ind w:left="3600" w:hanging="360"/>
      </w:pPr>
      <w:rPr>
        <w:rFonts w:ascii="Courier New" w:hAnsi="Courier New" w:hint="default"/>
      </w:rPr>
    </w:lvl>
    <w:lvl w:ilvl="5" w:tplc="BEAAFA08">
      <w:start w:val="1"/>
      <w:numFmt w:val="bullet"/>
      <w:lvlText w:val=""/>
      <w:lvlJc w:val="left"/>
      <w:pPr>
        <w:ind w:left="4320" w:hanging="360"/>
      </w:pPr>
      <w:rPr>
        <w:rFonts w:ascii="Wingdings" w:hAnsi="Wingdings" w:hint="default"/>
      </w:rPr>
    </w:lvl>
    <w:lvl w:ilvl="6" w:tplc="CF2670D6">
      <w:start w:val="1"/>
      <w:numFmt w:val="bullet"/>
      <w:lvlText w:val=""/>
      <w:lvlJc w:val="left"/>
      <w:pPr>
        <w:ind w:left="5040" w:hanging="360"/>
      </w:pPr>
      <w:rPr>
        <w:rFonts w:ascii="Symbol" w:hAnsi="Symbol" w:hint="default"/>
      </w:rPr>
    </w:lvl>
    <w:lvl w:ilvl="7" w:tplc="5FF0DA60">
      <w:start w:val="1"/>
      <w:numFmt w:val="bullet"/>
      <w:lvlText w:val="o"/>
      <w:lvlJc w:val="left"/>
      <w:pPr>
        <w:ind w:left="5760" w:hanging="360"/>
      </w:pPr>
      <w:rPr>
        <w:rFonts w:ascii="Courier New" w:hAnsi="Courier New" w:hint="default"/>
      </w:rPr>
    </w:lvl>
    <w:lvl w:ilvl="8" w:tplc="47FACD62">
      <w:start w:val="1"/>
      <w:numFmt w:val="bullet"/>
      <w:lvlText w:val=""/>
      <w:lvlJc w:val="left"/>
      <w:pPr>
        <w:ind w:left="6480" w:hanging="360"/>
      </w:pPr>
      <w:rPr>
        <w:rFonts w:ascii="Wingdings" w:hAnsi="Wingdings" w:hint="default"/>
      </w:rPr>
    </w:lvl>
  </w:abstractNum>
  <w:abstractNum w:abstractNumId="10" w15:restartNumberingAfterBreak="0">
    <w:nsid w:val="0C4B6DC0"/>
    <w:multiLevelType w:val="hybridMultilevel"/>
    <w:tmpl w:val="FFFFFFFF"/>
    <w:lvl w:ilvl="0" w:tplc="280E11B2">
      <w:start w:val="1"/>
      <w:numFmt w:val="bullet"/>
      <w:pStyle w:val="ACMABulletLevel1"/>
      <w:lvlText w:val=""/>
      <w:lvlJc w:val="left"/>
      <w:pPr>
        <w:ind w:left="1725" w:hanging="360"/>
      </w:pPr>
      <w:rPr>
        <w:rFonts w:ascii="Symbol" w:hAnsi="Symbol" w:hint="default"/>
      </w:rPr>
    </w:lvl>
    <w:lvl w:ilvl="1" w:tplc="4C68B61C">
      <w:start w:val="1"/>
      <w:numFmt w:val="bullet"/>
      <w:lvlText w:val="o"/>
      <w:lvlJc w:val="left"/>
      <w:pPr>
        <w:ind w:left="1440" w:hanging="360"/>
      </w:pPr>
      <w:rPr>
        <w:rFonts w:ascii="Courier New" w:hAnsi="Courier New" w:hint="default"/>
      </w:rPr>
    </w:lvl>
    <w:lvl w:ilvl="2" w:tplc="D702E34A">
      <w:start w:val="1"/>
      <w:numFmt w:val="bullet"/>
      <w:lvlText w:val=""/>
      <w:lvlJc w:val="left"/>
      <w:pPr>
        <w:ind w:left="2160" w:hanging="360"/>
      </w:pPr>
      <w:rPr>
        <w:rFonts w:ascii="Wingdings" w:hAnsi="Wingdings" w:hint="default"/>
      </w:rPr>
    </w:lvl>
    <w:lvl w:ilvl="3" w:tplc="4970D350">
      <w:start w:val="1"/>
      <w:numFmt w:val="bullet"/>
      <w:lvlText w:val=""/>
      <w:lvlJc w:val="left"/>
      <w:pPr>
        <w:ind w:left="2880" w:hanging="360"/>
      </w:pPr>
      <w:rPr>
        <w:rFonts w:ascii="Symbol" w:hAnsi="Symbol" w:hint="default"/>
      </w:rPr>
    </w:lvl>
    <w:lvl w:ilvl="4" w:tplc="30408B98">
      <w:start w:val="1"/>
      <w:numFmt w:val="bullet"/>
      <w:lvlText w:val="o"/>
      <w:lvlJc w:val="left"/>
      <w:pPr>
        <w:ind w:left="3600" w:hanging="360"/>
      </w:pPr>
      <w:rPr>
        <w:rFonts w:ascii="Courier New" w:hAnsi="Courier New" w:hint="default"/>
      </w:rPr>
    </w:lvl>
    <w:lvl w:ilvl="5" w:tplc="C7E8976A">
      <w:start w:val="1"/>
      <w:numFmt w:val="bullet"/>
      <w:lvlText w:val=""/>
      <w:lvlJc w:val="left"/>
      <w:pPr>
        <w:ind w:left="4320" w:hanging="360"/>
      </w:pPr>
      <w:rPr>
        <w:rFonts w:ascii="Wingdings" w:hAnsi="Wingdings" w:hint="default"/>
      </w:rPr>
    </w:lvl>
    <w:lvl w:ilvl="6" w:tplc="5E125CAA">
      <w:start w:val="1"/>
      <w:numFmt w:val="bullet"/>
      <w:lvlText w:val=""/>
      <w:lvlJc w:val="left"/>
      <w:pPr>
        <w:ind w:left="5040" w:hanging="360"/>
      </w:pPr>
      <w:rPr>
        <w:rFonts w:ascii="Symbol" w:hAnsi="Symbol" w:hint="default"/>
      </w:rPr>
    </w:lvl>
    <w:lvl w:ilvl="7" w:tplc="6FD237C6">
      <w:start w:val="1"/>
      <w:numFmt w:val="bullet"/>
      <w:lvlText w:val="o"/>
      <w:lvlJc w:val="left"/>
      <w:pPr>
        <w:ind w:left="5760" w:hanging="360"/>
      </w:pPr>
      <w:rPr>
        <w:rFonts w:ascii="Courier New" w:hAnsi="Courier New" w:hint="default"/>
      </w:rPr>
    </w:lvl>
    <w:lvl w:ilvl="8" w:tplc="EFA672C4">
      <w:start w:val="1"/>
      <w:numFmt w:val="bullet"/>
      <w:lvlText w:val=""/>
      <w:lvlJc w:val="left"/>
      <w:pPr>
        <w:ind w:left="6480" w:hanging="360"/>
      </w:pPr>
      <w:rPr>
        <w:rFonts w:ascii="Wingdings" w:hAnsi="Wingdings" w:hint="default"/>
      </w:rPr>
    </w:lvl>
  </w:abstractNum>
  <w:abstractNum w:abstractNumId="11" w15:restartNumberingAfterBreak="0">
    <w:nsid w:val="0C7B76FD"/>
    <w:multiLevelType w:val="multilevel"/>
    <w:tmpl w:val="55F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D62D08"/>
    <w:multiLevelType w:val="hybridMultilevel"/>
    <w:tmpl w:val="713CA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218F63"/>
    <w:multiLevelType w:val="hybridMultilevel"/>
    <w:tmpl w:val="FFFFFFFF"/>
    <w:lvl w:ilvl="0" w:tplc="3E50F77A">
      <w:start w:val="1"/>
      <w:numFmt w:val="decimal"/>
      <w:lvlText w:val="%1."/>
      <w:lvlJc w:val="left"/>
      <w:pPr>
        <w:ind w:left="360" w:hanging="360"/>
      </w:pPr>
    </w:lvl>
    <w:lvl w:ilvl="1" w:tplc="AFB8DB84">
      <w:start w:val="1"/>
      <w:numFmt w:val="lowerLetter"/>
      <w:lvlText w:val="%2."/>
      <w:lvlJc w:val="left"/>
      <w:pPr>
        <w:ind w:left="1440" w:hanging="360"/>
      </w:pPr>
    </w:lvl>
    <w:lvl w:ilvl="2" w:tplc="0792A838">
      <w:start w:val="1"/>
      <w:numFmt w:val="lowerRoman"/>
      <w:lvlText w:val="%3."/>
      <w:lvlJc w:val="right"/>
      <w:pPr>
        <w:ind w:left="2160" w:hanging="180"/>
      </w:pPr>
    </w:lvl>
    <w:lvl w:ilvl="3" w:tplc="F2764128">
      <w:start w:val="1"/>
      <w:numFmt w:val="decimal"/>
      <w:lvlText w:val="%4."/>
      <w:lvlJc w:val="left"/>
      <w:pPr>
        <w:ind w:left="2880" w:hanging="360"/>
      </w:pPr>
    </w:lvl>
    <w:lvl w:ilvl="4" w:tplc="F9E8FA32">
      <w:start w:val="1"/>
      <w:numFmt w:val="lowerLetter"/>
      <w:lvlText w:val="%5."/>
      <w:lvlJc w:val="left"/>
      <w:pPr>
        <w:ind w:left="3600" w:hanging="360"/>
      </w:pPr>
    </w:lvl>
    <w:lvl w:ilvl="5" w:tplc="0B50594C">
      <w:start w:val="1"/>
      <w:numFmt w:val="lowerRoman"/>
      <w:lvlText w:val="%6."/>
      <w:lvlJc w:val="right"/>
      <w:pPr>
        <w:ind w:left="4320" w:hanging="180"/>
      </w:pPr>
    </w:lvl>
    <w:lvl w:ilvl="6" w:tplc="17928030">
      <w:start w:val="1"/>
      <w:numFmt w:val="decimal"/>
      <w:lvlText w:val="%7."/>
      <w:lvlJc w:val="left"/>
      <w:pPr>
        <w:ind w:left="5040" w:hanging="360"/>
      </w:pPr>
    </w:lvl>
    <w:lvl w:ilvl="7" w:tplc="31ACE4DC">
      <w:start w:val="1"/>
      <w:numFmt w:val="lowerLetter"/>
      <w:lvlText w:val="%8."/>
      <w:lvlJc w:val="left"/>
      <w:pPr>
        <w:ind w:left="5760" w:hanging="360"/>
      </w:pPr>
    </w:lvl>
    <w:lvl w:ilvl="8" w:tplc="6DC826D0">
      <w:start w:val="1"/>
      <w:numFmt w:val="lowerRoman"/>
      <w:lvlText w:val="%9."/>
      <w:lvlJc w:val="right"/>
      <w:pPr>
        <w:ind w:left="6480" w:hanging="180"/>
      </w:pPr>
    </w:lvl>
  </w:abstractNum>
  <w:abstractNum w:abstractNumId="14" w15:restartNumberingAfterBreak="0">
    <w:nsid w:val="0FEF6441"/>
    <w:multiLevelType w:val="hybridMultilevel"/>
    <w:tmpl w:val="746CC18E"/>
    <w:lvl w:ilvl="0" w:tplc="4ADEA2CA">
      <w:start w:val="1"/>
      <w:numFmt w:val="bullet"/>
      <w:lvlText w:val=""/>
      <w:lvlJc w:val="left"/>
      <w:pPr>
        <w:ind w:left="1420" w:hanging="360"/>
      </w:pPr>
      <w:rPr>
        <w:rFonts w:ascii="Symbol" w:hAnsi="Symbol"/>
      </w:rPr>
    </w:lvl>
    <w:lvl w:ilvl="1" w:tplc="EE1E9276">
      <w:start w:val="1"/>
      <w:numFmt w:val="bullet"/>
      <w:lvlText w:val=""/>
      <w:lvlJc w:val="left"/>
      <w:pPr>
        <w:ind w:left="2160" w:hanging="360"/>
      </w:pPr>
      <w:rPr>
        <w:rFonts w:ascii="Symbol" w:hAnsi="Symbol"/>
      </w:rPr>
    </w:lvl>
    <w:lvl w:ilvl="2" w:tplc="719AB320">
      <w:start w:val="1"/>
      <w:numFmt w:val="bullet"/>
      <w:lvlText w:val=""/>
      <w:lvlJc w:val="left"/>
      <w:pPr>
        <w:ind w:left="1420" w:hanging="360"/>
      </w:pPr>
      <w:rPr>
        <w:rFonts w:ascii="Symbol" w:hAnsi="Symbol"/>
      </w:rPr>
    </w:lvl>
    <w:lvl w:ilvl="3" w:tplc="7DEC418C">
      <w:start w:val="1"/>
      <w:numFmt w:val="bullet"/>
      <w:lvlText w:val=""/>
      <w:lvlJc w:val="left"/>
      <w:pPr>
        <w:ind w:left="1420" w:hanging="360"/>
      </w:pPr>
      <w:rPr>
        <w:rFonts w:ascii="Symbol" w:hAnsi="Symbol"/>
      </w:rPr>
    </w:lvl>
    <w:lvl w:ilvl="4" w:tplc="F71A6148">
      <w:start w:val="1"/>
      <w:numFmt w:val="bullet"/>
      <w:lvlText w:val=""/>
      <w:lvlJc w:val="left"/>
      <w:pPr>
        <w:ind w:left="1420" w:hanging="360"/>
      </w:pPr>
      <w:rPr>
        <w:rFonts w:ascii="Symbol" w:hAnsi="Symbol"/>
      </w:rPr>
    </w:lvl>
    <w:lvl w:ilvl="5" w:tplc="9F1C8656">
      <w:start w:val="1"/>
      <w:numFmt w:val="bullet"/>
      <w:lvlText w:val=""/>
      <w:lvlJc w:val="left"/>
      <w:pPr>
        <w:ind w:left="1420" w:hanging="360"/>
      </w:pPr>
      <w:rPr>
        <w:rFonts w:ascii="Symbol" w:hAnsi="Symbol"/>
      </w:rPr>
    </w:lvl>
    <w:lvl w:ilvl="6" w:tplc="11FC686A">
      <w:start w:val="1"/>
      <w:numFmt w:val="bullet"/>
      <w:lvlText w:val=""/>
      <w:lvlJc w:val="left"/>
      <w:pPr>
        <w:ind w:left="1420" w:hanging="360"/>
      </w:pPr>
      <w:rPr>
        <w:rFonts w:ascii="Symbol" w:hAnsi="Symbol"/>
      </w:rPr>
    </w:lvl>
    <w:lvl w:ilvl="7" w:tplc="3E84CCAE">
      <w:start w:val="1"/>
      <w:numFmt w:val="bullet"/>
      <w:lvlText w:val=""/>
      <w:lvlJc w:val="left"/>
      <w:pPr>
        <w:ind w:left="1420" w:hanging="360"/>
      </w:pPr>
      <w:rPr>
        <w:rFonts w:ascii="Symbol" w:hAnsi="Symbol"/>
      </w:rPr>
    </w:lvl>
    <w:lvl w:ilvl="8" w:tplc="D98EDA80">
      <w:start w:val="1"/>
      <w:numFmt w:val="bullet"/>
      <w:lvlText w:val=""/>
      <w:lvlJc w:val="left"/>
      <w:pPr>
        <w:ind w:left="1420" w:hanging="360"/>
      </w:pPr>
      <w:rPr>
        <w:rFonts w:ascii="Symbol" w:hAnsi="Symbol"/>
      </w:rPr>
    </w:lvl>
  </w:abstractNum>
  <w:abstractNum w:abstractNumId="15" w15:restartNumberingAfterBreak="0">
    <w:nsid w:val="11AD521D"/>
    <w:multiLevelType w:val="hybridMultilevel"/>
    <w:tmpl w:val="B108FD84"/>
    <w:lvl w:ilvl="0" w:tplc="DD00C67E">
      <w:start w:val="1"/>
      <w:numFmt w:val="bullet"/>
      <w:pStyle w:val="Bulle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4B7B902"/>
    <w:multiLevelType w:val="hybridMultilevel"/>
    <w:tmpl w:val="FFFFFFFF"/>
    <w:lvl w:ilvl="0" w:tplc="8ADA4C28">
      <w:start w:val="3"/>
      <w:numFmt w:val="decimal"/>
      <w:lvlText w:val="%1."/>
      <w:lvlJc w:val="left"/>
      <w:pPr>
        <w:ind w:left="360" w:hanging="360"/>
      </w:pPr>
    </w:lvl>
    <w:lvl w:ilvl="1" w:tplc="2286DF56">
      <w:start w:val="1"/>
      <w:numFmt w:val="lowerLetter"/>
      <w:lvlText w:val="%2."/>
      <w:lvlJc w:val="left"/>
      <w:pPr>
        <w:ind w:left="1440" w:hanging="360"/>
      </w:pPr>
    </w:lvl>
    <w:lvl w:ilvl="2" w:tplc="758A96D2">
      <w:start w:val="1"/>
      <w:numFmt w:val="lowerRoman"/>
      <w:lvlText w:val="%3."/>
      <w:lvlJc w:val="right"/>
      <w:pPr>
        <w:ind w:left="2160" w:hanging="180"/>
      </w:pPr>
    </w:lvl>
    <w:lvl w:ilvl="3" w:tplc="90D021C8">
      <w:start w:val="1"/>
      <w:numFmt w:val="decimal"/>
      <w:lvlText w:val="%4."/>
      <w:lvlJc w:val="left"/>
      <w:pPr>
        <w:ind w:left="2880" w:hanging="360"/>
      </w:pPr>
    </w:lvl>
    <w:lvl w:ilvl="4" w:tplc="66F8CFC6">
      <w:start w:val="1"/>
      <w:numFmt w:val="lowerLetter"/>
      <w:lvlText w:val="%5."/>
      <w:lvlJc w:val="left"/>
      <w:pPr>
        <w:ind w:left="3600" w:hanging="360"/>
      </w:pPr>
    </w:lvl>
    <w:lvl w:ilvl="5" w:tplc="8620F3C8">
      <w:start w:val="1"/>
      <w:numFmt w:val="lowerRoman"/>
      <w:lvlText w:val="%6."/>
      <w:lvlJc w:val="right"/>
      <w:pPr>
        <w:ind w:left="4320" w:hanging="180"/>
      </w:pPr>
    </w:lvl>
    <w:lvl w:ilvl="6" w:tplc="F8103CF4">
      <w:start w:val="1"/>
      <w:numFmt w:val="decimal"/>
      <w:lvlText w:val="%7."/>
      <w:lvlJc w:val="left"/>
      <w:pPr>
        <w:ind w:left="5040" w:hanging="360"/>
      </w:pPr>
    </w:lvl>
    <w:lvl w:ilvl="7" w:tplc="BB56564A">
      <w:start w:val="1"/>
      <w:numFmt w:val="lowerLetter"/>
      <w:lvlText w:val="%8."/>
      <w:lvlJc w:val="left"/>
      <w:pPr>
        <w:ind w:left="5760" w:hanging="360"/>
      </w:pPr>
    </w:lvl>
    <w:lvl w:ilvl="8" w:tplc="DE6C8680">
      <w:start w:val="1"/>
      <w:numFmt w:val="lowerRoman"/>
      <w:lvlText w:val="%9."/>
      <w:lvlJc w:val="right"/>
      <w:pPr>
        <w:ind w:left="6480" w:hanging="180"/>
      </w:pPr>
    </w:lvl>
  </w:abstractNum>
  <w:abstractNum w:abstractNumId="17" w15:restartNumberingAfterBreak="0">
    <w:nsid w:val="1BB77B75"/>
    <w:multiLevelType w:val="hybridMultilevel"/>
    <w:tmpl w:val="5AAE54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006B03"/>
    <w:multiLevelType w:val="multilevel"/>
    <w:tmpl w:val="42A29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547280"/>
    <w:multiLevelType w:val="hybridMultilevel"/>
    <w:tmpl w:val="B4F0F066"/>
    <w:lvl w:ilvl="0" w:tplc="CBAC289C">
      <w:start w:val="1"/>
      <w:numFmt w:val="bullet"/>
      <w:lvlText w:val=""/>
      <w:lvlJc w:val="left"/>
      <w:pPr>
        <w:ind w:left="1420" w:hanging="360"/>
      </w:pPr>
      <w:rPr>
        <w:rFonts w:ascii="Symbol" w:hAnsi="Symbol"/>
      </w:rPr>
    </w:lvl>
    <w:lvl w:ilvl="1" w:tplc="3B9EA3E6">
      <w:start w:val="1"/>
      <w:numFmt w:val="bullet"/>
      <w:lvlText w:val=""/>
      <w:lvlJc w:val="left"/>
      <w:pPr>
        <w:ind w:left="2160" w:hanging="360"/>
      </w:pPr>
      <w:rPr>
        <w:rFonts w:ascii="Symbol" w:hAnsi="Symbol"/>
      </w:rPr>
    </w:lvl>
    <w:lvl w:ilvl="2" w:tplc="E146FDC8">
      <w:start w:val="1"/>
      <w:numFmt w:val="bullet"/>
      <w:lvlText w:val=""/>
      <w:lvlJc w:val="left"/>
      <w:pPr>
        <w:ind w:left="1420" w:hanging="360"/>
      </w:pPr>
      <w:rPr>
        <w:rFonts w:ascii="Symbol" w:hAnsi="Symbol"/>
      </w:rPr>
    </w:lvl>
    <w:lvl w:ilvl="3" w:tplc="713A48F4">
      <w:start w:val="1"/>
      <w:numFmt w:val="bullet"/>
      <w:lvlText w:val=""/>
      <w:lvlJc w:val="left"/>
      <w:pPr>
        <w:ind w:left="1420" w:hanging="360"/>
      </w:pPr>
      <w:rPr>
        <w:rFonts w:ascii="Symbol" w:hAnsi="Symbol"/>
      </w:rPr>
    </w:lvl>
    <w:lvl w:ilvl="4" w:tplc="1D5A6700">
      <w:start w:val="1"/>
      <w:numFmt w:val="bullet"/>
      <w:lvlText w:val=""/>
      <w:lvlJc w:val="left"/>
      <w:pPr>
        <w:ind w:left="1420" w:hanging="360"/>
      </w:pPr>
      <w:rPr>
        <w:rFonts w:ascii="Symbol" w:hAnsi="Symbol"/>
      </w:rPr>
    </w:lvl>
    <w:lvl w:ilvl="5" w:tplc="C5C23C16">
      <w:start w:val="1"/>
      <w:numFmt w:val="bullet"/>
      <w:lvlText w:val=""/>
      <w:lvlJc w:val="left"/>
      <w:pPr>
        <w:ind w:left="1420" w:hanging="360"/>
      </w:pPr>
      <w:rPr>
        <w:rFonts w:ascii="Symbol" w:hAnsi="Symbol"/>
      </w:rPr>
    </w:lvl>
    <w:lvl w:ilvl="6" w:tplc="934665D6">
      <w:start w:val="1"/>
      <w:numFmt w:val="bullet"/>
      <w:lvlText w:val=""/>
      <w:lvlJc w:val="left"/>
      <w:pPr>
        <w:ind w:left="1420" w:hanging="360"/>
      </w:pPr>
      <w:rPr>
        <w:rFonts w:ascii="Symbol" w:hAnsi="Symbol"/>
      </w:rPr>
    </w:lvl>
    <w:lvl w:ilvl="7" w:tplc="3A74F856">
      <w:start w:val="1"/>
      <w:numFmt w:val="bullet"/>
      <w:lvlText w:val=""/>
      <w:lvlJc w:val="left"/>
      <w:pPr>
        <w:ind w:left="1420" w:hanging="360"/>
      </w:pPr>
      <w:rPr>
        <w:rFonts w:ascii="Symbol" w:hAnsi="Symbol"/>
      </w:rPr>
    </w:lvl>
    <w:lvl w:ilvl="8" w:tplc="96CA3572">
      <w:start w:val="1"/>
      <w:numFmt w:val="bullet"/>
      <w:lvlText w:val=""/>
      <w:lvlJc w:val="left"/>
      <w:pPr>
        <w:ind w:left="1420" w:hanging="360"/>
      </w:pPr>
      <w:rPr>
        <w:rFonts w:ascii="Symbol" w:hAnsi="Symbol"/>
      </w:rPr>
    </w:lvl>
  </w:abstractNum>
  <w:abstractNum w:abstractNumId="20" w15:restartNumberingAfterBreak="0">
    <w:nsid w:val="1D1F7731"/>
    <w:multiLevelType w:val="hybridMultilevel"/>
    <w:tmpl w:val="D168FDEC"/>
    <w:lvl w:ilvl="0" w:tplc="4206511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C93540"/>
    <w:multiLevelType w:val="multilevel"/>
    <w:tmpl w:val="17E2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017DB9"/>
    <w:multiLevelType w:val="hybridMultilevel"/>
    <w:tmpl w:val="514C2DFA"/>
    <w:lvl w:ilvl="0" w:tplc="7BA4BFD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276C0AFC"/>
    <w:multiLevelType w:val="multilevel"/>
    <w:tmpl w:val="093A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772655"/>
    <w:multiLevelType w:val="hybridMultilevel"/>
    <w:tmpl w:val="FFFFFFFF"/>
    <w:lvl w:ilvl="0" w:tplc="E960A124">
      <w:start w:val="1"/>
      <w:numFmt w:val="bullet"/>
      <w:lvlText w:val=""/>
      <w:lvlJc w:val="left"/>
      <w:pPr>
        <w:ind w:left="360" w:hanging="360"/>
      </w:pPr>
      <w:rPr>
        <w:rFonts w:ascii="Symbol" w:hAnsi="Symbol" w:hint="default"/>
      </w:rPr>
    </w:lvl>
    <w:lvl w:ilvl="1" w:tplc="68446892">
      <w:start w:val="1"/>
      <w:numFmt w:val="bullet"/>
      <w:lvlText w:val="o"/>
      <w:lvlJc w:val="left"/>
      <w:pPr>
        <w:ind w:left="1440" w:hanging="360"/>
      </w:pPr>
      <w:rPr>
        <w:rFonts w:ascii="Courier New" w:hAnsi="Courier New" w:hint="default"/>
      </w:rPr>
    </w:lvl>
    <w:lvl w:ilvl="2" w:tplc="0FE2B7AE">
      <w:start w:val="1"/>
      <w:numFmt w:val="bullet"/>
      <w:lvlText w:val=""/>
      <w:lvlJc w:val="left"/>
      <w:pPr>
        <w:ind w:left="2160" w:hanging="360"/>
      </w:pPr>
      <w:rPr>
        <w:rFonts w:ascii="Wingdings" w:hAnsi="Wingdings" w:hint="default"/>
      </w:rPr>
    </w:lvl>
    <w:lvl w:ilvl="3" w:tplc="2716D0C2">
      <w:start w:val="1"/>
      <w:numFmt w:val="bullet"/>
      <w:lvlText w:val=""/>
      <w:lvlJc w:val="left"/>
      <w:pPr>
        <w:ind w:left="2880" w:hanging="360"/>
      </w:pPr>
      <w:rPr>
        <w:rFonts w:ascii="Symbol" w:hAnsi="Symbol" w:hint="default"/>
      </w:rPr>
    </w:lvl>
    <w:lvl w:ilvl="4" w:tplc="29445F4C">
      <w:start w:val="1"/>
      <w:numFmt w:val="bullet"/>
      <w:lvlText w:val="o"/>
      <w:lvlJc w:val="left"/>
      <w:pPr>
        <w:ind w:left="3600" w:hanging="360"/>
      </w:pPr>
      <w:rPr>
        <w:rFonts w:ascii="Courier New" w:hAnsi="Courier New" w:hint="default"/>
      </w:rPr>
    </w:lvl>
    <w:lvl w:ilvl="5" w:tplc="5D82D438">
      <w:start w:val="1"/>
      <w:numFmt w:val="bullet"/>
      <w:lvlText w:val=""/>
      <w:lvlJc w:val="left"/>
      <w:pPr>
        <w:ind w:left="4320" w:hanging="360"/>
      </w:pPr>
      <w:rPr>
        <w:rFonts w:ascii="Wingdings" w:hAnsi="Wingdings" w:hint="default"/>
      </w:rPr>
    </w:lvl>
    <w:lvl w:ilvl="6" w:tplc="1FC06746">
      <w:start w:val="1"/>
      <w:numFmt w:val="bullet"/>
      <w:lvlText w:val=""/>
      <w:lvlJc w:val="left"/>
      <w:pPr>
        <w:ind w:left="5040" w:hanging="360"/>
      </w:pPr>
      <w:rPr>
        <w:rFonts w:ascii="Symbol" w:hAnsi="Symbol" w:hint="default"/>
      </w:rPr>
    </w:lvl>
    <w:lvl w:ilvl="7" w:tplc="6BA27EC0">
      <w:start w:val="1"/>
      <w:numFmt w:val="bullet"/>
      <w:lvlText w:val="o"/>
      <w:lvlJc w:val="left"/>
      <w:pPr>
        <w:ind w:left="5760" w:hanging="360"/>
      </w:pPr>
      <w:rPr>
        <w:rFonts w:ascii="Courier New" w:hAnsi="Courier New" w:hint="default"/>
      </w:rPr>
    </w:lvl>
    <w:lvl w:ilvl="8" w:tplc="0D34039C">
      <w:start w:val="1"/>
      <w:numFmt w:val="bullet"/>
      <w:lvlText w:val=""/>
      <w:lvlJc w:val="left"/>
      <w:pPr>
        <w:ind w:left="6480" w:hanging="360"/>
      </w:pPr>
      <w:rPr>
        <w:rFonts w:ascii="Wingdings" w:hAnsi="Wingdings" w:hint="default"/>
      </w:rPr>
    </w:lvl>
  </w:abstractNum>
  <w:abstractNum w:abstractNumId="25" w15:restartNumberingAfterBreak="0">
    <w:nsid w:val="2AA81D7F"/>
    <w:multiLevelType w:val="multilevel"/>
    <w:tmpl w:val="850E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31F822A8"/>
    <w:multiLevelType w:val="multilevel"/>
    <w:tmpl w:val="610A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03CA88"/>
    <w:multiLevelType w:val="hybridMultilevel"/>
    <w:tmpl w:val="FFFFFFFF"/>
    <w:lvl w:ilvl="0" w:tplc="F886B176">
      <w:start w:val="1"/>
      <w:numFmt w:val="bullet"/>
      <w:lvlText w:val=""/>
      <w:lvlJc w:val="left"/>
      <w:pPr>
        <w:ind w:left="360" w:hanging="360"/>
      </w:pPr>
      <w:rPr>
        <w:rFonts w:ascii="Symbol" w:hAnsi="Symbol" w:hint="default"/>
      </w:rPr>
    </w:lvl>
    <w:lvl w:ilvl="1" w:tplc="8FC06246">
      <w:start w:val="1"/>
      <w:numFmt w:val="bullet"/>
      <w:lvlText w:val="o"/>
      <w:lvlJc w:val="left"/>
      <w:pPr>
        <w:ind w:left="1440" w:hanging="360"/>
      </w:pPr>
      <w:rPr>
        <w:rFonts w:ascii="Courier New" w:hAnsi="Courier New" w:hint="default"/>
      </w:rPr>
    </w:lvl>
    <w:lvl w:ilvl="2" w:tplc="A72CE1EA">
      <w:start w:val="1"/>
      <w:numFmt w:val="bullet"/>
      <w:lvlText w:val=""/>
      <w:lvlJc w:val="left"/>
      <w:pPr>
        <w:ind w:left="2160" w:hanging="360"/>
      </w:pPr>
      <w:rPr>
        <w:rFonts w:ascii="Wingdings" w:hAnsi="Wingdings" w:hint="default"/>
      </w:rPr>
    </w:lvl>
    <w:lvl w:ilvl="3" w:tplc="4BCA04EA">
      <w:start w:val="1"/>
      <w:numFmt w:val="bullet"/>
      <w:lvlText w:val=""/>
      <w:lvlJc w:val="left"/>
      <w:pPr>
        <w:ind w:left="2880" w:hanging="360"/>
      </w:pPr>
      <w:rPr>
        <w:rFonts w:ascii="Symbol" w:hAnsi="Symbol" w:hint="default"/>
      </w:rPr>
    </w:lvl>
    <w:lvl w:ilvl="4" w:tplc="DC3A37B4">
      <w:start w:val="1"/>
      <w:numFmt w:val="bullet"/>
      <w:lvlText w:val="o"/>
      <w:lvlJc w:val="left"/>
      <w:pPr>
        <w:ind w:left="3600" w:hanging="360"/>
      </w:pPr>
      <w:rPr>
        <w:rFonts w:ascii="Courier New" w:hAnsi="Courier New" w:hint="default"/>
      </w:rPr>
    </w:lvl>
    <w:lvl w:ilvl="5" w:tplc="4F7CA57C">
      <w:start w:val="1"/>
      <w:numFmt w:val="bullet"/>
      <w:lvlText w:val=""/>
      <w:lvlJc w:val="left"/>
      <w:pPr>
        <w:ind w:left="4320" w:hanging="360"/>
      </w:pPr>
      <w:rPr>
        <w:rFonts w:ascii="Wingdings" w:hAnsi="Wingdings" w:hint="default"/>
      </w:rPr>
    </w:lvl>
    <w:lvl w:ilvl="6" w:tplc="139CC194">
      <w:start w:val="1"/>
      <w:numFmt w:val="bullet"/>
      <w:lvlText w:val=""/>
      <w:lvlJc w:val="left"/>
      <w:pPr>
        <w:ind w:left="5040" w:hanging="360"/>
      </w:pPr>
      <w:rPr>
        <w:rFonts w:ascii="Symbol" w:hAnsi="Symbol" w:hint="default"/>
      </w:rPr>
    </w:lvl>
    <w:lvl w:ilvl="7" w:tplc="E61ECCD6">
      <w:start w:val="1"/>
      <w:numFmt w:val="bullet"/>
      <w:lvlText w:val="o"/>
      <w:lvlJc w:val="left"/>
      <w:pPr>
        <w:ind w:left="5760" w:hanging="360"/>
      </w:pPr>
      <w:rPr>
        <w:rFonts w:ascii="Courier New" w:hAnsi="Courier New" w:hint="default"/>
      </w:rPr>
    </w:lvl>
    <w:lvl w:ilvl="8" w:tplc="B936D5C4">
      <w:start w:val="1"/>
      <w:numFmt w:val="bullet"/>
      <w:lvlText w:val=""/>
      <w:lvlJc w:val="left"/>
      <w:pPr>
        <w:ind w:left="6480" w:hanging="360"/>
      </w:pPr>
      <w:rPr>
        <w:rFonts w:ascii="Wingdings" w:hAnsi="Wingdings" w:hint="default"/>
      </w:rPr>
    </w:lvl>
  </w:abstractNum>
  <w:abstractNum w:abstractNumId="29" w15:restartNumberingAfterBreak="0">
    <w:nsid w:val="3435097D"/>
    <w:multiLevelType w:val="hybridMultilevel"/>
    <w:tmpl w:val="7326FCDC"/>
    <w:lvl w:ilvl="0" w:tplc="8DFEE398">
      <w:start w:val="1"/>
      <w:numFmt w:val="bullet"/>
      <w:pStyle w:val="Bulletlevel2las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35997C05"/>
    <w:multiLevelType w:val="multilevel"/>
    <w:tmpl w:val="581A6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6161A2"/>
    <w:multiLevelType w:val="multilevel"/>
    <w:tmpl w:val="91DE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864C23"/>
    <w:multiLevelType w:val="hybridMultilevel"/>
    <w:tmpl w:val="498022CA"/>
    <w:lvl w:ilvl="0" w:tplc="FFFFFFFF">
      <w:start w:val="1"/>
      <w:numFmt w:val="bullet"/>
      <w:lvlText w:val=""/>
      <w:lvlJc w:val="left"/>
      <w:pPr>
        <w:ind w:left="720" w:hanging="360"/>
      </w:pPr>
      <w:rPr>
        <w:rFonts w:ascii="Symbol" w:hAnsi="Symbol" w:hint="default"/>
      </w:rPr>
    </w:lvl>
    <w:lvl w:ilvl="1" w:tplc="42065114">
      <w:numFmt w:val="bullet"/>
      <w:lvlText w:val=""/>
      <w:lvlJc w:val="left"/>
      <w:pPr>
        <w:ind w:left="1440" w:hanging="360"/>
      </w:pPr>
      <w:rPr>
        <w:rFonts w:ascii="Symbol" w:eastAsia="Times New Roman" w:hAnsi="Symbol"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3AD3B8A0"/>
    <w:multiLevelType w:val="hybridMultilevel"/>
    <w:tmpl w:val="FFFFFFFF"/>
    <w:lvl w:ilvl="0" w:tplc="CAB2C26E">
      <w:start w:val="1"/>
      <w:numFmt w:val="bullet"/>
      <w:lvlText w:val=""/>
      <w:lvlJc w:val="left"/>
      <w:pPr>
        <w:ind w:left="717" w:hanging="360"/>
      </w:pPr>
      <w:rPr>
        <w:rFonts w:ascii="Symbol" w:hAnsi="Symbol" w:hint="default"/>
      </w:rPr>
    </w:lvl>
    <w:lvl w:ilvl="1" w:tplc="941A1A10">
      <w:start w:val="1"/>
      <w:numFmt w:val="bullet"/>
      <w:lvlText w:val="o"/>
      <w:lvlJc w:val="left"/>
      <w:pPr>
        <w:ind w:left="1440" w:hanging="360"/>
      </w:pPr>
      <w:rPr>
        <w:rFonts w:ascii="Courier New" w:hAnsi="Courier New" w:hint="default"/>
      </w:rPr>
    </w:lvl>
    <w:lvl w:ilvl="2" w:tplc="31BA2DA4">
      <w:start w:val="1"/>
      <w:numFmt w:val="bullet"/>
      <w:lvlText w:val=""/>
      <w:lvlJc w:val="left"/>
      <w:pPr>
        <w:ind w:left="2160" w:hanging="360"/>
      </w:pPr>
      <w:rPr>
        <w:rFonts w:ascii="Wingdings" w:hAnsi="Wingdings" w:hint="default"/>
      </w:rPr>
    </w:lvl>
    <w:lvl w:ilvl="3" w:tplc="6C9E6658">
      <w:start w:val="1"/>
      <w:numFmt w:val="bullet"/>
      <w:lvlText w:val=""/>
      <w:lvlJc w:val="left"/>
      <w:pPr>
        <w:ind w:left="2880" w:hanging="360"/>
      </w:pPr>
      <w:rPr>
        <w:rFonts w:ascii="Symbol" w:hAnsi="Symbol" w:hint="default"/>
      </w:rPr>
    </w:lvl>
    <w:lvl w:ilvl="4" w:tplc="BCE894EC">
      <w:start w:val="1"/>
      <w:numFmt w:val="bullet"/>
      <w:lvlText w:val="o"/>
      <w:lvlJc w:val="left"/>
      <w:pPr>
        <w:ind w:left="3600" w:hanging="360"/>
      </w:pPr>
      <w:rPr>
        <w:rFonts w:ascii="Courier New" w:hAnsi="Courier New" w:hint="default"/>
      </w:rPr>
    </w:lvl>
    <w:lvl w:ilvl="5" w:tplc="9C3E678C">
      <w:start w:val="1"/>
      <w:numFmt w:val="bullet"/>
      <w:lvlText w:val=""/>
      <w:lvlJc w:val="left"/>
      <w:pPr>
        <w:ind w:left="4320" w:hanging="360"/>
      </w:pPr>
      <w:rPr>
        <w:rFonts w:ascii="Wingdings" w:hAnsi="Wingdings" w:hint="default"/>
      </w:rPr>
    </w:lvl>
    <w:lvl w:ilvl="6" w:tplc="D35E7C2A">
      <w:start w:val="1"/>
      <w:numFmt w:val="bullet"/>
      <w:lvlText w:val=""/>
      <w:lvlJc w:val="left"/>
      <w:pPr>
        <w:ind w:left="5040" w:hanging="360"/>
      </w:pPr>
      <w:rPr>
        <w:rFonts w:ascii="Symbol" w:hAnsi="Symbol" w:hint="default"/>
      </w:rPr>
    </w:lvl>
    <w:lvl w:ilvl="7" w:tplc="C8BE971C">
      <w:start w:val="1"/>
      <w:numFmt w:val="bullet"/>
      <w:lvlText w:val="o"/>
      <w:lvlJc w:val="left"/>
      <w:pPr>
        <w:ind w:left="5760" w:hanging="360"/>
      </w:pPr>
      <w:rPr>
        <w:rFonts w:ascii="Courier New" w:hAnsi="Courier New" w:hint="default"/>
      </w:rPr>
    </w:lvl>
    <w:lvl w:ilvl="8" w:tplc="73D65B14">
      <w:start w:val="1"/>
      <w:numFmt w:val="bullet"/>
      <w:lvlText w:val=""/>
      <w:lvlJc w:val="left"/>
      <w:pPr>
        <w:ind w:left="6480" w:hanging="360"/>
      </w:pPr>
      <w:rPr>
        <w:rFonts w:ascii="Wingdings" w:hAnsi="Wingdings" w:hint="default"/>
      </w:rPr>
    </w:lvl>
  </w:abstractNum>
  <w:abstractNum w:abstractNumId="34" w15:restartNumberingAfterBreak="0">
    <w:nsid w:val="3AFB0197"/>
    <w:multiLevelType w:val="hybridMultilevel"/>
    <w:tmpl w:val="EAB6E78E"/>
    <w:lvl w:ilvl="0" w:tplc="FC2836C0">
      <w:start w:val="1"/>
      <w:numFmt w:val="bullet"/>
      <w:lvlText w:val=""/>
      <w:lvlJc w:val="left"/>
      <w:pPr>
        <w:ind w:left="1420" w:hanging="360"/>
      </w:pPr>
      <w:rPr>
        <w:rFonts w:ascii="Symbol" w:hAnsi="Symbol"/>
      </w:rPr>
    </w:lvl>
    <w:lvl w:ilvl="1" w:tplc="C3B4475C">
      <w:start w:val="1"/>
      <w:numFmt w:val="bullet"/>
      <w:lvlText w:val=""/>
      <w:lvlJc w:val="left"/>
      <w:pPr>
        <w:ind w:left="2160" w:hanging="360"/>
      </w:pPr>
      <w:rPr>
        <w:rFonts w:ascii="Symbol" w:hAnsi="Symbol"/>
      </w:rPr>
    </w:lvl>
    <w:lvl w:ilvl="2" w:tplc="390CCF1C">
      <w:start w:val="1"/>
      <w:numFmt w:val="bullet"/>
      <w:lvlText w:val=""/>
      <w:lvlJc w:val="left"/>
      <w:pPr>
        <w:ind w:left="1420" w:hanging="360"/>
      </w:pPr>
      <w:rPr>
        <w:rFonts w:ascii="Symbol" w:hAnsi="Symbol"/>
      </w:rPr>
    </w:lvl>
    <w:lvl w:ilvl="3" w:tplc="19CC2E0E">
      <w:start w:val="1"/>
      <w:numFmt w:val="bullet"/>
      <w:lvlText w:val=""/>
      <w:lvlJc w:val="left"/>
      <w:pPr>
        <w:ind w:left="1420" w:hanging="360"/>
      </w:pPr>
      <w:rPr>
        <w:rFonts w:ascii="Symbol" w:hAnsi="Symbol"/>
      </w:rPr>
    </w:lvl>
    <w:lvl w:ilvl="4" w:tplc="1C3682F4">
      <w:start w:val="1"/>
      <w:numFmt w:val="bullet"/>
      <w:lvlText w:val=""/>
      <w:lvlJc w:val="left"/>
      <w:pPr>
        <w:ind w:left="1420" w:hanging="360"/>
      </w:pPr>
      <w:rPr>
        <w:rFonts w:ascii="Symbol" w:hAnsi="Symbol"/>
      </w:rPr>
    </w:lvl>
    <w:lvl w:ilvl="5" w:tplc="325EAF66">
      <w:start w:val="1"/>
      <w:numFmt w:val="bullet"/>
      <w:lvlText w:val=""/>
      <w:lvlJc w:val="left"/>
      <w:pPr>
        <w:ind w:left="1420" w:hanging="360"/>
      </w:pPr>
      <w:rPr>
        <w:rFonts w:ascii="Symbol" w:hAnsi="Symbol"/>
      </w:rPr>
    </w:lvl>
    <w:lvl w:ilvl="6" w:tplc="7644847C">
      <w:start w:val="1"/>
      <w:numFmt w:val="bullet"/>
      <w:lvlText w:val=""/>
      <w:lvlJc w:val="left"/>
      <w:pPr>
        <w:ind w:left="1420" w:hanging="360"/>
      </w:pPr>
      <w:rPr>
        <w:rFonts w:ascii="Symbol" w:hAnsi="Symbol"/>
      </w:rPr>
    </w:lvl>
    <w:lvl w:ilvl="7" w:tplc="E78681DC">
      <w:start w:val="1"/>
      <w:numFmt w:val="bullet"/>
      <w:lvlText w:val=""/>
      <w:lvlJc w:val="left"/>
      <w:pPr>
        <w:ind w:left="1420" w:hanging="360"/>
      </w:pPr>
      <w:rPr>
        <w:rFonts w:ascii="Symbol" w:hAnsi="Symbol"/>
      </w:rPr>
    </w:lvl>
    <w:lvl w:ilvl="8" w:tplc="547C8FDA">
      <w:start w:val="1"/>
      <w:numFmt w:val="bullet"/>
      <w:lvlText w:val=""/>
      <w:lvlJc w:val="left"/>
      <w:pPr>
        <w:ind w:left="1420" w:hanging="360"/>
      </w:pPr>
      <w:rPr>
        <w:rFonts w:ascii="Symbol" w:hAnsi="Symbol"/>
      </w:rPr>
    </w:lvl>
  </w:abstractNum>
  <w:abstractNum w:abstractNumId="35" w15:restartNumberingAfterBreak="0">
    <w:nsid w:val="3DC97A79"/>
    <w:multiLevelType w:val="hybridMultilevel"/>
    <w:tmpl w:val="EA50B20C"/>
    <w:lvl w:ilvl="0" w:tplc="3F062FD2">
      <w:start w:val="1"/>
      <w:numFmt w:val="bullet"/>
      <w:lvlText w:val=""/>
      <w:lvlJc w:val="left"/>
      <w:pPr>
        <w:ind w:left="1420" w:hanging="360"/>
      </w:pPr>
      <w:rPr>
        <w:rFonts w:ascii="Symbol" w:hAnsi="Symbol"/>
      </w:rPr>
    </w:lvl>
    <w:lvl w:ilvl="1" w:tplc="223E2B76">
      <w:start w:val="1"/>
      <w:numFmt w:val="bullet"/>
      <w:lvlText w:val=""/>
      <w:lvlJc w:val="left"/>
      <w:pPr>
        <w:ind w:left="2160" w:hanging="360"/>
      </w:pPr>
      <w:rPr>
        <w:rFonts w:ascii="Symbol" w:hAnsi="Symbol"/>
      </w:rPr>
    </w:lvl>
    <w:lvl w:ilvl="2" w:tplc="B02C373E">
      <w:start w:val="1"/>
      <w:numFmt w:val="bullet"/>
      <w:lvlText w:val=""/>
      <w:lvlJc w:val="left"/>
      <w:pPr>
        <w:ind w:left="1420" w:hanging="360"/>
      </w:pPr>
      <w:rPr>
        <w:rFonts w:ascii="Symbol" w:hAnsi="Symbol"/>
      </w:rPr>
    </w:lvl>
    <w:lvl w:ilvl="3" w:tplc="927E50E8">
      <w:start w:val="1"/>
      <w:numFmt w:val="bullet"/>
      <w:lvlText w:val=""/>
      <w:lvlJc w:val="left"/>
      <w:pPr>
        <w:ind w:left="1420" w:hanging="360"/>
      </w:pPr>
      <w:rPr>
        <w:rFonts w:ascii="Symbol" w:hAnsi="Symbol"/>
      </w:rPr>
    </w:lvl>
    <w:lvl w:ilvl="4" w:tplc="2C42319E">
      <w:start w:val="1"/>
      <w:numFmt w:val="bullet"/>
      <w:lvlText w:val=""/>
      <w:lvlJc w:val="left"/>
      <w:pPr>
        <w:ind w:left="1420" w:hanging="360"/>
      </w:pPr>
      <w:rPr>
        <w:rFonts w:ascii="Symbol" w:hAnsi="Symbol"/>
      </w:rPr>
    </w:lvl>
    <w:lvl w:ilvl="5" w:tplc="E6665B2A">
      <w:start w:val="1"/>
      <w:numFmt w:val="bullet"/>
      <w:lvlText w:val=""/>
      <w:lvlJc w:val="left"/>
      <w:pPr>
        <w:ind w:left="1420" w:hanging="360"/>
      </w:pPr>
      <w:rPr>
        <w:rFonts w:ascii="Symbol" w:hAnsi="Symbol"/>
      </w:rPr>
    </w:lvl>
    <w:lvl w:ilvl="6" w:tplc="BDB8C0EA">
      <w:start w:val="1"/>
      <w:numFmt w:val="bullet"/>
      <w:lvlText w:val=""/>
      <w:lvlJc w:val="left"/>
      <w:pPr>
        <w:ind w:left="1420" w:hanging="360"/>
      </w:pPr>
      <w:rPr>
        <w:rFonts w:ascii="Symbol" w:hAnsi="Symbol"/>
      </w:rPr>
    </w:lvl>
    <w:lvl w:ilvl="7" w:tplc="8A1A84EC">
      <w:start w:val="1"/>
      <w:numFmt w:val="bullet"/>
      <w:lvlText w:val=""/>
      <w:lvlJc w:val="left"/>
      <w:pPr>
        <w:ind w:left="1420" w:hanging="360"/>
      </w:pPr>
      <w:rPr>
        <w:rFonts w:ascii="Symbol" w:hAnsi="Symbol"/>
      </w:rPr>
    </w:lvl>
    <w:lvl w:ilvl="8" w:tplc="D410191C">
      <w:start w:val="1"/>
      <w:numFmt w:val="bullet"/>
      <w:lvlText w:val=""/>
      <w:lvlJc w:val="left"/>
      <w:pPr>
        <w:ind w:left="1420" w:hanging="360"/>
      </w:pPr>
      <w:rPr>
        <w:rFonts w:ascii="Symbol" w:hAnsi="Symbol"/>
      </w:rPr>
    </w:lvl>
  </w:abstractNum>
  <w:abstractNum w:abstractNumId="36" w15:restartNumberingAfterBreak="0">
    <w:nsid w:val="3E7E15AB"/>
    <w:multiLevelType w:val="hybridMultilevel"/>
    <w:tmpl w:val="FFFFFFFF"/>
    <w:lvl w:ilvl="0" w:tplc="A5AE8E7C">
      <w:start w:val="1"/>
      <w:numFmt w:val="bullet"/>
      <w:lvlText w:val=""/>
      <w:lvlJc w:val="left"/>
      <w:pPr>
        <w:ind w:left="717" w:hanging="360"/>
      </w:pPr>
      <w:rPr>
        <w:rFonts w:ascii="Symbol" w:hAnsi="Symbol" w:hint="default"/>
      </w:rPr>
    </w:lvl>
    <w:lvl w:ilvl="1" w:tplc="8E3AAB36">
      <w:start w:val="1"/>
      <w:numFmt w:val="bullet"/>
      <w:lvlText w:val="o"/>
      <w:lvlJc w:val="left"/>
      <w:pPr>
        <w:ind w:left="1440" w:hanging="360"/>
      </w:pPr>
      <w:rPr>
        <w:rFonts w:ascii="Courier New" w:hAnsi="Courier New" w:hint="default"/>
      </w:rPr>
    </w:lvl>
    <w:lvl w:ilvl="2" w:tplc="E63E6BBA">
      <w:start w:val="1"/>
      <w:numFmt w:val="bullet"/>
      <w:lvlText w:val=""/>
      <w:lvlJc w:val="left"/>
      <w:pPr>
        <w:ind w:left="2160" w:hanging="360"/>
      </w:pPr>
      <w:rPr>
        <w:rFonts w:ascii="Wingdings" w:hAnsi="Wingdings" w:hint="default"/>
      </w:rPr>
    </w:lvl>
    <w:lvl w:ilvl="3" w:tplc="60F04FBC">
      <w:start w:val="1"/>
      <w:numFmt w:val="bullet"/>
      <w:lvlText w:val=""/>
      <w:lvlJc w:val="left"/>
      <w:pPr>
        <w:ind w:left="2880" w:hanging="360"/>
      </w:pPr>
      <w:rPr>
        <w:rFonts w:ascii="Symbol" w:hAnsi="Symbol" w:hint="default"/>
      </w:rPr>
    </w:lvl>
    <w:lvl w:ilvl="4" w:tplc="50DA2F74">
      <w:start w:val="1"/>
      <w:numFmt w:val="bullet"/>
      <w:lvlText w:val="o"/>
      <w:lvlJc w:val="left"/>
      <w:pPr>
        <w:ind w:left="3600" w:hanging="360"/>
      </w:pPr>
      <w:rPr>
        <w:rFonts w:ascii="Courier New" w:hAnsi="Courier New" w:hint="default"/>
      </w:rPr>
    </w:lvl>
    <w:lvl w:ilvl="5" w:tplc="DC5A0776">
      <w:start w:val="1"/>
      <w:numFmt w:val="bullet"/>
      <w:lvlText w:val=""/>
      <w:lvlJc w:val="left"/>
      <w:pPr>
        <w:ind w:left="4320" w:hanging="360"/>
      </w:pPr>
      <w:rPr>
        <w:rFonts w:ascii="Wingdings" w:hAnsi="Wingdings" w:hint="default"/>
      </w:rPr>
    </w:lvl>
    <w:lvl w:ilvl="6" w:tplc="A1F82668">
      <w:start w:val="1"/>
      <w:numFmt w:val="bullet"/>
      <w:lvlText w:val=""/>
      <w:lvlJc w:val="left"/>
      <w:pPr>
        <w:ind w:left="5040" w:hanging="360"/>
      </w:pPr>
      <w:rPr>
        <w:rFonts w:ascii="Symbol" w:hAnsi="Symbol" w:hint="default"/>
      </w:rPr>
    </w:lvl>
    <w:lvl w:ilvl="7" w:tplc="EDF20984">
      <w:start w:val="1"/>
      <w:numFmt w:val="bullet"/>
      <w:lvlText w:val="o"/>
      <w:lvlJc w:val="left"/>
      <w:pPr>
        <w:ind w:left="5760" w:hanging="360"/>
      </w:pPr>
      <w:rPr>
        <w:rFonts w:ascii="Courier New" w:hAnsi="Courier New" w:hint="default"/>
      </w:rPr>
    </w:lvl>
    <w:lvl w:ilvl="8" w:tplc="687499BE">
      <w:start w:val="1"/>
      <w:numFmt w:val="bullet"/>
      <w:lvlText w:val=""/>
      <w:lvlJc w:val="left"/>
      <w:pPr>
        <w:ind w:left="6480" w:hanging="360"/>
      </w:pPr>
      <w:rPr>
        <w:rFonts w:ascii="Wingdings" w:hAnsi="Wingdings" w:hint="default"/>
      </w:rPr>
    </w:lvl>
  </w:abstractNum>
  <w:abstractNum w:abstractNumId="37" w15:restartNumberingAfterBreak="0">
    <w:nsid w:val="4195A9D4"/>
    <w:multiLevelType w:val="hybridMultilevel"/>
    <w:tmpl w:val="FFFFFFFF"/>
    <w:lvl w:ilvl="0" w:tplc="582889C0">
      <w:start w:val="1"/>
      <w:numFmt w:val="bullet"/>
      <w:lvlText w:val=""/>
      <w:lvlJc w:val="left"/>
      <w:pPr>
        <w:ind w:left="717" w:hanging="360"/>
      </w:pPr>
      <w:rPr>
        <w:rFonts w:ascii="Symbol" w:hAnsi="Symbol" w:hint="default"/>
      </w:rPr>
    </w:lvl>
    <w:lvl w:ilvl="1" w:tplc="1DF49CDC">
      <w:start w:val="1"/>
      <w:numFmt w:val="bullet"/>
      <w:lvlText w:val="o"/>
      <w:lvlJc w:val="left"/>
      <w:pPr>
        <w:ind w:left="1440" w:hanging="360"/>
      </w:pPr>
      <w:rPr>
        <w:rFonts w:ascii="Courier New" w:hAnsi="Courier New" w:hint="default"/>
      </w:rPr>
    </w:lvl>
    <w:lvl w:ilvl="2" w:tplc="22465F0E">
      <w:start w:val="1"/>
      <w:numFmt w:val="bullet"/>
      <w:lvlText w:val=""/>
      <w:lvlJc w:val="left"/>
      <w:pPr>
        <w:ind w:left="2160" w:hanging="360"/>
      </w:pPr>
      <w:rPr>
        <w:rFonts w:ascii="Wingdings" w:hAnsi="Wingdings" w:hint="default"/>
      </w:rPr>
    </w:lvl>
    <w:lvl w:ilvl="3" w:tplc="33F0EFF2">
      <w:start w:val="1"/>
      <w:numFmt w:val="bullet"/>
      <w:lvlText w:val=""/>
      <w:lvlJc w:val="left"/>
      <w:pPr>
        <w:ind w:left="2880" w:hanging="360"/>
      </w:pPr>
      <w:rPr>
        <w:rFonts w:ascii="Symbol" w:hAnsi="Symbol" w:hint="default"/>
      </w:rPr>
    </w:lvl>
    <w:lvl w:ilvl="4" w:tplc="DC44CADE">
      <w:start w:val="1"/>
      <w:numFmt w:val="bullet"/>
      <w:lvlText w:val="o"/>
      <w:lvlJc w:val="left"/>
      <w:pPr>
        <w:ind w:left="3600" w:hanging="360"/>
      </w:pPr>
      <w:rPr>
        <w:rFonts w:ascii="Courier New" w:hAnsi="Courier New" w:hint="default"/>
      </w:rPr>
    </w:lvl>
    <w:lvl w:ilvl="5" w:tplc="2E3CF804">
      <w:start w:val="1"/>
      <w:numFmt w:val="bullet"/>
      <w:lvlText w:val=""/>
      <w:lvlJc w:val="left"/>
      <w:pPr>
        <w:ind w:left="4320" w:hanging="360"/>
      </w:pPr>
      <w:rPr>
        <w:rFonts w:ascii="Wingdings" w:hAnsi="Wingdings" w:hint="default"/>
      </w:rPr>
    </w:lvl>
    <w:lvl w:ilvl="6" w:tplc="40DC8948">
      <w:start w:val="1"/>
      <w:numFmt w:val="bullet"/>
      <w:lvlText w:val=""/>
      <w:lvlJc w:val="left"/>
      <w:pPr>
        <w:ind w:left="5040" w:hanging="360"/>
      </w:pPr>
      <w:rPr>
        <w:rFonts w:ascii="Symbol" w:hAnsi="Symbol" w:hint="default"/>
      </w:rPr>
    </w:lvl>
    <w:lvl w:ilvl="7" w:tplc="0A1C228A">
      <w:start w:val="1"/>
      <w:numFmt w:val="bullet"/>
      <w:lvlText w:val="o"/>
      <w:lvlJc w:val="left"/>
      <w:pPr>
        <w:ind w:left="5760" w:hanging="360"/>
      </w:pPr>
      <w:rPr>
        <w:rFonts w:ascii="Courier New" w:hAnsi="Courier New" w:hint="default"/>
      </w:rPr>
    </w:lvl>
    <w:lvl w:ilvl="8" w:tplc="77662470">
      <w:start w:val="1"/>
      <w:numFmt w:val="bullet"/>
      <w:lvlText w:val=""/>
      <w:lvlJc w:val="left"/>
      <w:pPr>
        <w:ind w:left="6480" w:hanging="360"/>
      </w:pPr>
      <w:rPr>
        <w:rFonts w:ascii="Wingdings" w:hAnsi="Wingdings" w:hint="default"/>
      </w:rPr>
    </w:lvl>
  </w:abstractNum>
  <w:abstractNum w:abstractNumId="38" w15:restartNumberingAfterBreak="0">
    <w:nsid w:val="47665906"/>
    <w:multiLevelType w:val="multilevel"/>
    <w:tmpl w:val="09205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8CD30DB"/>
    <w:multiLevelType w:val="multilevel"/>
    <w:tmpl w:val="F348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8CF7EE3"/>
    <w:multiLevelType w:val="hybridMultilevel"/>
    <w:tmpl w:val="61406940"/>
    <w:lvl w:ilvl="0" w:tplc="4BC668D8">
      <w:start w:val="1"/>
      <w:numFmt w:val="bullet"/>
      <w:lvlText w:val="&gt;"/>
      <w:lvlJc w:val="left"/>
      <w:pPr>
        <w:tabs>
          <w:tab w:val="num" w:pos="720"/>
        </w:tabs>
        <w:ind w:left="720" w:hanging="360"/>
      </w:pPr>
      <w:rPr>
        <w:rFonts w:ascii="Times New Roman" w:hAnsi="Times New Roman" w:hint="default"/>
      </w:rPr>
    </w:lvl>
    <w:lvl w:ilvl="1" w:tplc="A0127B5C">
      <w:start w:val="1"/>
      <w:numFmt w:val="bullet"/>
      <w:lvlText w:val="&gt;"/>
      <w:lvlJc w:val="left"/>
      <w:pPr>
        <w:tabs>
          <w:tab w:val="num" w:pos="1440"/>
        </w:tabs>
        <w:ind w:left="1440" w:hanging="360"/>
      </w:pPr>
      <w:rPr>
        <w:rFonts w:ascii="Times New Roman" w:hAnsi="Times New Roman" w:hint="default"/>
      </w:rPr>
    </w:lvl>
    <w:lvl w:ilvl="2" w:tplc="EC7A96C6" w:tentative="1">
      <w:start w:val="1"/>
      <w:numFmt w:val="bullet"/>
      <w:lvlText w:val="&gt;"/>
      <w:lvlJc w:val="left"/>
      <w:pPr>
        <w:tabs>
          <w:tab w:val="num" w:pos="2160"/>
        </w:tabs>
        <w:ind w:left="2160" w:hanging="360"/>
      </w:pPr>
      <w:rPr>
        <w:rFonts w:ascii="Times New Roman" w:hAnsi="Times New Roman" w:hint="default"/>
      </w:rPr>
    </w:lvl>
    <w:lvl w:ilvl="3" w:tplc="D47062FA" w:tentative="1">
      <w:start w:val="1"/>
      <w:numFmt w:val="bullet"/>
      <w:lvlText w:val="&gt;"/>
      <w:lvlJc w:val="left"/>
      <w:pPr>
        <w:tabs>
          <w:tab w:val="num" w:pos="2880"/>
        </w:tabs>
        <w:ind w:left="2880" w:hanging="360"/>
      </w:pPr>
      <w:rPr>
        <w:rFonts w:ascii="Times New Roman" w:hAnsi="Times New Roman" w:hint="default"/>
      </w:rPr>
    </w:lvl>
    <w:lvl w:ilvl="4" w:tplc="89922B7A" w:tentative="1">
      <w:start w:val="1"/>
      <w:numFmt w:val="bullet"/>
      <w:lvlText w:val="&gt;"/>
      <w:lvlJc w:val="left"/>
      <w:pPr>
        <w:tabs>
          <w:tab w:val="num" w:pos="3600"/>
        </w:tabs>
        <w:ind w:left="3600" w:hanging="360"/>
      </w:pPr>
      <w:rPr>
        <w:rFonts w:ascii="Times New Roman" w:hAnsi="Times New Roman" w:hint="default"/>
      </w:rPr>
    </w:lvl>
    <w:lvl w:ilvl="5" w:tplc="5F8E3B94" w:tentative="1">
      <w:start w:val="1"/>
      <w:numFmt w:val="bullet"/>
      <w:lvlText w:val="&gt;"/>
      <w:lvlJc w:val="left"/>
      <w:pPr>
        <w:tabs>
          <w:tab w:val="num" w:pos="4320"/>
        </w:tabs>
        <w:ind w:left="4320" w:hanging="360"/>
      </w:pPr>
      <w:rPr>
        <w:rFonts w:ascii="Times New Roman" w:hAnsi="Times New Roman" w:hint="default"/>
      </w:rPr>
    </w:lvl>
    <w:lvl w:ilvl="6" w:tplc="1EA4C15E" w:tentative="1">
      <w:start w:val="1"/>
      <w:numFmt w:val="bullet"/>
      <w:lvlText w:val="&gt;"/>
      <w:lvlJc w:val="left"/>
      <w:pPr>
        <w:tabs>
          <w:tab w:val="num" w:pos="5040"/>
        </w:tabs>
        <w:ind w:left="5040" w:hanging="360"/>
      </w:pPr>
      <w:rPr>
        <w:rFonts w:ascii="Times New Roman" w:hAnsi="Times New Roman" w:hint="default"/>
      </w:rPr>
    </w:lvl>
    <w:lvl w:ilvl="7" w:tplc="A592664E" w:tentative="1">
      <w:start w:val="1"/>
      <w:numFmt w:val="bullet"/>
      <w:lvlText w:val="&gt;"/>
      <w:lvlJc w:val="left"/>
      <w:pPr>
        <w:tabs>
          <w:tab w:val="num" w:pos="5760"/>
        </w:tabs>
        <w:ind w:left="5760" w:hanging="360"/>
      </w:pPr>
      <w:rPr>
        <w:rFonts w:ascii="Times New Roman" w:hAnsi="Times New Roman" w:hint="default"/>
      </w:rPr>
    </w:lvl>
    <w:lvl w:ilvl="8" w:tplc="34786C10" w:tentative="1">
      <w:start w:val="1"/>
      <w:numFmt w:val="bullet"/>
      <w:lvlText w:val="&gt;"/>
      <w:lvlJc w:val="left"/>
      <w:pPr>
        <w:tabs>
          <w:tab w:val="num" w:pos="6480"/>
        </w:tabs>
        <w:ind w:left="6480" w:hanging="360"/>
      </w:pPr>
      <w:rPr>
        <w:rFonts w:ascii="Times New Roman" w:hAnsi="Times New Roman" w:hint="default"/>
      </w:rPr>
    </w:lvl>
  </w:abstractNum>
  <w:abstractNum w:abstractNumId="41" w15:restartNumberingAfterBreak="0">
    <w:nsid w:val="4A3225C2"/>
    <w:multiLevelType w:val="hybridMultilevel"/>
    <w:tmpl w:val="4FCA89A4"/>
    <w:lvl w:ilvl="0" w:tplc="A6F21D8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5B583A"/>
    <w:multiLevelType w:val="hybridMultilevel"/>
    <w:tmpl w:val="F1468900"/>
    <w:lvl w:ilvl="0" w:tplc="0B8C5AE8">
      <w:start w:val="1"/>
      <w:numFmt w:val="bullet"/>
      <w:lvlText w:val=""/>
      <w:lvlJc w:val="left"/>
      <w:pPr>
        <w:ind w:left="1420" w:hanging="360"/>
      </w:pPr>
      <w:rPr>
        <w:rFonts w:ascii="Symbol" w:hAnsi="Symbol"/>
      </w:rPr>
    </w:lvl>
    <w:lvl w:ilvl="1" w:tplc="6306486E">
      <w:start w:val="1"/>
      <w:numFmt w:val="bullet"/>
      <w:lvlText w:val=""/>
      <w:lvlJc w:val="left"/>
      <w:pPr>
        <w:ind w:left="2160" w:hanging="360"/>
      </w:pPr>
      <w:rPr>
        <w:rFonts w:ascii="Symbol" w:hAnsi="Symbol"/>
      </w:rPr>
    </w:lvl>
    <w:lvl w:ilvl="2" w:tplc="7EFC05B0">
      <w:start w:val="1"/>
      <w:numFmt w:val="bullet"/>
      <w:lvlText w:val=""/>
      <w:lvlJc w:val="left"/>
      <w:pPr>
        <w:ind w:left="1420" w:hanging="360"/>
      </w:pPr>
      <w:rPr>
        <w:rFonts w:ascii="Symbol" w:hAnsi="Symbol"/>
      </w:rPr>
    </w:lvl>
    <w:lvl w:ilvl="3" w:tplc="81F8905A">
      <w:start w:val="1"/>
      <w:numFmt w:val="bullet"/>
      <w:lvlText w:val=""/>
      <w:lvlJc w:val="left"/>
      <w:pPr>
        <w:ind w:left="1420" w:hanging="360"/>
      </w:pPr>
      <w:rPr>
        <w:rFonts w:ascii="Symbol" w:hAnsi="Symbol"/>
      </w:rPr>
    </w:lvl>
    <w:lvl w:ilvl="4" w:tplc="4E767E96">
      <w:start w:val="1"/>
      <w:numFmt w:val="bullet"/>
      <w:lvlText w:val=""/>
      <w:lvlJc w:val="left"/>
      <w:pPr>
        <w:ind w:left="1420" w:hanging="360"/>
      </w:pPr>
      <w:rPr>
        <w:rFonts w:ascii="Symbol" w:hAnsi="Symbol"/>
      </w:rPr>
    </w:lvl>
    <w:lvl w:ilvl="5" w:tplc="BFA017FA">
      <w:start w:val="1"/>
      <w:numFmt w:val="bullet"/>
      <w:lvlText w:val=""/>
      <w:lvlJc w:val="left"/>
      <w:pPr>
        <w:ind w:left="1420" w:hanging="360"/>
      </w:pPr>
      <w:rPr>
        <w:rFonts w:ascii="Symbol" w:hAnsi="Symbol"/>
      </w:rPr>
    </w:lvl>
    <w:lvl w:ilvl="6" w:tplc="4CC22D9A">
      <w:start w:val="1"/>
      <w:numFmt w:val="bullet"/>
      <w:lvlText w:val=""/>
      <w:lvlJc w:val="left"/>
      <w:pPr>
        <w:ind w:left="1420" w:hanging="360"/>
      </w:pPr>
      <w:rPr>
        <w:rFonts w:ascii="Symbol" w:hAnsi="Symbol"/>
      </w:rPr>
    </w:lvl>
    <w:lvl w:ilvl="7" w:tplc="E448224A">
      <w:start w:val="1"/>
      <w:numFmt w:val="bullet"/>
      <w:lvlText w:val=""/>
      <w:lvlJc w:val="left"/>
      <w:pPr>
        <w:ind w:left="1420" w:hanging="360"/>
      </w:pPr>
      <w:rPr>
        <w:rFonts w:ascii="Symbol" w:hAnsi="Symbol"/>
      </w:rPr>
    </w:lvl>
    <w:lvl w:ilvl="8" w:tplc="B4247812">
      <w:start w:val="1"/>
      <w:numFmt w:val="bullet"/>
      <w:lvlText w:val=""/>
      <w:lvlJc w:val="left"/>
      <w:pPr>
        <w:ind w:left="1420" w:hanging="360"/>
      </w:pPr>
      <w:rPr>
        <w:rFonts w:ascii="Symbol" w:hAnsi="Symbol"/>
      </w:rPr>
    </w:lvl>
  </w:abstractNum>
  <w:abstractNum w:abstractNumId="43" w15:restartNumberingAfterBreak="0">
    <w:nsid w:val="4E7E7BCB"/>
    <w:multiLevelType w:val="hybridMultilevel"/>
    <w:tmpl w:val="4AC001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4E8049CB"/>
    <w:multiLevelType w:val="hybridMultilevel"/>
    <w:tmpl w:val="5C6E5996"/>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52956C33"/>
    <w:multiLevelType w:val="multilevel"/>
    <w:tmpl w:val="7B8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D94D1B"/>
    <w:multiLevelType w:val="hybridMultilevel"/>
    <w:tmpl w:val="A3B01DCE"/>
    <w:lvl w:ilvl="0" w:tplc="42065114">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5B7EBE"/>
    <w:multiLevelType w:val="hybridMultilevel"/>
    <w:tmpl w:val="791CC8DA"/>
    <w:lvl w:ilvl="0" w:tplc="E376A214">
      <w:numFmt w:val="bullet"/>
      <w:lvlText w:val=""/>
      <w:lvlJc w:val="left"/>
      <w:pPr>
        <w:ind w:left="720" w:hanging="360"/>
      </w:pPr>
      <w:rPr>
        <w:rFonts w:ascii="Symbol" w:eastAsia="Times New Roman" w:hAnsi="Symbol" w:cs="Calibri" w:hint="default"/>
        <w:color w:val="4472C4"/>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5E3E2088"/>
    <w:multiLevelType w:val="hybridMultilevel"/>
    <w:tmpl w:val="FFFFFFFF"/>
    <w:lvl w:ilvl="0" w:tplc="035885A8">
      <w:start w:val="1"/>
      <w:numFmt w:val="bullet"/>
      <w:lvlText w:val=""/>
      <w:lvlJc w:val="left"/>
      <w:pPr>
        <w:ind w:left="1725" w:hanging="360"/>
      </w:pPr>
      <w:rPr>
        <w:rFonts w:ascii="Symbol" w:hAnsi="Symbol" w:hint="default"/>
      </w:rPr>
    </w:lvl>
    <w:lvl w:ilvl="1" w:tplc="21727B24">
      <w:start w:val="1"/>
      <w:numFmt w:val="bullet"/>
      <w:lvlText w:val="o"/>
      <w:lvlJc w:val="left"/>
      <w:pPr>
        <w:ind w:left="1440" w:hanging="360"/>
      </w:pPr>
      <w:rPr>
        <w:rFonts w:ascii="Courier New" w:hAnsi="Courier New" w:hint="default"/>
      </w:rPr>
    </w:lvl>
    <w:lvl w:ilvl="2" w:tplc="9216EF7A">
      <w:start w:val="1"/>
      <w:numFmt w:val="bullet"/>
      <w:lvlText w:val=""/>
      <w:lvlJc w:val="left"/>
      <w:pPr>
        <w:ind w:left="2160" w:hanging="360"/>
      </w:pPr>
      <w:rPr>
        <w:rFonts w:ascii="Wingdings" w:hAnsi="Wingdings" w:hint="default"/>
      </w:rPr>
    </w:lvl>
    <w:lvl w:ilvl="3" w:tplc="D3286654">
      <w:start w:val="1"/>
      <w:numFmt w:val="bullet"/>
      <w:lvlText w:val=""/>
      <w:lvlJc w:val="left"/>
      <w:pPr>
        <w:ind w:left="2880" w:hanging="360"/>
      </w:pPr>
      <w:rPr>
        <w:rFonts w:ascii="Symbol" w:hAnsi="Symbol" w:hint="default"/>
      </w:rPr>
    </w:lvl>
    <w:lvl w:ilvl="4" w:tplc="13669EF8">
      <w:start w:val="1"/>
      <w:numFmt w:val="bullet"/>
      <w:lvlText w:val="o"/>
      <w:lvlJc w:val="left"/>
      <w:pPr>
        <w:ind w:left="3600" w:hanging="360"/>
      </w:pPr>
      <w:rPr>
        <w:rFonts w:ascii="Courier New" w:hAnsi="Courier New" w:hint="default"/>
      </w:rPr>
    </w:lvl>
    <w:lvl w:ilvl="5" w:tplc="33940E7C">
      <w:start w:val="1"/>
      <w:numFmt w:val="bullet"/>
      <w:lvlText w:val=""/>
      <w:lvlJc w:val="left"/>
      <w:pPr>
        <w:ind w:left="4320" w:hanging="360"/>
      </w:pPr>
      <w:rPr>
        <w:rFonts w:ascii="Wingdings" w:hAnsi="Wingdings" w:hint="default"/>
      </w:rPr>
    </w:lvl>
    <w:lvl w:ilvl="6" w:tplc="09846122">
      <w:start w:val="1"/>
      <w:numFmt w:val="bullet"/>
      <w:lvlText w:val=""/>
      <w:lvlJc w:val="left"/>
      <w:pPr>
        <w:ind w:left="5040" w:hanging="360"/>
      </w:pPr>
      <w:rPr>
        <w:rFonts w:ascii="Symbol" w:hAnsi="Symbol" w:hint="default"/>
      </w:rPr>
    </w:lvl>
    <w:lvl w:ilvl="7" w:tplc="CC266996">
      <w:start w:val="1"/>
      <w:numFmt w:val="bullet"/>
      <w:lvlText w:val="o"/>
      <w:lvlJc w:val="left"/>
      <w:pPr>
        <w:ind w:left="5760" w:hanging="360"/>
      </w:pPr>
      <w:rPr>
        <w:rFonts w:ascii="Courier New" w:hAnsi="Courier New" w:hint="default"/>
      </w:rPr>
    </w:lvl>
    <w:lvl w:ilvl="8" w:tplc="34341748">
      <w:start w:val="1"/>
      <w:numFmt w:val="bullet"/>
      <w:lvlText w:val=""/>
      <w:lvlJc w:val="left"/>
      <w:pPr>
        <w:ind w:left="6480" w:hanging="360"/>
      </w:pPr>
      <w:rPr>
        <w:rFonts w:ascii="Wingdings" w:hAnsi="Wingdings" w:hint="default"/>
      </w:rPr>
    </w:lvl>
  </w:abstractNum>
  <w:abstractNum w:abstractNumId="50" w15:restartNumberingAfterBreak="0">
    <w:nsid w:val="628A14B5"/>
    <w:multiLevelType w:val="hybridMultilevel"/>
    <w:tmpl w:val="24B6B39E"/>
    <w:lvl w:ilvl="0" w:tplc="FBA0D132">
      <w:start w:val="1"/>
      <w:numFmt w:val="bullet"/>
      <w:lvlText w:val=""/>
      <w:lvlJc w:val="left"/>
      <w:pPr>
        <w:ind w:left="1440" w:hanging="360"/>
      </w:pPr>
      <w:rPr>
        <w:rFonts w:ascii="Symbol" w:hAnsi="Symbol"/>
      </w:rPr>
    </w:lvl>
    <w:lvl w:ilvl="1" w:tplc="47CA9574">
      <w:start w:val="1"/>
      <w:numFmt w:val="bullet"/>
      <w:lvlText w:val=""/>
      <w:lvlJc w:val="left"/>
      <w:pPr>
        <w:ind w:left="2160" w:hanging="360"/>
      </w:pPr>
      <w:rPr>
        <w:rFonts w:ascii="Symbol" w:hAnsi="Symbol"/>
      </w:rPr>
    </w:lvl>
    <w:lvl w:ilvl="2" w:tplc="1B5627A6">
      <w:start w:val="1"/>
      <w:numFmt w:val="bullet"/>
      <w:lvlText w:val=""/>
      <w:lvlJc w:val="left"/>
      <w:pPr>
        <w:ind w:left="1440" w:hanging="360"/>
      </w:pPr>
      <w:rPr>
        <w:rFonts w:ascii="Symbol" w:hAnsi="Symbol"/>
      </w:rPr>
    </w:lvl>
    <w:lvl w:ilvl="3" w:tplc="5456B97C">
      <w:start w:val="1"/>
      <w:numFmt w:val="bullet"/>
      <w:lvlText w:val=""/>
      <w:lvlJc w:val="left"/>
      <w:pPr>
        <w:ind w:left="1440" w:hanging="360"/>
      </w:pPr>
      <w:rPr>
        <w:rFonts w:ascii="Symbol" w:hAnsi="Symbol"/>
      </w:rPr>
    </w:lvl>
    <w:lvl w:ilvl="4" w:tplc="5CA243D6">
      <w:start w:val="1"/>
      <w:numFmt w:val="bullet"/>
      <w:lvlText w:val=""/>
      <w:lvlJc w:val="left"/>
      <w:pPr>
        <w:ind w:left="1440" w:hanging="360"/>
      </w:pPr>
      <w:rPr>
        <w:rFonts w:ascii="Symbol" w:hAnsi="Symbol"/>
      </w:rPr>
    </w:lvl>
    <w:lvl w:ilvl="5" w:tplc="DC180FB4">
      <w:start w:val="1"/>
      <w:numFmt w:val="bullet"/>
      <w:lvlText w:val=""/>
      <w:lvlJc w:val="left"/>
      <w:pPr>
        <w:ind w:left="1440" w:hanging="360"/>
      </w:pPr>
      <w:rPr>
        <w:rFonts w:ascii="Symbol" w:hAnsi="Symbol"/>
      </w:rPr>
    </w:lvl>
    <w:lvl w:ilvl="6" w:tplc="C12E8CE2">
      <w:start w:val="1"/>
      <w:numFmt w:val="bullet"/>
      <w:lvlText w:val=""/>
      <w:lvlJc w:val="left"/>
      <w:pPr>
        <w:ind w:left="1440" w:hanging="360"/>
      </w:pPr>
      <w:rPr>
        <w:rFonts w:ascii="Symbol" w:hAnsi="Symbol"/>
      </w:rPr>
    </w:lvl>
    <w:lvl w:ilvl="7" w:tplc="3C1C8DD2">
      <w:start w:val="1"/>
      <w:numFmt w:val="bullet"/>
      <w:lvlText w:val=""/>
      <w:lvlJc w:val="left"/>
      <w:pPr>
        <w:ind w:left="1440" w:hanging="360"/>
      </w:pPr>
      <w:rPr>
        <w:rFonts w:ascii="Symbol" w:hAnsi="Symbol"/>
      </w:rPr>
    </w:lvl>
    <w:lvl w:ilvl="8" w:tplc="13BA2D2A">
      <w:start w:val="1"/>
      <w:numFmt w:val="bullet"/>
      <w:lvlText w:val=""/>
      <w:lvlJc w:val="left"/>
      <w:pPr>
        <w:ind w:left="1440" w:hanging="360"/>
      </w:pPr>
      <w:rPr>
        <w:rFonts w:ascii="Symbol" w:hAnsi="Symbol"/>
      </w:rPr>
    </w:lvl>
  </w:abstractNum>
  <w:abstractNum w:abstractNumId="5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901E07"/>
    <w:multiLevelType w:val="hybridMultilevel"/>
    <w:tmpl w:val="6FE0858A"/>
    <w:lvl w:ilvl="0" w:tplc="9834A04C">
      <w:start w:val="1"/>
      <w:numFmt w:val="bullet"/>
      <w:lvlText w:val=""/>
      <w:lvlJc w:val="left"/>
      <w:pPr>
        <w:ind w:left="1420" w:hanging="360"/>
      </w:pPr>
      <w:rPr>
        <w:rFonts w:ascii="Symbol" w:hAnsi="Symbol"/>
      </w:rPr>
    </w:lvl>
    <w:lvl w:ilvl="1" w:tplc="06D465DE">
      <w:start w:val="1"/>
      <w:numFmt w:val="bullet"/>
      <w:lvlText w:val=""/>
      <w:lvlJc w:val="left"/>
      <w:pPr>
        <w:ind w:left="1420" w:hanging="360"/>
      </w:pPr>
      <w:rPr>
        <w:rFonts w:ascii="Symbol" w:hAnsi="Symbol"/>
      </w:rPr>
    </w:lvl>
    <w:lvl w:ilvl="2" w:tplc="911ED486">
      <w:start w:val="1"/>
      <w:numFmt w:val="bullet"/>
      <w:lvlText w:val=""/>
      <w:lvlJc w:val="left"/>
      <w:pPr>
        <w:ind w:left="1420" w:hanging="360"/>
      </w:pPr>
      <w:rPr>
        <w:rFonts w:ascii="Symbol" w:hAnsi="Symbol"/>
      </w:rPr>
    </w:lvl>
    <w:lvl w:ilvl="3" w:tplc="B80E7DD2">
      <w:start w:val="1"/>
      <w:numFmt w:val="bullet"/>
      <w:lvlText w:val=""/>
      <w:lvlJc w:val="left"/>
      <w:pPr>
        <w:ind w:left="1420" w:hanging="360"/>
      </w:pPr>
      <w:rPr>
        <w:rFonts w:ascii="Symbol" w:hAnsi="Symbol"/>
      </w:rPr>
    </w:lvl>
    <w:lvl w:ilvl="4" w:tplc="511628DA">
      <w:start w:val="1"/>
      <w:numFmt w:val="bullet"/>
      <w:lvlText w:val=""/>
      <w:lvlJc w:val="left"/>
      <w:pPr>
        <w:ind w:left="1420" w:hanging="360"/>
      </w:pPr>
      <w:rPr>
        <w:rFonts w:ascii="Symbol" w:hAnsi="Symbol"/>
      </w:rPr>
    </w:lvl>
    <w:lvl w:ilvl="5" w:tplc="8CD2EC9A">
      <w:start w:val="1"/>
      <w:numFmt w:val="bullet"/>
      <w:lvlText w:val=""/>
      <w:lvlJc w:val="left"/>
      <w:pPr>
        <w:ind w:left="1420" w:hanging="360"/>
      </w:pPr>
      <w:rPr>
        <w:rFonts w:ascii="Symbol" w:hAnsi="Symbol"/>
      </w:rPr>
    </w:lvl>
    <w:lvl w:ilvl="6" w:tplc="86C22E9A">
      <w:start w:val="1"/>
      <w:numFmt w:val="bullet"/>
      <w:lvlText w:val=""/>
      <w:lvlJc w:val="left"/>
      <w:pPr>
        <w:ind w:left="1420" w:hanging="360"/>
      </w:pPr>
      <w:rPr>
        <w:rFonts w:ascii="Symbol" w:hAnsi="Symbol"/>
      </w:rPr>
    </w:lvl>
    <w:lvl w:ilvl="7" w:tplc="3628E85A">
      <w:start w:val="1"/>
      <w:numFmt w:val="bullet"/>
      <w:lvlText w:val=""/>
      <w:lvlJc w:val="left"/>
      <w:pPr>
        <w:ind w:left="1420" w:hanging="360"/>
      </w:pPr>
      <w:rPr>
        <w:rFonts w:ascii="Symbol" w:hAnsi="Symbol"/>
      </w:rPr>
    </w:lvl>
    <w:lvl w:ilvl="8" w:tplc="6E4E029A">
      <w:start w:val="1"/>
      <w:numFmt w:val="bullet"/>
      <w:lvlText w:val=""/>
      <w:lvlJc w:val="left"/>
      <w:pPr>
        <w:ind w:left="1420" w:hanging="360"/>
      </w:pPr>
      <w:rPr>
        <w:rFonts w:ascii="Symbol" w:hAnsi="Symbol"/>
      </w:rPr>
    </w:lvl>
  </w:abstractNum>
  <w:abstractNum w:abstractNumId="54" w15:restartNumberingAfterBreak="0">
    <w:nsid w:val="66884AC8"/>
    <w:multiLevelType w:val="hybridMultilevel"/>
    <w:tmpl w:val="EA241BF4"/>
    <w:lvl w:ilvl="0" w:tplc="EA52EC9C">
      <w:start w:val="1"/>
      <w:numFmt w:val="bullet"/>
      <w:lvlText w:val=""/>
      <w:lvlJc w:val="left"/>
      <w:pPr>
        <w:ind w:left="1440" w:hanging="360"/>
      </w:pPr>
      <w:rPr>
        <w:rFonts w:ascii="Symbol" w:hAnsi="Symbol"/>
      </w:rPr>
    </w:lvl>
    <w:lvl w:ilvl="1" w:tplc="69208A26">
      <w:start w:val="1"/>
      <w:numFmt w:val="bullet"/>
      <w:lvlText w:val=""/>
      <w:lvlJc w:val="left"/>
      <w:pPr>
        <w:ind w:left="2160" w:hanging="360"/>
      </w:pPr>
      <w:rPr>
        <w:rFonts w:ascii="Symbol" w:hAnsi="Symbol"/>
      </w:rPr>
    </w:lvl>
    <w:lvl w:ilvl="2" w:tplc="D4A2CB8A">
      <w:start w:val="1"/>
      <w:numFmt w:val="bullet"/>
      <w:lvlText w:val=""/>
      <w:lvlJc w:val="left"/>
      <w:pPr>
        <w:ind w:left="2880" w:hanging="360"/>
      </w:pPr>
      <w:rPr>
        <w:rFonts w:ascii="Symbol" w:hAnsi="Symbol"/>
      </w:rPr>
    </w:lvl>
    <w:lvl w:ilvl="3" w:tplc="12A82C80">
      <w:start w:val="1"/>
      <w:numFmt w:val="bullet"/>
      <w:lvlText w:val=""/>
      <w:lvlJc w:val="left"/>
      <w:pPr>
        <w:ind w:left="1440" w:hanging="360"/>
      </w:pPr>
      <w:rPr>
        <w:rFonts w:ascii="Symbol" w:hAnsi="Symbol"/>
      </w:rPr>
    </w:lvl>
    <w:lvl w:ilvl="4" w:tplc="9B3CCF4A">
      <w:start w:val="1"/>
      <w:numFmt w:val="bullet"/>
      <w:lvlText w:val=""/>
      <w:lvlJc w:val="left"/>
      <w:pPr>
        <w:ind w:left="1440" w:hanging="360"/>
      </w:pPr>
      <w:rPr>
        <w:rFonts w:ascii="Symbol" w:hAnsi="Symbol"/>
      </w:rPr>
    </w:lvl>
    <w:lvl w:ilvl="5" w:tplc="DA14F1C0">
      <w:start w:val="1"/>
      <w:numFmt w:val="bullet"/>
      <w:lvlText w:val=""/>
      <w:lvlJc w:val="left"/>
      <w:pPr>
        <w:ind w:left="1440" w:hanging="360"/>
      </w:pPr>
      <w:rPr>
        <w:rFonts w:ascii="Symbol" w:hAnsi="Symbol"/>
      </w:rPr>
    </w:lvl>
    <w:lvl w:ilvl="6" w:tplc="D17C123A">
      <w:start w:val="1"/>
      <w:numFmt w:val="bullet"/>
      <w:lvlText w:val=""/>
      <w:lvlJc w:val="left"/>
      <w:pPr>
        <w:ind w:left="1440" w:hanging="360"/>
      </w:pPr>
      <w:rPr>
        <w:rFonts w:ascii="Symbol" w:hAnsi="Symbol"/>
      </w:rPr>
    </w:lvl>
    <w:lvl w:ilvl="7" w:tplc="84FC4906">
      <w:start w:val="1"/>
      <w:numFmt w:val="bullet"/>
      <w:lvlText w:val=""/>
      <w:lvlJc w:val="left"/>
      <w:pPr>
        <w:ind w:left="1440" w:hanging="360"/>
      </w:pPr>
      <w:rPr>
        <w:rFonts w:ascii="Symbol" w:hAnsi="Symbol"/>
      </w:rPr>
    </w:lvl>
    <w:lvl w:ilvl="8" w:tplc="DF4627D8">
      <w:start w:val="1"/>
      <w:numFmt w:val="bullet"/>
      <w:lvlText w:val=""/>
      <w:lvlJc w:val="left"/>
      <w:pPr>
        <w:ind w:left="1440" w:hanging="360"/>
      </w:pPr>
      <w:rPr>
        <w:rFonts w:ascii="Symbol" w:hAnsi="Symbol"/>
      </w:rPr>
    </w:lvl>
  </w:abstractNum>
  <w:abstractNum w:abstractNumId="55" w15:restartNumberingAfterBreak="0">
    <w:nsid w:val="676496F4"/>
    <w:multiLevelType w:val="hybridMultilevel"/>
    <w:tmpl w:val="C054037C"/>
    <w:lvl w:ilvl="0" w:tplc="15A01ED2">
      <w:start w:val="1"/>
      <w:numFmt w:val="bullet"/>
      <w:lvlText w:val="·"/>
      <w:lvlJc w:val="left"/>
      <w:pPr>
        <w:ind w:left="720" w:hanging="360"/>
      </w:pPr>
      <w:rPr>
        <w:rFonts w:ascii="Symbol" w:hAnsi="Symbol" w:hint="default"/>
      </w:rPr>
    </w:lvl>
    <w:lvl w:ilvl="1" w:tplc="C1B86330">
      <w:start w:val="1"/>
      <w:numFmt w:val="bullet"/>
      <w:lvlText w:val="o"/>
      <w:lvlJc w:val="left"/>
      <w:pPr>
        <w:ind w:left="1440" w:hanging="360"/>
      </w:pPr>
      <w:rPr>
        <w:rFonts w:ascii="Courier New" w:hAnsi="Courier New" w:hint="default"/>
      </w:rPr>
    </w:lvl>
    <w:lvl w:ilvl="2" w:tplc="C3D8CD9C">
      <w:start w:val="1"/>
      <w:numFmt w:val="bullet"/>
      <w:lvlText w:val=""/>
      <w:lvlJc w:val="left"/>
      <w:pPr>
        <w:ind w:left="2160" w:hanging="360"/>
      </w:pPr>
      <w:rPr>
        <w:rFonts w:ascii="Wingdings" w:hAnsi="Wingdings" w:hint="default"/>
      </w:rPr>
    </w:lvl>
    <w:lvl w:ilvl="3" w:tplc="56D21C4A">
      <w:start w:val="1"/>
      <w:numFmt w:val="bullet"/>
      <w:lvlText w:val=""/>
      <w:lvlJc w:val="left"/>
      <w:pPr>
        <w:ind w:left="2880" w:hanging="360"/>
      </w:pPr>
      <w:rPr>
        <w:rFonts w:ascii="Symbol" w:hAnsi="Symbol" w:hint="default"/>
      </w:rPr>
    </w:lvl>
    <w:lvl w:ilvl="4" w:tplc="A5C63EA8">
      <w:start w:val="1"/>
      <w:numFmt w:val="bullet"/>
      <w:lvlText w:val="o"/>
      <w:lvlJc w:val="left"/>
      <w:pPr>
        <w:ind w:left="3600" w:hanging="360"/>
      </w:pPr>
      <w:rPr>
        <w:rFonts w:ascii="Courier New" w:hAnsi="Courier New" w:hint="default"/>
      </w:rPr>
    </w:lvl>
    <w:lvl w:ilvl="5" w:tplc="3A7E7DF6">
      <w:start w:val="1"/>
      <w:numFmt w:val="bullet"/>
      <w:lvlText w:val=""/>
      <w:lvlJc w:val="left"/>
      <w:pPr>
        <w:ind w:left="4320" w:hanging="360"/>
      </w:pPr>
      <w:rPr>
        <w:rFonts w:ascii="Wingdings" w:hAnsi="Wingdings" w:hint="default"/>
      </w:rPr>
    </w:lvl>
    <w:lvl w:ilvl="6" w:tplc="C5CE1536">
      <w:start w:val="1"/>
      <w:numFmt w:val="bullet"/>
      <w:lvlText w:val=""/>
      <w:lvlJc w:val="left"/>
      <w:pPr>
        <w:ind w:left="5040" w:hanging="360"/>
      </w:pPr>
      <w:rPr>
        <w:rFonts w:ascii="Symbol" w:hAnsi="Symbol" w:hint="default"/>
      </w:rPr>
    </w:lvl>
    <w:lvl w:ilvl="7" w:tplc="23C8F48C">
      <w:start w:val="1"/>
      <w:numFmt w:val="bullet"/>
      <w:lvlText w:val="o"/>
      <w:lvlJc w:val="left"/>
      <w:pPr>
        <w:ind w:left="5760" w:hanging="360"/>
      </w:pPr>
      <w:rPr>
        <w:rFonts w:ascii="Courier New" w:hAnsi="Courier New" w:hint="default"/>
      </w:rPr>
    </w:lvl>
    <w:lvl w:ilvl="8" w:tplc="4D669C2A">
      <w:start w:val="1"/>
      <w:numFmt w:val="bullet"/>
      <w:lvlText w:val=""/>
      <w:lvlJc w:val="left"/>
      <w:pPr>
        <w:ind w:left="6480" w:hanging="360"/>
      </w:pPr>
      <w:rPr>
        <w:rFonts w:ascii="Wingdings" w:hAnsi="Wingdings" w:hint="default"/>
      </w:rPr>
    </w:lvl>
  </w:abstractNum>
  <w:abstractNum w:abstractNumId="56" w15:restartNumberingAfterBreak="0">
    <w:nsid w:val="6C960769"/>
    <w:multiLevelType w:val="multilevel"/>
    <w:tmpl w:val="0E8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1E6347"/>
    <w:multiLevelType w:val="multilevel"/>
    <w:tmpl w:val="D7B86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241DE8"/>
    <w:multiLevelType w:val="hybridMultilevel"/>
    <w:tmpl w:val="22E63362"/>
    <w:lvl w:ilvl="0" w:tplc="0C090001">
      <w:start w:val="1"/>
      <w:numFmt w:val="bullet"/>
      <w:lvlText w:val=""/>
      <w:lvlJc w:val="left"/>
      <w:pPr>
        <w:ind w:left="1725" w:hanging="360"/>
      </w:pPr>
      <w:rPr>
        <w:rFonts w:ascii="Symbol" w:hAnsi="Symbol" w:hint="default"/>
      </w:rPr>
    </w:lvl>
    <w:lvl w:ilvl="1" w:tplc="0C090003" w:tentative="1">
      <w:start w:val="1"/>
      <w:numFmt w:val="bullet"/>
      <w:lvlText w:val="o"/>
      <w:lvlJc w:val="left"/>
      <w:pPr>
        <w:ind w:left="2445" w:hanging="360"/>
      </w:pPr>
      <w:rPr>
        <w:rFonts w:ascii="Courier New" w:hAnsi="Courier New" w:cs="Courier New" w:hint="default"/>
      </w:rPr>
    </w:lvl>
    <w:lvl w:ilvl="2" w:tplc="0C090005" w:tentative="1">
      <w:start w:val="1"/>
      <w:numFmt w:val="bullet"/>
      <w:lvlText w:val=""/>
      <w:lvlJc w:val="left"/>
      <w:pPr>
        <w:ind w:left="3165" w:hanging="360"/>
      </w:pPr>
      <w:rPr>
        <w:rFonts w:ascii="Wingdings" w:hAnsi="Wingdings" w:hint="default"/>
      </w:rPr>
    </w:lvl>
    <w:lvl w:ilvl="3" w:tplc="0C090001" w:tentative="1">
      <w:start w:val="1"/>
      <w:numFmt w:val="bullet"/>
      <w:lvlText w:val=""/>
      <w:lvlJc w:val="left"/>
      <w:pPr>
        <w:ind w:left="3885" w:hanging="360"/>
      </w:pPr>
      <w:rPr>
        <w:rFonts w:ascii="Symbol" w:hAnsi="Symbol" w:hint="default"/>
      </w:rPr>
    </w:lvl>
    <w:lvl w:ilvl="4" w:tplc="0C090003" w:tentative="1">
      <w:start w:val="1"/>
      <w:numFmt w:val="bullet"/>
      <w:lvlText w:val="o"/>
      <w:lvlJc w:val="left"/>
      <w:pPr>
        <w:ind w:left="4605" w:hanging="360"/>
      </w:pPr>
      <w:rPr>
        <w:rFonts w:ascii="Courier New" w:hAnsi="Courier New" w:cs="Courier New" w:hint="default"/>
      </w:rPr>
    </w:lvl>
    <w:lvl w:ilvl="5" w:tplc="0C090005" w:tentative="1">
      <w:start w:val="1"/>
      <w:numFmt w:val="bullet"/>
      <w:lvlText w:val=""/>
      <w:lvlJc w:val="left"/>
      <w:pPr>
        <w:ind w:left="5325" w:hanging="360"/>
      </w:pPr>
      <w:rPr>
        <w:rFonts w:ascii="Wingdings" w:hAnsi="Wingdings" w:hint="default"/>
      </w:rPr>
    </w:lvl>
    <w:lvl w:ilvl="6" w:tplc="0C090001" w:tentative="1">
      <w:start w:val="1"/>
      <w:numFmt w:val="bullet"/>
      <w:lvlText w:val=""/>
      <w:lvlJc w:val="left"/>
      <w:pPr>
        <w:ind w:left="6045" w:hanging="360"/>
      </w:pPr>
      <w:rPr>
        <w:rFonts w:ascii="Symbol" w:hAnsi="Symbol" w:hint="default"/>
      </w:rPr>
    </w:lvl>
    <w:lvl w:ilvl="7" w:tplc="0C090003" w:tentative="1">
      <w:start w:val="1"/>
      <w:numFmt w:val="bullet"/>
      <w:lvlText w:val="o"/>
      <w:lvlJc w:val="left"/>
      <w:pPr>
        <w:ind w:left="6765" w:hanging="360"/>
      </w:pPr>
      <w:rPr>
        <w:rFonts w:ascii="Courier New" w:hAnsi="Courier New" w:cs="Courier New" w:hint="default"/>
      </w:rPr>
    </w:lvl>
    <w:lvl w:ilvl="8" w:tplc="0C090005" w:tentative="1">
      <w:start w:val="1"/>
      <w:numFmt w:val="bullet"/>
      <w:lvlText w:val=""/>
      <w:lvlJc w:val="left"/>
      <w:pPr>
        <w:ind w:left="7485" w:hanging="360"/>
      </w:pPr>
      <w:rPr>
        <w:rFonts w:ascii="Wingdings" w:hAnsi="Wingdings" w:hint="default"/>
      </w:rPr>
    </w:lvl>
  </w:abstractNum>
  <w:abstractNum w:abstractNumId="60" w15:restartNumberingAfterBreak="0">
    <w:nsid w:val="73403EC0"/>
    <w:multiLevelType w:val="multilevel"/>
    <w:tmpl w:val="289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62E1A81"/>
    <w:multiLevelType w:val="hybridMultilevel"/>
    <w:tmpl w:val="D8885FB6"/>
    <w:lvl w:ilvl="0" w:tplc="1026004E">
      <w:start w:val="1"/>
      <w:numFmt w:val="bullet"/>
      <w:pStyle w:val="Bulletlevel1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8BC098E"/>
    <w:multiLevelType w:val="hybridMultilevel"/>
    <w:tmpl w:val="2E386898"/>
    <w:lvl w:ilvl="0" w:tplc="BD340FDA">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9FB6CAE"/>
    <w:multiLevelType w:val="hybridMultilevel"/>
    <w:tmpl w:val="879CE58C"/>
    <w:lvl w:ilvl="0" w:tplc="083A1D5E">
      <w:start w:val="1"/>
      <w:numFmt w:val="bullet"/>
      <w:lvlText w:val=""/>
      <w:lvlJc w:val="left"/>
      <w:pPr>
        <w:ind w:left="720" w:hanging="360"/>
      </w:pPr>
      <w:rPr>
        <w:rFonts w:ascii="Symbol" w:hAnsi="Symbol"/>
      </w:rPr>
    </w:lvl>
    <w:lvl w:ilvl="1" w:tplc="D54EA800">
      <w:start w:val="1"/>
      <w:numFmt w:val="bullet"/>
      <w:lvlText w:val=""/>
      <w:lvlJc w:val="left"/>
      <w:pPr>
        <w:ind w:left="2160" w:hanging="360"/>
      </w:pPr>
      <w:rPr>
        <w:rFonts w:ascii="Symbol" w:hAnsi="Symbol"/>
      </w:rPr>
    </w:lvl>
    <w:lvl w:ilvl="2" w:tplc="7E0AB5C0">
      <w:start w:val="1"/>
      <w:numFmt w:val="bullet"/>
      <w:lvlText w:val=""/>
      <w:lvlJc w:val="left"/>
      <w:pPr>
        <w:ind w:left="720" w:hanging="360"/>
      </w:pPr>
      <w:rPr>
        <w:rFonts w:ascii="Symbol" w:hAnsi="Symbol"/>
      </w:rPr>
    </w:lvl>
    <w:lvl w:ilvl="3" w:tplc="08E0D8A0">
      <w:start w:val="1"/>
      <w:numFmt w:val="bullet"/>
      <w:lvlText w:val=""/>
      <w:lvlJc w:val="left"/>
      <w:pPr>
        <w:ind w:left="720" w:hanging="360"/>
      </w:pPr>
      <w:rPr>
        <w:rFonts w:ascii="Symbol" w:hAnsi="Symbol"/>
      </w:rPr>
    </w:lvl>
    <w:lvl w:ilvl="4" w:tplc="F6FCD620">
      <w:start w:val="1"/>
      <w:numFmt w:val="bullet"/>
      <w:lvlText w:val=""/>
      <w:lvlJc w:val="left"/>
      <w:pPr>
        <w:ind w:left="720" w:hanging="360"/>
      </w:pPr>
      <w:rPr>
        <w:rFonts w:ascii="Symbol" w:hAnsi="Symbol"/>
      </w:rPr>
    </w:lvl>
    <w:lvl w:ilvl="5" w:tplc="46AEEC2C">
      <w:start w:val="1"/>
      <w:numFmt w:val="bullet"/>
      <w:lvlText w:val=""/>
      <w:lvlJc w:val="left"/>
      <w:pPr>
        <w:ind w:left="720" w:hanging="360"/>
      </w:pPr>
      <w:rPr>
        <w:rFonts w:ascii="Symbol" w:hAnsi="Symbol"/>
      </w:rPr>
    </w:lvl>
    <w:lvl w:ilvl="6" w:tplc="F02EBC7C">
      <w:start w:val="1"/>
      <w:numFmt w:val="bullet"/>
      <w:lvlText w:val=""/>
      <w:lvlJc w:val="left"/>
      <w:pPr>
        <w:ind w:left="720" w:hanging="360"/>
      </w:pPr>
      <w:rPr>
        <w:rFonts w:ascii="Symbol" w:hAnsi="Symbol"/>
      </w:rPr>
    </w:lvl>
    <w:lvl w:ilvl="7" w:tplc="93BAA912">
      <w:start w:val="1"/>
      <w:numFmt w:val="bullet"/>
      <w:lvlText w:val=""/>
      <w:lvlJc w:val="left"/>
      <w:pPr>
        <w:ind w:left="720" w:hanging="360"/>
      </w:pPr>
      <w:rPr>
        <w:rFonts w:ascii="Symbol" w:hAnsi="Symbol"/>
      </w:rPr>
    </w:lvl>
    <w:lvl w:ilvl="8" w:tplc="B87AC9BA">
      <w:start w:val="1"/>
      <w:numFmt w:val="bullet"/>
      <w:lvlText w:val=""/>
      <w:lvlJc w:val="left"/>
      <w:pPr>
        <w:ind w:left="720" w:hanging="360"/>
      </w:pPr>
      <w:rPr>
        <w:rFonts w:ascii="Symbol" w:hAnsi="Symbol"/>
      </w:rPr>
    </w:lvl>
  </w:abstractNum>
  <w:abstractNum w:abstractNumId="64" w15:restartNumberingAfterBreak="0">
    <w:nsid w:val="7F1A3951"/>
    <w:multiLevelType w:val="hybridMultilevel"/>
    <w:tmpl w:val="FFFFFFFF"/>
    <w:lvl w:ilvl="0" w:tplc="3C34E734">
      <w:start w:val="4"/>
      <w:numFmt w:val="decimal"/>
      <w:lvlText w:val="%1."/>
      <w:lvlJc w:val="left"/>
      <w:pPr>
        <w:ind w:left="360" w:hanging="360"/>
      </w:pPr>
    </w:lvl>
    <w:lvl w:ilvl="1" w:tplc="68FE4E8E">
      <w:start w:val="1"/>
      <w:numFmt w:val="lowerLetter"/>
      <w:lvlText w:val="%2."/>
      <w:lvlJc w:val="left"/>
      <w:pPr>
        <w:ind w:left="1440" w:hanging="360"/>
      </w:pPr>
    </w:lvl>
    <w:lvl w:ilvl="2" w:tplc="032C3146">
      <w:start w:val="1"/>
      <w:numFmt w:val="lowerRoman"/>
      <w:lvlText w:val="%3."/>
      <w:lvlJc w:val="right"/>
      <w:pPr>
        <w:ind w:left="2160" w:hanging="180"/>
      </w:pPr>
    </w:lvl>
    <w:lvl w:ilvl="3" w:tplc="A1165D00">
      <w:start w:val="1"/>
      <w:numFmt w:val="decimal"/>
      <w:lvlText w:val="%4."/>
      <w:lvlJc w:val="left"/>
      <w:pPr>
        <w:ind w:left="2880" w:hanging="360"/>
      </w:pPr>
    </w:lvl>
    <w:lvl w:ilvl="4" w:tplc="5AFE16A6">
      <w:start w:val="1"/>
      <w:numFmt w:val="lowerLetter"/>
      <w:lvlText w:val="%5."/>
      <w:lvlJc w:val="left"/>
      <w:pPr>
        <w:ind w:left="3600" w:hanging="360"/>
      </w:pPr>
    </w:lvl>
    <w:lvl w:ilvl="5" w:tplc="5970A67E">
      <w:start w:val="1"/>
      <w:numFmt w:val="lowerRoman"/>
      <w:lvlText w:val="%6."/>
      <w:lvlJc w:val="right"/>
      <w:pPr>
        <w:ind w:left="4320" w:hanging="180"/>
      </w:pPr>
    </w:lvl>
    <w:lvl w:ilvl="6" w:tplc="9E1631E2">
      <w:start w:val="1"/>
      <w:numFmt w:val="decimal"/>
      <w:lvlText w:val="%7."/>
      <w:lvlJc w:val="left"/>
      <w:pPr>
        <w:ind w:left="5040" w:hanging="360"/>
      </w:pPr>
    </w:lvl>
    <w:lvl w:ilvl="7" w:tplc="311C5EAA">
      <w:start w:val="1"/>
      <w:numFmt w:val="lowerLetter"/>
      <w:lvlText w:val="%8."/>
      <w:lvlJc w:val="left"/>
      <w:pPr>
        <w:ind w:left="5760" w:hanging="360"/>
      </w:pPr>
    </w:lvl>
    <w:lvl w:ilvl="8" w:tplc="0218C5C6">
      <w:start w:val="1"/>
      <w:numFmt w:val="lowerRoman"/>
      <w:lvlText w:val="%9."/>
      <w:lvlJc w:val="right"/>
      <w:pPr>
        <w:ind w:left="6480" w:hanging="180"/>
      </w:pPr>
    </w:lvl>
  </w:abstractNum>
  <w:abstractNum w:abstractNumId="65" w15:restartNumberingAfterBreak="0">
    <w:nsid w:val="7FF7A9B3"/>
    <w:multiLevelType w:val="hybridMultilevel"/>
    <w:tmpl w:val="FFFFFFFF"/>
    <w:lvl w:ilvl="0" w:tplc="C06A45E2">
      <w:start w:val="2"/>
      <w:numFmt w:val="decimal"/>
      <w:lvlText w:val="%1."/>
      <w:lvlJc w:val="left"/>
      <w:pPr>
        <w:ind w:left="360" w:hanging="360"/>
      </w:pPr>
    </w:lvl>
    <w:lvl w:ilvl="1" w:tplc="41A4A802">
      <w:start w:val="1"/>
      <w:numFmt w:val="lowerLetter"/>
      <w:lvlText w:val="%2."/>
      <w:lvlJc w:val="left"/>
      <w:pPr>
        <w:ind w:left="1440" w:hanging="360"/>
      </w:pPr>
    </w:lvl>
    <w:lvl w:ilvl="2" w:tplc="D9180036">
      <w:start w:val="1"/>
      <w:numFmt w:val="lowerRoman"/>
      <w:lvlText w:val="%3."/>
      <w:lvlJc w:val="right"/>
      <w:pPr>
        <w:ind w:left="2160" w:hanging="180"/>
      </w:pPr>
    </w:lvl>
    <w:lvl w:ilvl="3" w:tplc="88489270">
      <w:start w:val="1"/>
      <w:numFmt w:val="decimal"/>
      <w:lvlText w:val="%4."/>
      <w:lvlJc w:val="left"/>
      <w:pPr>
        <w:ind w:left="2880" w:hanging="360"/>
      </w:pPr>
    </w:lvl>
    <w:lvl w:ilvl="4" w:tplc="370E7890">
      <w:start w:val="1"/>
      <w:numFmt w:val="lowerLetter"/>
      <w:lvlText w:val="%5."/>
      <w:lvlJc w:val="left"/>
      <w:pPr>
        <w:ind w:left="3600" w:hanging="360"/>
      </w:pPr>
    </w:lvl>
    <w:lvl w:ilvl="5" w:tplc="AD3C4A00">
      <w:start w:val="1"/>
      <w:numFmt w:val="lowerRoman"/>
      <w:lvlText w:val="%6."/>
      <w:lvlJc w:val="right"/>
      <w:pPr>
        <w:ind w:left="4320" w:hanging="180"/>
      </w:pPr>
    </w:lvl>
    <w:lvl w:ilvl="6" w:tplc="5BB24E6E">
      <w:start w:val="1"/>
      <w:numFmt w:val="decimal"/>
      <w:lvlText w:val="%7."/>
      <w:lvlJc w:val="left"/>
      <w:pPr>
        <w:ind w:left="5040" w:hanging="360"/>
      </w:pPr>
    </w:lvl>
    <w:lvl w:ilvl="7" w:tplc="2BE09878">
      <w:start w:val="1"/>
      <w:numFmt w:val="lowerLetter"/>
      <w:lvlText w:val="%8."/>
      <w:lvlJc w:val="left"/>
      <w:pPr>
        <w:ind w:left="5760" w:hanging="360"/>
      </w:pPr>
    </w:lvl>
    <w:lvl w:ilvl="8" w:tplc="DEBC521E">
      <w:start w:val="1"/>
      <w:numFmt w:val="lowerRoman"/>
      <w:lvlText w:val="%9."/>
      <w:lvlJc w:val="right"/>
      <w:pPr>
        <w:ind w:left="6480" w:hanging="180"/>
      </w:pPr>
    </w:lvl>
  </w:abstractNum>
  <w:num w:numId="1">
    <w:abstractNumId w:val="64"/>
  </w:num>
  <w:num w:numId="2">
    <w:abstractNumId w:val="16"/>
  </w:num>
  <w:num w:numId="3">
    <w:abstractNumId w:val="65"/>
  </w:num>
  <w:num w:numId="4">
    <w:abstractNumId w:val="36"/>
  </w:num>
  <w:num w:numId="5">
    <w:abstractNumId w:val="33"/>
  </w:num>
  <w:num w:numId="6">
    <w:abstractNumId w:val="37"/>
  </w:num>
  <w:num w:numId="7">
    <w:abstractNumId w:val="13"/>
  </w:num>
  <w:num w:numId="8">
    <w:abstractNumId w:val="28"/>
  </w:num>
  <w:num w:numId="9">
    <w:abstractNumId w:val="24"/>
  </w:num>
  <w:num w:numId="10">
    <w:abstractNumId w:val="49"/>
  </w:num>
  <w:num w:numId="11">
    <w:abstractNumId w:val="9"/>
  </w:num>
  <w:num w:numId="12">
    <w:abstractNumId w:val="10"/>
  </w:num>
  <w:num w:numId="13">
    <w:abstractNumId w:val="3"/>
  </w:num>
  <w:num w:numId="14">
    <w:abstractNumId w:val="1"/>
  </w:num>
  <w:num w:numId="15">
    <w:abstractNumId w:val="2"/>
  </w:num>
  <w:num w:numId="16">
    <w:abstractNumId w:val="0"/>
  </w:num>
  <w:num w:numId="17">
    <w:abstractNumId w:val="26"/>
  </w:num>
  <w:num w:numId="18">
    <w:abstractNumId w:val="52"/>
  </w:num>
  <w:num w:numId="19">
    <w:abstractNumId w:val="46"/>
  </w:num>
  <w:num w:numId="20">
    <w:abstractNumId w:val="51"/>
  </w:num>
  <w:num w:numId="21">
    <w:abstractNumId w:val="58"/>
  </w:num>
  <w:num w:numId="22">
    <w:abstractNumId w:val="7"/>
  </w:num>
  <w:num w:numId="23">
    <w:abstractNumId w:val="2"/>
    <w:lvlOverride w:ilvl="0">
      <w:startOverride w:val="1"/>
    </w:lvlOverride>
  </w:num>
  <w:num w:numId="24">
    <w:abstractNumId w:val="2"/>
    <w:lvlOverride w:ilvl="0">
      <w:startOverride w:val="1"/>
    </w:lvlOverride>
  </w:num>
  <w:num w:numId="25">
    <w:abstractNumId w:val="62"/>
  </w:num>
  <w:num w:numId="26">
    <w:abstractNumId w:val="61"/>
  </w:num>
  <w:num w:numId="27">
    <w:abstractNumId w:val="15"/>
  </w:num>
  <w:num w:numId="28">
    <w:abstractNumId w:val="29"/>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5"/>
  </w:num>
  <w:num w:numId="36">
    <w:abstractNumId w:val="39"/>
  </w:num>
  <w:num w:numId="37">
    <w:abstractNumId w:val="56"/>
  </w:num>
  <w:num w:numId="38">
    <w:abstractNumId w:val="23"/>
  </w:num>
  <w:num w:numId="39">
    <w:abstractNumId w:val="6"/>
  </w:num>
  <w:num w:numId="40">
    <w:abstractNumId w:val="11"/>
  </w:num>
  <w:num w:numId="41">
    <w:abstractNumId w:val="21"/>
  </w:num>
  <w:num w:numId="42">
    <w:abstractNumId w:val="59"/>
  </w:num>
  <w:num w:numId="43">
    <w:abstractNumId w:val="12"/>
  </w:num>
  <w:num w:numId="44">
    <w:abstractNumId w:val="22"/>
  </w:num>
  <w:num w:numId="45">
    <w:abstractNumId w:val="48"/>
  </w:num>
  <w:num w:numId="46">
    <w:abstractNumId w:val="55"/>
  </w:num>
  <w:num w:numId="47">
    <w:abstractNumId w:val="43"/>
  </w:num>
  <w:num w:numId="48">
    <w:abstractNumId w:val="43"/>
  </w:num>
  <w:num w:numId="49">
    <w:abstractNumId w:val="17"/>
  </w:num>
  <w:num w:numId="50">
    <w:abstractNumId w:val="50"/>
  </w:num>
  <w:num w:numId="51">
    <w:abstractNumId w:val="53"/>
  </w:num>
  <w:num w:numId="52">
    <w:abstractNumId w:val="63"/>
  </w:num>
  <w:num w:numId="53">
    <w:abstractNumId w:val="34"/>
  </w:num>
  <w:num w:numId="54">
    <w:abstractNumId w:val="5"/>
  </w:num>
  <w:num w:numId="55">
    <w:abstractNumId w:val="30"/>
  </w:num>
  <w:num w:numId="56">
    <w:abstractNumId w:val="31"/>
  </w:num>
  <w:num w:numId="57">
    <w:abstractNumId w:val="45"/>
  </w:num>
  <w:num w:numId="58">
    <w:abstractNumId w:val="8"/>
  </w:num>
  <w:num w:numId="59">
    <w:abstractNumId w:val="54"/>
  </w:num>
  <w:num w:numId="60">
    <w:abstractNumId w:val="42"/>
  </w:num>
  <w:num w:numId="61">
    <w:abstractNumId w:val="14"/>
  </w:num>
  <w:num w:numId="62">
    <w:abstractNumId w:val="35"/>
  </w:num>
  <w:num w:numId="63">
    <w:abstractNumId w:val="19"/>
  </w:num>
  <w:num w:numId="64">
    <w:abstractNumId w:val="41"/>
  </w:num>
  <w:num w:numId="65">
    <w:abstractNumId w:val="40"/>
  </w:num>
  <w:num w:numId="66">
    <w:abstractNumId w:val="32"/>
  </w:num>
  <w:num w:numId="67">
    <w:abstractNumId w:val="60"/>
  </w:num>
  <w:num w:numId="68">
    <w:abstractNumId w:val="27"/>
  </w:num>
  <w:num w:numId="69">
    <w:abstractNumId w:val="18"/>
  </w:num>
  <w:num w:numId="70">
    <w:abstractNumId w:val="4"/>
  </w:num>
  <w:num w:numId="71">
    <w:abstractNumId w:val="38"/>
  </w:num>
  <w:num w:numId="72">
    <w:abstractNumId w:val="44"/>
  </w:num>
  <w:num w:numId="73">
    <w:abstractNumId w:val="20"/>
  </w:num>
  <w:num w:numId="74">
    <w:abstractNumId w:val="47"/>
  </w:num>
  <w:num w:numId="75">
    <w:abstractNumId w:val="57"/>
  </w:num>
  <w:num w:numId="76">
    <w:abstractNumId w:val="57"/>
    <w:lvlOverride w:ilvl="1">
      <w:lvl w:ilvl="1">
        <w:numFmt w:val="bullet"/>
        <w:lvlText w:val=""/>
        <w:lvlJc w:val="left"/>
        <w:pPr>
          <w:tabs>
            <w:tab w:val="num" w:pos="1440"/>
          </w:tabs>
          <w:ind w:left="1440" w:hanging="360"/>
        </w:pPr>
        <w:rPr>
          <w:rFonts w:ascii="Symbol" w:hAnsi="Symbol" w:hint="default"/>
          <w:sz w:val="20"/>
        </w:rPr>
      </w:lvl>
    </w:lvlOverride>
  </w:num>
  <w:num w:numId="77">
    <w:abstractNumId w:val="57"/>
    <w:lvlOverride w:ilvl="1">
      <w:lvl w:ilvl="1">
        <w:numFmt w:val="bullet"/>
        <w:lvlText w:val=""/>
        <w:lvlJc w:val="left"/>
        <w:pPr>
          <w:tabs>
            <w:tab w:val="num" w:pos="1440"/>
          </w:tabs>
          <w:ind w:left="1440" w:hanging="360"/>
        </w:pPr>
        <w:rPr>
          <w:rFonts w:ascii="Symbol" w:hAnsi="Symbol" w:hint="default"/>
          <w:sz w:val="20"/>
        </w:rPr>
      </w:lvl>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removePersonalInformation/>
  <w:removeDateAndTime/>
  <w:displayBackgroundShap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BD"/>
    <w:rsid w:val="00002A7F"/>
    <w:rsid w:val="0000411B"/>
    <w:rsid w:val="000050B8"/>
    <w:rsid w:val="0000752B"/>
    <w:rsid w:val="00007DAB"/>
    <w:rsid w:val="00010667"/>
    <w:rsid w:val="0001249F"/>
    <w:rsid w:val="000129D5"/>
    <w:rsid w:val="0001360F"/>
    <w:rsid w:val="00014A99"/>
    <w:rsid w:val="00014D10"/>
    <w:rsid w:val="00015AE7"/>
    <w:rsid w:val="00016E21"/>
    <w:rsid w:val="0001719C"/>
    <w:rsid w:val="00017F42"/>
    <w:rsid w:val="00020ADE"/>
    <w:rsid w:val="00020FDB"/>
    <w:rsid w:val="00021C94"/>
    <w:rsid w:val="0002224E"/>
    <w:rsid w:val="00022640"/>
    <w:rsid w:val="00024332"/>
    <w:rsid w:val="000245E5"/>
    <w:rsid w:val="000268B1"/>
    <w:rsid w:val="00026F91"/>
    <w:rsid w:val="00027330"/>
    <w:rsid w:val="00027CB2"/>
    <w:rsid w:val="00030919"/>
    <w:rsid w:val="00030D14"/>
    <w:rsid w:val="000331F4"/>
    <w:rsid w:val="00036A47"/>
    <w:rsid w:val="00041183"/>
    <w:rsid w:val="0004334B"/>
    <w:rsid w:val="00043379"/>
    <w:rsid w:val="000437F8"/>
    <w:rsid w:val="0004655E"/>
    <w:rsid w:val="0004666B"/>
    <w:rsid w:val="0004764C"/>
    <w:rsid w:val="000477C3"/>
    <w:rsid w:val="00047CA9"/>
    <w:rsid w:val="0005011A"/>
    <w:rsid w:val="00050229"/>
    <w:rsid w:val="0005045A"/>
    <w:rsid w:val="00050A83"/>
    <w:rsid w:val="00051C1E"/>
    <w:rsid w:val="000521FE"/>
    <w:rsid w:val="00052D33"/>
    <w:rsid w:val="000539F9"/>
    <w:rsid w:val="00053B2C"/>
    <w:rsid w:val="00053DD1"/>
    <w:rsid w:val="00054C27"/>
    <w:rsid w:val="00055911"/>
    <w:rsid w:val="00055EC3"/>
    <w:rsid w:val="000563CE"/>
    <w:rsid w:val="00057101"/>
    <w:rsid w:val="000606A6"/>
    <w:rsid w:val="00061781"/>
    <w:rsid w:val="00064435"/>
    <w:rsid w:val="00064D37"/>
    <w:rsid w:val="000659B6"/>
    <w:rsid w:val="0006686F"/>
    <w:rsid w:val="0006722A"/>
    <w:rsid w:val="0006786A"/>
    <w:rsid w:val="00072EFB"/>
    <w:rsid w:val="000732CF"/>
    <w:rsid w:val="0007423D"/>
    <w:rsid w:val="00075B96"/>
    <w:rsid w:val="00077B5E"/>
    <w:rsid w:val="00080683"/>
    <w:rsid w:val="00080CC5"/>
    <w:rsid w:val="0008140A"/>
    <w:rsid w:val="0008196A"/>
    <w:rsid w:val="000852B5"/>
    <w:rsid w:val="000853F6"/>
    <w:rsid w:val="00086584"/>
    <w:rsid w:val="00086C48"/>
    <w:rsid w:val="00086DB4"/>
    <w:rsid w:val="00087DFB"/>
    <w:rsid w:val="000915ED"/>
    <w:rsid w:val="00091E5F"/>
    <w:rsid w:val="0009209D"/>
    <w:rsid w:val="000926A8"/>
    <w:rsid w:val="00093231"/>
    <w:rsid w:val="00093B2A"/>
    <w:rsid w:val="00093B9B"/>
    <w:rsid w:val="0009463C"/>
    <w:rsid w:val="00095686"/>
    <w:rsid w:val="00095B71"/>
    <w:rsid w:val="00096196"/>
    <w:rsid w:val="000969BD"/>
    <w:rsid w:val="000969BF"/>
    <w:rsid w:val="00096F8C"/>
    <w:rsid w:val="000971BD"/>
    <w:rsid w:val="00097410"/>
    <w:rsid w:val="000A0670"/>
    <w:rsid w:val="000A0C22"/>
    <w:rsid w:val="000A1400"/>
    <w:rsid w:val="000A2D04"/>
    <w:rsid w:val="000A38F0"/>
    <w:rsid w:val="000A3C43"/>
    <w:rsid w:val="000A3E65"/>
    <w:rsid w:val="000A431E"/>
    <w:rsid w:val="000A4A51"/>
    <w:rsid w:val="000A4EAC"/>
    <w:rsid w:val="000A5D2B"/>
    <w:rsid w:val="000A6479"/>
    <w:rsid w:val="000A6971"/>
    <w:rsid w:val="000A6981"/>
    <w:rsid w:val="000A6A57"/>
    <w:rsid w:val="000A73DE"/>
    <w:rsid w:val="000B0716"/>
    <w:rsid w:val="000B0BD6"/>
    <w:rsid w:val="000B0CA9"/>
    <w:rsid w:val="000B2D63"/>
    <w:rsid w:val="000B4664"/>
    <w:rsid w:val="000B57A0"/>
    <w:rsid w:val="000B5DE3"/>
    <w:rsid w:val="000C0A57"/>
    <w:rsid w:val="000C14C1"/>
    <w:rsid w:val="000C1CEE"/>
    <w:rsid w:val="000C1EF3"/>
    <w:rsid w:val="000C230C"/>
    <w:rsid w:val="000C2C74"/>
    <w:rsid w:val="000C3CB2"/>
    <w:rsid w:val="000C419A"/>
    <w:rsid w:val="000C55C3"/>
    <w:rsid w:val="000C5ED7"/>
    <w:rsid w:val="000C64C9"/>
    <w:rsid w:val="000C6765"/>
    <w:rsid w:val="000C6793"/>
    <w:rsid w:val="000C6AB4"/>
    <w:rsid w:val="000C73D2"/>
    <w:rsid w:val="000D07D1"/>
    <w:rsid w:val="000D24A4"/>
    <w:rsid w:val="000D2F9F"/>
    <w:rsid w:val="000D3984"/>
    <w:rsid w:val="000D3B4A"/>
    <w:rsid w:val="000D47A5"/>
    <w:rsid w:val="000D50E8"/>
    <w:rsid w:val="000D5798"/>
    <w:rsid w:val="000D59C7"/>
    <w:rsid w:val="000D5A96"/>
    <w:rsid w:val="000D65F5"/>
    <w:rsid w:val="000D6650"/>
    <w:rsid w:val="000D71D9"/>
    <w:rsid w:val="000D76E0"/>
    <w:rsid w:val="000D7E8B"/>
    <w:rsid w:val="000E2E84"/>
    <w:rsid w:val="000E3943"/>
    <w:rsid w:val="000E4132"/>
    <w:rsid w:val="000E4449"/>
    <w:rsid w:val="000E6002"/>
    <w:rsid w:val="000E6097"/>
    <w:rsid w:val="000E6CDD"/>
    <w:rsid w:val="000E6E0D"/>
    <w:rsid w:val="000E6F25"/>
    <w:rsid w:val="000F0738"/>
    <w:rsid w:val="000F087D"/>
    <w:rsid w:val="000F0ABC"/>
    <w:rsid w:val="000F34F8"/>
    <w:rsid w:val="000F379F"/>
    <w:rsid w:val="000F625D"/>
    <w:rsid w:val="000F68D0"/>
    <w:rsid w:val="000F6B0B"/>
    <w:rsid w:val="000F6DEB"/>
    <w:rsid w:val="000F710C"/>
    <w:rsid w:val="00100604"/>
    <w:rsid w:val="0010078F"/>
    <w:rsid w:val="001014F0"/>
    <w:rsid w:val="00102474"/>
    <w:rsid w:val="0010267F"/>
    <w:rsid w:val="00103829"/>
    <w:rsid w:val="001042F3"/>
    <w:rsid w:val="00105385"/>
    <w:rsid w:val="00107073"/>
    <w:rsid w:val="00107D1C"/>
    <w:rsid w:val="001101A0"/>
    <w:rsid w:val="00111FCE"/>
    <w:rsid w:val="001120C9"/>
    <w:rsid w:val="0011319E"/>
    <w:rsid w:val="00113F84"/>
    <w:rsid w:val="00114BF1"/>
    <w:rsid w:val="0011630E"/>
    <w:rsid w:val="00117AFD"/>
    <w:rsid w:val="001204B1"/>
    <w:rsid w:val="0012102C"/>
    <w:rsid w:val="00121550"/>
    <w:rsid w:val="001229A5"/>
    <w:rsid w:val="00122C4C"/>
    <w:rsid w:val="0012326F"/>
    <w:rsid w:val="0012489B"/>
    <w:rsid w:val="0012494C"/>
    <w:rsid w:val="001275F0"/>
    <w:rsid w:val="00130017"/>
    <w:rsid w:val="00130629"/>
    <w:rsid w:val="00130F91"/>
    <w:rsid w:val="001318B7"/>
    <w:rsid w:val="0013457D"/>
    <w:rsid w:val="001349ED"/>
    <w:rsid w:val="00134B68"/>
    <w:rsid w:val="00137424"/>
    <w:rsid w:val="00140318"/>
    <w:rsid w:val="00141AD9"/>
    <w:rsid w:val="00142EA9"/>
    <w:rsid w:val="00144494"/>
    <w:rsid w:val="001456EF"/>
    <w:rsid w:val="00146CE6"/>
    <w:rsid w:val="00146F18"/>
    <w:rsid w:val="001471C7"/>
    <w:rsid w:val="00150E06"/>
    <w:rsid w:val="00152903"/>
    <w:rsid w:val="00153FD5"/>
    <w:rsid w:val="00154680"/>
    <w:rsid w:val="00154D32"/>
    <w:rsid w:val="001560AA"/>
    <w:rsid w:val="0015614F"/>
    <w:rsid w:val="00156321"/>
    <w:rsid w:val="00156B94"/>
    <w:rsid w:val="0015749A"/>
    <w:rsid w:val="001577C2"/>
    <w:rsid w:val="00161474"/>
    <w:rsid w:val="00162748"/>
    <w:rsid w:val="00162D8B"/>
    <w:rsid w:val="001633C4"/>
    <w:rsid w:val="00163462"/>
    <w:rsid w:val="001642AF"/>
    <w:rsid w:val="0016484A"/>
    <w:rsid w:val="00164FD9"/>
    <w:rsid w:val="00165623"/>
    <w:rsid w:val="00165695"/>
    <w:rsid w:val="0016613A"/>
    <w:rsid w:val="00166447"/>
    <w:rsid w:val="001701AF"/>
    <w:rsid w:val="001704D5"/>
    <w:rsid w:val="00171591"/>
    <w:rsid w:val="001726AB"/>
    <w:rsid w:val="00172B4B"/>
    <w:rsid w:val="00173981"/>
    <w:rsid w:val="00176672"/>
    <w:rsid w:val="0017719D"/>
    <w:rsid w:val="0018042C"/>
    <w:rsid w:val="00180A83"/>
    <w:rsid w:val="00180D07"/>
    <w:rsid w:val="00181180"/>
    <w:rsid w:val="00183FD7"/>
    <w:rsid w:val="00184A29"/>
    <w:rsid w:val="00185CAB"/>
    <w:rsid w:val="00186343"/>
    <w:rsid w:val="001875B7"/>
    <w:rsid w:val="00187CB3"/>
    <w:rsid w:val="0019050A"/>
    <w:rsid w:val="00190654"/>
    <w:rsid w:val="001910D4"/>
    <w:rsid w:val="00192867"/>
    <w:rsid w:val="00193869"/>
    <w:rsid w:val="00193ACE"/>
    <w:rsid w:val="00195202"/>
    <w:rsid w:val="00195F41"/>
    <w:rsid w:val="00196C89"/>
    <w:rsid w:val="001976E3"/>
    <w:rsid w:val="001A10E8"/>
    <w:rsid w:val="001A117D"/>
    <w:rsid w:val="001A1DFA"/>
    <w:rsid w:val="001A2147"/>
    <w:rsid w:val="001A2A53"/>
    <w:rsid w:val="001A34EF"/>
    <w:rsid w:val="001A4074"/>
    <w:rsid w:val="001A43B1"/>
    <w:rsid w:val="001A44EC"/>
    <w:rsid w:val="001A69CF"/>
    <w:rsid w:val="001A6BC9"/>
    <w:rsid w:val="001A7620"/>
    <w:rsid w:val="001A7A65"/>
    <w:rsid w:val="001B0570"/>
    <w:rsid w:val="001B14ED"/>
    <w:rsid w:val="001B15A8"/>
    <w:rsid w:val="001B28D9"/>
    <w:rsid w:val="001B58AA"/>
    <w:rsid w:val="001B5A92"/>
    <w:rsid w:val="001B6113"/>
    <w:rsid w:val="001B6DB7"/>
    <w:rsid w:val="001B6E6F"/>
    <w:rsid w:val="001B7E40"/>
    <w:rsid w:val="001B7E48"/>
    <w:rsid w:val="001C04C0"/>
    <w:rsid w:val="001C103F"/>
    <w:rsid w:val="001C17CE"/>
    <w:rsid w:val="001C36CA"/>
    <w:rsid w:val="001C44D1"/>
    <w:rsid w:val="001C5529"/>
    <w:rsid w:val="001C6AEE"/>
    <w:rsid w:val="001C6CA8"/>
    <w:rsid w:val="001C7630"/>
    <w:rsid w:val="001D0631"/>
    <w:rsid w:val="001D1188"/>
    <w:rsid w:val="001D2915"/>
    <w:rsid w:val="001D31B0"/>
    <w:rsid w:val="001D3348"/>
    <w:rsid w:val="001D3525"/>
    <w:rsid w:val="001D4DD0"/>
    <w:rsid w:val="001D59FE"/>
    <w:rsid w:val="001D5C2E"/>
    <w:rsid w:val="001D6D15"/>
    <w:rsid w:val="001D7903"/>
    <w:rsid w:val="001E016F"/>
    <w:rsid w:val="001E11F8"/>
    <w:rsid w:val="001E21B5"/>
    <w:rsid w:val="001E4CD3"/>
    <w:rsid w:val="001E57E1"/>
    <w:rsid w:val="001E7A32"/>
    <w:rsid w:val="001E7EBE"/>
    <w:rsid w:val="001F0E12"/>
    <w:rsid w:val="001F0FCE"/>
    <w:rsid w:val="001F104D"/>
    <w:rsid w:val="001F1AB7"/>
    <w:rsid w:val="001F216B"/>
    <w:rsid w:val="001F4882"/>
    <w:rsid w:val="001F5035"/>
    <w:rsid w:val="001F65D0"/>
    <w:rsid w:val="001F71CA"/>
    <w:rsid w:val="001F7558"/>
    <w:rsid w:val="001F7DA1"/>
    <w:rsid w:val="00200AE8"/>
    <w:rsid w:val="00200B35"/>
    <w:rsid w:val="00202605"/>
    <w:rsid w:val="00204CBE"/>
    <w:rsid w:val="00204CC8"/>
    <w:rsid w:val="0020535B"/>
    <w:rsid w:val="00205B57"/>
    <w:rsid w:val="002102FA"/>
    <w:rsid w:val="00210C17"/>
    <w:rsid w:val="002114FD"/>
    <w:rsid w:val="00211E02"/>
    <w:rsid w:val="0021499C"/>
    <w:rsid w:val="002157E0"/>
    <w:rsid w:val="0021582C"/>
    <w:rsid w:val="00215982"/>
    <w:rsid w:val="00215E45"/>
    <w:rsid w:val="00216A57"/>
    <w:rsid w:val="00217448"/>
    <w:rsid w:val="002178DA"/>
    <w:rsid w:val="0022040C"/>
    <w:rsid w:val="00221FE8"/>
    <w:rsid w:val="00222B51"/>
    <w:rsid w:val="0022334F"/>
    <w:rsid w:val="002246E6"/>
    <w:rsid w:val="00224B67"/>
    <w:rsid w:val="00226819"/>
    <w:rsid w:val="00231360"/>
    <w:rsid w:val="00233101"/>
    <w:rsid w:val="00233817"/>
    <w:rsid w:val="002343BB"/>
    <w:rsid w:val="002352ED"/>
    <w:rsid w:val="002367FF"/>
    <w:rsid w:val="00240912"/>
    <w:rsid w:val="00240CE9"/>
    <w:rsid w:val="0024149C"/>
    <w:rsid w:val="00241A9E"/>
    <w:rsid w:val="00241CC9"/>
    <w:rsid w:val="00242860"/>
    <w:rsid w:val="00243440"/>
    <w:rsid w:val="002434BA"/>
    <w:rsid w:val="0024392E"/>
    <w:rsid w:val="00243B5A"/>
    <w:rsid w:val="002455FE"/>
    <w:rsid w:val="00245F7A"/>
    <w:rsid w:val="00246089"/>
    <w:rsid w:val="00246093"/>
    <w:rsid w:val="002463A6"/>
    <w:rsid w:val="00246549"/>
    <w:rsid w:val="002466DC"/>
    <w:rsid w:val="00246702"/>
    <w:rsid w:val="00246FC4"/>
    <w:rsid w:val="00247C59"/>
    <w:rsid w:val="00247F2E"/>
    <w:rsid w:val="00250ADC"/>
    <w:rsid w:val="00250B07"/>
    <w:rsid w:val="002527AC"/>
    <w:rsid w:val="00253B13"/>
    <w:rsid w:val="00254E6A"/>
    <w:rsid w:val="00255A81"/>
    <w:rsid w:val="00255CC6"/>
    <w:rsid w:val="00256210"/>
    <w:rsid w:val="002564E1"/>
    <w:rsid w:val="00257553"/>
    <w:rsid w:val="002604D2"/>
    <w:rsid w:val="00260FB2"/>
    <w:rsid w:val="0026103B"/>
    <w:rsid w:val="00262128"/>
    <w:rsid w:val="00263EFE"/>
    <w:rsid w:val="0026447F"/>
    <w:rsid w:val="00264622"/>
    <w:rsid w:val="0026699A"/>
    <w:rsid w:val="002703A8"/>
    <w:rsid w:val="0027165D"/>
    <w:rsid w:val="00271737"/>
    <w:rsid w:val="00271AE1"/>
    <w:rsid w:val="00271F25"/>
    <w:rsid w:val="002733DB"/>
    <w:rsid w:val="002737BE"/>
    <w:rsid w:val="00273CEB"/>
    <w:rsid w:val="002754FD"/>
    <w:rsid w:val="0027557A"/>
    <w:rsid w:val="00275743"/>
    <w:rsid w:val="00276874"/>
    <w:rsid w:val="00276962"/>
    <w:rsid w:val="002778F5"/>
    <w:rsid w:val="002779CF"/>
    <w:rsid w:val="002803F7"/>
    <w:rsid w:val="002818FD"/>
    <w:rsid w:val="00281C89"/>
    <w:rsid w:val="0028282F"/>
    <w:rsid w:val="00282880"/>
    <w:rsid w:val="002835E4"/>
    <w:rsid w:val="00283C1D"/>
    <w:rsid w:val="00284251"/>
    <w:rsid w:val="00284A74"/>
    <w:rsid w:val="00286098"/>
    <w:rsid w:val="00287DF7"/>
    <w:rsid w:val="00292EFF"/>
    <w:rsid w:val="00294F8E"/>
    <w:rsid w:val="0029593B"/>
    <w:rsid w:val="00295A1B"/>
    <w:rsid w:val="00295D7C"/>
    <w:rsid w:val="00297ABD"/>
    <w:rsid w:val="00297FC5"/>
    <w:rsid w:val="002A0417"/>
    <w:rsid w:val="002A16D8"/>
    <w:rsid w:val="002A1BC8"/>
    <w:rsid w:val="002A2A24"/>
    <w:rsid w:val="002A3186"/>
    <w:rsid w:val="002A39C5"/>
    <w:rsid w:val="002A3EF2"/>
    <w:rsid w:val="002A5B02"/>
    <w:rsid w:val="002B0055"/>
    <w:rsid w:val="002B0CF2"/>
    <w:rsid w:val="002B0DED"/>
    <w:rsid w:val="002B19A2"/>
    <w:rsid w:val="002B381A"/>
    <w:rsid w:val="002B4CD8"/>
    <w:rsid w:val="002B4FCC"/>
    <w:rsid w:val="002B5A61"/>
    <w:rsid w:val="002B6107"/>
    <w:rsid w:val="002B6550"/>
    <w:rsid w:val="002B6D65"/>
    <w:rsid w:val="002B7408"/>
    <w:rsid w:val="002B770D"/>
    <w:rsid w:val="002B7CFD"/>
    <w:rsid w:val="002C077C"/>
    <w:rsid w:val="002C0ED9"/>
    <w:rsid w:val="002C210F"/>
    <w:rsid w:val="002C3AD3"/>
    <w:rsid w:val="002C416F"/>
    <w:rsid w:val="002C5311"/>
    <w:rsid w:val="002C5FCC"/>
    <w:rsid w:val="002C62CF"/>
    <w:rsid w:val="002C710B"/>
    <w:rsid w:val="002C796E"/>
    <w:rsid w:val="002D1852"/>
    <w:rsid w:val="002D26F1"/>
    <w:rsid w:val="002D30E4"/>
    <w:rsid w:val="002D3600"/>
    <w:rsid w:val="002D39D6"/>
    <w:rsid w:val="002D4264"/>
    <w:rsid w:val="002D4DDB"/>
    <w:rsid w:val="002D59A7"/>
    <w:rsid w:val="002D5AA8"/>
    <w:rsid w:val="002D6C34"/>
    <w:rsid w:val="002D72F8"/>
    <w:rsid w:val="002E0DEF"/>
    <w:rsid w:val="002E14FC"/>
    <w:rsid w:val="002E2C5E"/>
    <w:rsid w:val="002E3646"/>
    <w:rsid w:val="002E37F2"/>
    <w:rsid w:val="002E3C28"/>
    <w:rsid w:val="002E4151"/>
    <w:rsid w:val="002E4DDC"/>
    <w:rsid w:val="002E575A"/>
    <w:rsid w:val="002E5A74"/>
    <w:rsid w:val="002E6C27"/>
    <w:rsid w:val="002F229F"/>
    <w:rsid w:val="002F333D"/>
    <w:rsid w:val="002F3872"/>
    <w:rsid w:val="002F49CB"/>
    <w:rsid w:val="002F577B"/>
    <w:rsid w:val="002F5F25"/>
    <w:rsid w:val="002F6BF6"/>
    <w:rsid w:val="002F6D5F"/>
    <w:rsid w:val="002F7684"/>
    <w:rsid w:val="00301A3F"/>
    <w:rsid w:val="00302480"/>
    <w:rsid w:val="00302758"/>
    <w:rsid w:val="0030401A"/>
    <w:rsid w:val="003046AD"/>
    <w:rsid w:val="00304790"/>
    <w:rsid w:val="00306345"/>
    <w:rsid w:val="00306491"/>
    <w:rsid w:val="0031067D"/>
    <w:rsid w:val="003117B4"/>
    <w:rsid w:val="00311E0D"/>
    <w:rsid w:val="003125DD"/>
    <w:rsid w:val="003129A4"/>
    <w:rsid w:val="0031315A"/>
    <w:rsid w:val="00313337"/>
    <w:rsid w:val="00313C92"/>
    <w:rsid w:val="00314D77"/>
    <w:rsid w:val="00314DE7"/>
    <w:rsid w:val="00315D34"/>
    <w:rsid w:val="00316446"/>
    <w:rsid w:val="0031655B"/>
    <w:rsid w:val="003165E6"/>
    <w:rsid w:val="00316C63"/>
    <w:rsid w:val="00316FBD"/>
    <w:rsid w:val="00317351"/>
    <w:rsid w:val="0032081C"/>
    <w:rsid w:val="003215B5"/>
    <w:rsid w:val="003221CF"/>
    <w:rsid w:val="00322F42"/>
    <w:rsid w:val="003233ED"/>
    <w:rsid w:val="00324174"/>
    <w:rsid w:val="003241CE"/>
    <w:rsid w:val="00324611"/>
    <w:rsid w:val="003247A5"/>
    <w:rsid w:val="00324D9F"/>
    <w:rsid w:val="003254E9"/>
    <w:rsid w:val="00325ED4"/>
    <w:rsid w:val="00326103"/>
    <w:rsid w:val="00327948"/>
    <w:rsid w:val="00327D7E"/>
    <w:rsid w:val="0033000F"/>
    <w:rsid w:val="00331581"/>
    <w:rsid w:val="00332011"/>
    <w:rsid w:val="00332365"/>
    <w:rsid w:val="00332518"/>
    <w:rsid w:val="00332925"/>
    <w:rsid w:val="003332ED"/>
    <w:rsid w:val="00334281"/>
    <w:rsid w:val="0033432C"/>
    <w:rsid w:val="00334CF1"/>
    <w:rsid w:val="003368DC"/>
    <w:rsid w:val="003401F3"/>
    <w:rsid w:val="003407F8"/>
    <w:rsid w:val="00340873"/>
    <w:rsid w:val="003413B2"/>
    <w:rsid w:val="00341C91"/>
    <w:rsid w:val="0034235F"/>
    <w:rsid w:val="00342F93"/>
    <w:rsid w:val="003441DD"/>
    <w:rsid w:val="00344591"/>
    <w:rsid w:val="00344F61"/>
    <w:rsid w:val="003453E7"/>
    <w:rsid w:val="0034557A"/>
    <w:rsid w:val="003456AE"/>
    <w:rsid w:val="00345927"/>
    <w:rsid w:val="00346720"/>
    <w:rsid w:val="00346955"/>
    <w:rsid w:val="00350259"/>
    <w:rsid w:val="00350584"/>
    <w:rsid w:val="00351754"/>
    <w:rsid w:val="00351857"/>
    <w:rsid w:val="00352420"/>
    <w:rsid w:val="003525A9"/>
    <w:rsid w:val="00353DB7"/>
    <w:rsid w:val="003545E8"/>
    <w:rsid w:val="0035466C"/>
    <w:rsid w:val="00355339"/>
    <w:rsid w:val="003565BC"/>
    <w:rsid w:val="00356F00"/>
    <w:rsid w:val="00357132"/>
    <w:rsid w:val="00357500"/>
    <w:rsid w:val="0035783C"/>
    <w:rsid w:val="003601DD"/>
    <w:rsid w:val="003610E1"/>
    <w:rsid w:val="003618EF"/>
    <w:rsid w:val="00362228"/>
    <w:rsid w:val="00362DDB"/>
    <w:rsid w:val="00366A57"/>
    <w:rsid w:val="00366D33"/>
    <w:rsid w:val="003671BE"/>
    <w:rsid w:val="00367F65"/>
    <w:rsid w:val="003711D6"/>
    <w:rsid w:val="00372177"/>
    <w:rsid w:val="00372485"/>
    <w:rsid w:val="00373136"/>
    <w:rsid w:val="00373200"/>
    <w:rsid w:val="00373A7D"/>
    <w:rsid w:val="003754CC"/>
    <w:rsid w:val="00375AD2"/>
    <w:rsid w:val="00375EF5"/>
    <w:rsid w:val="003767A5"/>
    <w:rsid w:val="00380EB0"/>
    <w:rsid w:val="00381B15"/>
    <w:rsid w:val="00381D15"/>
    <w:rsid w:val="00382D4D"/>
    <w:rsid w:val="00383AA2"/>
    <w:rsid w:val="00384D3D"/>
    <w:rsid w:val="00385070"/>
    <w:rsid w:val="00385254"/>
    <w:rsid w:val="00386011"/>
    <w:rsid w:val="0038748B"/>
    <w:rsid w:val="0038753D"/>
    <w:rsid w:val="00390963"/>
    <w:rsid w:val="00390F3D"/>
    <w:rsid w:val="003929B7"/>
    <w:rsid w:val="00392CE0"/>
    <w:rsid w:val="00393C4A"/>
    <w:rsid w:val="003942A7"/>
    <w:rsid w:val="003942C0"/>
    <w:rsid w:val="0039439D"/>
    <w:rsid w:val="00394432"/>
    <w:rsid w:val="003949BC"/>
    <w:rsid w:val="00394DF1"/>
    <w:rsid w:val="00395232"/>
    <w:rsid w:val="00396611"/>
    <w:rsid w:val="00396C6A"/>
    <w:rsid w:val="003A04DB"/>
    <w:rsid w:val="003A06D5"/>
    <w:rsid w:val="003A0CF3"/>
    <w:rsid w:val="003A12B1"/>
    <w:rsid w:val="003A301F"/>
    <w:rsid w:val="003A5F5B"/>
    <w:rsid w:val="003A6340"/>
    <w:rsid w:val="003A650A"/>
    <w:rsid w:val="003A789A"/>
    <w:rsid w:val="003B03BB"/>
    <w:rsid w:val="003B0E06"/>
    <w:rsid w:val="003B12EC"/>
    <w:rsid w:val="003B1F76"/>
    <w:rsid w:val="003B299A"/>
    <w:rsid w:val="003B5679"/>
    <w:rsid w:val="003B5D84"/>
    <w:rsid w:val="003B78A9"/>
    <w:rsid w:val="003B7E91"/>
    <w:rsid w:val="003B7F68"/>
    <w:rsid w:val="003C2D05"/>
    <w:rsid w:val="003C3199"/>
    <w:rsid w:val="003C4631"/>
    <w:rsid w:val="003C61F6"/>
    <w:rsid w:val="003C7332"/>
    <w:rsid w:val="003C77E0"/>
    <w:rsid w:val="003C7966"/>
    <w:rsid w:val="003C79D7"/>
    <w:rsid w:val="003D08D4"/>
    <w:rsid w:val="003D0CC9"/>
    <w:rsid w:val="003D17D7"/>
    <w:rsid w:val="003D1CFD"/>
    <w:rsid w:val="003D24AA"/>
    <w:rsid w:val="003D2678"/>
    <w:rsid w:val="003D33D5"/>
    <w:rsid w:val="003D3ED0"/>
    <w:rsid w:val="003D410E"/>
    <w:rsid w:val="003D60C4"/>
    <w:rsid w:val="003D71A3"/>
    <w:rsid w:val="003D72C6"/>
    <w:rsid w:val="003E2B8A"/>
    <w:rsid w:val="003E3929"/>
    <w:rsid w:val="003E392F"/>
    <w:rsid w:val="003E398C"/>
    <w:rsid w:val="003E3C0E"/>
    <w:rsid w:val="003E5007"/>
    <w:rsid w:val="003E56DB"/>
    <w:rsid w:val="003E6579"/>
    <w:rsid w:val="003E669F"/>
    <w:rsid w:val="003E75ED"/>
    <w:rsid w:val="003E7FA7"/>
    <w:rsid w:val="003F10EE"/>
    <w:rsid w:val="003F16F6"/>
    <w:rsid w:val="003F1B47"/>
    <w:rsid w:val="003F24E5"/>
    <w:rsid w:val="003F2A44"/>
    <w:rsid w:val="003F3B36"/>
    <w:rsid w:val="003F4DC7"/>
    <w:rsid w:val="003F5235"/>
    <w:rsid w:val="003F5771"/>
    <w:rsid w:val="003F585C"/>
    <w:rsid w:val="003F7147"/>
    <w:rsid w:val="003F72B5"/>
    <w:rsid w:val="003F7460"/>
    <w:rsid w:val="00401A74"/>
    <w:rsid w:val="004027E4"/>
    <w:rsid w:val="004040FA"/>
    <w:rsid w:val="00404124"/>
    <w:rsid w:val="0040419D"/>
    <w:rsid w:val="00404A7D"/>
    <w:rsid w:val="00406FAC"/>
    <w:rsid w:val="00407414"/>
    <w:rsid w:val="004105D0"/>
    <w:rsid w:val="0041071D"/>
    <w:rsid w:val="00412DE6"/>
    <w:rsid w:val="00413451"/>
    <w:rsid w:val="00414AFC"/>
    <w:rsid w:val="004151A7"/>
    <w:rsid w:val="00415310"/>
    <w:rsid w:val="00415F88"/>
    <w:rsid w:val="004200F2"/>
    <w:rsid w:val="0042013A"/>
    <w:rsid w:val="0042028C"/>
    <w:rsid w:val="00421709"/>
    <w:rsid w:val="00421998"/>
    <w:rsid w:val="004223C1"/>
    <w:rsid w:val="0042258C"/>
    <w:rsid w:val="00423035"/>
    <w:rsid w:val="00423763"/>
    <w:rsid w:val="004240F2"/>
    <w:rsid w:val="00424CBA"/>
    <w:rsid w:val="0042762F"/>
    <w:rsid w:val="00427DC7"/>
    <w:rsid w:val="00431613"/>
    <w:rsid w:val="00431792"/>
    <w:rsid w:val="00431EE1"/>
    <w:rsid w:val="0043256A"/>
    <w:rsid w:val="0043297A"/>
    <w:rsid w:val="00432EB2"/>
    <w:rsid w:val="0043516E"/>
    <w:rsid w:val="004353E7"/>
    <w:rsid w:val="00435B13"/>
    <w:rsid w:val="0043626E"/>
    <w:rsid w:val="00436B30"/>
    <w:rsid w:val="00436C39"/>
    <w:rsid w:val="0043714F"/>
    <w:rsid w:val="00437C7C"/>
    <w:rsid w:val="00437D6E"/>
    <w:rsid w:val="00440A5D"/>
    <w:rsid w:val="004438B5"/>
    <w:rsid w:val="00444004"/>
    <w:rsid w:val="0044411B"/>
    <w:rsid w:val="004441FC"/>
    <w:rsid w:val="00446235"/>
    <w:rsid w:val="0044635E"/>
    <w:rsid w:val="00447037"/>
    <w:rsid w:val="004511C5"/>
    <w:rsid w:val="0045124D"/>
    <w:rsid w:val="00451A88"/>
    <w:rsid w:val="00454596"/>
    <w:rsid w:val="004549A5"/>
    <w:rsid w:val="0045578C"/>
    <w:rsid w:val="0045605D"/>
    <w:rsid w:val="00460794"/>
    <w:rsid w:val="00460B24"/>
    <w:rsid w:val="0046135B"/>
    <w:rsid w:val="004619C6"/>
    <w:rsid w:val="00461D47"/>
    <w:rsid w:val="00463A37"/>
    <w:rsid w:val="00464CBC"/>
    <w:rsid w:val="00466E1B"/>
    <w:rsid w:val="00466F05"/>
    <w:rsid w:val="004718CC"/>
    <w:rsid w:val="0047481C"/>
    <w:rsid w:val="00474EAF"/>
    <w:rsid w:val="004753AA"/>
    <w:rsid w:val="0047585C"/>
    <w:rsid w:val="004759A1"/>
    <w:rsid w:val="00475CA3"/>
    <w:rsid w:val="00475EE4"/>
    <w:rsid w:val="00476E9A"/>
    <w:rsid w:val="00477BF5"/>
    <w:rsid w:val="004807DC"/>
    <w:rsid w:val="0048096A"/>
    <w:rsid w:val="00480E06"/>
    <w:rsid w:val="00481695"/>
    <w:rsid w:val="00481F11"/>
    <w:rsid w:val="004856DB"/>
    <w:rsid w:val="00485A62"/>
    <w:rsid w:val="00485D7B"/>
    <w:rsid w:val="004864BF"/>
    <w:rsid w:val="00486B91"/>
    <w:rsid w:val="00490B63"/>
    <w:rsid w:val="00495A96"/>
    <w:rsid w:val="00495BB3"/>
    <w:rsid w:val="00496086"/>
    <w:rsid w:val="004962DC"/>
    <w:rsid w:val="00496556"/>
    <w:rsid w:val="00496707"/>
    <w:rsid w:val="004A176B"/>
    <w:rsid w:val="004A1822"/>
    <w:rsid w:val="004A18C1"/>
    <w:rsid w:val="004A1990"/>
    <w:rsid w:val="004A1E40"/>
    <w:rsid w:val="004A3986"/>
    <w:rsid w:val="004A401D"/>
    <w:rsid w:val="004A56BB"/>
    <w:rsid w:val="004A592D"/>
    <w:rsid w:val="004A67E2"/>
    <w:rsid w:val="004A6886"/>
    <w:rsid w:val="004A70D6"/>
    <w:rsid w:val="004A7B62"/>
    <w:rsid w:val="004B0D5A"/>
    <w:rsid w:val="004B1751"/>
    <w:rsid w:val="004B2960"/>
    <w:rsid w:val="004B3809"/>
    <w:rsid w:val="004B3907"/>
    <w:rsid w:val="004B5508"/>
    <w:rsid w:val="004B5A92"/>
    <w:rsid w:val="004B6C88"/>
    <w:rsid w:val="004B7F2A"/>
    <w:rsid w:val="004C0253"/>
    <w:rsid w:val="004C0CCA"/>
    <w:rsid w:val="004C1A1A"/>
    <w:rsid w:val="004C23AF"/>
    <w:rsid w:val="004C23FD"/>
    <w:rsid w:val="004C2475"/>
    <w:rsid w:val="004C2810"/>
    <w:rsid w:val="004C5532"/>
    <w:rsid w:val="004C666F"/>
    <w:rsid w:val="004C7627"/>
    <w:rsid w:val="004C7ACF"/>
    <w:rsid w:val="004D0F6C"/>
    <w:rsid w:val="004D2536"/>
    <w:rsid w:val="004D3423"/>
    <w:rsid w:val="004D353F"/>
    <w:rsid w:val="004D382D"/>
    <w:rsid w:val="004D3950"/>
    <w:rsid w:val="004D4CEC"/>
    <w:rsid w:val="004D56FF"/>
    <w:rsid w:val="004D783F"/>
    <w:rsid w:val="004D7F0C"/>
    <w:rsid w:val="004E086F"/>
    <w:rsid w:val="004E0A62"/>
    <w:rsid w:val="004E0D3E"/>
    <w:rsid w:val="004E16DA"/>
    <w:rsid w:val="004E1B59"/>
    <w:rsid w:val="004E206E"/>
    <w:rsid w:val="004E279D"/>
    <w:rsid w:val="004E39D3"/>
    <w:rsid w:val="004E3A72"/>
    <w:rsid w:val="004E3FD1"/>
    <w:rsid w:val="004E4C2C"/>
    <w:rsid w:val="004E4C81"/>
    <w:rsid w:val="004E4D94"/>
    <w:rsid w:val="004E508A"/>
    <w:rsid w:val="004E616D"/>
    <w:rsid w:val="004E67E8"/>
    <w:rsid w:val="004E7423"/>
    <w:rsid w:val="004E77CF"/>
    <w:rsid w:val="004F164C"/>
    <w:rsid w:val="004F1B42"/>
    <w:rsid w:val="004F1BDE"/>
    <w:rsid w:val="004F1F44"/>
    <w:rsid w:val="004F23E7"/>
    <w:rsid w:val="004F24B9"/>
    <w:rsid w:val="004F2CEE"/>
    <w:rsid w:val="004F2D2A"/>
    <w:rsid w:val="004F357E"/>
    <w:rsid w:val="004F4480"/>
    <w:rsid w:val="004F556E"/>
    <w:rsid w:val="004F591C"/>
    <w:rsid w:val="004F5F51"/>
    <w:rsid w:val="004F6DC3"/>
    <w:rsid w:val="004F7F44"/>
    <w:rsid w:val="005037B4"/>
    <w:rsid w:val="0050395B"/>
    <w:rsid w:val="00505C23"/>
    <w:rsid w:val="00507621"/>
    <w:rsid w:val="005079BF"/>
    <w:rsid w:val="00507E74"/>
    <w:rsid w:val="0051112F"/>
    <w:rsid w:val="0051269A"/>
    <w:rsid w:val="00513D28"/>
    <w:rsid w:val="005144FA"/>
    <w:rsid w:val="00514DAC"/>
    <w:rsid w:val="00514E79"/>
    <w:rsid w:val="0051511B"/>
    <w:rsid w:val="00515BC5"/>
    <w:rsid w:val="005214E4"/>
    <w:rsid w:val="005219E7"/>
    <w:rsid w:val="00521CEA"/>
    <w:rsid w:val="00521ED4"/>
    <w:rsid w:val="00524941"/>
    <w:rsid w:val="00525B37"/>
    <w:rsid w:val="00525B82"/>
    <w:rsid w:val="0052782C"/>
    <w:rsid w:val="00527965"/>
    <w:rsid w:val="005300D3"/>
    <w:rsid w:val="00531B9A"/>
    <w:rsid w:val="00531D15"/>
    <w:rsid w:val="0053227C"/>
    <w:rsid w:val="00532840"/>
    <w:rsid w:val="00532A54"/>
    <w:rsid w:val="00532F61"/>
    <w:rsid w:val="0053387B"/>
    <w:rsid w:val="00533EA5"/>
    <w:rsid w:val="00535C64"/>
    <w:rsid w:val="00535E3D"/>
    <w:rsid w:val="0053641B"/>
    <w:rsid w:val="00537604"/>
    <w:rsid w:val="0054050E"/>
    <w:rsid w:val="00540816"/>
    <w:rsid w:val="0054139E"/>
    <w:rsid w:val="00541E15"/>
    <w:rsid w:val="00542377"/>
    <w:rsid w:val="00544F73"/>
    <w:rsid w:val="00545137"/>
    <w:rsid w:val="00545CA5"/>
    <w:rsid w:val="00546AA3"/>
    <w:rsid w:val="005476EB"/>
    <w:rsid w:val="00551782"/>
    <w:rsid w:val="005520F8"/>
    <w:rsid w:val="0055242B"/>
    <w:rsid w:val="00553CCA"/>
    <w:rsid w:val="00553DB2"/>
    <w:rsid w:val="00556424"/>
    <w:rsid w:val="00557BC3"/>
    <w:rsid w:val="00560D59"/>
    <w:rsid w:val="00560D6F"/>
    <w:rsid w:val="00561A2D"/>
    <w:rsid w:val="00562404"/>
    <w:rsid w:val="00562B81"/>
    <w:rsid w:val="00563EF1"/>
    <w:rsid w:val="005646B4"/>
    <w:rsid w:val="00565D10"/>
    <w:rsid w:val="00566AB4"/>
    <w:rsid w:val="00566AC6"/>
    <w:rsid w:val="00566DDB"/>
    <w:rsid w:val="005717D1"/>
    <w:rsid w:val="00571965"/>
    <w:rsid w:val="00571A20"/>
    <w:rsid w:val="00571BE9"/>
    <w:rsid w:val="00573B96"/>
    <w:rsid w:val="00573BB5"/>
    <w:rsid w:val="0057414D"/>
    <w:rsid w:val="00575A32"/>
    <w:rsid w:val="00575AC5"/>
    <w:rsid w:val="0057605D"/>
    <w:rsid w:val="00576C3D"/>
    <w:rsid w:val="00580043"/>
    <w:rsid w:val="00581146"/>
    <w:rsid w:val="00581347"/>
    <w:rsid w:val="00581AC9"/>
    <w:rsid w:val="00581C6A"/>
    <w:rsid w:val="005827DC"/>
    <w:rsid w:val="00584198"/>
    <w:rsid w:val="005845E7"/>
    <w:rsid w:val="005849F8"/>
    <w:rsid w:val="00585BB9"/>
    <w:rsid w:val="005863A2"/>
    <w:rsid w:val="00586AF8"/>
    <w:rsid w:val="00591091"/>
    <w:rsid w:val="0059167E"/>
    <w:rsid w:val="00591AC1"/>
    <w:rsid w:val="00591D5A"/>
    <w:rsid w:val="0059266B"/>
    <w:rsid w:val="00592B0A"/>
    <w:rsid w:val="00592CA2"/>
    <w:rsid w:val="005938DF"/>
    <w:rsid w:val="005944D3"/>
    <w:rsid w:val="0059480F"/>
    <w:rsid w:val="005949D3"/>
    <w:rsid w:val="00594E9C"/>
    <w:rsid w:val="005974FB"/>
    <w:rsid w:val="00597765"/>
    <w:rsid w:val="005A099B"/>
    <w:rsid w:val="005A220D"/>
    <w:rsid w:val="005A231A"/>
    <w:rsid w:val="005A2D9C"/>
    <w:rsid w:val="005A383C"/>
    <w:rsid w:val="005A55FE"/>
    <w:rsid w:val="005A60C6"/>
    <w:rsid w:val="005A62E5"/>
    <w:rsid w:val="005A66C3"/>
    <w:rsid w:val="005A67EE"/>
    <w:rsid w:val="005A6A11"/>
    <w:rsid w:val="005A79DA"/>
    <w:rsid w:val="005B2479"/>
    <w:rsid w:val="005B376E"/>
    <w:rsid w:val="005B57EF"/>
    <w:rsid w:val="005B5949"/>
    <w:rsid w:val="005B6B84"/>
    <w:rsid w:val="005B7E9C"/>
    <w:rsid w:val="005C0C86"/>
    <w:rsid w:val="005C3703"/>
    <w:rsid w:val="005C5F98"/>
    <w:rsid w:val="005C6D10"/>
    <w:rsid w:val="005C6F88"/>
    <w:rsid w:val="005C7A43"/>
    <w:rsid w:val="005D02B8"/>
    <w:rsid w:val="005D0B7A"/>
    <w:rsid w:val="005D134C"/>
    <w:rsid w:val="005D2502"/>
    <w:rsid w:val="005D2710"/>
    <w:rsid w:val="005D40BB"/>
    <w:rsid w:val="005D45F5"/>
    <w:rsid w:val="005D47F3"/>
    <w:rsid w:val="005D49BF"/>
    <w:rsid w:val="005D4AA5"/>
    <w:rsid w:val="005D5C68"/>
    <w:rsid w:val="005D629C"/>
    <w:rsid w:val="005D6F4E"/>
    <w:rsid w:val="005D790D"/>
    <w:rsid w:val="005D7C73"/>
    <w:rsid w:val="005E021B"/>
    <w:rsid w:val="005E0A5B"/>
    <w:rsid w:val="005E10A4"/>
    <w:rsid w:val="005E24EA"/>
    <w:rsid w:val="005E250B"/>
    <w:rsid w:val="005E3ACD"/>
    <w:rsid w:val="005E5431"/>
    <w:rsid w:val="005E62F1"/>
    <w:rsid w:val="005E7226"/>
    <w:rsid w:val="005E7698"/>
    <w:rsid w:val="005E7A57"/>
    <w:rsid w:val="005F02F6"/>
    <w:rsid w:val="005F18B6"/>
    <w:rsid w:val="005F1AB2"/>
    <w:rsid w:val="005F2113"/>
    <w:rsid w:val="005F24B0"/>
    <w:rsid w:val="005F274C"/>
    <w:rsid w:val="005F2888"/>
    <w:rsid w:val="005F66C8"/>
    <w:rsid w:val="005F79CC"/>
    <w:rsid w:val="00601334"/>
    <w:rsid w:val="00601B57"/>
    <w:rsid w:val="00601C07"/>
    <w:rsid w:val="00604315"/>
    <w:rsid w:val="00604E26"/>
    <w:rsid w:val="0060523F"/>
    <w:rsid w:val="006052CF"/>
    <w:rsid w:val="0060770D"/>
    <w:rsid w:val="00607B8D"/>
    <w:rsid w:val="00611822"/>
    <w:rsid w:val="00611859"/>
    <w:rsid w:val="00611F5C"/>
    <w:rsid w:val="00616E09"/>
    <w:rsid w:val="00617043"/>
    <w:rsid w:val="006216F0"/>
    <w:rsid w:val="00622A3B"/>
    <w:rsid w:val="00622EEA"/>
    <w:rsid w:val="0062396C"/>
    <w:rsid w:val="00623FF9"/>
    <w:rsid w:val="0062563D"/>
    <w:rsid w:val="00625F58"/>
    <w:rsid w:val="00626044"/>
    <w:rsid w:val="00626369"/>
    <w:rsid w:val="00626781"/>
    <w:rsid w:val="00626DA0"/>
    <w:rsid w:val="006276AE"/>
    <w:rsid w:val="00627D4E"/>
    <w:rsid w:val="006307EF"/>
    <w:rsid w:val="00630F74"/>
    <w:rsid w:val="00632289"/>
    <w:rsid w:val="00632B89"/>
    <w:rsid w:val="0063346D"/>
    <w:rsid w:val="00634478"/>
    <w:rsid w:val="00635018"/>
    <w:rsid w:val="00636722"/>
    <w:rsid w:val="00636DEE"/>
    <w:rsid w:val="00637D1B"/>
    <w:rsid w:val="00640331"/>
    <w:rsid w:val="006403FA"/>
    <w:rsid w:val="006407F4"/>
    <w:rsid w:val="00642210"/>
    <w:rsid w:val="00642677"/>
    <w:rsid w:val="00644373"/>
    <w:rsid w:val="00645915"/>
    <w:rsid w:val="00646206"/>
    <w:rsid w:val="00646B23"/>
    <w:rsid w:val="0065096D"/>
    <w:rsid w:val="00651372"/>
    <w:rsid w:val="006519C3"/>
    <w:rsid w:val="00652B30"/>
    <w:rsid w:val="00655AD4"/>
    <w:rsid w:val="00655B84"/>
    <w:rsid w:val="00656345"/>
    <w:rsid w:val="00656DC6"/>
    <w:rsid w:val="00660961"/>
    <w:rsid w:val="00660EC6"/>
    <w:rsid w:val="006618A5"/>
    <w:rsid w:val="00662CED"/>
    <w:rsid w:val="00663AE6"/>
    <w:rsid w:val="00664110"/>
    <w:rsid w:val="006644A4"/>
    <w:rsid w:val="00664D17"/>
    <w:rsid w:val="0066513B"/>
    <w:rsid w:val="0066578C"/>
    <w:rsid w:val="00666520"/>
    <w:rsid w:val="0066671B"/>
    <w:rsid w:val="00666D56"/>
    <w:rsid w:val="00667C5B"/>
    <w:rsid w:val="00671EDB"/>
    <w:rsid w:val="00672073"/>
    <w:rsid w:val="006730FF"/>
    <w:rsid w:val="00674A60"/>
    <w:rsid w:val="006762E9"/>
    <w:rsid w:val="00680195"/>
    <w:rsid w:val="006809D1"/>
    <w:rsid w:val="006810C5"/>
    <w:rsid w:val="00682A71"/>
    <w:rsid w:val="006863E7"/>
    <w:rsid w:val="006904B6"/>
    <w:rsid w:val="00691EB8"/>
    <w:rsid w:val="00692CDE"/>
    <w:rsid w:val="00692E93"/>
    <w:rsid w:val="00693073"/>
    <w:rsid w:val="00694354"/>
    <w:rsid w:val="00694DE3"/>
    <w:rsid w:val="00695B3B"/>
    <w:rsid w:val="006970F7"/>
    <w:rsid w:val="00697173"/>
    <w:rsid w:val="006977FF"/>
    <w:rsid w:val="006A01FA"/>
    <w:rsid w:val="006A0868"/>
    <w:rsid w:val="006A0CDC"/>
    <w:rsid w:val="006A0E9E"/>
    <w:rsid w:val="006A213D"/>
    <w:rsid w:val="006A25C7"/>
    <w:rsid w:val="006A3E31"/>
    <w:rsid w:val="006A4AAD"/>
    <w:rsid w:val="006A5C60"/>
    <w:rsid w:val="006A6DA2"/>
    <w:rsid w:val="006A7AB2"/>
    <w:rsid w:val="006B0467"/>
    <w:rsid w:val="006B0477"/>
    <w:rsid w:val="006B0F7E"/>
    <w:rsid w:val="006B1B2D"/>
    <w:rsid w:val="006B205F"/>
    <w:rsid w:val="006B2110"/>
    <w:rsid w:val="006B27A2"/>
    <w:rsid w:val="006B2ABD"/>
    <w:rsid w:val="006B52DE"/>
    <w:rsid w:val="006B5717"/>
    <w:rsid w:val="006B582F"/>
    <w:rsid w:val="006B5EB2"/>
    <w:rsid w:val="006B5F57"/>
    <w:rsid w:val="006B69B4"/>
    <w:rsid w:val="006C04EA"/>
    <w:rsid w:val="006C0CEB"/>
    <w:rsid w:val="006C0FA8"/>
    <w:rsid w:val="006C0FBB"/>
    <w:rsid w:val="006C11B2"/>
    <w:rsid w:val="006C1631"/>
    <w:rsid w:val="006C2DC3"/>
    <w:rsid w:val="006C3B1E"/>
    <w:rsid w:val="006C47FD"/>
    <w:rsid w:val="006C4DEA"/>
    <w:rsid w:val="006C5330"/>
    <w:rsid w:val="006C5C19"/>
    <w:rsid w:val="006C6DC3"/>
    <w:rsid w:val="006C70A0"/>
    <w:rsid w:val="006C7421"/>
    <w:rsid w:val="006D11A0"/>
    <w:rsid w:val="006D1B0F"/>
    <w:rsid w:val="006D21D5"/>
    <w:rsid w:val="006D27B4"/>
    <w:rsid w:val="006D27CB"/>
    <w:rsid w:val="006D2F08"/>
    <w:rsid w:val="006D5409"/>
    <w:rsid w:val="006D54EB"/>
    <w:rsid w:val="006D576C"/>
    <w:rsid w:val="006D5865"/>
    <w:rsid w:val="006D697E"/>
    <w:rsid w:val="006E070B"/>
    <w:rsid w:val="006E101B"/>
    <w:rsid w:val="006E4B1B"/>
    <w:rsid w:val="006E50BC"/>
    <w:rsid w:val="006E5445"/>
    <w:rsid w:val="006E5991"/>
    <w:rsid w:val="006E69C4"/>
    <w:rsid w:val="006E7D93"/>
    <w:rsid w:val="006F0CAF"/>
    <w:rsid w:val="006F0F4F"/>
    <w:rsid w:val="006F3A65"/>
    <w:rsid w:val="006F4C26"/>
    <w:rsid w:val="006F5485"/>
    <w:rsid w:val="006F5FFC"/>
    <w:rsid w:val="006F68DB"/>
    <w:rsid w:val="006F6E12"/>
    <w:rsid w:val="006F6FAE"/>
    <w:rsid w:val="006F7796"/>
    <w:rsid w:val="007026D2"/>
    <w:rsid w:val="007029A3"/>
    <w:rsid w:val="00702EA1"/>
    <w:rsid w:val="007036EE"/>
    <w:rsid w:val="00703E37"/>
    <w:rsid w:val="00704821"/>
    <w:rsid w:val="00704A29"/>
    <w:rsid w:val="0070519A"/>
    <w:rsid w:val="00705565"/>
    <w:rsid w:val="00705A0C"/>
    <w:rsid w:val="007063E5"/>
    <w:rsid w:val="00706E4E"/>
    <w:rsid w:val="0070791C"/>
    <w:rsid w:val="00710185"/>
    <w:rsid w:val="00710883"/>
    <w:rsid w:val="00711338"/>
    <w:rsid w:val="00711ACA"/>
    <w:rsid w:val="007128D6"/>
    <w:rsid w:val="0071383C"/>
    <w:rsid w:val="00713FEB"/>
    <w:rsid w:val="007141A7"/>
    <w:rsid w:val="007152CD"/>
    <w:rsid w:val="00715722"/>
    <w:rsid w:val="00715C40"/>
    <w:rsid w:val="007161A4"/>
    <w:rsid w:val="007164C6"/>
    <w:rsid w:val="0071732A"/>
    <w:rsid w:val="00717CA8"/>
    <w:rsid w:val="00721032"/>
    <w:rsid w:val="00721A34"/>
    <w:rsid w:val="00721B55"/>
    <w:rsid w:val="00721CA0"/>
    <w:rsid w:val="00721F43"/>
    <w:rsid w:val="00722297"/>
    <w:rsid w:val="00722540"/>
    <w:rsid w:val="00723DD4"/>
    <w:rsid w:val="0072401D"/>
    <w:rsid w:val="00724FEE"/>
    <w:rsid w:val="00725783"/>
    <w:rsid w:val="00725831"/>
    <w:rsid w:val="00726CE4"/>
    <w:rsid w:val="00732C90"/>
    <w:rsid w:val="00734143"/>
    <w:rsid w:val="00734360"/>
    <w:rsid w:val="00735007"/>
    <w:rsid w:val="00736196"/>
    <w:rsid w:val="0073740E"/>
    <w:rsid w:val="00737680"/>
    <w:rsid w:val="00737E47"/>
    <w:rsid w:val="00740864"/>
    <w:rsid w:val="00740A3E"/>
    <w:rsid w:val="00740EAC"/>
    <w:rsid w:val="00741C9E"/>
    <w:rsid w:val="00742589"/>
    <w:rsid w:val="00742C98"/>
    <w:rsid w:val="0074347F"/>
    <w:rsid w:val="00744956"/>
    <w:rsid w:val="00744B6D"/>
    <w:rsid w:val="00744F27"/>
    <w:rsid w:val="00745065"/>
    <w:rsid w:val="00745A5C"/>
    <w:rsid w:val="0074605F"/>
    <w:rsid w:val="0074716D"/>
    <w:rsid w:val="00747E94"/>
    <w:rsid w:val="00752792"/>
    <w:rsid w:val="00752B35"/>
    <w:rsid w:val="00754AAF"/>
    <w:rsid w:val="00754C83"/>
    <w:rsid w:val="00754C8B"/>
    <w:rsid w:val="00755378"/>
    <w:rsid w:val="00756613"/>
    <w:rsid w:val="007609C2"/>
    <w:rsid w:val="00761101"/>
    <w:rsid w:val="00761E5C"/>
    <w:rsid w:val="00762673"/>
    <w:rsid w:val="00762B47"/>
    <w:rsid w:val="0076337F"/>
    <w:rsid w:val="0076462E"/>
    <w:rsid w:val="00764C7B"/>
    <w:rsid w:val="00765A6C"/>
    <w:rsid w:val="00765DF8"/>
    <w:rsid w:val="007665CD"/>
    <w:rsid w:val="00766749"/>
    <w:rsid w:val="00767C1B"/>
    <w:rsid w:val="00770611"/>
    <w:rsid w:val="007714A9"/>
    <w:rsid w:val="0077379F"/>
    <w:rsid w:val="00774F88"/>
    <w:rsid w:val="00774FDB"/>
    <w:rsid w:val="00775816"/>
    <w:rsid w:val="00776D0C"/>
    <w:rsid w:val="007770AB"/>
    <w:rsid w:val="007775FC"/>
    <w:rsid w:val="00777BA2"/>
    <w:rsid w:val="00781408"/>
    <w:rsid w:val="0078174A"/>
    <w:rsid w:val="0078277F"/>
    <w:rsid w:val="00783B59"/>
    <w:rsid w:val="00783BC6"/>
    <w:rsid w:val="00784123"/>
    <w:rsid w:val="00784A40"/>
    <w:rsid w:val="00784C86"/>
    <w:rsid w:val="00784F7F"/>
    <w:rsid w:val="00784F9A"/>
    <w:rsid w:val="00787273"/>
    <w:rsid w:val="007878BD"/>
    <w:rsid w:val="00790230"/>
    <w:rsid w:val="00790994"/>
    <w:rsid w:val="007911FE"/>
    <w:rsid w:val="00792077"/>
    <w:rsid w:val="007940FF"/>
    <w:rsid w:val="007949F3"/>
    <w:rsid w:val="00794AC1"/>
    <w:rsid w:val="00795CE9"/>
    <w:rsid w:val="00796F25"/>
    <w:rsid w:val="007973CD"/>
    <w:rsid w:val="007A0CBE"/>
    <w:rsid w:val="007A188A"/>
    <w:rsid w:val="007A225C"/>
    <w:rsid w:val="007A2E98"/>
    <w:rsid w:val="007A3011"/>
    <w:rsid w:val="007A3BA3"/>
    <w:rsid w:val="007A43F9"/>
    <w:rsid w:val="007A50FA"/>
    <w:rsid w:val="007A6CC0"/>
    <w:rsid w:val="007A6D64"/>
    <w:rsid w:val="007A758A"/>
    <w:rsid w:val="007A75BD"/>
    <w:rsid w:val="007A7FEC"/>
    <w:rsid w:val="007B06C2"/>
    <w:rsid w:val="007B1499"/>
    <w:rsid w:val="007B161F"/>
    <w:rsid w:val="007B1BBF"/>
    <w:rsid w:val="007B1C35"/>
    <w:rsid w:val="007B2960"/>
    <w:rsid w:val="007B2F9E"/>
    <w:rsid w:val="007B319F"/>
    <w:rsid w:val="007B355D"/>
    <w:rsid w:val="007B3742"/>
    <w:rsid w:val="007B3CE3"/>
    <w:rsid w:val="007B409A"/>
    <w:rsid w:val="007B5371"/>
    <w:rsid w:val="007B552D"/>
    <w:rsid w:val="007B5A01"/>
    <w:rsid w:val="007B6AE4"/>
    <w:rsid w:val="007B75AB"/>
    <w:rsid w:val="007B7980"/>
    <w:rsid w:val="007C026F"/>
    <w:rsid w:val="007C0DEF"/>
    <w:rsid w:val="007C1A87"/>
    <w:rsid w:val="007C39F2"/>
    <w:rsid w:val="007C44B4"/>
    <w:rsid w:val="007C4741"/>
    <w:rsid w:val="007C5D5A"/>
    <w:rsid w:val="007C607F"/>
    <w:rsid w:val="007C6282"/>
    <w:rsid w:val="007C6748"/>
    <w:rsid w:val="007C6820"/>
    <w:rsid w:val="007C6A8D"/>
    <w:rsid w:val="007C6AB6"/>
    <w:rsid w:val="007C6E44"/>
    <w:rsid w:val="007C6EC1"/>
    <w:rsid w:val="007C79DD"/>
    <w:rsid w:val="007C7F86"/>
    <w:rsid w:val="007D040D"/>
    <w:rsid w:val="007D1A97"/>
    <w:rsid w:val="007D2CD6"/>
    <w:rsid w:val="007D3063"/>
    <w:rsid w:val="007D3784"/>
    <w:rsid w:val="007D3A8B"/>
    <w:rsid w:val="007D3BBF"/>
    <w:rsid w:val="007D3CEB"/>
    <w:rsid w:val="007D3F9B"/>
    <w:rsid w:val="007D7FDF"/>
    <w:rsid w:val="007E280A"/>
    <w:rsid w:val="007E2C4A"/>
    <w:rsid w:val="007E2FA4"/>
    <w:rsid w:val="007E31AA"/>
    <w:rsid w:val="007E3375"/>
    <w:rsid w:val="007E3AD7"/>
    <w:rsid w:val="007E3B1B"/>
    <w:rsid w:val="007E5B1D"/>
    <w:rsid w:val="007E5C07"/>
    <w:rsid w:val="007E5ED6"/>
    <w:rsid w:val="007E5EE5"/>
    <w:rsid w:val="007E7683"/>
    <w:rsid w:val="007F189F"/>
    <w:rsid w:val="007F3BBC"/>
    <w:rsid w:val="007F3C57"/>
    <w:rsid w:val="007F49FA"/>
    <w:rsid w:val="007F54C4"/>
    <w:rsid w:val="007F59B6"/>
    <w:rsid w:val="007F6E9A"/>
    <w:rsid w:val="0080023F"/>
    <w:rsid w:val="00800CCD"/>
    <w:rsid w:val="00801452"/>
    <w:rsid w:val="008031B8"/>
    <w:rsid w:val="00803F8E"/>
    <w:rsid w:val="008044D4"/>
    <w:rsid w:val="008046DE"/>
    <w:rsid w:val="008049D5"/>
    <w:rsid w:val="00810AB4"/>
    <w:rsid w:val="00811A3F"/>
    <w:rsid w:val="0081604F"/>
    <w:rsid w:val="00817B56"/>
    <w:rsid w:val="008214E7"/>
    <w:rsid w:val="00821A88"/>
    <w:rsid w:val="00821EBA"/>
    <w:rsid w:val="0082495D"/>
    <w:rsid w:val="00824BEB"/>
    <w:rsid w:val="00825994"/>
    <w:rsid w:val="00826435"/>
    <w:rsid w:val="00826E95"/>
    <w:rsid w:val="008272D4"/>
    <w:rsid w:val="008274CC"/>
    <w:rsid w:val="00827C59"/>
    <w:rsid w:val="00830975"/>
    <w:rsid w:val="00830B32"/>
    <w:rsid w:val="00831AC3"/>
    <w:rsid w:val="00831B4D"/>
    <w:rsid w:val="00832037"/>
    <w:rsid w:val="00832119"/>
    <w:rsid w:val="00832C12"/>
    <w:rsid w:val="00832E60"/>
    <w:rsid w:val="008331C4"/>
    <w:rsid w:val="008334F3"/>
    <w:rsid w:val="0083571A"/>
    <w:rsid w:val="00836FCE"/>
    <w:rsid w:val="00837186"/>
    <w:rsid w:val="008403C2"/>
    <w:rsid w:val="008408FF"/>
    <w:rsid w:val="00841112"/>
    <w:rsid w:val="00841385"/>
    <w:rsid w:val="00841929"/>
    <w:rsid w:val="0084439D"/>
    <w:rsid w:val="00844E95"/>
    <w:rsid w:val="00847333"/>
    <w:rsid w:val="0084760A"/>
    <w:rsid w:val="00850CB9"/>
    <w:rsid w:val="00851428"/>
    <w:rsid w:val="00851680"/>
    <w:rsid w:val="00851C00"/>
    <w:rsid w:val="00851F3F"/>
    <w:rsid w:val="00852BB2"/>
    <w:rsid w:val="008543A8"/>
    <w:rsid w:val="008547AF"/>
    <w:rsid w:val="008558EC"/>
    <w:rsid w:val="0085618F"/>
    <w:rsid w:val="0085681A"/>
    <w:rsid w:val="00856C30"/>
    <w:rsid w:val="00856EDC"/>
    <w:rsid w:val="00857DC3"/>
    <w:rsid w:val="0086210C"/>
    <w:rsid w:val="008623B5"/>
    <w:rsid w:val="0086298A"/>
    <w:rsid w:val="0086376F"/>
    <w:rsid w:val="00863867"/>
    <w:rsid w:val="00864787"/>
    <w:rsid w:val="00864BF2"/>
    <w:rsid w:val="0086579A"/>
    <w:rsid w:val="00865D47"/>
    <w:rsid w:val="00866890"/>
    <w:rsid w:val="008673DC"/>
    <w:rsid w:val="00870645"/>
    <w:rsid w:val="00870ABA"/>
    <w:rsid w:val="008710E1"/>
    <w:rsid w:val="008712A5"/>
    <w:rsid w:val="008716E5"/>
    <w:rsid w:val="008734F0"/>
    <w:rsid w:val="00875C28"/>
    <w:rsid w:val="00876507"/>
    <w:rsid w:val="00877B83"/>
    <w:rsid w:val="00880D5F"/>
    <w:rsid w:val="00880E15"/>
    <w:rsid w:val="00881232"/>
    <w:rsid w:val="00881310"/>
    <w:rsid w:val="00881CA9"/>
    <w:rsid w:val="00882717"/>
    <w:rsid w:val="00882CFB"/>
    <w:rsid w:val="0088339A"/>
    <w:rsid w:val="00883628"/>
    <w:rsid w:val="00885544"/>
    <w:rsid w:val="008857B6"/>
    <w:rsid w:val="00885907"/>
    <w:rsid w:val="0088634E"/>
    <w:rsid w:val="00887427"/>
    <w:rsid w:val="0089080B"/>
    <w:rsid w:val="00891B96"/>
    <w:rsid w:val="0089247E"/>
    <w:rsid w:val="008924FC"/>
    <w:rsid w:val="00892DCB"/>
    <w:rsid w:val="00893AB8"/>
    <w:rsid w:val="00895699"/>
    <w:rsid w:val="0089680F"/>
    <w:rsid w:val="00896BA9"/>
    <w:rsid w:val="008A04C8"/>
    <w:rsid w:val="008A0F1F"/>
    <w:rsid w:val="008A4099"/>
    <w:rsid w:val="008A47F9"/>
    <w:rsid w:val="008A588F"/>
    <w:rsid w:val="008A6913"/>
    <w:rsid w:val="008B0C76"/>
    <w:rsid w:val="008B10B3"/>
    <w:rsid w:val="008B14CA"/>
    <w:rsid w:val="008B227F"/>
    <w:rsid w:val="008B25A0"/>
    <w:rsid w:val="008B2DB6"/>
    <w:rsid w:val="008B3A76"/>
    <w:rsid w:val="008B4CA9"/>
    <w:rsid w:val="008B6717"/>
    <w:rsid w:val="008B70F3"/>
    <w:rsid w:val="008B71C4"/>
    <w:rsid w:val="008B7558"/>
    <w:rsid w:val="008B76DF"/>
    <w:rsid w:val="008C0E53"/>
    <w:rsid w:val="008C10F4"/>
    <w:rsid w:val="008C299B"/>
    <w:rsid w:val="008C2CD3"/>
    <w:rsid w:val="008C39A8"/>
    <w:rsid w:val="008C3B58"/>
    <w:rsid w:val="008C5883"/>
    <w:rsid w:val="008C596B"/>
    <w:rsid w:val="008C5AC9"/>
    <w:rsid w:val="008C65F7"/>
    <w:rsid w:val="008C7B3B"/>
    <w:rsid w:val="008D36F6"/>
    <w:rsid w:val="008E0A69"/>
    <w:rsid w:val="008E0A98"/>
    <w:rsid w:val="008E0ACE"/>
    <w:rsid w:val="008E0BD4"/>
    <w:rsid w:val="008E38AB"/>
    <w:rsid w:val="008E38E8"/>
    <w:rsid w:val="008E3AC8"/>
    <w:rsid w:val="008E4657"/>
    <w:rsid w:val="008E4767"/>
    <w:rsid w:val="008E6059"/>
    <w:rsid w:val="008E6B7C"/>
    <w:rsid w:val="008E72A5"/>
    <w:rsid w:val="008E7A8C"/>
    <w:rsid w:val="008F019A"/>
    <w:rsid w:val="008F0393"/>
    <w:rsid w:val="008F1AB2"/>
    <w:rsid w:val="008F550D"/>
    <w:rsid w:val="0090203B"/>
    <w:rsid w:val="00902099"/>
    <w:rsid w:val="00902240"/>
    <w:rsid w:val="00902432"/>
    <w:rsid w:val="009026BD"/>
    <w:rsid w:val="00902B72"/>
    <w:rsid w:val="00902F8C"/>
    <w:rsid w:val="00903285"/>
    <w:rsid w:val="009033C6"/>
    <w:rsid w:val="0090386C"/>
    <w:rsid w:val="0090494E"/>
    <w:rsid w:val="00904AE9"/>
    <w:rsid w:val="00906F40"/>
    <w:rsid w:val="009070C1"/>
    <w:rsid w:val="0090731E"/>
    <w:rsid w:val="00907EA9"/>
    <w:rsid w:val="0091137B"/>
    <w:rsid w:val="0091288D"/>
    <w:rsid w:val="009131F4"/>
    <w:rsid w:val="00913202"/>
    <w:rsid w:val="0091497D"/>
    <w:rsid w:val="00915B1C"/>
    <w:rsid w:val="00916D02"/>
    <w:rsid w:val="009174F3"/>
    <w:rsid w:val="009176BC"/>
    <w:rsid w:val="00917788"/>
    <w:rsid w:val="0091797D"/>
    <w:rsid w:val="00923CBA"/>
    <w:rsid w:val="009242EB"/>
    <w:rsid w:val="009255F3"/>
    <w:rsid w:val="00926703"/>
    <w:rsid w:val="0092704D"/>
    <w:rsid w:val="00927691"/>
    <w:rsid w:val="00927A5F"/>
    <w:rsid w:val="009304A0"/>
    <w:rsid w:val="00930510"/>
    <w:rsid w:val="0093069D"/>
    <w:rsid w:val="00930859"/>
    <w:rsid w:val="00931A9C"/>
    <w:rsid w:val="00931FC0"/>
    <w:rsid w:val="00932E62"/>
    <w:rsid w:val="00933B7A"/>
    <w:rsid w:val="00935B63"/>
    <w:rsid w:val="00935C07"/>
    <w:rsid w:val="009363C8"/>
    <w:rsid w:val="0093796F"/>
    <w:rsid w:val="0094078F"/>
    <w:rsid w:val="00940FA3"/>
    <w:rsid w:val="00941005"/>
    <w:rsid w:val="00941677"/>
    <w:rsid w:val="00941799"/>
    <w:rsid w:val="00941FB0"/>
    <w:rsid w:val="00942207"/>
    <w:rsid w:val="009426D4"/>
    <w:rsid w:val="009426E9"/>
    <w:rsid w:val="00942718"/>
    <w:rsid w:val="00942D34"/>
    <w:rsid w:val="00942F4B"/>
    <w:rsid w:val="0094459F"/>
    <w:rsid w:val="00945758"/>
    <w:rsid w:val="0094646C"/>
    <w:rsid w:val="009474DE"/>
    <w:rsid w:val="00947F25"/>
    <w:rsid w:val="00950159"/>
    <w:rsid w:val="00952913"/>
    <w:rsid w:val="00952E68"/>
    <w:rsid w:val="00952E69"/>
    <w:rsid w:val="009540BB"/>
    <w:rsid w:val="0095490B"/>
    <w:rsid w:val="009560F0"/>
    <w:rsid w:val="00957825"/>
    <w:rsid w:val="00957D4A"/>
    <w:rsid w:val="00960A33"/>
    <w:rsid w:val="009623FA"/>
    <w:rsid w:val="00962C6C"/>
    <w:rsid w:val="00962DFB"/>
    <w:rsid w:val="00963356"/>
    <w:rsid w:val="00963D45"/>
    <w:rsid w:val="00963E03"/>
    <w:rsid w:val="0096481C"/>
    <w:rsid w:val="00965919"/>
    <w:rsid w:val="00971914"/>
    <w:rsid w:val="00971AE3"/>
    <w:rsid w:val="009728F3"/>
    <w:rsid w:val="00974363"/>
    <w:rsid w:val="009762BF"/>
    <w:rsid w:val="009778F2"/>
    <w:rsid w:val="00980C50"/>
    <w:rsid w:val="00981771"/>
    <w:rsid w:val="00981898"/>
    <w:rsid w:val="00981A1E"/>
    <w:rsid w:val="009832AB"/>
    <w:rsid w:val="00984021"/>
    <w:rsid w:val="00986059"/>
    <w:rsid w:val="00986758"/>
    <w:rsid w:val="009902FD"/>
    <w:rsid w:val="00990CDE"/>
    <w:rsid w:val="009914F7"/>
    <w:rsid w:val="00991611"/>
    <w:rsid w:val="009927EA"/>
    <w:rsid w:val="009940B4"/>
    <w:rsid w:val="009944C3"/>
    <w:rsid w:val="0099577C"/>
    <w:rsid w:val="00996190"/>
    <w:rsid w:val="0099730F"/>
    <w:rsid w:val="00997369"/>
    <w:rsid w:val="009A0A85"/>
    <w:rsid w:val="009A0E46"/>
    <w:rsid w:val="009A2C06"/>
    <w:rsid w:val="009A6539"/>
    <w:rsid w:val="009A6DCD"/>
    <w:rsid w:val="009B0D58"/>
    <w:rsid w:val="009B14CF"/>
    <w:rsid w:val="009B245C"/>
    <w:rsid w:val="009B24A5"/>
    <w:rsid w:val="009B2601"/>
    <w:rsid w:val="009B416F"/>
    <w:rsid w:val="009B4E9E"/>
    <w:rsid w:val="009B4FE7"/>
    <w:rsid w:val="009B4FF2"/>
    <w:rsid w:val="009B76FE"/>
    <w:rsid w:val="009C1690"/>
    <w:rsid w:val="009C5367"/>
    <w:rsid w:val="009C5AF8"/>
    <w:rsid w:val="009C6881"/>
    <w:rsid w:val="009C6E05"/>
    <w:rsid w:val="009C71A3"/>
    <w:rsid w:val="009C71BD"/>
    <w:rsid w:val="009C7759"/>
    <w:rsid w:val="009D043D"/>
    <w:rsid w:val="009D07C8"/>
    <w:rsid w:val="009D11B1"/>
    <w:rsid w:val="009D1584"/>
    <w:rsid w:val="009D1D05"/>
    <w:rsid w:val="009D2529"/>
    <w:rsid w:val="009D2C0C"/>
    <w:rsid w:val="009D3501"/>
    <w:rsid w:val="009D6C71"/>
    <w:rsid w:val="009D6C96"/>
    <w:rsid w:val="009E0631"/>
    <w:rsid w:val="009E0E91"/>
    <w:rsid w:val="009E13E1"/>
    <w:rsid w:val="009E16D0"/>
    <w:rsid w:val="009E1F64"/>
    <w:rsid w:val="009E2051"/>
    <w:rsid w:val="009E27F8"/>
    <w:rsid w:val="009E38FD"/>
    <w:rsid w:val="009E398B"/>
    <w:rsid w:val="009E47F7"/>
    <w:rsid w:val="009E58FA"/>
    <w:rsid w:val="009E5A68"/>
    <w:rsid w:val="009E677D"/>
    <w:rsid w:val="009E6AF2"/>
    <w:rsid w:val="009E73BF"/>
    <w:rsid w:val="009F138F"/>
    <w:rsid w:val="009F13D6"/>
    <w:rsid w:val="009F1E51"/>
    <w:rsid w:val="009F2ED0"/>
    <w:rsid w:val="009F3C16"/>
    <w:rsid w:val="009F4C6B"/>
    <w:rsid w:val="009F6E4F"/>
    <w:rsid w:val="009F78A8"/>
    <w:rsid w:val="009F79C9"/>
    <w:rsid w:val="009F7BEA"/>
    <w:rsid w:val="009F7FF7"/>
    <w:rsid w:val="00A0077B"/>
    <w:rsid w:val="00A0129E"/>
    <w:rsid w:val="00A01DEA"/>
    <w:rsid w:val="00A02AD6"/>
    <w:rsid w:val="00A03154"/>
    <w:rsid w:val="00A04148"/>
    <w:rsid w:val="00A05A3D"/>
    <w:rsid w:val="00A05E3A"/>
    <w:rsid w:val="00A07096"/>
    <w:rsid w:val="00A0716C"/>
    <w:rsid w:val="00A07280"/>
    <w:rsid w:val="00A07318"/>
    <w:rsid w:val="00A11370"/>
    <w:rsid w:val="00A13652"/>
    <w:rsid w:val="00A1441F"/>
    <w:rsid w:val="00A1445C"/>
    <w:rsid w:val="00A15C7A"/>
    <w:rsid w:val="00A17B1B"/>
    <w:rsid w:val="00A20DC4"/>
    <w:rsid w:val="00A2142C"/>
    <w:rsid w:val="00A22017"/>
    <w:rsid w:val="00A223AC"/>
    <w:rsid w:val="00A224CE"/>
    <w:rsid w:val="00A22522"/>
    <w:rsid w:val="00A23244"/>
    <w:rsid w:val="00A23555"/>
    <w:rsid w:val="00A23A0E"/>
    <w:rsid w:val="00A242AE"/>
    <w:rsid w:val="00A242C4"/>
    <w:rsid w:val="00A2440D"/>
    <w:rsid w:val="00A24882"/>
    <w:rsid w:val="00A24AFD"/>
    <w:rsid w:val="00A24F57"/>
    <w:rsid w:val="00A24F5C"/>
    <w:rsid w:val="00A25F3C"/>
    <w:rsid w:val="00A26F95"/>
    <w:rsid w:val="00A30202"/>
    <w:rsid w:val="00A32CA8"/>
    <w:rsid w:val="00A32D5C"/>
    <w:rsid w:val="00A32F96"/>
    <w:rsid w:val="00A32FE8"/>
    <w:rsid w:val="00A3344C"/>
    <w:rsid w:val="00A33CDD"/>
    <w:rsid w:val="00A34908"/>
    <w:rsid w:val="00A378CA"/>
    <w:rsid w:val="00A37AD6"/>
    <w:rsid w:val="00A40871"/>
    <w:rsid w:val="00A412AB"/>
    <w:rsid w:val="00A4193E"/>
    <w:rsid w:val="00A4267B"/>
    <w:rsid w:val="00A42DB0"/>
    <w:rsid w:val="00A430CC"/>
    <w:rsid w:val="00A440E0"/>
    <w:rsid w:val="00A442EF"/>
    <w:rsid w:val="00A445EB"/>
    <w:rsid w:val="00A46E39"/>
    <w:rsid w:val="00A473EB"/>
    <w:rsid w:val="00A50893"/>
    <w:rsid w:val="00A510D7"/>
    <w:rsid w:val="00A51D1A"/>
    <w:rsid w:val="00A524F5"/>
    <w:rsid w:val="00A52C7B"/>
    <w:rsid w:val="00A53648"/>
    <w:rsid w:val="00A53DA0"/>
    <w:rsid w:val="00A53FC0"/>
    <w:rsid w:val="00A53FE1"/>
    <w:rsid w:val="00A54076"/>
    <w:rsid w:val="00A5418D"/>
    <w:rsid w:val="00A5474E"/>
    <w:rsid w:val="00A55181"/>
    <w:rsid w:val="00A5737A"/>
    <w:rsid w:val="00A62B19"/>
    <w:rsid w:val="00A63257"/>
    <w:rsid w:val="00A63F35"/>
    <w:rsid w:val="00A64234"/>
    <w:rsid w:val="00A6657B"/>
    <w:rsid w:val="00A67887"/>
    <w:rsid w:val="00A67EAA"/>
    <w:rsid w:val="00A7055F"/>
    <w:rsid w:val="00A70985"/>
    <w:rsid w:val="00A70ADF"/>
    <w:rsid w:val="00A71466"/>
    <w:rsid w:val="00A71887"/>
    <w:rsid w:val="00A725FA"/>
    <w:rsid w:val="00A72822"/>
    <w:rsid w:val="00A72B54"/>
    <w:rsid w:val="00A73F9D"/>
    <w:rsid w:val="00A74B5E"/>
    <w:rsid w:val="00A74D59"/>
    <w:rsid w:val="00A758B5"/>
    <w:rsid w:val="00A77941"/>
    <w:rsid w:val="00A77F87"/>
    <w:rsid w:val="00A80822"/>
    <w:rsid w:val="00A80E3B"/>
    <w:rsid w:val="00A81B9B"/>
    <w:rsid w:val="00A81BED"/>
    <w:rsid w:val="00A81EC4"/>
    <w:rsid w:val="00A824E8"/>
    <w:rsid w:val="00A8287F"/>
    <w:rsid w:val="00A82A93"/>
    <w:rsid w:val="00A85081"/>
    <w:rsid w:val="00A86318"/>
    <w:rsid w:val="00A866FF"/>
    <w:rsid w:val="00A92353"/>
    <w:rsid w:val="00A92AB0"/>
    <w:rsid w:val="00A9343B"/>
    <w:rsid w:val="00A94646"/>
    <w:rsid w:val="00A967FD"/>
    <w:rsid w:val="00A96930"/>
    <w:rsid w:val="00AA1F0B"/>
    <w:rsid w:val="00AA2C65"/>
    <w:rsid w:val="00AA2DE5"/>
    <w:rsid w:val="00AA2FC1"/>
    <w:rsid w:val="00AA3787"/>
    <w:rsid w:val="00AA41D8"/>
    <w:rsid w:val="00AA4567"/>
    <w:rsid w:val="00AA5A18"/>
    <w:rsid w:val="00AA73CE"/>
    <w:rsid w:val="00AB07E6"/>
    <w:rsid w:val="00AB156C"/>
    <w:rsid w:val="00AB445D"/>
    <w:rsid w:val="00AB5A0D"/>
    <w:rsid w:val="00AB5B85"/>
    <w:rsid w:val="00AB6420"/>
    <w:rsid w:val="00AB6814"/>
    <w:rsid w:val="00AB6879"/>
    <w:rsid w:val="00AB6E32"/>
    <w:rsid w:val="00AB772F"/>
    <w:rsid w:val="00AB777D"/>
    <w:rsid w:val="00AB7BFA"/>
    <w:rsid w:val="00AC04BA"/>
    <w:rsid w:val="00AC0675"/>
    <w:rsid w:val="00AC0E39"/>
    <w:rsid w:val="00AC0FE8"/>
    <w:rsid w:val="00AC39A7"/>
    <w:rsid w:val="00AC7262"/>
    <w:rsid w:val="00AC7B7F"/>
    <w:rsid w:val="00AD0ECA"/>
    <w:rsid w:val="00AD2D0F"/>
    <w:rsid w:val="00AD3082"/>
    <w:rsid w:val="00AD32B4"/>
    <w:rsid w:val="00AD344D"/>
    <w:rsid w:val="00AD4AD0"/>
    <w:rsid w:val="00AD5436"/>
    <w:rsid w:val="00AD60CD"/>
    <w:rsid w:val="00AD63E7"/>
    <w:rsid w:val="00AD6C8C"/>
    <w:rsid w:val="00AE015F"/>
    <w:rsid w:val="00AE0565"/>
    <w:rsid w:val="00AE056F"/>
    <w:rsid w:val="00AE07F4"/>
    <w:rsid w:val="00AE091D"/>
    <w:rsid w:val="00AE145D"/>
    <w:rsid w:val="00AE1666"/>
    <w:rsid w:val="00AE3B60"/>
    <w:rsid w:val="00AE45FE"/>
    <w:rsid w:val="00AE4EE9"/>
    <w:rsid w:val="00AE5215"/>
    <w:rsid w:val="00AE53A1"/>
    <w:rsid w:val="00AE72CE"/>
    <w:rsid w:val="00AF2484"/>
    <w:rsid w:val="00AF391C"/>
    <w:rsid w:val="00AF5DC8"/>
    <w:rsid w:val="00AF63E7"/>
    <w:rsid w:val="00AF6E17"/>
    <w:rsid w:val="00AF701C"/>
    <w:rsid w:val="00AF7A9A"/>
    <w:rsid w:val="00AF7FB0"/>
    <w:rsid w:val="00AF7FB7"/>
    <w:rsid w:val="00B00EBB"/>
    <w:rsid w:val="00B0165D"/>
    <w:rsid w:val="00B019FD"/>
    <w:rsid w:val="00B01AEB"/>
    <w:rsid w:val="00B01B60"/>
    <w:rsid w:val="00B01D98"/>
    <w:rsid w:val="00B031F3"/>
    <w:rsid w:val="00B03938"/>
    <w:rsid w:val="00B052A4"/>
    <w:rsid w:val="00B052CB"/>
    <w:rsid w:val="00B07625"/>
    <w:rsid w:val="00B10FB4"/>
    <w:rsid w:val="00B1152B"/>
    <w:rsid w:val="00B116DD"/>
    <w:rsid w:val="00B1199F"/>
    <w:rsid w:val="00B125DE"/>
    <w:rsid w:val="00B12A00"/>
    <w:rsid w:val="00B13FDD"/>
    <w:rsid w:val="00B153F2"/>
    <w:rsid w:val="00B15577"/>
    <w:rsid w:val="00B164D4"/>
    <w:rsid w:val="00B16DDA"/>
    <w:rsid w:val="00B20304"/>
    <w:rsid w:val="00B21BF7"/>
    <w:rsid w:val="00B22AB8"/>
    <w:rsid w:val="00B22EB2"/>
    <w:rsid w:val="00B24570"/>
    <w:rsid w:val="00B25065"/>
    <w:rsid w:val="00B25C83"/>
    <w:rsid w:val="00B26266"/>
    <w:rsid w:val="00B27442"/>
    <w:rsid w:val="00B31167"/>
    <w:rsid w:val="00B31344"/>
    <w:rsid w:val="00B318B7"/>
    <w:rsid w:val="00B318F2"/>
    <w:rsid w:val="00B329D8"/>
    <w:rsid w:val="00B32BB9"/>
    <w:rsid w:val="00B33AE1"/>
    <w:rsid w:val="00B33D44"/>
    <w:rsid w:val="00B35828"/>
    <w:rsid w:val="00B36D39"/>
    <w:rsid w:val="00B37A79"/>
    <w:rsid w:val="00B37C38"/>
    <w:rsid w:val="00B40FBF"/>
    <w:rsid w:val="00B413D5"/>
    <w:rsid w:val="00B423D4"/>
    <w:rsid w:val="00B4288C"/>
    <w:rsid w:val="00B43262"/>
    <w:rsid w:val="00B44100"/>
    <w:rsid w:val="00B44A3F"/>
    <w:rsid w:val="00B45626"/>
    <w:rsid w:val="00B46CBA"/>
    <w:rsid w:val="00B46CED"/>
    <w:rsid w:val="00B46ECF"/>
    <w:rsid w:val="00B46F94"/>
    <w:rsid w:val="00B51CDF"/>
    <w:rsid w:val="00B53135"/>
    <w:rsid w:val="00B5345D"/>
    <w:rsid w:val="00B5371D"/>
    <w:rsid w:val="00B55116"/>
    <w:rsid w:val="00B55917"/>
    <w:rsid w:val="00B56589"/>
    <w:rsid w:val="00B567F9"/>
    <w:rsid w:val="00B56DD9"/>
    <w:rsid w:val="00B57C97"/>
    <w:rsid w:val="00B57E9C"/>
    <w:rsid w:val="00B57EA6"/>
    <w:rsid w:val="00B6003C"/>
    <w:rsid w:val="00B60EC4"/>
    <w:rsid w:val="00B61F03"/>
    <w:rsid w:val="00B6231C"/>
    <w:rsid w:val="00B624AB"/>
    <w:rsid w:val="00B626E4"/>
    <w:rsid w:val="00B6481B"/>
    <w:rsid w:val="00B64B82"/>
    <w:rsid w:val="00B662B6"/>
    <w:rsid w:val="00B6793E"/>
    <w:rsid w:val="00B7186E"/>
    <w:rsid w:val="00B720EF"/>
    <w:rsid w:val="00B7233D"/>
    <w:rsid w:val="00B72F4A"/>
    <w:rsid w:val="00B733EB"/>
    <w:rsid w:val="00B747FA"/>
    <w:rsid w:val="00B748B6"/>
    <w:rsid w:val="00B748E9"/>
    <w:rsid w:val="00B74BDD"/>
    <w:rsid w:val="00B7608A"/>
    <w:rsid w:val="00B773F3"/>
    <w:rsid w:val="00B83C27"/>
    <w:rsid w:val="00B84019"/>
    <w:rsid w:val="00B84202"/>
    <w:rsid w:val="00B844AB"/>
    <w:rsid w:val="00B84BC3"/>
    <w:rsid w:val="00B84BDD"/>
    <w:rsid w:val="00B8590A"/>
    <w:rsid w:val="00B86D49"/>
    <w:rsid w:val="00B90AC3"/>
    <w:rsid w:val="00B91082"/>
    <w:rsid w:val="00B92812"/>
    <w:rsid w:val="00B928FE"/>
    <w:rsid w:val="00B92D61"/>
    <w:rsid w:val="00B92EEF"/>
    <w:rsid w:val="00B9349F"/>
    <w:rsid w:val="00B93D95"/>
    <w:rsid w:val="00B9442E"/>
    <w:rsid w:val="00B94916"/>
    <w:rsid w:val="00B9659A"/>
    <w:rsid w:val="00B969E2"/>
    <w:rsid w:val="00BA11FD"/>
    <w:rsid w:val="00BA14FF"/>
    <w:rsid w:val="00BA30B4"/>
    <w:rsid w:val="00BA3602"/>
    <w:rsid w:val="00BA4EDD"/>
    <w:rsid w:val="00BA7B68"/>
    <w:rsid w:val="00BB0849"/>
    <w:rsid w:val="00BB0F77"/>
    <w:rsid w:val="00BB2AF4"/>
    <w:rsid w:val="00BB2D2A"/>
    <w:rsid w:val="00BB2FCC"/>
    <w:rsid w:val="00BB35A7"/>
    <w:rsid w:val="00BB3C6A"/>
    <w:rsid w:val="00BB45A1"/>
    <w:rsid w:val="00BB483B"/>
    <w:rsid w:val="00BB5C64"/>
    <w:rsid w:val="00BB6BA5"/>
    <w:rsid w:val="00BB7686"/>
    <w:rsid w:val="00BC23F9"/>
    <w:rsid w:val="00BC2BF2"/>
    <w:rsid w:val="00BC2E8D"/>
    <w:rsid w:val="00BC33E5"/>
    <w:rsid w:val="00BC3421"/>
    <w:rsid w:val="00BC3F1E"/>
    <w:rsid w:val="00BC4681"/>
    <w:rsid w:val="00BC48EF"/>
    <w:rsid w:val="00BC49A5"/>
    <w:rsid w:val="00BC4C69"/>
    <w:rsid w:val="00BC5204"/>
    <w:rsid w:val="00BC732C"/>
    <w:rsid w:val="00BD0911"/>
    <w:rsid w:val="00BD11E9"/>
    <w:rsid w:val="00BD366F"/>
    <w:rsid w:val="00BD4421"/>
    <w:rsid w:val="00BD5394"/>
    <w:rsid w:val="00BD6619"/>
    <w:rsid w:val="00BD66E2"/>
    <w:rsid w:val="00BD7249"/>
    <w:rsid w:val="00BE0740"/>
    <w:rsid w:val="00BE0BD3"/>
    <w:rsid w:val="00BE0DE8"/>
    <w:rsid w:val="00BE1442"/>
    <w:rsid w:val="00BE1B2D"/>
    <w:rsid w:val="00BE2580"/>
    <w:rsid w:val="00BE266D"/>
    <w:rsid w:val="00BE35CB"/>
    <w:rsid w:val="00BE3938"/>
    <w:rsid w:val="00BE48AD"/>
    <w:rsid w:val="00BE4C11"/>
    <w:rsid w:val="00BE5FBB"/>
    <w:rsid w:val="00BE61E7"/>
    <w:rsid w:val="00BE6805"/>
    <w:rsid w:val="00BE7038"/>
    <w:rsid w:val="00BE71C0"/>
    <w:rsid w:val="00BE7922"/>
    <w:rsid w:val="00BF0EEE"/>
    <w:rsid w:val="00BF2100"/>
    <w:rsid w:val="00BF288B"/>
    <w:rsid w:val="00BF30CE"/>
    <w:rsid w:val="00BF356C"/>
    <w:rsid w:val="00BF46B7"/>
    <w:rsid w:val="00BF4790"/>
    <w:rsid w:val="00BF5168"/>
    <w:rsid w:val="00BF51FF"/>
    <w:rsid w:val="00BF610C"/>
    <w:rsid w:val="00BF6D69"/>
    <w:rsid w:val="00C0024E"/>
    <w:rsid w:val="00C0060B"/>
    <w:rsid w:val="00C00F68"/>
    <w:rsid w:val="00C01043"/>
    <w:rsid w:val="00C01A6C"/>
    <w:rsid w:val="00C0277D"/>
    <w:rsid w:val="00C02BB3"/>
    <w:rsid w:val="00C02F28"/>
    <w:rsid w:val="00C0396D"/>
    <w:rsid w:val="00C053A1"/>
    <w:rsid w:val="00C05A1B"/>
    <w:rsid w:val="00C076FE"/>
    <w:rsid w:val="00C101CA"/>
    <w:rsid w:val="00C1065D"/>
    <w:rsid w:val="00C125F7"/>
    <w:rsid w:val="00C12925"/>
    <w:rsid w:val="00C130C9"/>
    <w:rsid w:val="00C1369B"/>
    <w:rsid w:val="00C1373E"/>
    <w:rsid w:val="00C14127"/>
    <w:rsid w:val="00C14490"/>
    <w:rsid w:val="00C155FC"/>
    <w:rsid w:val="00C16198"/>
    <w:rsid w:val="00C16906"/>
    <w:rsid w:val="00C1770C"/>
    <w:rsid w:val="00C2083D"/>
    <w:rsid w:val="00C2085B"/>
    <w:rsid w:val="00C21AEB"/>
    <w:rsid w:val="00C237B5"/>
    <w:rsid w:val="00C245BE"/>
    <w:rsid w:val="00C245E3"/>
    <w:rsid w:val="00C247F8"/>
    <w:rsid w:val="00C24A53"/>
    <w:rsid w:val="00C276D6"/>
    <w:rsid w:val="00C30F59"/>
    <w:rsid w:val="00C3203A"/>
    <w:rsid w:val="00C33AD6"/>
    <w:rsid w:val="00C33B03"/>
    <w:rsid w:val="00C33CB2"/>
    <w:rsid w:val="00C33FE1"/>
    <w:rsid w:val="00C34A05"/>
    <w:rsid w:val="00C35AB9"/>
    <w:rsid w:val="00C35CCE"/>
    <w:rsid w:val="00C3714B"/>
    <w:rsid w:val="00C3717B"/>
    <w:rsid w:val="00C37E60"/>
    <w:rsid w:val="00C400B9"/>
    <w:rsid w:val="00C4032F"/>
    <w:rsid w:val="00C4055B"/>
    <w:rsid w:val="00C40CD5"/>
    <w:rsid w:val="00C40DBB"/>
    <w:rsid w:val="00C4222B"/>
    <w:rsid w:val="00C43081"/>
    <w:rsid w:val="00C43D39"/>
    <w:rsid w:val="00C44047"/>
    <w:rsid w:val="00C45155"/>
    <w:rsid w:val="00C4681A"/>
    <w:rsid w:val="00C505BD"/>
    <w:rsid w:val="00C53285"/>
    <w:rsid w:val="00C53666"/>
    <w:rsid w:val="00C537D2"/>
    <w:rsid w:val="00C5498F"/>
    <w:rsid w:val="00C55235"/>
    <w:rsid w:val="00C55D36"/>
    <w:rsid w:val="00C56763"/>
    <w:rsid w:val="00C567AA"/>
    <w:rsid w:val="00C57E52"/>
    <w:rsid w:val="00C61399"/>
    <w:rsid w:val="00C62006"/>
    <w:rsid w:val="00C6355B"/>
    <w:rsid w:val="00C64CD0"/>
    <w:rsid w:val="00C64FEC"/>
    <w:rsid w:val="00C64FF6"/>
    <w:rsid w:val="00C6515D"/>
    <w:rsid w:val="00C657DE"/>
    <w:rsid w:val="00C6684F"/>
    <w:rsid w:val="00C70DED"/>
    <w:rsid w:val="00C70E70"/>
    <w:rsid w:val="00C7161F"/>
    <w:rsid w:val="00C7264E"/>
    <w:rsid w:val="00C72C3C"/>
    <w:rsid w:val="00C74CD9"/>
    <w:rsid w:val="00C75F8D"/>
    <w:rsid w:val="00C77183"/>
    <w:rsid w:val="00C77380"/>
    <w:rsid w:val="00C82940"/>
    <w:rsid w:val="00C82B19"/>
    <w:rsid w:val="00C8366D"/>
    <w:rsid w:val="00C83715"/>
    <w:rsid w:val="00C849A4"/>
    <w:rsid w:val="00C84ECD"/>
    <w:rsid w:val="00C8550E"/>
    <w:rsid w:val="00C863C7"/>
    <w:rsid w:val="00C87164"/>
    <w:rsid w:val="00C87A86"/>
    <w:rsid w:val="00C87B76"/>
    <w:rsid w:val="00C87E8A"/>
    <w:rsid w:val="00C91545"/>
    <w:rsid w:val="00C91E44"/>
    <w:rsid w:val="00C92707"/>
    <w:rsid w:val="00C92973"/>
    <w:rsid w:val="00C93744"/>
    <w:rsid w:val="00C939A8"/>
    <w:rsid w:val="00C95074"/>
    <w:rsid w:val="00C95CC3"/>
    <w:rsid w:val="00C967EA"/>
    <w:rsid w:val="00C9695F"/>
    <w:rsid w:val="00C97736"/>
    <w:rsid w:val="00C979E7"/>
    <w:rsid w:val="00C97C2C"/>
    <w:rsid w:val="00CA05A8"/>
    <w:rsid w:val="00CA0C7F"/>
    <w:rsid w:val="00CA2279"/>
    <w:rsid w:val="00CA2603"/>
    <w:rsid w:val="00CA2858"/>
    <w:rsid w:val="00CA345A"/>
    <w:rsid w:val="00CA362E"/>
    <w:rsid w:val="00CA4261"/>
    <w:rsid w:val="00CA440B"/>
    <w:rsid w:val="00CB0133"/>
    <w:rsid w:val="00CB0C05"/>
    <w:rsid w:val="00CB1D0A"/>
    <w:rsid w:val="00CB1E82"/>
    <w:rsid w:val="00CB26CC"/>
    <w:rsid w:val="00CB4229"/>
    <w:rsid w:val="00CB448E"/>
    <w:rsid w:val="00CB4BA8"/>
    <w:rsid w:val="00CB52D7"/>
    <w:rsid w:val="00CB602A"/>
    <w:rsid w:val="00CB612B"/>
    <w:rsid w:val="00CB633A"/>
    <w:rsid w:val="00CB690D"/>
    <w:rsid w:val="00CB7125"/>
    <w:rsid w:val="00CB777F"/>
    <w:rsid w:val="00CB7B48"/>
    <w:rsid w:val="00CC031A"/>
    <w:rsid w:val="00CC112C"/>
    <w:rsid w:val="00CC263F"/>
    <w:rsid w:val="00CC2DD1"/>
    <w:rsid w:val="00CC3303"/>
    <w:rsid w:val="00CC3850"/>
    <w:rsid w:val="00CC5E17"/>
    <w:rsid w:val="00CC6732"/>
    <w:rsid w:val="00CC72B4"/>
    <w:rsid w:val="00CC7370"/>
    <w:rsid w:val="00CC7917"/>
    <w:rsid w:val="00CC7EA6"/>
    <w:rsid w:val="00CD0DCC"/>
    <w:rsid w:val="00CD2B08"/>
    <w:rsid w:val="00CD5206"/>
    <w:rsid w:val="00CD5BFB"/>
    <w:rsid w:val="00CD67AF"/>
    <w:rsid w:val="00CD72AA"/>
    <w:rsid w:val="00CD7896"/>
    <w:rsid w:val="00CE032C"/>
    <w:rsid w:val="00CE066D"/>
    <w:rsid w:val="00CE0BB5"/>
    <w:rsid w:val="00CE1297"/>
    <w:rsid w:val="00CE1E77"/>
    <w:rsid w:val="00CE3C96"/>
    <w:rsid w:val="00CE51A8"/>
    <w:rsid w:val="00CE5E9D"/>
    <w:rsid w:val="00CE603C"/>
    <w:rsid w:val="00CE695F"/>
    <w:rsid w:val="00CE7F05"/>
    <w:rsid w:val="00CE7F9C"/>
    <w:rsid w:val="00CF0777"/>
    <w:rsid w:val="00CF0FA1"/>
    <w:rsid w:val="00CF28C7"/>
    <w:rsid w:val="00CF369B"/>
    <w:rsid w:val="00CF3AC2"/>
    <w:rsid w:val="00CF4412"/>
    <w:rsid w:val="00CF442A"/>
    <w:rsid w:val="00CF6F64"/>
    <w:rsid w:val="00CF754B"/>
    <w:rsid w:val="00CF7640"/>
    <w:rsid w:val="00CF7983"/>
    <w:rsid w:val="00CF7B13"/>
    <w:rsid w:val="00D00E28"/>
    <w:rsid w:val="00D0269E"/>
    <w:rsid w:val="00D02E41"/>
    <w:rsid w:val="00D03837"/>
    <w:rsid w:val="00D04280"/>
    <w:rsid w:val="00D04361"/>
    <w:rsid w:val="00D04EB8"/>
    <w:rsid w:val="00D05364"/>
    <w:rsid w:val="00D059AD"/>
    <w:rsid w:val="00D05D6C"/>
    <w:rsid w:val="00D06284"/>
    <w:rsid w:val="00D0778E"/>
    <w:rsid w:val="00D10879"/>
    <w:rsid w:val="00D12739"/>
    <w:rsid w:val="00D13236"/>
    <w:rsid w:val="00D1452E"/>
    <w:rsid w:val="00D14579"/>
    <w:rsid w:val="00D14AA8"/>
    <w:rsid w:val="00D14C3F"/>
    <w:rsid w:val="00D15810"/>
    <w:rsid w:val="00D16B8B"/>
    <w:rsid w:val="00D16D4E"/>
    <w:rsid w:val="00D16FE3"/>
    <w:rsid w:val="00D176B0"/>
    <w:rsid w:val="00D17779"/>
    <w:rsid w:val="00D21FBD"/>
    <w:rsid w:val="00D232B0"/>
    <w:rsid w:val="00D27F41"/>
    <w:rsid w:val="00D302E6"/>
    <w:rsid w:val="00D30B35"/>
    <w:rsid w:val="00D3116F"/>
    <w:rsid w:val="00D31347"/>
    <w:rsid w:val="00D313CB"/>
    <w:rsid w:val="00D3467A"/>
    <w:rsid w:val="00D36441"/>
    <w:rsid w:val="00D3718D"/>
    <w:rsid w:val="00D4064E"/>
    <w:rsid w:val="00D4130C"/>
    <w:rsid w:val="00D414E9"/>
    <w:rsid w:val="00D42EF0"/>
    <w:rsid w:val="00D4323D"/>
    <w:rsid w:val="00D44746"/>
    <w:rsid w:val="00D44E9B"/>
    <w:rsid w:val="00D45FD2"/>
    <w:rsid w:val="00D46E48"/>
    <w:rsid w:val="00D47AEB"/>
    <w:rsid w:val="00D50DB9"/>
    <w:rsid w:val="00D51302"/>
    <w:rsid w:val="00D51645"/>
    <w:rsid w:val="00D51783"/>
    <w:rsid w:val="00D52C43"/>
    <w:rsid w:val="00D534F3"/>
    <w:rsid w:val="00D53981"/>
    <w:rsid w:val="00D5442E"/>
    <w:rsid w:val="00D551B1"/>
    <w:rsid w:val="00D56263"/>
    <w:rsid w:val="00D60571"/>
    <w:rsid w:val="00D60A41"/>
    <w:rsid w:val="00D6102C"/>
    <w:rsid w:val="00D61B2F"/>
    <w:rsid w:val="00D62818"/>
    <w:rsid w:val="00D6349E"/>
    <w:rsid w:val="00D63845"/>
    <w:rsid w:val="00D6507F"/>
    <w:rsid w:val="00D65A6E"/>
    <w:rsid w:val="00D65B75"/>
    <w:rsid w:val="00D66472"/>
    <w:rsid w:val="00D67A61"/>
    <w:rsid w:val="00D70A28"/>
    <w:rsid w:val="00D730BC"/>
    <w:rsid w:val="00D73912"/>
    <w:rsid w:val="00D73A77"/>
    <w:rsid w:val="00D745C2"/>
    <w:rsid w:val="00D75084"/>
    <w:rsid w:val="00D80169"/>
    <w:rsid w:val="00D80203"/>
    <w:rsid w:val="00D828EB"/>
    <w:rsid w:val="00D8311E"/>
    <w:rsid w:val="00D8375D"/>
    <w:rsid w:val="00D837BB"/>
    <w:rsid w:val="00D83EDC"/>
    <w:rsid w:val="00D8454B"/>
    <w:rsid w:val="00D8471A"/>
    <w:rsid w:val="00D84BBC"/>
    <w:rsid w:val="00D84DE7"/>
    <w:rsid w:val="00D85226"/>
    <w:rsid w:val="00D86C61"/>
    <w:rsid w:val="00D86D52"/>
    <w:rsid w:val="00D87506"/>
    <w:rsid w:val="00D87904"/>
    <w:rsid w:val="00D87B94"/>
    <w:rsid w:val="00D9007A"/>
    <w:rsid w:val="00D9097F"/>
    <w:rsid w:val="00D921B7"/>
    <w:rsid w:val="00D92D49"/>
    <w:rsid w:val="00D92EC1"/>
    <w:rsid w:val="00D94589"/>
    <w:rsid w:val="00D94ED8"/>
    <w:rsid w:val="00D963DE"/>
    <w:rsid w:val="00D96DEA"/>
    <w:rsid w:val="00DA1086"/>
    <w:rsid w:val="00DA25BC"/>
    <w:rsid w:val="00DA37E0"/>
    <w:rsid w:val="00DA4308"/>
    <w:rsid w:val="00DA4E41"/>
    <w:rsid w:val="00DA64B6"/>
    <w:rsid w:val="00DA7F51"/>
    <w:rsid w:val="00DB0475"/>
    <w:rsid w:val="00DB06AA"/>
    <w:rsid w:val="00DB093B"/>
    <w:rsid w:val="00DB0F02"/>
    <w:rsid w:val="00DB117A"/>
    <w:rsid w:val="00DB1A18"/>
    <w:rsid w:val="00DB2A2B"/>
    <w:rsid w:val="00DB3A64"/>
    <w:rsid w:val="00DB4934"/>
    <w:rsid w:val="00DB5173"/>
    <w:rsid w:val="00DB55B4"/>
    <w:rsid w:val="00DB6CAE"/>
    <w:rsid w:val="00DB7538"/>
    <w:rsid w:val="00DB7873"/>
    <w:rsid w:val="00DC187B"/>
    <w:rsid w:val="00DC33E3"/>
    <w:rsid w:val="00DC350C"/>
    <w:rsid w:val="00DC4ADE"/>
    <w:rsid w:val="00DC55D2"/>
    <w:rsid w:val="00DC64FF"/>
    <w:rsid w:val="00DC759D"/>
    <w:rsid w:val="00DC7DEF"/>
    <w:rsid w:val="00DD0070"/>
    <w:rsid w:val="00DD17E4"/>
    <w:rsid w:val="00DD1A43"/>
    <w:rsid w:val="00DD2C1C"/>
    <w:rsid w:val="00DD35DF"/>
    <w:rsid w:val="00DD4784"/>
    <w:rsid w:val="00DD5EA0"/>
    <w:rsid w:val="00DD5F5E"/>
    <w:rsid w:val="00DD6040"/>
    <w:rsid w:val="00DD73C2"/>
    <w:rsid w:val="00DD7561"/>
    <w:rsid w:val="00DE0BCC"/>
    <w:rsid w:val="00DE115D"/>
    <w:rsid w:val="00DE319B"/>
    <w:rsid w:val="00DE4D84"/>
    <w:rsid w:val="00DE5F57"/>
    <w:rsid w:val="00DE7C90"/>
    <w:rsid w:val="00DE7EB8"/>
    <w:rsid w:val="00DE7FBE"/>
    <w:rsid w:val="00DF0799"/>
    <w:rsid w:val="00DF0E16"/>
    <w:rsid w:val="00DF2237"/>
    <w:rsid w:val="00DF2993"/>
    <w:rsid w:val="00DF2EC6"/>
    <w:rsid w:val="00DF34FE"/>
    <w:rsid w:val="00DF372C"/>
    <w:rsid w:val="00DF41F5"/>
    <w:rsid w:val="00DF44B4"/>
    <w:rsid w:val="00DF4CA5"/>
    <w:rsid w:val="00DF4F85"/>
    <w:rsid w:val="00DF504B"/>
    <w:rsid w:val="00DF5133"/>
    <w:rsid w:val="00DF56AA"/>
    <w:rsid w:val="00DF56AF"/>
    <w:rsid w:val="00DF583C"/>
    <w:rsid w:val="00DF5DFD"/>
    <w:rsid w:val="00DF78E7"/>
    <w:rsid w:val="00E00098"/>
    <w:rsid w:val="00E00BF9"/>
    <w:rsid w:val="00E01209"/>
    <w:rsid w:val="00E02273"/>
    <w:rsid w:val="00E04484"/>
    <w:rsid w:val="00E05D2B"/>
    <w:rsid w:val="00E07F80"/>
    <w:rsid w:val="00E10D41"/>
    <w:rsid w:val="00E11058"/>
    <w:rsid w:val="00E110E0"/>
    <w:rsid w:val="00E11E68"/>
    <w:rsid w:val="00E11F32"/>
    <w:rsid w:val="00E12EA7"/>
    <w:rsid w:val="00E1438A"/>
    <w:rsid w:val="00E15371"/>
    <w:rsid w:val="00E154A4"/>
    <w:rsid w:val="00E1566A"/>
    <w:rsid w:val="00E16DFA"/>
    <w:rsid w:val="00E179D8"/>
    <w:rsid w:val="00E21CFD"/>
    <w:rsid w:val="00E23372"/>
    <w:rsid w:val="00E23DE3"/>
    <w:rsid w:val="00E24104"/>
    <w:rsid w:val="00E26277"/>
    <w:rsid w:val="00E271EE"/>
    <w:rsid w:val="00E272E6"/>
    <w:rsid w:val="00E276B9"/>
    <w:rsid w:val="00E302D0"/>
    <w:rsid w:val="00E30DF5"/>
    <w:rsid w:val="00E35650"/>
    <w:rsid w:val="00E35707"/>
    <w:rsid w:val="00E36AA1"/>
    <w:rsid w:val="00E37F14"/>
    <w:rsid w:val="00E4079F"/>
    <w:rsid w:val="00E4143C"/>
    <w:rsid w:val="00E4188B"/>
    <w:rsid w:val="00E41B66"/>
    <w:rsid w:val="00E41ECB"/>
    <w:rsid w:val="00E42676"/>
    <w:rsid w:val="00E45702"/>
    <w:rsid w:val="00E46489"/>
    <w:rsid w:val="00E468A3"/>
    <w:rsid w:val="00E47E7D"/>
    <w:rsid w:val="00E502EB"/>
    <w:rsid w:val="00E50591"/>
    <w:rsid w:val="00E50B5B"/>
    <w:rsid w:val="00E538A7"/>
    <w:rsid w:val="00E54FDB"/>
    <w:rsid w:val="00E5523D"/>
    <w:rsid w:val="00E55EEE"/>
    <w:rsid w:val="00E5617D"/>
    <w:rsid w:val="00E563D7"/>
    <w:rsid w:val="00E57147"/>
    <w:rsid w:val="00E606A5"/>
    <w:rsid w:val="00E614A1"/>
    <w:rsid w:val="00E61EDD"/>
    <w:rsid w:val="00E62CD5"/>
    <w:rsid w:val="00E63BDC"/>
    <w:rsid w:val="00E64D71"/>
    <w:rsid w:val="00E64E21"/>
    <w:rsid w:val="00E64E72"/>
    <w:rsid w:val="00E663F4"/>
    <w:rsid w:val="00E66601"/>
    <w:rsid w:val="00E666F2"/>
    <w:rsid w:val="00E66DD4"/>
    <w:rsid w:val="00E66F9C"/>
    <w:rsid w:val="00E6746C"/>
    <w:rsid w:val="00E67BA3"/>
    <w:rsid w:val="00E709DA"/>
    <w:rsid w:val="00E71FCD"/>
    <w:rsid w:val="00E72E86"/>
    <w:rsid w:val="00E730EC"/>
    <w:rsid w:val="00E748CC"/>
    <w:rsid w:val="00E75415"/>
    <w:rsid w:val="00E75761"/>
    <w:rsid w:val="00E775B1"/>
    <w:rsid w:val="00E778E2"/>
    <w:rsid w:val="00E8152A"/>
    <w:rsid w:val="00E82FD2"/>
    <w:rsid w:val="00E8447A"/>
    <w:rsid w:val="00E84F6B"/>
    <w:rsid w:val="00E859C7"/>
    <w:rsid w:val="00E86BF7"/>
    <w:rsid w:val="00E87A9F"/>
    <w:rsid w:val="00E901BB"/>
    <w:rsid w:val="00E91B85"/>
    <w:rsid w:val="00E93629"/>
    <w:rsid w:val="00E93B5C"/>
    <w:rsid w:val="00E948E6"/>
    <w:rsid w:val="00E94CEC"/>
    <w:rsid w:val="00E96BD5"/>
    <w:rsid w:val="00EA04EF"/>
    <w:rsid w:val="00EA12C7"/>
    <w:rsid w:val="00EA2203"/>
    <w:rsid w:val="00EA6576"/>
    <w:rsid w:val="00EA6F19"/>
    <w:rsid w:val="00EA76BF"/>
    <w:rsid w:val="00EB11C5"/>
    <w:rsid w:val="00EB1993"/>
    <w:rsid w:val="00EB3A02"/>
    <w:rsid w:val="00EB40EC"/>
    <w:rsid w:val="00EB5CC6"/>
    <w:rsid w:val="00EB7090"/>
    <w:rsid w:val="00EC0E6D"/>
    <w:rsid w:val="00EC0E7E"/>
    <w:rsid w:val="00EC1616"/>
    <w:rsid w:val="00EC165D"/>
    <w:rsid w:val="00EC1BBE"/>
    <w:rsid w:val="00EC25EB"/>
    <w:rsid w:val="00EC28A1"/>
    <w:rsid w:val="00EC2B68"/>
    <w:rsid w:val="00EC3AEF"/>
    <w:rsid w:val="00EC4D62"/>
    <w:rsid w:val="00EC4F96"/>
    <w:rsid w:val="00EC561D"/>
    <w:rsid w:val="00EC5CD7"/>
    <w:rsid w:val="00EC7E43"/>
    <w:rsid w:val="00ED0EA8"/>
    <w:rsid w:val="00ED1769"/>
    <w:rsid w:val="00ED25D2"/>
    <w:rsid w:val="00ED2AAE"/>
    <w:rsid w:val="00ED30A9"/>
    <w:rsid w:val="00ED4660"/>
    <w:rsid w:val="00ED614E"/>
    <w:rsid w:val="00ED69D0"/>
    <w:rsid w:val="00ED6EA2"/>
    <w:rsid w:val="00EE0BE5"/>
    <w:rsid w:val="00EE1600"/>
    <w:rsid w:val="00EE2CD6"/>
    <w:rsid w:val="00EE2FEA"/>
    <w:rsid w:val="00EE3175"/>
    <w:rsid w:val="00EE42EF"/>
    <w:rsid w:val="00EE4CB2"/>
    <w:rsid w:val="00EE5682"/>
    <w:rsid w:val="00EE5FB3"/>
    <w:rsid w:val="00EE6704"/>
    <w:rsid w:val="00EE685B"/>
    <w:rsid w:val="00EE6AC0"/>
    <w:rsid w:val="00EE74C3"/>
    <w:rsid w:val="00EE7F79"/>
    <w:rsid w:val="00EF0F0F"/>
    <w:rsid w:val="00EF2C0D"/>
    <w:rsid w:val="00EF3679"/>
    <w:rsid w:val="00EF3D55"/>
    <w:rsid w:val="00EF3DBD"/>
    <w:rsid w:val="00EF3EB9"/>
    <w:rsid w:val="00EF41EE"/>
    <w:rsid w:val="00EF4894"/>
    <w:rsid w:val="00EF6581"/>
    <w:rsid w:val="00EF6DE5"/>
    <w:rsid w:val="00EF715A"/>
    <w:rsid w:val="00F01BC3"/>
    <w:rsid w:val="00F0258B"/>
    <w:rsid w:val="00F03378"/>
    <w:rsid w:val="00F03E1A"/>
    <w:rsid w:val="00F04366"/>
    <w:rsid w:val="00F063AF"/>
    <w:rsid w:val="00F06E14"/>
    <w:rsid w:val="00F1044C"/>
    <w:rsid w:val="00F11C3C"/>
    <w:rsid w:val="00F12695"/>
    <w:rsid w:val="00F1351E"/>
    <w:rsid w:val="00F16527"/>
    <w:rsid w:val="00F16D50"/>
    <w:rsid w:val="00F179D4"/>
    <w:rsid w:val="00F17D83"/>
    <w:rsid w:val="00F20828"/>
    <w:rsid w:val="00F21400"/>
    <w:rsid w:val="00F22ED8"/>
    <w:rsid w:val="00F23AF6"/>
    <w:rsid w:val="00F23E1D"/>
    <w:rsid w:val="00F24127"/>
    <w:rsid w:val="00F26009"/>
    <w:rsid w:val="00F26CFE"/>
    <w:rsid w:val="00F31724"/>
    <w:rsid w:val="00F33C56"/>
    <w:rsid w:val="00F33F14"/>
    <w:rsid w:val="00F347C7"/>
    <w:rsid w:val="00F34848"/>
    <w:rsid w:val="00F34A1A"/>
    <w:rsid w:val="00F350B4"/>
    <w:rsid w:val="00F3568D"/>
    <w:rsid w:val="00F40AFD"/>
    <w:rsid w:val="00F41759"/>
    <w:rsid w:val="00F42984"/>
    <w:rsid w:val="00F42D46"/>
    <w:rsid w:val="00F43A3F"/>
    <w:rsid w:val="00F43CDE"/>
    <w:rsid w:val="00F4496C"/>
    <w:rsid w:val="00F44F3A"/>
    <w:rsid w:val="00F454B5"/>
    <w:rsid w:val="00F45BA5"/>
    <w:rsid w:val="00F45DD5"/>
    <w:rsid w:val="00F46BF1"/>
    <w:rsid w:val="00F46E66"/>
    <w:rsid w:val="00F51F10"/>
    <w:rsid w:val="00F529A5"/>
    <w:rsid w:val="00F536AD"/>
    <w:rsid w:val="00F538AF"/>
    <w:rsid w:val="00F56373"/>
    <w:rsid w:val="00F56780"/>
    <w:rsid w:val="00F57787"/>
    <w:rsid w:val="00F6002A"/>
    <w:rsid w:val="00F6070F"/>
    <w:rsid w:val="00F60A82"/>
    <w:rsid w:val="00F60F00"/>
    <w:rsid w:val="00F614C0"/>
    <w:rsid w:val="00F61C77"/>
    <w:rsid w:val="00F61D7C"/>
    <w:rsid w:val="00F61D8C"/>
    <w:rsid w:val="00F626FF"/>
    <w:rsid w:val="00F62875"/>
    <w:rsid w:val="00F63391"/>
    <w:rsid w:val="00F6484F"/>
    <w:rsid w:val="00F6491B"/>
    <w:rsid w:val="00F65962"/>
    <w:rsid w:val="00F664F1"/>
    <w:rsid w:val="00F67344"/>
    <w:rsid w:val="00F71815"/>
    <w:rsid w:val="00F72D03"/>
    <w:rsid w:val="00F7389C"/>
    <w:rsid w:val="00F73EB2"/>
    <w:rsid w:val="00F73FDD"/>
    <w:rsid w:val="00F73FEA"/>
    <w:rsid w:val="00F74176"/>
    <w:rsid w:val="00F75760"/>
    <w:rsid w:val="00F764F5"/>
    <w:rsid w:val="00F766D5"/>
    <w:rsid w:val="00F77097"/>
    <w:rsid w:val="00F81AA7"/>
    <w:rsid w:val="00F826A1"/>
    <w:rsid w:val="00F83632"/>
    <w:rsid w:val="00F837FC"/>
    <w:rsid w:val="00F83848"/>
    <w:rsid w:val="00F8607E"/>
    <w:rsid w:val="00F8612E"/>
    <w:rsid w:val="00F86545"/>
    <w:rsid w:val="00F91359"/>
    <w:rsid w:val="00F93F6D"/>
    <w:rsid w:val="00F93FD8"/>
    <w:rsid w:val="00F945CD"/>
    <w:rsid w:val="00F96708"/>
    <w:rsid w:val="00F975E9"/>
    <w:rsid w:val="00FA04BD"/>
    <w:rsid w:val="00FA1B7D"/>
    <w:rsid w:val="00FA1F15"/>
    <w:rsid w:val="00FA265B"/>
    <w:rsid w:val="00FA3634"/>
    <w:rsid w:val="00FA5060"/>
    <w:rsid w:val="00FA6028"/>
    <w:rsid w:val="00FA6A82"/>
    <w:rsid w:val="00FB02F6"/>
    <w:rsid w:val="00FB1B7F"/>
    <w:rsid w:val="00FB40F5"/>
    <w:rsid w:val="00FB527A"/>
    <w:rsid w:val="00FB5BBC"/>
    <w:rsid w:val="00FB6713"/>
    <w:rsid w:val="00FB778B"/>
    <w:rsid w:val="00FC07B9"/>
    <w:rsid w:val="00FC0E6F"/>
    <w:rsid w:val="00FC4690"/>
    <w:rsid w:val="00FC4BF8"/>
    <w:rsid w:val="00FC4E21"/>
    <w:rsid w:val="00FC4E30"/>
    <w:rsid w:val="00FC5F6D"/>
    <w:rsid w:val="00FC62E1"/>
    <w:rsid w:val="00FC78CF"/>
    <w:rsid w:val="00FD0107"/>
    <w:rsid w:val="00FD063D"/>
    <w:rsid w:val="00FD0B53"/>
    <w:rsid w:val="00FD2C2F"/>
    <w:rsid w:val="00FD2C8B"/>
    <w:rsid w:val="00FD3B31"/>
    <w:rsid w:val="00FD4362"/>
    <w:rsid w:val="00FD4D69"/>
    <w:rsid w:val="00FD576A"/>
    <w:rsid w:val="00FD6D21"/>
    <w:rsid w:val="00FE1435"/>
    <w:rsid w:val="00FE145F"/>
    <w:rsid w:val="00FE1823"/>
    <w:rsid w:val="00FE1C42"/>
    <w:rsid w:val="00FE2AFE"/>
    <w:rsid w:val="00FE3357"/>
    <w:rsid w:val="00FE34A0"/>
    <w:rsid w:val="00FE487A"/>
    <w:rsid w:val="00FE680E"/>
    <w:rsid w:val="00FE6B18"/>
    <w:rsid w:val="00FE7F1D"/>
    <w:rsid w:val="00FF0569"/>
    <w:rsid w:val="00FF0CFF"/>
    <w:rsid w:val="00FF1CB1"/>
    <w:rsid w:val="00FF206E"/>
    <w:rsid w:val="00FF269A"/>
    <w:rsid w:val="00FF35C1"/>
    <w:rsid w:val="00FF3C69"/>
    <w:rsid w:val="00FF4B63"/>
    <w:rsid w:val="00FF5546"/>
    <w:rsid w:val="00FF6C9E"/>
    <w:rsid w:val="00FF6CD5"/>
    <w:rsid w:val="00FF6E0A"/>
    <w:rsid w:val="00FF7755"/>
    <w:rsid w:val="012A7ACC"/>
    <w:rsid w:val="01CEE4AA"/>
    <w:rsid w:val="033E0B15"/>
    <w:rsid w:val="03429433"/>
    <w:rsid w:val="0398DA04"/>
    <w:rsid w:val="049BF84F"/>
    <w:rsid w:val="04AE6A36"/>
    <w:rsid w:val="0545462B"/>
    <w:rsid w:val="0564ACF0"/>
    <w:rsid w:val="057E1AAF"/>
    <w:rsid w:val="05A8E9CD"/>
    <w:rsid w:val="05E6BF83"/>
    <w:rsid w:val="06050D40"/>
    <w:rsid w:val="062EAD90"/>
    <w:rsid w:val="06A5A88F"/>
    <w:rsid w:val="06CC8F23"/>
    <w:rsid w:val="072EEED2"/>
    <w:rsid w:val="08A4E0E4"/>
    <w:rsid w:val="08C2E780"/>
    <w:rsid w:val="08E65F4C"/>
    <w:rsid w:val="09A462E4"/>
    <w:rsid w:val="0A220127"/>
    <w:rsid w:val="0A5F4875"/>
    <w:rsid w:val="0AB15D68"/>
    <w:rsid w:val="0B930565"/>
    <w:rsid w:val="0C51E725"/>
    <w:rsid w:val="0D9B305C"/>
    <w:rsid w:val="0DAE5EA2"/>
    <w:rsid w:val="0EF43D15"/>
    <w:rsid w:val="0F09278E"/>
    <w:rsid w:val="104836E9"/>
    <w:rsid w:val="11322DAA"/>
    <w:rsid w:val="114B76C4"/>
    <w:rsid w:val="11D9D24F"/>
    <w:rsid w:val="1205B705"/>
    <w:rsid w:val="12068F93"/>
    <w:rsid w:val="125C66B0"/>
    <w:rsid w:val="12A0D85A"/>
    <w:rsid w:val="13C2C5CF"/>
    <w:rsid w:val="13E93F1A"/>
    <w:rsid w:val="140F6433"/>
    <w:rsid w:val="159002A7"/>
    <w:rsid w:val="15DDF9F9"/>
    <w:rsid w:val="15E26FA7"/>
    <w:rsid w:val="163B35C1"/>
    <w:rsid w:val="16DFE68F"/>
    <w:rsid w:val="1747BD4F"/>
    <w:rsid w:val="17CA3845"/>
    <w:rsid w:val="19141FE9"/>
    <w:rsid w:val="19300048"/>
    <w:rsid w:val="194D0A30"/>
    <w:rsid w:val="19E839B0"/>
    <w:rsid w:val="1A2A87FA"/>
    <w:rsid w:val="1A586786"/>
    <w:rsid w:val="1A829266"/>
    <w:rsid w:val="1AA466C1"/>
    <w:rsid w:val="1BB82136"/>
    <w:rsid w:val="1BF9117C"/>
    <w:rsid w:val="1D149C6B"/>
    <w:rsid w:val="1D2D026B"/>
    <w:rsid w:val="1DB39A59"/>
    <w:rsid w:val="1E07D55D"/>
    <w:rsid w:val="1F30C338"/>
    <w:rsid w:val="1F9C5289"/>
    <w:rsid w:val="1FEA05B2"/>
    <w:rsid w:val="1FF0FA90"/>
    <w:rsid w:val="2008E9BD"/>
    <w:rsid w:val="2029B662"/>
    <w:rsid w:val="205CFB46"/>
    <w:rsid w:val="20712253"/>
    <w:rsid w:val="20B1DB1F"/>
    <w:rsid w:val="20C8384B"/>
    <w:rsid w:val="20D281A1"/>
    <w:rsid w:val="21C860C2"/>
    <w:rsid w:val="22079D89"/>
    <w:rsid w:val="220B1963"/>
    <w:rsid w:val="229AF643"/>
    <w:rsid w:val="239AA27B"/>
    <w:rsid w:val="23E2F8C5"/>
    <w:rsid w:val="23F757BA"/>
    <w:rsid w:val="248CABD0"/>
    <w:rsid w:val="24B3C22F"/>
    <w:rsid w:val="24DBD3CF"/>
    <w:rsid w:val="250F5ADD"/>
    <w:rsid w:val="2530985B"/>
    <w:rsid w:val="25795C19"/>
    <w:rsid w:val="25B8CA12"/>
    <w:rsid w:val="25B95BE4"/>
    <w:rsid w:val="2677ECAF"/>
    <w:rsid w:val="26CD28AA"/>
    <w:rsid w:val="28A0D3CD"/>
    <w:rsid w:val="28D0C3C7"/>
    <w:rsid w:val="2937F697"/>
    <w:rsid w:val="29D5128A"/>
    <w:rsid w:val="29DBBEDF"/>
    <w:rsid w:val="2A32F272"/>
    <w:rsid w:val="2A41A5EF"/>
    <w:rsid w:val="2A8A55C7"/>
    <w:rsid w:val="2BD432DD"/>
    <w:rsid w:val="2CE08D15"/>
    <w:rsid w:val="2CF2F286"/>
    <w:rsid w:val="2D101467"/>
    <w:rsid w:val="2D1039CC"/>
    <w:rsid w:val="2D31F549"/>
    <w:rsid w:val="2DA01CCA"/>
    <w:rsid w:val="2DF9B6CE"/>
    <w:rsid w:val="2E23BF17"/>
    <w:rsid w:val="2E2BA3A3"/>
    <w:rsid w:val="2E6964C8"/>
    <w:rsid w:val="2E6D9008"/>
    <w:rsid w:val="2E99560E"/>
    <w:rsid w:val="2EBC066D"/>
    <w:rsid w:val="2EEFC8A9"/>
    <w:rsid w:val="2FE011E9"/>
    <w:rsid w:val="2FF30FA0"/>
    <w:rsid w:val="2FFDE53D"/>
    <w:rsid w:val="301708CE"/>
    <w:rsid w:val="3050A424"/>
    <w:rsid w:val="3080CAAA"/>
    <w:rsid w:val="30E5FC3D"/>
    <w:rsid w:val="31336FD3"/>
    <w:rsid w:val="316AD765"/>
    <w:rsid w:val="31E1E909"/>
    <w:rsid w:val="3214A3C0"/>
    <w:rsid w:val="32398F70"/>
    <w:rsid w:val="32D41117"/>
    <w:rsid w:val="334C6808"/>
    <w:rsid w:val="338B29E2"/>
    <w:rsid w:val="33967F04"/>
    <w:rsid w:val="33A0B5FE"/>
    <w:rsid w:val="346DA8A6"/>
    <w:rsid w:val="34A9F1B7"/>
    <w:rsid w:val="35602F1C"/>
    <w:rsid w:val="3643BE09"/>
    <w:rsid w:val="364AD097"/>
    <w:rsid w:val="365AE2EF"/>
    <w:rsid w:val="36EFBE1A"/>
    <w:rsid w:val="3763D781"/>
    <w:rsid w:val="38639255"/>
    <w:rsid w:val="38F49BFE"/>
    <w:rsid w:val="393E3F7F"/>
    <w:rsid w:val="396DB54D"/>
    <w:rsid w:val="3A5119B7"/>
    <w:rsid w:val="3AC061B0"/>
    <w:rsid w:val="3B087CFA"/>
    <w:rsid w:val="3B0BCB0C"/>
    <w:rsid w:val="3BA62E76"/>
    <w:rsid w:val="3F228B4C"/>
    <w:rsid w:val="3F25B676"/>
    <w:rsid w:val="3F58C926"/>
    <w:rsid w:val="3FD64443"/>
    <w:rsid w:val="40461BD7"/>
    <w:rsid w:val="404B5B80"/>
    <w:rsid w:val="40879EE2"/>
    <w:rsid w:val="408E9E4E"/>
    <w:rsid w:val="4277943F"/>
    <w:rsid w:val="42EB180F"/>
    <w:rsid w:val="430FCD4C"/>
    <w:rsid w:val="433C70E7"/>
    <w:rsid w:val="43A85A6D"/>
    <w:rsid w:val="43E2CA3A"/>
    <w:rsid w:val="43FF45A2"/>
    <w:rsid w:val="4422FD4C"/>
    <w:rsid w:val="45505A19"/>
    <w:rsid w:val="45B51100"/>
    <w:rsid w:val="45D0EF7F"/>
    <w:rsid w:val="45E18637"/>
    <w:rsid w:val="45F17421"/>
    <w:rsid w:val="46E2CC16"/>
    <w:rsid w:val="473E2CF7"/>
    <w:rsid w:val="474DCF7F"/>
    <w:rsid w:val="479CD62D"/>
    <w:rsid w:val="484E84B6"/>
    <w:rsid w:val="4857A2A7"/>
    <w:rsid w:val="48AA85C9"/>
    <w:rsid w:val="48C6EDDA"/>
    <w:rsid w:val="4921541E"/>
    <w:rsid w:val="496D5A2A"/>
    <w:rsid w:val="4992BCAA"/>
    <w:rsid w:val="49B0E505"/>
    <w:rsid w:val="4A6C66A3"/>
    <w:rsid w:val="4B2F3CCD"/>
    <w:rsid w:val="4B5DEA29"/>
    <w:rsid w:val="4B815354"/>
    <w:rsid w:val="4BCF89CE"/>
    <w:rsid w:val="4C7A0428"/>
    <w:rsid w:val="4D67A58E"/>
    <w:rsid w:val="4D6A3FC6"/>
    <w:rsid w:val="4D7D604D"/>
    <w:rsid w:val="4DFCA02A"/>
    <w:rsid w:val="4E4D35B3"/>
    <w:rsid w:val="4F326AE8"/>
    <w:rsid w:val="4FBBB3EA"/>
    <w:rsid w:val="509F968D"/>
    <w:rsid w:val="5110EF61"/>
    <w:rsid w:val="514BF4F1"/>
    <w:rsid w:val="515F0439"/>
    <w:rsid w:val="51D5CA1C"/>
    <w:rsid w:val="52938E6B"/>
    <w:rsid w:val="52D6E24B"/>
    <w:rsid w:val="52D84B41"/>
    <w:rsid w:val="52DB9B29"/>
    <w:rsid w:val="531A2F04"/>
    <w:rsid w:val="5383F040"/>
    <w:rsid w:val="538FE77E"/>
    <w:rsid w:val="5481C5C4"/>
    <w:rsid w:val="54B53AEF"/>
    <w:rsid w:val="552FFA5C"/>
    <w:rsid w:val="5553C6D1"/>
    <w:rsid w:val="55675BDD"/>
    <w:rsid w:val="5591B6A2"/>
    <w:rsid w:val="55EE3B58"/>
    <w:rsid w:val="569BA7EB"/>
    <w:rsid w:val="578A946C"/>
    <w:rsid w:val="5799A352"/>
    <w:rsid w:val="57AA57F9"/>
    <w:rsid w:val="587CA1F1"/>
    <w:rsid w:val="588AC77F"/>
    <w:rsid w:val="58D3E124"/>
    <w:rsid w:val="5903C420"/>
    <w:rsid w:val="59E0736B"/>
    <w:rsid w:val="5AF25DDE"/>
    <w:rsid w:val="5B892842"/>
    <w:rsid w:val="5C089E95"/>
    <w:rsid w:val="5C357D31"/>
    <w:rsid w:val="5C68974F"/>
    <w:rsid w:val="5CE447AF"/>
    <w:rsid w:val="5D9500D1"/>
    <w:rsid w:val="5E79FFAD"/>
    <w:rsid w:val="5F34261A"/>
    <w:rsid w:val="5F62519B"/>
    <w:rsid w:val="5F6C575D"/>
    <w:rsid w:val="606F9308"/>
    <w:rsid w:val="610EEF95"/>
    <w:rsid w:val="6175FE1C"/>
    <w:rsid w:val="622F0729"/>
    <w:rsid w:val="62494770"/>
    <w:rsid w:val="639B8773"/>
    <w:rsid w:val="63A80B6A"/>
    <w:rsid w:val="63F6BB9E"/>
    <w:rsid w:val="63F7A511"/>
    <w:rsid w:val="64402502"/>
    <w:rsid w:val="64E32851"/>
    <w:rsid w:val="6500573B"/>
    <w:rsid w:val="652C2FC1"/>
    <w:rsid w:val="6579572A"/>
    <w:rsid w:val="659AC8AE"/>
    <w:rsid w:val="65AE80D4"/>
    <w:rsid w:val="66519495"/>
    <w:rsid w:val="6679574A"/>
    <w:rsid w:val="668D6C95"/>
    <w:rsid w:val="680477EE"/>
    <w:rsid w:val="681D7B74"/>
    <w:rsid w:val="686EA214"/>
    <w:rsid w:val="6889DEA7"/>
    <w:rsid w:val="688CAB7C"/>
    <w:rsid w:val="68B38105"/>
    <w:rsid w:val="69114062"/>
    <w:rsid w:val="69FD1526"/>
    <w:rsid w:val="6A29F9F5"/>
    <w:rsid w:val="6AA00182"/>
    <w:rsid w:val="6AC8BE7A"/>
    <w:rsid w:val="6AD1E6BC"/>
    <w:rsid w:val="6B43EC67"/>
    <w:rsid w:val="6BB24543"/>
    <w:rsid w:val="6C46C465"/>
    <w:rsid w:val="6C7B2EF8"/>
    <w:rsid w:val="6C9E6FFA"/>
    <w:rsid w:val="6CFC8BBB"/>
    <w:rsid w:val="6D0EF0B3"/>
    <w:rsid w:val="6D1883FD"/>
    <w:rsid w:val="6D430A80"/>
    <w:rsid w:val="6D4D7FC8"/>
    <w:rsid w:val="6DB39C30"/>
    <w:rsid w:val="6E324D44"/>
    <w:rsid w:val="6EFCE906"/>
    <w:rsid w:val="6F090CDC"/>
    <w:rsid w:val="6F217200"/>
    <w:rsid w:val="6F22A13F"/>
    <w:rsid w:val="6FAE75F7"/>
    <w:rsid w:val="70349D15"/>
    <w:rsid w:val="70512797"/>
    <w:rsid w:val="70955A71"/>
    <w:rsid w:val="7198E022"/>
    <w:rsid w:val="719B17AA"/>
    <w:rsid w:val="71A72972"/>
    <w:rsid w:val="721E7667"/>
    <w:rsid w:val="7232BA14"/>
    <w:rsid w:val="72991F2D"/>
    <w:rsid w:val="729B02F9"/>
    <w:rsid w:val="7366E3DD"/>
    <w:rsid w:val="73852746"/>
    <w:rsid w:val="743B942F"/>
    <w:rsid w:val="74BBA605"/>
    <w:rsid w:val="74E02F8B"/>
    <w:rsid w:val="74EE9D39"/>
    <w:rsid w:val="76657D33"/>
    <w:rsid w:val="7679623C"/>
    <w:rsid w:val="7697AF9C"/>
    <w:rsid w:val="76F33241"/>
    <w:rsid w:val="78128211"/>
    <w:rsid w:val="788AF791"/>
    <w:rsid w:val="79125B99"/>
    <w:rsid w:val="79E3C272"/>
    <w:rsid w:val="7AC0DEDC"/>
    <w:rsid w:val="7B33B3A5"/>
    <w:rsid w:val="7BA7D934"/>
    <w:rsid w:val="7C0D791E"/>
    <w:rsid w:val="7D7DC568"/>
    <w:rsid w:val="7D8871B1"/>
    <w:rsid w:val="7DFCE5DC"/>
    <w:rsid w:val="7E30587C"/>
    <w:rsid w:val="7F02F430"/>
    <w:rsid w:val="7F45915C"/>
    <w:rsid w:val="7F97A845"/>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1DD2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1">
    <w:lsdException w:name="heading 1" w:qFormat="1"/>
    <w:lsdException w:name="heading 2" w:uiPriority="1"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B2960"/>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711ACA"/>
    <w:pPr>
      <w:keepNext/>
      <w:spacing w:before="320" w:after="60" w:line="280" w:lineRule="atLeast"/>
      <w:outlineLvl w:val="1"/>
    </w:pPr>
    <w:rPr>
      <w:rFonts w:cs="Arial"/>
      <w:b/>
      <w:bCs/>
      <w:iCs/>
      <w:sz w:val="28"/>
      <w:szCs w:val="28"/>
    </w:rPr>
  </w:style>
  <w:style w:type="paragraph" w:styleId="Heading3">
    <w:name w:val="heading 3"/>
    <w:basedOn w:val="Normal"/>
    <w:next w:val="Normal"/>
    <w:link w:val="Heading3Char"/>
    <w:uiPriority w:val="2"/>
    <w:qFormat/>
    <w:rsid w:val="00711ACA"/>
    <w:pPr>
      <w:keepNext/>
      <w:spacing w:before="60" w:after="60" w:line="280" w:lineRule="atLeast"/>
      <w:outlineLvl w:val="2"/>
    </w:pPr>
    <w:rPr>
      <w:rFonts w:cs="Arial"/>
      <w:b/>
      <w:bCs/>
      <w:sz w:val="22"/>
      <w:szCs w:val="26"/>
    </w:rPr>
  </w:style>
  <w:style w:type="paragraph" w:styleId="Heading4">
    <w:name w:val="heading 4"/>
    <w:basedOn w:val="BodySubHeader"/>
    <w:next w:val="Normal"/>
    <w:uiPriority w:val="2"/>
    <w:qFormat/>
    <w:rsid w:val="00711ACA"/>
    <w:pPr>
      <w:spacing w:line="280" w:lineRule="atLeast"/>
      <w:outlineLvl w:val="3"/>
    </w:pPr>
    <w:rPr>
      <w:rFonts w:cs="Arial"/>
      <w:sz w:val="22"/>
    </w:rPr>
  </w:style>
  <w:style w:type="paragraph" w:styleId="Heading5">
    <w:name w:val="heading 5"/>
    <w:basedOn w:val="Normal"/>
    <w:next w:val="Normal"/>
    <w:semiHidden/>
    <w:qFormat/>
    <w:rsid w:val="00AD5436"/>
    <w:pPr>
      <w:numPr>
        <w:ilvl w:val="4"/>
        <w:numId w:val="17"/>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17"/>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17"/>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17"/>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1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uiPriority w:val="99"/>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21"/>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semiHidden/>
    <w:qFormat/>
    <w:rsid w:val="001C6AEE"/>
    <w:pPr>
      <w:numPr>
        <w:numId w:val="13"/>
      </w:numPr>
      <w:spacing w:after="80"/>
    </w:pPr>
  </w:style>
  <w:style w:type="paragraph" w:styleId="ListBullet2">
    <w:name w:val="List Bullet 2"/>
    <w:basedOn w:val="Normal"/>
    <w:semiHidden/>
    <w:qFormat/>
    <w:rsid w:val="001C6AEE"/>
    <w:pPr>
      <w:numPr>
        <w:numId w:val="14"/>
      </w:numPr>
      <w:spacing w:after="80"/>
    </w:pPr>
  </w:style>
  <w:style w:type="paragraph" w:styleId="ListNumber">
    <w:name w:val="List Number"/>
    <w:basedOn w:val="Normal"/>
    <w:semiHidden/>
    <w:qFormat/>
    <w:rsid w:val="004B2960"/>
    <w:pPr>
      <w:numPr>
        <w:numId w:val="15"/>
      </w:numPr>
      <w:spacing w:after="80" w:line="260" w:lineRule="atLeast"/>
      <w:ind w:left="284" w:hanging="284"/>
    </w:pPr>
    <w:rPr>
      <w:sz w:val="22"/>
    </w:rPr>
  </w:style>
  <w:style w:type="paragraph" w:styleId="ListNumber2">
    <w:name w:val="List Number 2"/>
    <w:basedOn w:val="Normal"/>
    <w:semiHidden/>
    <w:qFormat/>
    <w:rsid w:val="004A70D6"/>
    <w:pPr>
      <w:numPr>
        <w:numId w:val="16"/>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E66601"/>
    <w:pPr>
      <w:pageBreakBefore/>
      <w:spacing w:after="36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D60571"/>
    <w:pPr>
      <w:tabs>
        <w:tab w:val="right" w:pos="9072"/>
      </w:tabs>
      <w:spacing w:before="280" w:after="80" w:line="320" w:lineRule="exact"/>
    </w:pPr>
    <w:rPr>
      <w:b/>
      <w:noProof/>
      <w:spacing w:val="-14"/>
      <w:sz w:val="28"/>
    </w:rPr>
  </w:style>
  <w:style w:type="paragraph" w:styleId="TOC2">
    <w:name w:val="toc 2"/>
    <w:basedOn w:val="Normal"/>
    <w:next w:val="Normal"/>
    <w:uiPriority w:val="39"/>
    <w:qFormat/>
    <w:rsid w:val="00D60571"/>
    <w:pPr>
      <w:tabs>
        <w:tab w:val="right" w:pos="9072"/>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D60571"/>
    <w:pPr>
      <w:tabs>
        <w:tab w:val="right" w:pos="9072"/>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A,FR,Ref"/>
    <w:basedOn w:val="DefaultParagraphFont"/>
    <w:qFormat/>
    <w:rsid w:val="00566AB4"/>
    <w:rPr>
      <w:rFonts w:ascii="Arial" w:hAnsi="Arial"/>
      <w:vertAlign w:val="superscript"/>
    </w:rPr>
  </w:style>
  <w:style w:type="paragraph" w:styleId="FootnoteText">
    <w:name w:val="footnote text"/>
    <w:aliases w:val="Footnote text,ACMA Footnote Text,ALTS FOOTNOTE Char,Footnote Text Char Char,Footnote Text Char Char2 Char Char Char,Footnote Text Char1,Footnote Text Char1 Char Char Char,Footnote Text Char2 Char Char,fn Char,ABA Footnote Text"/>
    <w:basedOn w:val="Normal"/>
    <w:link w:val="FootnoteTextChar"/>
    <w:uiPriority w:val="99"/>
    <w:qFormat/>
    <w:rsid w:val="00A17B1B"/>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711ACA"/>
    <w:pPr>
      <w:numPr>
        <w:numId w:val="25"/>
      </w:numPr>
      <w:spacing w:line="280" w:lineRule="atLeast"/>
      <w:ind w:left="284" w:hanging="284"/>
    </w:pPr>
    <w:rPr>
      <w:rFonts w:cs="Arial"/>
      <w:sz w:val="22"/>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19"/>
      </w:numPr>
      <w:spacing w:after="160"/>
    </w:pPr>
    <w:rPr>
      <w:rFonts w:ascii="Arial" w:hAnsi="Arial"/>
      <w:b/>
      <w:bCs/>
      <w:color w:val="323232"/>
      <w:sz w:val="20"/>
      <w:szCs w:val="20"/>
    </w:rPr>
  </w:style>
  <w:style w:type="paragraph" w:customStyle="1" w:styleId="ACMANotes">
    <w:name w:val="ACMA_Notes"/>
    <w:semiHidden/>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711ACA"/>
    <w:pPr>
      <w:spacing w:line="280" w:lineRule="atLeast"/>
    </w:pPr>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18"/>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20"/>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CE0BB5"/>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711ACA"/>
    <w:rPr>
      <w:rFonts w:ascii="Arial" w:hAnsi="Arial" w:cs="Arial"/>
      <w:b/>
      <w:bCs/>
      <w:iCs/>
      <w:sz w:val="28"/>
      <w:szCs w:val="28"/>
    </w:rPr>
  </w:style>
  <w:style w:type="character" w:customStyle="1"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711ACA"/>
    <w:rPr>
      <w:rFonts w:ascii="Arial" w:hAnsi="Arial" w:cs="Arial"/>
      <w:b/>
      <w:bCs/>
      <w:sz w:val="22"/>
      <w:szCs w:val="26"/>
    </w:rPr>
  </w:style>
  <w:style w:type="paragraph" w:customStyle="1" w:styleId="Paragraph">
    <w:name w:val="Paragraph"/>
    <w:basedOn w:val="Normal"/>
    <w:qFormat/>
    <w:rsid w:val="00711ACA"/>
    <w:pPr>
      <w:spacing w:line="280" w:lineRule="atLeast"/>
    </w:pPr>
    <w:rPr>
      <w:rFonts w:cs="Arial"/>
      <w:sz w:val="22"/>
    </w:rPr>
  </w:style>
  <w:style w:type="paragraph" w:customStyle="1" w:styleId="Bulletlevel2">
    <w:name w:val="Bullet level 2"/>
    <w:basedOn w:val="ListBullet2"/>
    <w:uiPriority w:val="7"/>
    <w:qFormat/>
    <w:rsid w:val="00711ACA"/>
    <w:pPr>
      <w:numPr>
        <w:numId w:val="27"/>
      </w:numPr>
      <w:tabs>
        <w:tab w:val="left" w:pos="295"/>
      </w:tabs>
      <w:spacing w:line="280" w:lineRule="atLeast"/>
      <w:ind w:left="568" w:hanging="284"/>
    </w:pPr>
    <w:rPr>
      <w:rFonts w:cs="Arial"/>
      <w:sz w:val="22"/>
    </w:rPr>
  </w:style>
  <w:style w:type="paragraph" w:customStyle="1" w:styleId="Bulletlevel1last">
    <w:name w:val="Bullet level 1 last"/>
    <w:basedOn w:val="ListBulletLast"/>
    <w:uiPriority w:val="6"/>
    <w:qFormat/>
    <w:rsid w:val="00711ACA"/>
    <w:pPr>
      <w:numPr>
        <w:numId w:val="26"/>
      </w:numPr>
      <w:spacing w:line="280" w:lineRule="atLeast"/>
      <w:ind w:left="284" w:hanging="284"/>
    </w:pPr>
    <w:rPr>
      <w:sz w:val="22"/>
    </w:rPr>
  </w:style>
  <w:style w:type="paragraph" w:customStyle="1" w:styleId="Numberlistlevel2">
    <w:name w:val="Number list level 2"/>
    <w:basedOn w:val="ListNumber2"/>
    <w:uiPriority w:val="11"/>
    <w:qFormat/>
    <w:rsid w:val="00711ACA"/>
    <w:pPr>
      <w:spacing w:line="280" w:lineRule="atLeast"/>
      <w:ind w:left="738" w:hanging="284"/>
    </w:pPr>
    <w:rPr>
      <w:sz w:val="22"/>
    </w:rPr>
  </w:style>
  <w:style w:type="paragraph" w:customStyle="1" w:styleId="Numberlistlast">
    <w:name w:val="Number list last"/>
    <w:basedOn w:val="ListNumberLast"/>
    <w:uiPriority w:val="10"/>
    <w:qFormat/>
    <w:rsid w:val="00711ACA"/>
    <w:pPr>
      <w:spacing w:line="280" w:lineRule="atLeast"/>
      <w:ind w:left="284" w:hanging="284"/>
    </w:pPr>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5A62E5"/>
    <w:pPr>
      <w:numPr>
        <w:numId w:val="28"/>
      </w:numPr>
      <w:spacing w:after="240"/>
      <w:ind w:left="568" w:hanging="284"/>
    </w:pPr>
  </w:style>
  <w:style w:type="table" w:customStyle="1" w:styleId="ACMAtablestyle">
    <w:name w:val="ACMA table style"/>
    <w:basedOn w:val="TableNormal"/>
    <w:uiPriority w:val="99"/>
    <w:rsid w:val="00F04366"/>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Horz">
      <w:rPr>
        <w:rFonts w:ascii="Arial" w:hAnsi="Arial"/>
        <w:sz w:val="20"/>
      </w:rPr>
      <w:tblPr/>
      <w:tcPr>
        <w:shd w:val="clear" w:color="auto" w:fill="F2F2F2" w:themeFill="background1" w:themeFillShade="F2"/>
      </w:tcPr>
    </w:tblStylePr>
  </w:style>
  <w:style w:type="paragraph" w:customStyle="1" w:styleId="Tableheading">
    <w:name w:val="Table heading"/>
    <w:basedOn w:val="ACMATableHeader"/>
    <w:uiPriority w:val="13"/>
    <w:qFormat/>
    <w:rsid w:val="00711ACA"/>
    <w:pPr>
      <w:keepNext/>
      <w:spacing w:line="280" w:lineRule="atLeast"/>
    </w:pPr>
    <w:rPr>
      <w:sz w:val="22"/>
    </w:r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711ACA"/>
    <w:pPr>
      <w:keepNext/>
      <w:spacing w:line="280" w:lineRule="atLeast"/>
    </w:pPr>
    <w:rPr>
      <w:sz w:val="22"/>
    </w:rPr>
  </w:style>
  <w:style w:type="paragraph" w:customStyle="1" w:styleId="Tableorfigurenotemultiple">
    <w:name w:val="Table or figure note multiple"/>
    <w:basedOn w:val="Tableorfigurenote"/>
    <w:uiPriority w:val="18"/>
    <w:qFormat/>
    <w:rsid w:val="00930510"/>
    <w:pPr>
      <w:spacing w:after="80"/>
    </w:pPr>
  </w:style>
  <w:style w:type="paragraph" w:customStyle="1" w:styleId="Protectivemarking">
    <w:name w:val="Protective marking"/>
    <w:basedOn w:val="Normal"/>
    <w:uiPriority w:val="99"/>
    <w:qFormat/>
    <w:rsid w:val="007E3375"/>
    <w:pPr>
      <w:tabs>
        <w:tab w:val="left" w:pos="720"/>
      </w:tabs>
      <w:spacing w:after="0" w:line="240" w:lineRule="auto"/>
      <w:jc w:val="center"/>
    </w:pPr>
    <w:rPr>
      <w:rFonts w:cs="Arial"/>
      <w:b/>
      <w:bCs/>
      <w:color w:val="FF0000"/>
      <w:sz w:val="32"/>
      <w:lang w:eastAsia="en-US"/>
    </w:rPr>
  </w:style>
  <w:style w:type="paragraph" w:styleId="BalloonText">
    <w:name w:val="Balloon Text"/>
    <w:basedOn w:val="Normal"/>
    <w:link w:val="BalloonTextChar"/>
    <w:semiHidden/>
    <w:unhideWhenUsed/>
    <w:rsid w:val="00451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511C5"/>
    <w:rPr>
      <w:rFonts w:ascii="Segoe UI" w:hAnsi="Segoe UI" w:cs="Segoe UI"/>
      <w:sz w:val="18"/>
      <w:szCs w:val="18"/>
    </w:rPr>
  </w:style>
  <w:style w:type="paragraph" w:styleId="Revision">
    <w:name w:val="Revision"/>
    <w:hidden/>
    <w:semiHidden/>
    <w:rsid w:val="004511C5"/>
    <w:rPr>
      <w:rFonts w:ascii="Arial" w:hAnsi="Arial"/>
      <w:sz w:val="20"/>
    </w:rPr>
  </w:style>
  <w:style w:type="paragraph" w:customStyle="1" w:styleId="Executivesummarysubheading">
    <w:name w:val="Executive summary subheading"/>
    <w:basedOn w:val="Heading4"/>
    <w:uiPriority w:val="3"/>
    <w:qFormat/>
    <w:rsid w:val="00711ACA"/>
    <w:pPr>
      <w:spacing w:after="80"/>
    </w:pPr>
  </w:style>
  <w:style w:type="paragraph" w:customStyle="1" w:styleId="paragraph0">
    <w:name w:val="paragraph"/>
    <w:basedOn w:val="Normal"/>
    <w:rsid w:val="587CA1F1"/>
    <w:pPr>
      <w:spacing w:beforeAutospacing="1" w:after="160" w:afterAutospacing="1"/>
    </w:pPr>
    <w:rPr>
      <w:rFonts w:asciiTheme="minorHAnsi" w:eastAsiaTheme="minorEastAsia" w:hAnsiTheme="minorHAnsi" w:cstheme="minorBidi"/>
      <w:sz w:val="24"/>
    </w:rPr>
  </w:style>
  <w:style w:type="character" w:customStyle="1" w:styleId="normaltextrun">
    <w:name w:val="normaltextrun"/>
    <w:basedOn w:val="DefaultParagraphFont"/>
    <w:rsid w:val="32D41117"/>
    <w:rPr>
      <w:rFonts w:asciiTheme="minorHAnsi" w:eastAsiaTheme="minorEastAsia" w:hAnsiTheme="minorHAnsi" w:cstheme="minorBidi"/>
      <w:sz w:val="22"/>
      <w:szCs w:val="22"/>
    </w:rPr>
  </w:style>
  <w:style w:type="character" w:customStyle="1" w:styleId="eop">
    <w:name w:val="eop"/>
    <w:basedOn w:val="DefaultParagraphFont"/>
    <w:rsid w:val="32D41117"/>
    <w:rPr>
      <w:rFonts w:asciiTheme="minorHAnsi" w:eastAsiaTheme="minorEastAsia" w:hAnsiTheme="minorHAnsi" w:cstheme="minorBidi"/>
      <w:sz w:val="22"/>
      <w:szCs w:val="22"/>
    </w:rPr>
  </w:style>
  <w:style w:type="paragraph" w:styleId="ListParagraph">
    <w:name w:val="List Paragraph"/>
    <w:basedOn w:val="Normal"/>
    <w:uiPriority w:val="34"/>
    <w:qFormat/>
    <w:pPr>
      <w:ind w:left="720"/>
      <w:contextualSpacing/>
    </w:pPr>
  </w:style>
  <w:style w:type="paragraph" w:customStyle="1" w:styleId="ACMABulletLevel1">
    <w:name w:val="ACMA Bullet Level 1"/>
    <w:basedOn w:val="Normal"/>
    <w:uiPriority w:val="1"/>
    <w:rsid w:val="64402502"/>
    <w:pPr>
      <w:numPr>
        <w:numId w:val="12"/>
      </w:numPr>
      <w:spacing w:after="120"/>
      <w:ind w:left="357" w:hanging="357"/>
    </w:pPr>
    <w:rPr>
      <w:rFonts w:ascii="Times New Roman" w:hAnsi="Times New Roman"/>
      <w:sz w:val="24"/>
      <w:lang w:eastAsia="en-US"/>
    </w:rPr>
  </w:style>
  <w:style w:type="character" w:customStyle="1" w:styleId="superscript">
    <w:name w:val="superscript"/>
    <w:basedOn w:val="DefaultParagraphFont"/>
    <w:rsid w:val="00E82FD2"/>
  </w:style>
  <w:style w:type="character" w:customStyle="1" w:styleId="FootnoteTextChar">
    <w:name w:val="Footnote Text Char"/>
    <w:aliases w:val="Footnote text Char,ACMA Footnote Text Char,ALTS FOOTNOTE Char Char,Footnote Text Char Char Char,Footnote Text Char Char2 Char Char Char Char,Footnote Text Char1 Char,Footnote Text Char1 Char Char Char Char,fn Char Char"/>
    <w:basedOn w:val="DefaultParagraphFont"/>
    <w:link w:val="FootnoteText"/>
    <w:uiPriority w:val="99"/>
    <w:rsid w:val="00BD11E9"/>
    <w:rPr>
      <w:rFonts w:ascii="Arial" w:hAnsi="Arial"/>
      <w:sz w:val="16"/>
      <w:szCs w:val="16"/>
    </w:rPr>
  </w:style>
  <w:style w:type="paragraph" w:styleId="EndnoteText">
    <w:name w:val="endnote text"/>
    <w:basedOn w:val="Normal"/>
    <w:link w:val="EndnoteTextChar"/>
    <w:semiHidden/>
    <w:unhideWhenUsed/>
    <w:rsid w:val="004E3A72"/>
    <w:pPr>
      <w:spacing w:after="0" w:line="240" w:lineRule="auto"/>
    </w:pPr>
    <w:rPr>
      <w:szCs w:val="20"/>
    </w:rPr>
  </w:style>
  <w:style w:type="character" w:customStyle="1" w:styleId="EndnoteTextChar">
    <w:name w:val="Endnote Text Char"/>
    <w:basedOn w:val="DefaultParagraphFont"/>
    <w:link w:val="EndnoteText"/>
    <w:semiHidden/>
    <w:rsid w:val="004E3A72"/>
    <w:rPr>
      <w:rFonts w:ascii="Arial" w:hAnsi="Arial"/>
      <w:sz w:val="20"/>
      <w:szCs w:val="20"/>
    </w:rPr>
  </w:style>
  <w:style w:type="character" w:styleId="EndnoteReference">
    <w:name w:val="endnote reference"/>
    <w:basedOn w:val="DefaultParagraphFont"/>
    <w:semiHidden/>
    <w:unhideWhenUsed/>
    <w:rsid w:val="004E3A72"/>
    <w:rPr>
      <w:vertAlign w:val="superscript"/>
    </w:rPr>
  </w:style>
  <w:style w:type="table" w:customStyle="1" w:styleId="ABAREStableleftalign">
    <w:name w:val="ABARES table (left align)"/>
    <w:basedOn w:val="TableNormal"/>
    <w:uiPriority w:val="99"/>
    <w:rsid w:val="005F274C"/>
    <w:pPr>
      <w:spacing w:before="60" w:after="60"/>
    </w:pPr>
    <w:rPr>
      <w:rFonts w:ascii="Cambria" w:eastAsia="Calibri" w:hAnsi="Cambria"/>
      <w:sz w:val="19"/>
      <w:szCs w:val="20"/>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pf0">
    <w:name w:val="pf0"/>
    <w:basedOn w:val="Normal"/>
    <w:rsid w:val="00AF7FB7"/>
    <w:pPr>
      <w:spacing w:before="100" w:beforeAutospacing="1" w:after="100" w:afterAutospacing="1" w:line="240" w:lineRule="auto"/>
    </w:pPr>
    <w:rPr>
      <w:rFonts w:ascii="Times New Roman" w:hAnsi="Times New Roman"/>
      <w:sz w:val="24"/>
    </w:rPr>
  </w:style>
  <w:style w:type="paragraph" w:customStyle="1" w:styleId="pf1">
    <w:name w:val="pf1"/>
    <w:basedOn w:val="Normal"/>
    <w:rsid w:val="00AF7FB7"/>
    <w:pPr>
      <w:spacing w:before="100" w:beforeAutospacing="1" w:after="100" w:afterAutospacing="1" w:line="240" w:lineRule="auto"/>
      <w:ind w:left="720"/>
    </w:pPr>
    <w:rPr>
      <w:rFonts w:ascii="Times New Roman" w:hAnsi="Times New Roman"/>
      <w:sz w:val="24"/>
    </w:rPr>
  </w:style>
  <w:style w:type="character" w:customStyle="1" w:styleId="cf01">
    <w:name w:val="cf01"/>
    <w:basedOn w:val="DefaultParagraphFont"/>
    <w:rsid w:val="00AF7FB7"/>
    <w:rPr>
      <w:rFonts w:ascii="Segoe UI" w:hAnsi="Segoe UI" w:cs="Segoe UI" w:hint="default"/>
      <w:sz w:val="18"/>
      <w:szCs w:val="18"/>
    </w:rPr>
  </w:style>
  <w:style w:type="character" w:customStyle="1" w:styleId="cf11">
    <w:name w:val="cf11"/>
    <w:basedOn w:val="DefaultParagraphFont"/>
    <w:rsid w:val="00AF7FB7"/>
    <w:rPr>
      <w:rFonts w:ascii="Segoe UI" w:hAnsi="Segoe UI" w:cs="Segoe UI" w:hint="default"/>
      <w:i/>
      <w:iCs/>
      <w:sz w:val="18"/>
      <w:szCs w:val="18"/>
    </w:rPr>
  </w:style>
  <w:style w:type="character" w:customStyle="1" w:styleId="cf21">
    <w:name w:val="cf21"/>
    <w:basedOn w:val="DefaultParagraphFont"/>
    <w:rsid w:val="00AF7F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853">
      <w:bodyDiv w:val="1"/>
      <w:marLeft w:val="0"/>
      <w:marRight w:val="0"/>
      <w:marTop w:val="0"/>
      <w:marBottom w:val="0"/>
      <w:divBdr>
        <w:top w:val="none" w:sz="0" w:space="0" w:color="auto"/>
        <w:left w:val="none" w:sz="0" w:space="0" w:color="auto"/>
        <w:bottom w:val="none" w:sz="0" w:space="0" w:color="auto"/>
        <w:right w:val="none" w:sz="0" w:space="0" w:color="auto"/>
      </w:divBdr>
    </w:div>
    <w:div w:id="376977416">
      <w:bodyDiv w:val="1"/>
      <w:marLeft w:val="0"/>
      <w:marRight w:val="0"/>
      <w:marTop w:val="0"/>
      <w:marBottom w:val="0"/>
      <w:divBdr>
        <w:top w:val="none" w:sz="0" w:space="0" w:color="auto"/>
        <w:left w:val="none" w:sz="0" w:space="0" w:color="auto"/>
        <w:bottom w:val="none" w:sz="0" w:space="0" w:color="auto"/>
        <w:right w:val="none" w:sz="0" w:space="0" w:color="auto"/>
      </w:divBdr>
      <w:divsChild>
        <w:div w:id="514029577">
          <w:marLeft w:val="0"/>
          <w:marRight w:val="0"/>
          <w:marTop w:val="0"/>
          <w:marBottom w:val="0"/>
          <w:divBdr>
            <w:top w:val="none" w:sz="0" w:space="0" w:color="auto"/>
            <w:left w:val="none" w:sz="0" w:space="0" w:color="auto"/>
            <w:bottom w:val="none" w:sz="0" w:space="0" w:color="auto"/>
            <w:right w:val="none" w:sz="0" w:space="0" w:color="auto"/>
          </w:divBdr>
          <w:divsChild>
            <w:div w:id="205260064">
              <w:marLeft w:val="0"/>
              <w:marRight w:val="0"/>
              <w:marTop w:val="0"/>
              <w:marBottom w:val="0"/>
              <w:divBdr>
                <w:top w:val="none" w:sz="0" w:space="0" w:color="auto"/>
                <w:left w:val="none" w:sz="0" w:space="0" w:color="auto"/>
                <w:bottom w:val="none" w:sz="0" w:space="0" w:color="auto"/>
                <w:right w:val="none" w:sz="0" w:space="0" w:color="auto"/>
              </w:divBdr>
            </w:div>
            <w:div w:id="278075173">
              <w:marLeft w:val="0"/>
              <w:marRight w:val="0"/>
              <w:marTop w:val="0"/>
              <w:marBottom w:val="0"/>
              <w:divBdr>
                <w:top w:val="none" w:sz="0" w:space="0" w:color="auto"/>
                <w:left w:val="none" w:sz="0" w:space="0" w:color="auto"/>
                <w:bottom w:val="none" w:sz="0" w:space="0" w:color="auto"/>
                <w:right w:val="none" w:sz="0" w:space="0" w:color="auto"/>
              </w:divBdr>
            </w:div>
            <w:div w:id="672952224">
              <w:marLeft w:val="0"/>
              <w:marRight w:val="0"/>
              <w:marTop w:val="0"/>
              <w:marBottom w:val="0"/>
              <w:divBdr>
                <w:top w:val="none" w:sz="0" w:space="0" w:color="auto"/>
                <w:left w:val="none" w:sz="0" w:space="0" w:color="auto"/>
                <w:bottom w:val="none" w:sz="0" w:space="0" w:color="auto"/>
                <w:right w:val="none" w:sz="0" w:space="0" w:color="auto"/>
              </w:divBdr>
            </w:div>
            <w:div w:id="689723722">
              <w:marLeft w:val="0"/>
              <w:marRight w:val="0"/>
              <w:marTop w:val="0"/>
              <w:marBottom w:val="0"/>
              <w:divBdr>
                <w:top w:val="none" w:sz="0" w:space="0" w:color="auto"/>
                <w:left w:val="none" w:sz="0" w:space="0" w:color="auto"/>
                <w:bottom w:val="none" w:sz="0" w:space="0" w:color="auto"/>
                <w:right w:val="none" w:sz="0" w:space="0" w:color="auto"/>
              </w:divBdr>
            </w:div>
            <w:div w:id="725686088">
              <w:marLeft w:val="0"/>
              <w:marRight w:val="0"/>
              <w:marTop w:val="0"/>
              <w:marBottom w:val="0"/>
              <w:divBdr>
                <w:top w:val="none" w:sz="0" w:space="0" w:color="auto"/>
                <w:left w:val="none" w:sz="0" w:space="0" w:color="auto"/>
                <w:bottom w:val="none" w:sz="0" w:space="0" w:color="auto"/>
                <w:right w:val="none" w:sz="0" w:space="0" w:color="auto"/>
              </w:divBdr>
            </w:div>
            <w:div w:id="834875478">
              <w:marLeft w:val="0"/>
              <w:marRight w:val="0"/>
              <w:marTop w:val="0"/>
              <w:marBottom w:val="0"/>
              <w:divBdr>
                <w:top w:val="none" w:sz="0" w:space="0" w:color="auto"/>
                <w:left w:val="none" w:sz="0" w:space="0" w:color="auto"/>
                <w:bottom w:val="none" w:sz="0" w:space="0" w:color="auto"/>
                <w:right w:val="none" w:sz="0" w:space="0" w:color="auto"/>
              </w:divBdr>
            </w:div>
            <w:div w:id="984166808">
              <w:marLeft w:val="0"/>
              <w:marRight w:val="0"/>
              <w:marTop w:val="0"/>
              <w:marBottom w:val="0"/>
              <w:divBdr>
                <w:top w:val="none" w:sz="0" w:space="0" w:color="auto"/>
                <w:left w:val="none" w:sz="0" w:space="0" w:color="auto"/>
                <w:bottom w:val="none" w:sz="0" w:space="0" w:color="auto"/>
                <w:right w:val="none" w:sz="0" w:space="0" w:color="auto"/>
              </w:divBdr>
            </w:div>
            <w:div w:id="1160581340">
              <w:marLeft w:val="0"/>
              <w:marRight w:val="0"/>
              <w:marTop w:val="0"/>
              <w:marBottom w:val="0"/>
              <w:divBdr>
                <w:top w:val="none" w:sz="0" w:space="0" w:color="auto"/>
                <w:left w:val="none" w:sz="0" w:space="0" w:color="auto"/>
                <w:bottom w:val="none" w:sz="0" w:space="0" w:color="auto"/>
                <w:right w:val="none" w:sz="0" w:space="0" w:color="auto"/>
              </w:divBdr>
            </w:div>
            <w:div w:id="1307472008">
              <w:marLeft w:val="0"/>
              <w:marRight w:val="0"/>
              <w:marTop w:val="0"/>
              <w:marBottom w:val="0"/>
              <w:divBdr>
                <w:top w:val="none" w:sz="0" w:space="0" w:color="auto"/>
                <w:left w:val="none" w:sz="0" w:space="0" w:color="auto"/>
                <w:bottom w:val="none" w:sz="0" w:space="0" w:color="auto"/>
                <w:right w:val="none" w:sz="0" w:space="0" w:color="auto"/>
              </w:divBdr>
            </w:div>
            <w:div w:id="1344091062">
              <w:marLeft w:val="0"/>
              <w:marRight w:val="0"/>
              <w:marTop w:val="0"/>
              <w:marBottom w:val="0"/>
              <w:divBdr>
                <w:top w:val="none" w:sz="0" w:space="0" w:color="auto"/>
                <w:left w:val="none" w:sz="0" w:space="0" w:color="auto"/>
                <w:bottom w:val="none" w:sz="0" w:space="0" w:color="auto"/>
                <w:right w:val="none" w:sz="0" w:space="0" w:color="auto"/>
              </w:divBdr>
            </w:div>
            <w:div w:id="1394161035">
              <w:marLeft w:val="0"/>
              <w:marRight w:val="0"/>
              <w:marTop w:val="0"/>
              <w:marBottom w:val="0"/>
              <w:divBdr>
                <w:top w:val="none" w:sz="0" w:space="0" w:color="auto"/>
                <w:left w:val="none" w:sz="0" w:space="0" w:color="auto"/>
                <w:bottom w:val="none" w:sz="0" w:space="0" w:color="auto"/>
                <w:right w:val="none" w:sz="0" w:space="0" w:color="auto"/>
              </w:divBdr>
            </w:div>
            <w:div w:id="1413743556">
              <w:marLeft w:val="0"/>
              <w:marRight w:val="0"/>
              <w:marTop w:val="0"/>
              <w:marBottom w:val="0"/>
              <w:divBdr>
                <w:top w:val="none" w:sz="0" w:space="0" w:color="auto"/>
                <w:left w:val="none" w:sz="0" w:space="0" w:color="auto"/>
                <w:bottom w:val="none" w:sz="0" w:space="0" w:color="auto"/>
                <w:right w:val="none" w:sz="0" w:space="0" w:color="auto"/>
              </w:divBdr>
            </w:div>
            <w:div w:id="1453551611">
              <w:marLeft w:val="0"/>
              <w:marRight w:val="0"/>
              <w:marTop w:val="0"/>
              <w:marBottom w:val="0"/>
              <w:divBdr>
                <w:top w:val="none" w:sz="0" w:space="0" w:color="auto"/>
                <w:left w:val="none" w:sz="0" w:space="0" w:color="auto"/>
                <w:bottom w:val="none" w:sz="0" w:space="0" w:color="auto"/>
                <w:right w:val="none" w:sz="0" w:space="0" w:color="auto"/>
              </w:divBdr>
            </w:div>
            <w:div w:id="1649360123">
              <w:marLeft w:val="0"/>
              <w:marRight w:val="0"/>
              <w:marTop w:val="0"/>
              <w:marBottom w:val="0"/>
              <w:divBdr>
                <w:top w:val="none" w:sz="0" w:space="0" w:color="auto"/>
                <w:left w:val="none" w:sz="0" w:space="0" w:color="auto"/>
                <w:bottom w:val="none" w:sz="0" w:space="0" w:color="auto"/>
                <w:right w:val="none" w:sz="0" w:space="0" w:color="auto"/>
              </w:divBdr>
            </w:div>
            <w:div w:id="1795906987">
              <w:marLeft w:val="0"/>
              <w:marRight w:val="0"/>
              <w:marTop w:val="0"/>
              <w:marBottom w:val="0"/>
              <w:divBdr>
                <w:top w:val="none" w:sz="0" w:space="0" w:color="auto"/>
                <w:left w:val="none" w:sz="0" w:space="0" w:color="auto"/>
                <w:bottom w:val="none" w:sz="0" w:space="0" w:color="auto"/>
                <w:right w:val="none" w:sz="0" w:space="0" w:color="auto"/>
              </w:divBdr>
            </w:div>
            <w:div w:id="1882981701">
              <w:marLeft w:val="0"/>
              <w:marRight w:val="0"/>
              <w:marTop w:val="0"/>
              <w:marBottom w:val="0"/>
              <w:divBdr>
                <w:top w:val="none" w:sz="0" w:space="0" w:color="auto"/>
                <w:left w:val="none" w:sz="0" w:space="0" w:color="auto"/>
                <w:bottom w:val="none" w:sz="0" w:space="0" w:color="auto"/>
                <w:right w:val="none" w:sz="0" w:space="0" w:color="auto"/>
              </w:divBdr>
            </w:div>
            <w:div w:id="1941520363">
              <w:marLeft w:val="0"/>
              <w:marRight w:val="0"/>
              <w:marTop w:val="0"/>
              <w:marBottom w:val="0"/>
              <w:divBdr>
                <w:top w:val="none" w:sz="0" w:space="0" w:color="auto"/>
                <w:left w:val="none" w:sz="0" w:space="0" w:color="auto"/>
                <w:bottom w:val="none" w:sz="0" w:space="0" w:color="auto"/>
                <w:right w:val="none" w:sz="0" w:space="0" w:color="auto"/>
              </w:divBdr>
            </w:div>
            <w:div w:id="2000233448">
              <w:marLeft w:val="0"/>
              <w:marRight w:val="0"/>
              <w:marTop w:val="0"/>
              <w:marBottom w:val="0"/>
              <w:divBdr>
                <w:top w:val="none" w:sz="0" w:space="0" w:color="auto"/>
                <w:left w:val="none" w:sz="0" w:space="0" w:color="auto"/>
                <w:bottom w:val="none" w:sz="0" w:space="0" w:color="auto"/>
                <w:right w:val="none" w:sz="0" w:space="0" w:color="auto"/>
              </w:divBdr>
            </w:div>
            <w:div w:id="2124420843">
              <w:marLeft w:val="0"/>
              <w:marRight w:val="0"/>
              <w:marTop w:val="0"/>
              <w:marBottom w:val="0"/>
              <w:divBdr>
                <w:top w:val="none" w:sz="0" w:space="0" w:color="auto"/>
                <w:left w:val="none" w:sz="0" w:space="0" w:color="auto"/>
                <w:bottom w:val="none" w:sz="0" w:space="0" w:color="auto"/>
                <w:right w:val="none" w:sz="0" w:space="0" w:color="auto"/>
              </w:divBdr>
            </w:div>
          </w:divsChild>
        </w:div>
        <w:div w:id="661785972">
          <w:marLeft w:val="0"/>
          <w:marRight w:val="0"/>
          <w:marTop w:val="0"/>
          <w:marBottom w:val="0"/>
          <w:divBdr>
            <w:top w:val="none" w:sz="0" w:space="0" w:color="auto"/>
            <w:left w:val="none" w:sz="0" w:space="0" w:color="auto"/>
            <w:bottom w:val="none" w:sz="0" w:space="0" w:color="auto"/>
            <w:right w:val="none" w:sz="0" w:space="0" w:color="auto"/>
          </w:divBdr>
        </w:div>
        <w:div w:id="782187882">
          <w:marLeft w:val="0"/>
          <w:marRight w:val="0"/>
          <w:marTop w:val="0"/>
          <w:marBottom w:val="0"/>
          <w:divBdr>
            <w:top w:val="none" w:sz="0" w:space="0" w:color="auto"/>
            <w:left w:val="none" w:sz="0" w:space="0" w:color="auto"/>
            <w:bottom w:val="none" w:sz="0" w:space="0" w:color="auto"/>
            <w:right w:val="none" w:sz="0" w:space="0" w:color="auto"/>
          </w:divBdr>
        </w:div>
        <w:div w:id="878512298">
          <w:marLeft w:val="0"/>
          <w:marRight w:val="0"/>
          <w:marTop w:val="0"/>
          <w:marBottom w:val="0"/>
          <w:divBdr>
            <w:top w:val="none" w:sz="0" w:space="0" w:color="auto"/>
            <w:left w:val="none" w:sz="0" w:space="0" w:color="auto"/>
            <w:bottom w:val="none" w:sz="0" w:space="0" w:color="auto"/>
            <w:right w:val="none" w:sz="0" w:space="0" w:color="auto"/>
          </w:divBdr>
        </w:div>
        <w:div w:id="1713187812">
          <w:marLeft w:val="0"/>
          <w:marRight w:val="0"/>
          <w:marTop w:val="0"/>
          <w:marBottom w:val="0"/>
          <w:divBdr>
            <w:top w:val="none" w:sz="0" w:space="0" w:color="auto"/>
            <w:left w:val="none" w:sz="0" w:space="0" w:color="auto"/>
            <w:bottom w:val="none" w:sz="0" w:space="0" w:color="auto"/>
            <w:right w:val="none" w:sz="0" w:space="0" w:color="auto"/>
          </w:divBdr>
        </w:div>
        <w:div w:id="1767921641">
          <w:marLeft w:val="0"/>
          <w:marRight w:val="0"/>
          <w:marTop w:val="0"/>
          <w:marBottom w:val="0"/>
          <w:divBdr>
            <w:top w:val="none" w:sz="0" w:space="0" w:color="auto"/>
            <w:left w:val="none" w:sz="0" w:space="0" w:color="auto"/>
            <w:bottom w:val="none" w:sz="0" w:space="0" w:color="auto"/>
            <w:right w:val="none" w:sz="0" w:space="0" w:color="auto"/>
          </w:divBdr>
        </w:div>
      </w:divsChild>
    </w:div>
    <w:div w:id="397245025">
      <w:bodyDiv w:val="1"/>
      <w:marLeft w:val="0"/>
      <w:marRight w:val="0"/>
      <w:marTop w:val="0"/>
      <w:marBottom w:val="0"/>
      <w:divBdr>
        <w:top w:val="none" w:sz="0" w:space="0" w:color="auto"/>
        <w:left w:val="none" w:sz="0" w:space="0" w:color="auto"/>
        <w:bottom w:val="none" w:sz="0" w:space="0" w:color="auto"/>
        <w:right w:val="none" w:sz="0" w:space="0" w:color="auto"/>
      </w:divBdr>
      <w:divsChild>
        <w:div w:id="22364447">
          <w:marLeft w:val="0"/>
          <w:marRight w:val="0"/>
          <w:marTop w:val="0"/>
          <w:marBottom w:val="0"/>
          <w:divBdr>
            <w:top w:val="none" w:sz="0" w:space="0" w:color="auto"/>
            <w:left w:val="none" w:sz="0" w:space="0" w:color="auto"/>
            <w:bottom w:val="none" w:sz="0" w:space="0" w:color="auto"/>
            <w:right w:val="none" w:sz="0" w:space="0" w:color="auto"/>
          </w:divBdr>
        </w:div>
        <w:div w:id="28071002">
          <w:marLeft w:val="0"/>
          <w:marRight w:val="0"/>
          <w:marTop w:val="0"/>
          <w:marBottom w:val="0"/>
          <w:divBdr>
            <w:top w:val="none" w:sz="0" w:space="0" w:color="auto"/>
            <w:left w:val="none" w:sz="0" w:space="0" w:color="auto"/>
            <w:bottom w:val="none" w:sz="0" w:space="0" w:color="auto"/>
            <w:right w:val="none" w:sz="0" w:space="0" w:color="auto"/>
          </w:divBdr>
        </w:div>
        <w:div w:id="1651329780">
          <w:marLeft w:val="0"/>
          <w:marRight w:val="0"/>
          <w:marTop w:val="0"/>
          <w:marBottom w:val="0"/>
          <w:divBdr>
            <w:top w:val="none" w:sz="0" w:space="0" w:color="auto"/>
            <w:left w:val="none" w:sz="0" w:space="0" w:color="auto"/>
            <w:bottom w:val="none" w:sz="0" w:space="0" w:color="auto"/>
            <w:right w:val="none" w:sz="0" w:space="0" w:color="auto"/>
          </w:divBdr>
        </w:div>
      </w:divsChild>
    </w:div>
    <w:div w:id="417365347">
      <w:bodyDiv w:val="1"/>
      <w:marLeft w:val="0"/>
      <w:marRight w:val="0"/>
      <w:marTop w:val="0"/>
      <w:marBottom w:val="0"/>
      <w:divBdr>
        <w:top w:val="none" w:sz="0" w:space="0" w:color="auto"/>
        <w:left w:val="none" w:sz="0" w:space="0" w:color="auto"/>
        <w:bottom w:val="none" w:sz="0" w:space="0" w:color="auto"/>
        <w:right w:val="none" w:sz="0" w:space="0" w:color="auto"/>
      </w:divBdr>
    </w:div>
    <w:div w:id="450439379">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599796563">
      <w:bodyDiv w:val="1"/>
      <w:marLeft w:val="0"/>
      <w:marRight w:val="0"/>
      <w:marTop w:val="0"/>
      <w:marBottom w:val="0"/>
      <w:divBdr>
        <w:top w:val="none" w:sz="0" w:space="0" w:color="auto"/>
        <w:left w:val="none" w:sz="0" w:space="0" w:color="auto"/>
        <w:bottom w:val="none" w:sz="0" w:space="0" w:color="auto"/>
        <w:right w:val="none" w:sz="0" w:space="0" w:color="auto"/>
      </w:divBdr>
    </w:div>
    <w:div w:id="619410875">
      <w:bodyDiv w:val="1"/>
      <w:marLeft w:val="0"/>
      <w:marRight w:val="0"/>
      <w:marTop w:val="0"/>
      <w:marBottom w:val="0"/>
      <w:divBdr>
        <w:top w:val="none" w:sz="0" w:space="0" w:color="auto"/>
        <w:left w:val="none" w:sz="0" w:space="0" w:color="auto"/>
        <w:bottom w:val="none" w:sz="0" w:space="0" w:color="auto"/>
        <w:right w:val="none" w:sz="0" w:space="0" w:color="auto"/>
      </w:divBdr>
      <w:divsChild>
        <w:div w:id="535192197">
          <w:marLeft w:val="446"/>
          <w:marRight w:val="0"/>
          <w:marTop w:val="0"/>
          <w:marBottom w:val="240"/>
          <w:divBdr>
            <w:top w:val="none" w:sz="0" w:space="0" w:color="auto"/>
            <w:left w:val="none" w:sz="0" w:space="0" w:color="auto"/>
            <w:bottom w:val="none" w:sz="0" w:space="0" w:color="auto"/>
            <w:right w:val="none" w:sz="0" w:space="0" w:color="auto"/>
          </w:divBdr>
        </w:div>
        <w:div w:id="657736337">
          <w:marLeft w:val="446"/>
          <w:marRight w:val="0"/>
          <w:marTop w:val="0"/>
          <w:marBottom w:val="240"/>
          <w:divBdr>
            <w:top w:val="none" w:sz="0" w:space="0" w:color="auto"/>
            <w:left w:val="none" w:sz="0" w:space="0" w:color="auto"/>
            <w:bottom w:val="none" w:sz="0" w:space="0" w:color="auto"/>
            <w:right w:val="none" w:sz="0" w:space="0" w:color="auto"/>
          </w:divBdr>
        </w:div>
        <w:div w:id="922950332">
          <w:marLeft w:val="446"/>
          <w:marRight w:val="0"/>
          <w:marTop w:val="0"/>
          <w:marBottom w:val="240"/>
          <w:divBdr>
            <w:top w:val="none" w:sz="0" w:space="0" w:color="auto"/>
            <w:left w:val="none" w:sz="0" w:space="0" w:color="auto"/>
            <w:bottom w:val="none" w:sz="0" w:space="0" w:color="auto"/>
            <w:right w:val="none" w:sz="0" w:space="0" w:color="auto"/>
          </w:divBdr>
        </w:div>
      </w:divsChild>
    </w:div>
    <w:div w:id="987367155">
      <w:bodyDiv w:val="1"/>
      <w:marLeft w:val="0"/>
      <w:marRight w:val="0"/>
      <w:marTop w:val="0"/>
      <w:marBottom w:val="0"/>
      <w:divBdr>
        <w:top w:val="none" w:sz="0" w:space="0" w:color="auto"/>
        <w:left w:val="none" w:sz="0" w:space="0" w:color="auto"/>
        <w:bottom w:val="none" w:sz="0" w:space="0" w:color="auto"/>
        <w:right w:val="none" w:sz="0" w:space="0" w:color="auto"/>
      </w:divBdr>
    </w:div>
    <w:div w:id="1151598846">
      <w:bodyDiv w:val="1"/>
      <w:marLeft w:val="0"/>
      <w:marRight w:val="0"/>
      <w:marTop w:val="0"/>
      <w:marBottom w:val="0"/>
      <w:divBdr>
        <w:top w:val="none" w:sz="0" w:space="0" w:color="auto"/>
        <w:left w:val="none" w:sz="0" w:space="0" w:color="auto"/>
        <w:bottom w:val="none" w:sz="0" w:space="0" w:color="auto"/>
        <w:right w:val="none" w:sz="0" w:space="0" w:color="auto"/>
      </w:divBdr>
      <w:divsChild>
        <w:div w:id="350885384">
          <w:marLeft w:val="0"/>
          <w:marRight w:val="0"/>
          <w:marTop w:val="0"/>
          <w:marBottom w:val="0"/>
          <w:divBdr>
            <w:top w:val="none" w:sz="0" w:space="0" w:color="auto"/>
            <w:left w:val="none" w:sz="0" w:space="0" w:color="auto"/>
            <w:bottom w:val="none" w:sz="0" w:space="0" w:color="auto"/>
            <w:right w:val="none" w:sz="0" w:space="0" w:color="auto"/>
          </w:divBdr>
        </w:div>
        <w:div w:id="842742305">
          <w:marLeft w:val="0"/>
          <w:marRight w:val="0"/>
          <w:marTop w:val="0"/>
          <w:marBottom w:val="0"/>
          <w:divBdr>
            <w:top w:val="none" w:sz="0" w:space="0" w:color="auto"/>
            <w:left w:val="none" w:sz="0" w:space="0" w:color="auto"/>
            <w:bottom w:val="none" w:sz="0" w:space="0" w:color="auto"/>
            <w:right w:val="none" w:sz="0" w:space="0" w:color="auto"/>
          </w:divBdr>
        </w:div>
      </w:divsChild>
    </w:div>
    <w:div w:id="1181895660">
      <w:bodyDiv w:val="1"/>
      <w:marLeft w:val="0"/>
      <w:marRight w:val="0"/>
      <w:marTop w:val="0"/>
      <w:marBottom w:val="0"/>
      <w:divBdr>
        <w:top w:val="none" w:sz="0" w:space="0" w:color="auto"/>
        <w:left w:val="none" w:sz="0" w:space="0" w:color="auto"/>
        <w:bottom w:val="none" w:sz="0" w:space="0" w:color="auto"/>
        <w:right w:val="none" w:sz="0" w:space="0" w:color="auto"/>
      </w:divBdr>
      <w:divsChild>
        <w:div w:id="271787072">
          <w:marLeft w:val="0"/>
          <w:marRight w:val="0"/>
          <w:marTop w:val="0"/>
          <w:marBottom w:val="0"/>
          <w:divBdr>
            <w:top w:val="none" w:sz="0" w:space="0" w:color="auto"/>
            <w:left w:val="none" w:sz="0" w:space="0" w:color="auto"/>
            <w:bottom w:val="none" w:sz="0" w:space="0" w:color="auto"/>
            <w:right w:val="none" w:sz="0" w:space="0" w:color="auto"/>
          </w:divBdr>
        </w:div>
        <w:div w:id="602567673">
          <w:marLeft w:val="0"/>
          <w:marRight w:val="0"/>
          <w:marTop w:val="0"/>
          <w:marBottom w:val="0"/>
          <w:divBdr>
            <w:top w:val="none" w:sz="0" w:space="0" w:color="auto"/>
            <w:left w:val="none" w:sz="0" w:space="0" w:color="auto"/>
            <w:bottom w:val="none" w:sz="0" w:space="0" w:color="auto"/>
            <w:right w:val="none" w:sz="0" w:space="0" w:color="auto"/>
          </w:divBdr>
        </w:div>
        <w:div w:id="603997686">
          <w:marLeft w:val="0"/>
          <w:marRight w:val="0"/>
          <w:marTop w:val="0"/>
          <w:marBottom w:val="0"/>
          <w:divBdr>
            <w:top w:val="none" w:sz="0" w:space="0" w:color="auto"/>
            <w:left w:val="none" w:sz="0" w:space="0" w:color="auto"/>
            <w:bottom w:val="none" w:sz="0" w:space="0" w:color="auto"/>
            <w:right w:val="none" w:sz="0" w:space="0" w:color="auto"/>
          </w:divBdr>
        </w:div>
        <w:div w:id="738288608">
          <w:marLeft w:val="0"/>
          <w:marRight w:val="0"/>
          <w:marTop w:val="0"/>
          <w:marBottom w:val="0"/>
          <w:divBdr>
            <w:top w:val="none" w:sz="0" w:space="0" w:color="auto"/>
            <w:left w:val="none" w:sz="0" w:space="0" w:color="auto"/>
            <w:bottom w:val="none" w:sz="0" w:space="0" w:color="auto"/>
            <w:right w:val="none" w:sz="0" w:space="0" w:color="auto"/>
          </w:divBdr>
        </w:div>
        <w:div w:id="1090393815">
          <w:marLeft w:val="0"/>
          <w:marRight w:val="0"/>
          <w:marTop w:val="0"/>
          <w:marBottom w:val="0"/>
          <w:divBdr>
            <w:top w:val="none" w:sz="0" w:space="0" w:color="auto"/>
            <w:left w:val="none" w:sz="0" w:space="0" w:color="auto"/>
            <w:bottom w:val="none" w:sz="0" w:space="0" w:color="auto"/>
            <w:right w:val="none" w:sz="0" w:space="0" w:color="auto"/>
          </w:divBdr>
        </w:div>
        <w:div w:id="1315455541">
          <w:marLeft w:val="0"/>
          <w:marRight w:val="0"/>
          <w:marTop w:val="0"/>
          <w:marBottom w:val="0"/>
          <w:divBdr>
            <w:top w:val="none" w:sz="0" w:space="0" w:color="auto"/>
            <w:left w:val="none" w:sz="0" w:space="0" w:color="auto"/>
            <w:bottom w:val="none" w:sz="0" w:space="0" w:color="auto"/>
            <w:right w:val="none" w:sz="0" w:space="0" w:color="auto"/>
          </w:divBdr>
        </w:div>
        <w:div w:id="1463033299">
          <w:marLeft w:val="0"/>
          <w:marRight w:val="0"/>
          <w:marTop w:val="0"/>
          <w:marBottom w:val="0"/>
          <w:divBdr>
            <w:top w:val="none" w:sz="0" w:space="0" w:color="auto"/>
            <w:left w:val="none" w:sz="0" w:space="0" w:color="auto"/>
            <w:bottom w:val="none" w:sz="0" w:space="0" w:color="auto"/>
            <w:right w:val="none" w:sz="0" w:space="0" w:color="auto"/>
          </w:divBdr>
        </w:div>
        <w:div w:id="1622151963">
          <w:marLeft w:val="0"/>
          <w:marRight w:val="0"/>
          <w:marTop w:val="0"/>
          <w:marBottom w:val="0"/>
          <w:divBdr>
            <w:top w:val="none" w:sz="0" w:space="0" w:color="auto"/>
            <w:left w:val="none" w:sz="0" w:space="0" w:color="auto"/>
            <w:bottom w:val="none" w:sz="0" w:space="0" w:color="auto"/>
            <w:right w:val="none" w:sz="0" w:space="0" w:color="auto"/>
          </w:divBdr>
        </w:div>
        <w:div w:id="1975483302">
          <w:marLeft w:val="0"/>
          <w:marRight w:val="0"/>
          <w:marTop w:val="0"/>
          <w:marBottom w:val="0"/>
          <w:divBdr>
            <w:top w:val="none" w:sz="0" w:space="0" w:color="auto"/>
            <w:left w:val="none" w:sz="0" w:space="0" w:color="auto"/>
            <w:bottom w:val="none" w:sz="0" w:space="0" w:color="auto"/>
            <w:right w:val="none" w:sz="0" w:space="0" w:color="auto"/>
          </w:divBdr>
        </w:div>
        <w:div w:id="2074546126">
          <w:marLeft w:val="0"/>
          <w:marRight w:val="0"/>
          <w:marTop w:val="0"/>
          <w:marBottom w:val="0"/>
          <w:divBdr>
            <w:top w:val="none" w:sz="0" w:space="0" w:color="auto"/>
            <w:left w:val="none" w:sz="0" w:space="0" w:color="auto"/>
            <w:bottom w:val="none" w:sz="0" w:space="0" w:color="auto"/>
            <w:right w:val="none" w:sz="0" w:space="0" w:color="auto"/>
          </w:divBdr>
        </w:div>
      </w:divsChild>
    </w:div>
    <w:div w:id="1314993172">
      <w:bodyDiv w:val="1"/>
      <w:marLeft w:val="0"/>
      <w:marRight w:val="0"/>
      <w:marTop w:val="0"/>
      <w:marBottom w:val="0"/>
      <w:divBdr>
        <w:top w:val="none" w:sz="0" w:space="0" w:color="auto"/>
        <w:left w:val="none" w:sz="0" w:space="0" w:color="auto"/>
        <w:bottom w:val="none" w:sz="0" w:space="0" w:color="auto"/>
        <w:right w:val="none" w:sz="0" w:space="0" w:color="auto"/>
      </w:divBdr>
    </w:div>
    <w:div w:id="1385331974">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14147039">
      <w:bodyDiv w:val="1"/>
      <w:marLeft w:val="0"/>
      <w:marRight w:val="0"/>
      <w:marTop w:val="0"/>
      <w:marBottom w:val="0"/>
      <w:divBdr>
        <w:top w:val="none" w:sz="0" w:space="0" w:color="auto"/>
        <w:left w:val="none" w:sz="0" w:space="0" w:color="auto"/>
        <w:bottom w:val="none" w:sz="0" w:space="0" w:color="auto"/>
        <w:right w:val="none" w:sz="0" w:space="0" w:color="auto"/>
      </w:divBdr>
      <w:divsChild>
        <w:div w:id="1527132199">
          <w:marLeft w:val="0"/>
          <w:marRight w:val="0"/>
          <w:marTop w:val="0"/>
          <w:marBottom w:val="0"/>
          <w:divBdr>
            <w:top w:val="none" w:sz="0" w:space="0" w:color="auto"/>
            <w:left w:val="none" w:sz="0" w:space="0" w:color="auto"/>
            <w:bottom w:val="none" w:sz="0" w:space="0" w:color="auto"/>
            <w:right w:val="none" w:sz="0" w:space="0" w:color="auto"/>
          </w:divBdr>
        </w:div>
        <w:div w:id="1684432916">
          <w:marLeft w:val="0"/>
          <w:marRight w:val="0"/>
          <w:marTop w:val="0"/>
          <w:marBottom w:val="0"/>
          <w:divBdr>
            <w:top w:val="none" w:sz="0" w:space="0" w:color="auto"/>
            <w:left w:val="none" w:sz="0" w:space="0" w:color="auto"/>
            <w:bottom w:val="none" w:sz="0" w:space="0" w:color="auto"/>
            <w:right w:val="none" w:sz="0" w:space="0" w:color="auto"/>
          </w:divBdr>
        </w:div>
        <w:div w:id="1703821186">
          <w:marLeft w:val="0"/>
          <w:marRight w:val="0"/>
          <w:marTop w:val="0"/>
          <w:marBottom w:val="0"/>
          <w:divBdr>
            <w:top w:val="none" w:sz="0" w:space="0" w:color="auto"/>
            <w:left w:val="none" w:sz="0" w:space="0" w:color="auto"/>
            <w:bottom w:val="none" w:sz="0" w:space="0" w:color="auto"/>
            <w:right w:val="none" w:sz="0" w:space="0" w:color="auto"/>
          </w:divBdr>
        </w:div>
        <w:div w:id="1737970242">
          <w:marLeft w:val="0"/>
          <w:marRight w:val="0"/>
          <w:marTop w:val="0"/>
          <w:marBottom w:val="0"/>
          <w:divBdr>
            <w:top w:val="none" w:sz="0" w:space="0" w:color="auto"/>
            <w:left w:val="none" w:sz="0" w:space="0" w:color="auto"/>
            <w:bottom w:val="none" w:sz="0" w:space="0" w:color="auto"/>
            <w:right w:val="none" w:sz="0" w:space="0" w:color="auto"/>
          </w:divBdr>
        </w:div>
        <w:div w:id="2017270318">
          <w:marLeft w:val="0"/>
          <w:marRight w:val="0"/>
          <w:marTop w:val="0"/>
          <w:marBottom w:val="0"/>
          <w:divBdr>
            <w:top w:val="none" w:sz="0" w:space="0" w:color="auto"/>
            <w:left w:val="none" w:sz="0" w:space="0" w:color="auto"/>
            <w:bottom w:val="none" w:sz="0" w:space="0" w:color="auto"/>
            <w:right w:val="none" w:sz="0" w:space="0" w:color="auto"/>
          </w:divBdr>
        </w:div>
      </w:divsChild>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841002264">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30501734">
      <w:bodyDiv w:val="1"/>
      <w:marLeft w:val="0"/>
      <w:marRight w:val="0"/>
      <w:marTop w:val="0"/>
      <w:marBottom w:val="0"/>
      <w:divBdr>
        <w:top w:val="none" w:sz="0" w:space="0" w:color="auto"/>
        <w:left w:val="none" w:sz="0" w:space="0" w:color="auto"/>
        <w:bottom w:val="none" w:sz="0" w:space="0" w:color="auto"/>
        <w:right w:val="none" w:sz="0" w:space="0" w:color="auto"/>
      </w:divBdr>
    </w:div>
    <w:div w:id="2003268507">
      <w:bodyDiv w:val="1"/>
      <w:marLeft w:val="0"/>
      <w:marRight w:val="0"/>
      <w:marTop w:val="0"/>
      <w:marBottom w:val="0"/>
      <w:divBdr>
        <w:top w:val="none" w:sz="0" w:space="0" w:color="auto"/>
        <w:left w:val="none" w:sz="0" w:space="0" w:color="auto"/>
        <w:bottom w:val="none" w:sz="0" w:space="0" w:color="auto"/>
        <w:right w:val="none" w:sz="0" w:space="0" w:color="auto"/>
      </w:divBdr>
    </w:div>
    <w:div w:id="2058237346">
      <w:bodyDiv w:val="1"/>
      <w:marLeft w:val="0"/>
      <w:marRight w:val="0"/>
      <w:marTop w:val="0"/>
      <w:marBottom w:val="0"/>
      <w:divBdr>
        <w:top w:val="none" w:sz="0" w:space="0" w:color="auto"/>
        <w:left w:val="none" w:sz="0" w:space="0" w:color="auto"/>
        <w:bottom w:val="none" w:sz="0" w:space="0" w:color="auto"/>
        <w:right w:val="none" w:sz="0" w:space="0" w:color="auto"/>
      </w:divBdr>
      <w:divsChild>
        <w:div w:id="403338496">
          <w:marLeft w:val="835"/>
          <w:marRight w:val="0"/>
          <w:marTop w:val="0"/>
          <w:marBottom w:val="120"/>
          <w:divBdr>
            <w:top w:val="none" w:sz="0" w:space="0" w:color="auto"/>
            <w:left w:val="none" w:sz="0" w:space="0" w:color="auto"/>
            <w:bottom w:val="none" w:sz="0" w:space="0" w:color="auto"/>
            <w:right w:val="none" w:sz="0" w:space="0" w:color="auto"/>
          </w:divBdr>
        </w:div>
        <w:div w:id="1563298510">
          <w:marLeft w:val="835"/>
          <w:marRight w:val="0"/>
          <w:marTop w:val="0"/>
          <w:marBottom w:val="120"/>
          <w:divBdr>
            <w:top w:val="none" w:sz="0" w:space="0" w:color="auto"/>
            <w:left w:val="none" w:sz="0" w:space="0" w:color="auto"/>
            <w:bottom w:val="none" w:sz="0" w:space="0" w:color="auto"/>
            <w:right w:val="none" w:sz="0" w:space="0" w:color="auto"/>
          </w:divBdr>
        </w:div>
        <w:div w:id="2016762392">
          <w:marLeft w:val="446"/>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creativecommons.org/l/by/3.0/88x31.png" TargetMode="Externa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s://aus01.safelinks.protection.outlook.com/?url=https%3A%2F%2Fwww.itnews.com.au%2Fnews%2Fvodafone-suffers-near-nationwide-3g-outage-306421&amp;data=05%7C02%7CPaul.Nicholas%40acma.gov.au%7C8dd8fa4acb7e4d83f03e08dcf9256ce0%7C0dac7f39d20c4e718af371ee7e268a2b%7C0%7C0%7C638659186351577089%7CUnknown%7CTWFpbGZsb3d8eyJWIjoiMC4wLjAwMDAiLCJQIjoiV2luMzIiLCJBTiI6Ik1haWwiLCJXVCI6Mn0%3D%7C0%7C%7C%7C&amp;sdata=0T67ZNzC74COVxHUx2SrWA7fIWdNfKgPXix6FahaDUg%3D&amp;reserved=0" TargetMode="External"/><Relationship Id="rId21" Type="http://schemas.openxmlformats.org/officeDocument/2006/relationships/header" Target="header7.xml"/><Relationship Id="rId34" Type="http://schemas.openxmlformats.org/officeDocument/2006/relationships/image" Target="media/image6.png"/><Relationship Id="rId42" Type="http://schemas.openxmlformats.org/officeDocument/2006/relationships/hyperlink" Target="https://www.techguide.com.au/news/third-time-unlucky-for-telstra-after-yet-another-outage/" TargetMode="External"/><Relationship Id="rId47" Type="http://schemas.openxmlformats.org/officeDocument/2006/relationships/hyperlink" Target="https://www.infrastructure.gov.au/sites/default/files/investigation_report_into_the_triple_zero_service_disruptions_of_4_26_may_2018_1.pdf" TargetMode="External"/><Relationship Id="rId50" Type="http://schemas.openxmlformats.org/officeDocument/2006/relationships/hyperlink" Target="https://www.9news.com.au/national/vodafone-australia-mobile-outage/38de389f-d442-4505-8470-f39eff973bae" TargetMode="External"/><Relationship Id="rId55"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s://auc-word-edit.officeapps.live.com/we/wordeditorframe.aspx?ui=en-US&amp;rs=en-US&amp;wopisrc=https%3A%2F%2Facmagovau.sharepoint.com%2Fsites%2FNationalInterestsSection%2F_vti_bin%2Fwopi.ashx%2Ffiles%2Fdfd3481874b241028a895e8d613b2d31&amp;wdorigin=TEAMS-MAGLEV.teamsSdk_ns.rwc&amp;wdexp=TEAMS-TREATMENT&amp;wdhostclicktime=1727058763053&amp;wdenableroaming=1&amp;mscc=1&amp;hid=63EE52A1-30C7-3000-CDF4-A96877A4DE69.0&amp;uih=sharepointcom&amp;wdlcid=en-US&amp;jsapi=1&amp;jsapiver=v2&amp;corrid=f33ce073-6a9b-2930-53d5-b88913bfc982&amp;usid=f33ce073-6a9b-2930-53d5-b88913bfc982&amp;newsession=1&amp;sftc=1&amp;uihit=docaspx&amp;muv=1&amp;cac=1&amp;sams=1&amp;mtf=1&amp;sfp=1&amp;sdp=1&amp;hch=1&amp;hwfh=1&amp;dchat=1&amp;sc=%7B%22pmo%22%3A%22https%3A%2F%2Facmagovau.sharepoint.com%22%2C%22pmshare%22%3Atrue%7D&amp;ctp=LeastProtected&amp;rct=Normal&amp;instantedit=1&amp;wopicomplete=1&amp;wdredirectionreason=Unified_SingleFlush" TargetMode="External"/><Relationship Id="rId33" Type="http://schemas.openxmlformats.org/officeDocument/2006/relationships/image" Target="media/image5.png"/><Relationship Id="rId38" Type="http://schemas.openxmlformats.org/officeDocument/2006/relationships/hyperlink" Target="http://www.legislation.gov.au" TargetMode="External"/><Relationship Id="rId46" Type="http://schemas.openxmlformats.org/officeDocument/2006/relationships/hyperlink" Target="https://www.infrastructure.gov.au/sites/default/files/investigation_report_into_the_triple_zero_service_disruptions_of_4_26_may_2018_1.pd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hyperlink" Target="https://www.crn.com.au/news/telstra-outage-forces-another-free-data-day-417110" TargetMode="External"/><Relationship Id="rId54"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infrastructure.gov.au/department/media/publications/review-optus-outage-8-november-2023-final-report" TargetMode="External"/><Relationship Id="rId32" Type="http://schemas.openxmlformats.org/officeDocument/2006/relationships/hyperlink" Target="https://auc-word-edit.officeapps.live.com/we/wordeditorframe.aspx?ui=en-US&amp;rs=en-US&amp;wopisrc=https%3A%2F%2Facmagovau.sharepoint.com%2Fsites%2FNationalInterestsSection%2F_vti_bin%2Fwopi.ashx%2Ffiles%2Fdfd3481874b241028a895e8d613b2d31&amp;wdorigin=TEAMS-MAGLEV.teamsSdk_ns.rwc&amp;wdexp=TEAMS-TREATMENT&amp;wdhostclicktime=1727058763053&amp;wdenableroaming=1&amp;mscc=1&amp;hid=63EE52A1-30C7-3000-CDF4-A96877A4DE69.0&amp;uih=sharepointcom&amp;wdlcid=en-US&amp;jsapi=1&amp;jsapiver=v2&amp;corrid=f33ce073-6a9b-2930-53d5-b88913bfc982&amp;usid=f33ce073-6a9b-2930-53d5-b88913bfc982&amp;newsession=1&amp;sftc=1&amp;uihit=docaspx&amp;muv=1&amp;cac=1&amp;sams=1&amp;mtf=1&amp;sfp=1&amp;sdp=1&amp;hch=1&amp;hwfh=1&amp;dchat=1&amp;sc=%7B%22pmo%22%3A%22https%3A%2F%2Facmagovau.sharepoint.com%22%2C%22pmshare%22%3Atrue%7D&amp;ctp=LeastProtected&amp;rct=Normal&amp;instantedit=1&amp;wopicomplete=1&amp;wdredirectionreason=Unified_SingleFlush" TargetMode="External"/><Relationship Id="rId37" Type="http://schemas.openxmlformats.org/officeDocument/2006/relationships/hyperlink" Target="http://www.legislation.gov.au" TargetMode="External"/><Relationship Id="rId40" Type="http://schemas.openxmlformats.org/officeDocument/2006/relationships/hyperlink" Target="https://www.itnews.com.au/news/embarrassing-human-error-behind-national-telstra-outage-414836" TargetMode="External"/><Relationship Id="rId45" Type="http://schemas.openxmlformats.org/officeDocument/2006/relationships/hyperlink" Target="https://au.news.yahoo.com/vodafail-vodafone-customers-slam-network-194501548.html?guccounter=1&amp;guce_referrer=aHR0cHM6Ly93d3cuZ29vZ2xlLmNvbS8&amp;guce_referrer_sig=AQAAAD66r_EgH7PzH1Q1I2rXE2qTWUDlEaXd0yNw9L_4pYpie_YtrRAe-uZ7MA9dZaMLqSh8pc_cPwh4Wwq7JW2Kr7QW0_shDwvmDXMUOfmjMokG-DEQU_T2WTiMdwwortjOrEYhXxI4-DSiSGeGpRcnpqt98DNd-qq_llpfnjxkfGm5" TargetMode="External"/><Relationship Id="rId53" Type="http://schemas.openxmlformats.org/officeDocument/2006/relationships/hyperlink" Target="https://thenightly.com.au/australia/vodafone-national-outage-leaves-some-customers-unable-to-make-or-receive-calls--c-14332231"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yperlink" Target="https://auc-word-edit.officeapps.live.com/we/wordeditorframe.aspx?ui=en-US&amp;rs=en-US&amp;wopisrc=https%3A%2F%2Facmagovau.sharepoint.com%2Fsites%2FNationalInterestsSection%2F_vti_bin%2Fwopi.ashx%2Ffiles%2Fdfd3481874b241028a895e8d613b2d31&amp;wdorigin=TEAMS-MAGLEV.teamsSdk_ns.rwc&amp;wdexp=TEAMS-TREATMENT&amp;wdhostclicktime=1727058763053&amp;wdenableroaming=1&amp;mscc=1&amp;hid=63EE52A1-30C7-3000-CDF4-A96877A4DE69.0&amp;uih=sharepointcom&amp;wdlcid=en-US&amp;jsapi=1&amp;jsapiver=v2&amp;corrid=f33ce073-6a9b-2930-53d5-b88913bfc982&amp;usid=f33ce073-6a9b-2930-53d5-b88913bfc982&amp;newsession=1&amp;sftc=1&amp;uihit=docaspx&amp;muv=1&amp;cac=1&amp;sams=1&amp;mtf=1&amp;sfp=1&amp;sdp=1&amp;hch=1&amp;hwfh=1&amp;dchat=1&amp;sc=%7B%22pmo%22%3A%22https%3A%2F%2Facmagovau.sharepoint.com%22%2C%22pmshare%22%3Atrue%7D&amp;ctp=LeastProtected&amp;rct=Normal&amp;instantedit=1&amp;wopicomplete=1&amp;wdredirectionreason=Unified_SingleFlush" TargetMode="External"/><Relationship Id="rId49" Type="http://schemas.openxmlformats.org/officeDocument/2006/relationships/hyperlink" Target="https://www.news.com.au/technology/online/telstra-outage-hits-australians-as-sydney-melbourne-users-unable-to-make-calls/news-story/6d3c1930b7d27dfc61f7fc227134eb98" TargetMode="External"/><Relationship Id="rId57"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yperlink" Target="https://auc-word-edit.officeapps.live.com/we/wordeditorframe.aspx?ui=en-US&amp;rs=en-US&amp;wopisrc=https%3A%2F%2Facmagovau.sharepoint.com%2Fsites%2FNationalInterestsSection%2F_vti_bin%2Fwopi.ashx%2Ffiles%2Fdfd3481874b241028a895e8d613b2d31&amp;wdorigin=TEAMS-MAGLEV.teamsSdk_ns.rwc&amp;wdexp=TEAMS-TREATMENT&amp;wdhostclicktime=1727058763053&amp;wdenableroaming=1&amp;mscc=1&amp;hid=63EE52A1-30C7-3000-CDF4-A96877A4DE69.0&amp;uih=sharepointcom&amp;wdlcid=en-US&amp;jsapi=1&amp;jsapiver=v2&amp;corrid=f33ce073-6a9b-2930-53d5-b88913bfc982&amp;usid=f33ce073-6a9b-2930-53d5-b88913bfc982&amp;newsession=1&amp;sftc=1&amp;uihit=docaspx&amp;muv=1&amp;cac=1&amp;sams=1&amp;mtf=1&amp;sfp=1&amp;sdp=1&amp;hch=1&amp;hwfh=1&amp;dchat=1&amp;sc=%7B%22pmo%22%3A%22https%3A%2F%2Facmagovau.sharepoint.com%22%2C%22pmshare%22%3Atrue%7D&amp;ctp=LeastProtected&amp;rct=Normal&amp;instantedit=1&amp;wopicomplete=1&amp;wdredirectionreason=Unified_SingleFlush" TargetMode="External"/><Relationship Id="rId44" Type="http://schemas.openxmlformats.org/officeDocument/2006/relationships/hyperlink" Target="https://www.crn.com.au/news/not-again-telstra-suffers-another-outage-429984" TargetMode="External"/><Relationship Id="rId52" Type="http://schemas.openxmlformats.org/officeDocument/2006/relationships/hyperlink" Target="https://www.abc.net.au/news/2023-11-08/optus-outage-live-blog/10307699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image" Target="media/image4.png"/><Relationship Id="rId35" Type="http://schemas.openxmlformats.org/officeDocument/2006/relationships/image" Target="media/image7.png"/><Relationship Id="rId43" Type="http://schemas.openxmlformats.org/officeDocument/2006/relationships/hyperlink" Target="https://www.itnews.com.au/news/telstra-still-struggling-with-fourth-big-outage-this-year-419906" TargetMode="External"/><Relationship Id="rId48" Type="http://schemas.openxmlformats.org/officeDocument/2006/relationships/hyperlink" Target="https://www.thechronicle.com.au/technology/online/mobile-and-internet-customers-reporting-optus-outage/news-story/d82911b9946f4c453bf37aa4632e127b" TargetMode="External"/><Relationship Id="rId56" Type="http://schemas.openxmlformats.org/officeDocument/2006/relationships/footer" Target="footer10.xml"/><Relationship Id="rId64" Type="http://schemas.microsoft.com/office/2020/10/relationships/intelligence" Target="intelligence2.xml"/><Relationship Id="rId8" Type="http://schemas.openxmlformats.org/officeDocument/2006/relationships/header" Target="header2.xml"/><Relationship Id="rId51" Type="http://schemas.openxmlformats.org/officeDocument/2006/relationships/hyperlink" Target="https://www.9news.com.au/national/telstra-outage-some-telstra-customers-unable-to-make-or-take-calls-amid-network-outage/0ed1d86f-4fd2-4f31-929d-59d9e9a258a4"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nfrastructure.gov.au/sites/default/files/documents/review_into_the_optus_outage_of_8_november.pdf" TargetMode="External"/><Relationship Id="rId13" Type="http://schemas.openxmlformats.org/officeDocument/2006/relationships/hyperlink" Target="https://www.infrastructure.gov.au/sites/default/files/documents/review_into_the_optus_outage_of_8_november.pdf" TargetMode="External"/><Relationship Id="rId18" Type="http://schemas.openxmlformats.org/officeDocument/2006/relationships/hyperlink" Target="https://crtc.gc.ca/eng/consultation/resilienc.htm?_ga=2.218301977.182597075.1730355204-1007569915.1730355203" TargetMode="External"/><Relationship Id="rId3" Type="http://schemas.openxmlformats.org/officeDocument/2006/relationships/hyperlink" Target="https://www.aph.gov.au/DocumentStore.ashx?id=2ed95079-023d-49d5-87fd-d9029740629b&amp;subId=750333" TargetMode="External"/><Relationship Id="rId21" Type="http://schemas.openxmlformats.org/officeDocument/2006/relationships/hyperlink" Target="https://blog.cspire.com/how-much-does-an-internet-outage-cost-your-business" TargetMode="External"/><Relationship Id="rId7" Type="http://schemas.openxmlformats.org/officeDocument/2006/relationships/hyperlink" Target="https://www.tio.com.au/sites/default/files/2024-02/Data%20Insights%20Q2%202023-24.pdf" TargetMode="External"/><Relationship Id="rId12" Type="http://schemas.openxmlformats.org/officeDocument/2006/relationships/hyperlink" Target="https://www.legislation.gov.au/F2024L01060/asmade/text" TargetMode="External"/><Relationship Id="rId17" Type="http://schemas.openxmlformats.org/officeDocument/2006/relationships/hyperlink" Target="https://ised-isde.canada.ca/site/ised/en/memorandum-understanding-telecommunications-reliability" TargetMode="External"/><Relationship Id="rId25" Type="http://schemas.openxmlformats.org/officeDocument/2006/relationships/hyperlink" Target="https://www.legislation.gov.au/F2024L01060/asmade/text" TargetMode="External"/><Relationship Id="rId2" Type="http://schemas.openxmlformats.org/officeDocument/2006/relationships/hyperlink" Target="https://www.aph.gov.au/DocumentStore.ashx?id=2ed95079-023d-49d5-87fd-d9029740629b&amp;subId=750333" TargetMode="External"/><Relationship Id="rId16" Type="http://schemas.openxmlformats.org/officeDocument/2006/relationships/hyperlink" Target="https://www.legislation.gov.au/F2019L01509/latest/text" TargetMode="External"/><Relationship Id="rId20" Type="http://schemas.openxmlformats.org/officeDocument/2006/relationships/hyperlink" Target="https://www.sciencedirect.com/science/article/abs/pii/S1567422312000452" TargetMode="External"/><Relationship Id="rId1" Type="http://schemas.openxmlformats.org/officeDocument/2006/relationships/hyperlink" Target="https://www.legislation.gov.au/F2024L01060/asmade/text" TargetMode="External"/><Relationship Id="rId6" Type="http://schemas.openxmlformats.org/officeDocument/2006/relationships/hyperlink" Target="https://www.aph.gov.au/DocumentStore.ashx?id=bb403a80-115f-44d6-818a-5900073c38f4&amp;subId=750366" TargetMode="External"/><Relationship Id="rId11" Type="http://schemas.openxmlformats.org/officeDocument/2006/relationships/hyperlink" Target="https://www.infrastructure.gov.au/sites/default/files/investigation_report_into_the_triple_zero_service_disruptions_of_4_26_may_2018_1.pdf" TargetMode="External"/><Relationship Id="rId24" Type="http://schemas.openxmlformats.org/officeDocument/2006/relationships/hyperlink" Target="http://www.abs.gov.au/statistics/industry/industry-overview/australian-industry/latest-release" TargetMode="External"/><Relationship Id="rId5" Type="http://schemas.openxmlformats.org/officeDocument/2006/relationships/hyperlink" Target="https://www.abc.net.au/news/2023-11-09/how-the-optus-outage-played-out/103079768" TargetMode="External"/><Relationship Id="rId15" Type="http://schemas.openxmlformats.org/officeDocument/2006/relationships/hyperlink" Target="https://www.legislation.gov.au/F2024L01060/asmade/text" TargetMode="External"/><Relationship Id="rId23" Type="http://schemas.openxmlformats.org/officeDocument/2006/relationships/hyperlink" Target="http://www.abs.gov.au/statistics/industry/industry-overview/australian-industry/latest-release" TargetMode="External"/><Relationship Id="rId10" Type="http://schemas.openxmlformats.org/officeDocument/2006/relationships/hyperlink" Target="https://www.infrastructure.gov.au/sites/default/files/documents/review_into_the_optus_outage_of_8_november.pdf" TargetMode="External"/><Relationship Id="rId19" Type="http://schemas.openxmlformats.org/officeDocument/2006/relationships/hyperlink" Target="https://www.pinsentmasons.com/out-law/news/telecoms-companies-have-24-hours-to-report-major-security-breaches-or-outages-says-ofcom" TargetMode="External"/><Relationship Id="rId4" Type="http://schemas.openxmlformats.org/officeDocument/2006/relationships/hyperlink" Target="https://web.archive.org/web/20231108030028/https:/www.afr.com/technology/chaos-as-optus-crashes-nationwide-20231108-p5eid1" TargetMode="External"/><Relationship Id="rId9" Type="http://schemas.openxmlformats.org/officeDocument/2006/relationships/hyperlink" Target="https://www.commsalliance.com.au/Documents/all/guidelines/G663" TargetMode="External"/><Relationship Id="rId14" Type="http://schemas.openxmlformats.org/officeDocument/2006/relationships/hyperlink" Target="https://www.infrastructure.gov.au/department/media/publications/australian-government-response-bean-review-final-report-review-optus-outage-8-november-2023-april" TargetMode="External"/><Relationship Id="rId22" Type="http://schemas.openxmlformats.org/officeDocument/2006/relationships/hyperlink" Target="https://www.aph.gov.au/Parliamentary_Business/Committees/Senate/Environment_and_Communications/OptusNetworkOutage/Submiss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000000"/>
      </a:dk1>
      <a:lt1>
        <a:sysClr val="window" lastClr="FFFFFF"/>
      </a:lt1>
      <a:dk2>
        <a:srgbClr val="000000"/>
      </a:dk2>
      <a:lt2>
        <a:srgbClr val="FFFFFF"/>
      </a:lt2>
      <a:accent1>
        <a:srgbClr val="00A0A4"/>
      </a:accent1>
      <a:accent2>
        <a:srgbClr val="7C426F"/>
      </a:accent2>
      <a:accent3>
        <a:srgbClr val="39457C"/>
      </a:accent3>
      <a:accent4>
        <a:srgbClr val="85BEC2"/>
      </a:accent4>
      <a:accent5>
        <a:srgbClr val="CBB6CA"/>
      </a:accent5>
      <a:accent6>
        <a:srgbClr val="D3E5E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15425</Words>
  <Characters>87925</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2024-11-14T23:48:00Z</dcterms:created>
  <dcterms:modified xsi:type="dcterms:W3CDTF">2024-11-14T23:48:00Z</dcterms:modified>
  <cp:category/>
</cp:coreProperties>
</file>