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09F72" w14:textId="44127547" w:rsidR="008A059F" w:rsidRPr="00C10812" w:rsidRDefault="53BCFE8C" w:rsidP="008A059F">
      <w:pPr>
        <w:spacing w:before="120" w:after="120" w:line="360" w:lineRule="auto"/>
        <w:rPr>
          <w:rFonts w:ascii="Century Gothic" w:hAnsi="Century Gothic"/>
        </w:rPr>
      </w:pPr>
      <w:r>
        <w:t xml:space="preserve"> </w:t>
      </w:r>
      <w:r w:rsidR="71B41372">
        <w:t xml:space="preserve"> </w:t>
      </w:r>
      <w:r w:rsidR="008A059F" w:rsidRPr="00C10812">
        <w:rPr>
          <w:rFonts w:ascii="Century Gothic" w:hAnsi="Century Gothic"/>
          <w:noProof/>
          <w:lang w:val="en-AU" w:eastAsia="en-AU"/>
        </w:rPr>
        <w:drawing>
          <wp:inline distT="0" distB="0" distL="0" distR="0" wp14:anchorId="0CBF4F59" wp14:editId="2253BFCF">
            <wp:extent cx="2383155" cy="727075"/>
            <wp:effectExtent l="0" t="0" r="0" b="0"/>
            <wp:docPr id="2" name="Graphic 2"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7">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3"/>
                        </a:ext>
                      </a:extLst>
                    </a:blip>
                    <a:stretch>
                      <a:fillRect/>
                    </a:stretch>
                  </pic:blipFill>
                  <pic:spPr>
                    <a:xfrm>
                      <a:off x="0" y="0"/>
                      <a:ext cx="2383155" cy="727075"/>
                    </a:xfrm>
                    <a:prstGeom prst="rect">
                      <a:avLst/>
                    </a:prstGeom>
                  </pic:spPr>
                </pic:pic>
              </a:graphicData>
            </a:graphic>
          </wp:inline>
        </w:drawing>
      </w:r>
      <w:r w:rsidR="008A059F" w:rsidRPr="00C10812">
        <w:rPr>
          <w:rFonts w:ascii="Century Gothic" w:hAnsi="Century Gothic"/>
          <w:noProof/>
          <w:lang w:val="en-AU" w:eastAsia="en-AU"/>
        </w:rPr>
        <w:drawing>
          <wp:anchor distT="0" distB="0" distL="114300" distR="114300" simplePos="0" relativeHeight="251658240" behindDoc="1" locked="0" layoutInCell="1" allowOverlap="1" wp14:anchorId="01F21DB4" wp14:editId="406A2A07">
            <wp:simplePos x="0" y="0"/>
            <wp:positionH relativeFrom="column">
              <wp:posOffset>-791972</wp:posOffset>
            </wp:positionH>
            <wp:positionV relativeFrom="page">
              <wp:posOffset>-36576</wp:posOffset>
            </wp:positionV>
            <wp:extent cx="7673234" cy="2450592"/>
            <wp:effectExtent l="0" t="0" r="0"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4"/>
                    <a:stretch>
                      <a:fillRect/>
                    </a:stretch>
                  </pic:blipFill>
                  <pic:spPr>
                    <a:xfrm>
                      <a:off x="0" y="0"/>
                      <a:ext cx="7717927" cy="2464866"/>
                    </a:xfrm>
                    <a:prstGeom prst="rect">
                      <a:avLst/>
                    </a:prstGeom>
                  </pic:spPr>
                </pic:pic>
              </a:graphicData>
            </a:graphic>
            <wp14:sizeRelH relativeFrom="page">
              <wp14:pctWidth>0</wp14:pctWidth>
            </wp14:sizeRelH>
            <wp14:sizeRelV relativeFrom="page">
              <wp14:pctHeight>0</wp14:pctHeight>
            </wp14:sizeRelV>
          </wp:anchor>
        </w:drawing>
      </w:r>
    </w:p>
    <w:p w14:paraId="6601B1A7" w14:textId="77777777" w:rsidR="008A059F" w:rsidRDefault="008A059F" w:rsidP="008A059F">
      <w:pPr>
        <w:pStyle w:val="Title"/>
        <w:spacing w:before="120" w:after="120" w:line="360" w:lineRule="auto"/>
        <w:ind w:left="1276"/>
        <w:rPr>
          <w:rFonts w:asciiTheme="minorHAnsi" w:hAnsiTheme="minorHAnsi" w:cstheme="minorHAnsi"/>
          <w:noProof/>
          <w:color w:val="404246"/>
          <w:lang w:eastAsia="en-AU"/>
        </w:rPr>
      </w:pPr>
    </w:p>
    <w:p w14:paraId="108E647F" w14:textId="77777777" w:rsidR="000825B9" w:rsidRDefault="000825B9" w:rsidP="008A059F">
      <w:pPr>
        <w:pStyle w:val="Title"/>
        <w:spacing w:before="120" w:after="120" w:line="360" w:lineRule="auto"/>
        <w:ind w:left="1276"/>
        <w:rPr>
          <w:rFonts w:asciiTheme="minorHAnsi" w:hAnsiTheme="minorHAnsi" w:cstheme="minorBidi"/>
          <w:noProof/>
          <w:color w:val="404246"/>
          <w:lang w:eastAsia="en-AU"/>
        </w:rPr>
      </w:pPr>
    </w:p>
    <w:p w14:paraId="6A093A51" w14:textId="71BF6EA5" w:rsidR="008A059F" w:rsidRPr="00BA13F0" w:rsidRDefault="004A57AB" w:rsidP="008A059F">
      <w:pPr>
        <w:pStyle w:val="Title"/>
        <w:spacing w:before="120" w:after="120" w:line="360" w:lineRule="auto"/>
        <w:ind w:left="1276"/>
        <w:rPr>
          <w:rFonts w:asciiTheme="minorHAnsi" w:hAnsiTheme="minorHAnsi" w:cstheme="minorBidi"/>
          <w:noProof/>
          <w:color w:val="404246"/>
          <w:lang w:eastAsia="en-AU"/>
        </w:rPr>
      </w:pPr>
      <w:r>
        <w:rPr>
          <w:rFonts w:asciiTheme="minorHAnsi" w:hAnsiTheme="minorHAnsi" w:cstheme="minorBidi"/>
          <w:noProof/>
          <w:color w:val="404246"/>
          <w:lang w:eastAsia="en-AU"/>
        </w:rPr>
        <w:t>Prohibition on the use</w:t>
      </w:r>
      <w:r w:rsidR="00C709A6">
        <w:rPr>
          <w:rFonts w:asciiTheme="minorHAnsi" w:hAnsiTheme="minorHAnsi" w:cstheme="minorBidi"/>
          <w:noProof/>
          <w:color w:val="404246"/>
          <w:lang w:eastAsia="en-AU"/>
        </w:rPr>
        <w:t xml:space="preserve"> </w:t>
      </w:r>
      <w:r w:rsidR="007763CD">
        <w:rPr>
          <w:rFonts w:asciiTheme="minorHAnsi" w:hAnsiTheme="minorHAnsi" w:cstheme="minorBidi"/>
          <w:noProof/>
          <w:color w:val="404246"/>
          <w:lang w:eastAsia="en-AU"/>
        </w:rPr>
        <w:t>of</w:t>
      </w:r>
      <w:r w:rsidR="003471D2">
        <w:rPr>
          <w:rFonts w:asciiTheme="minorHAnsi" w:hAnsiTheme="minorHAnsi" w:cstheme="minorBidi"/>
          <w:noProof/>
          <w:color w:val="404246"/>
          <w:lang w:eastAsia="en-AU"/>
        </w:rPr>
        <w:t xml:space="preserve"> </w:t>
      </w:r>
      <w:r>
        <w:rPr>
          <w:rFonts w:asciiTheme="minorHAnsi" w:hAnsiTheme="minorHAnsi" w:cstheme="minorBidi"/>
          <w:noProof/>
          <w:color w:val="404246"/>
          <w:lang w:eastAsia="en-AU"/>
        </w:rPr>
        <w:t>engineered stone</w:t>
      </w:r>
      <w:r w:rsidR="008A059F" w:rsidRPr="7612DB8E">
        <w:rPr>
          <w:rFonts w:asciiTheme="minorHAnsi" w:hAnsiTheme="minorHAnsi" w:cstheme="minorBidi"/>
          <w:noProof/>
          <w:color w:val="404246"/>
          <w:lang w:eastAsia="en-AU"/>
        </w:rPr>
        <w:t xml:space="preserve"> (</w:t>
      </w:r>
      <w:r w:rsidRPr="004A57AB">
        <w:rPr>
          <w:rFonts w:asciiTheme="minorHAnsi" w:hAnsiTheme="minorHAnsi" w:cstheme="minorBidi"/>
          <w:noProof/>
          <w:color w:val="404246"/>
          <w:lang w:eastAsia="en-AU"/>
        </w:rPr>
        <w:t>OIA23</w:t>
      </w:r>
      <w:r>
        <w:rPr>
          <w:rFonts w:asciiTheme="minorHAnsi" w:hAnsiTheme="minorHAnsi" w:cstheme="minorBidi"/>
          <w:noProof/>
          <w:color w:val="404246"/>
          <w:lang w:eastAsia="en-AU"/>
        </w:rPr>
        <w:noBreakHyphen/>
      </w:r>
      <w:r w:rsidRPr="004A57AB">
        <w:rPr>
          <w:rFonts w:asciiTheme="minorHAnsi" w:hAnsiTheme="minorHAnsi" w:cstheme="minorBidi"/>
          <w:noProof/>
          <w:color w:val="404246"/>
          <w:lang w:eastAsia="en-AU"/>
        </w:rPr>
        <w:t>04892</w:t>
      </w:r>
      <w:r w:rsidR="008A059F" w:rsidRPr="7612DB8E">
        <w:rPr>
          <w:rFonts w:asciiTheme="minorHAnsi" w:hAnsiTheme="minorHAnsi" w:cstheme="minorBidi"/>
          <w:noProof/>
          <w:color w:val="404246"/>
          <w:lang w:eastAsia="en-AU"/>
        </w:rPr>
        <w:t xml:space="preserve">) </w:t>
      </w:r>
    </w:p>
    <w:p w14:paraId="5E0D1797" w14:textId="558A7D3A" w:rsidR="00D137CE" w:rsidRDefault="000825B9" w:rsidP="008A059F">
      <w:pPr>
        <w:spacing w:before="120" w:after="120" w:line="360" w:lineRule="auto"/>
        <w:ind w:left="1276"/>
        <w:rPr>
          <w:rFonts w:eastAsiaTheme="minorEastAsia" w:cstheme="minorHAnsi"/>
          <w:noProof/>
          <w:color w:val="789B4A"/>
          <w:spacing w:val="15"/>
          <w:sz w:val="40"/>
          <w:lang w:eastAsia="en-AU"/>
        </w:rPr>
      </w:pPr>
      <w:r>
        <w:rPr>
          <w:rFonts w:eastAsiaTheme="minorEastAsia" w:cstheme="minorHAnsi"/>
          <w:noProof/>
          <w:color w:val="789B4A"/>
          <w:spacing w:val="15"/>
          <w:sz w:val="40"/>
          <w:lang w:eastAsia="en-AU"/>
        </w:rPr>
        <w:t xml:space="preserve">Impact </w:t>
      </w:r>
      <w:r w:rsidR="00DC2EC3">
        <w:rPr>
          <w:rFonts w:eastAsiaTheme="minorEastAsia" w:cstheme="minorHAnsi"/>
          <w:noProof/>
          <w:color w:val="789B4A"/>
          <w:spacing w:val="15"/>
          <w:sz w:val="40"/>
          <w:lang w:eastAsia="en-AU"/>
        </w:rPr>
        <w:t>Analysis Equivalent</w:t>
      </w:r>
    </w:p>
    <w:p w14:paraId="6A3B1855" w14:textId="6B66C83B" w:rsidR="003311D9" w:rsidRDefault="003311D9">
      <w:pPr>
        <w:rPr>
          <w:rFonts w:ascii="Century Gothic" w:hAnsi="Century Gothic"/>
        </w:rPr>
      </w:pPr>
    </w:p>
    <w:p w14:paraId="1CEF06D3" w14:textId="77777777" w:rsidR="0011326E" w:rsidRDefault="0011326E">
      <w:pPr>
        <w:rPr>
          <w:rFonts w:ascii="Century Gothic" w:hAnsi="Century Gothic"/>
        </w:rPr>
      </w:pPr>
    </w:p>
    <w:p w14:paraId="39514E10" w14:textId="77777777" w:rsidR="0011326E" w:rsidRDefault="0011326E">
      <w:pPr>
        <w:rPr>
          <w:rFonts w:ascii="Century Gothic" w:hAnsi="Century Gothic"/>
        </w:rPr>
      </w:pPr>
    </w:p>
    <w:p w14:paraId="6CBDD61B" w14:textId="77777777" w:rsidR="0011326E" w:rsidRDefault="0011326E">
      <w:pPr>
        <w:rPr>
          <w:rFonts w:ascii="Century Gothic" w:hAnsi="Century Gothic"/>
        </w:rPr>
      </w:pPr>
    </w:p>
    <w:p w14:paraId="261254E1" w14:textId="77777777" w:rsidR="0011326E" w:rsidRDefault="0011326E">
      <w:pPr>
        <w:rPr>
          <w:rFonts w:ascii="Century Gothic" w:hAnsi="Century Gothic"/>
        </w:rPr>
      </w:pPr>
    </w:p>
    <w:p w14:paraId="799A675D" w14:textId="77777777" w:rsidR="0011326E" w:rsidRDefault="0011326E">
      <w:pPr>
        <w:rPr>
          <w:rFonts w:ascii="Century Gothic" w:hAnsi="Century Gothic"/>
        </w:rPr>
      </w:pPr>
    </w:p>
    <w:p w14:paraId="40D5FA75" w14:textId="77777777" w:rsidR="0011326E" w:rsidRDefault="0011326E">
      <w:pPr>
        <w:rPr>
          <w:rFonts w:ascii="Century Gothic" w:hAnsi="Century Gothic"/>
        </w:rPr>
      </w:pPr>
    </w:p>
    <w:p w14:paraId="60C6F42E" w14:textId="77777777" w:rsidR="0011326E" w:rsidRDefault="0011326E">
      <w:pPr>
        <w:rPr>
          <w:rFonts w:ascii="Century Gothic" w:hAnsi="Century Gothic"/>
        </w:rPr>
      </w:pPr>
    </w:p>
    <w:p w14:paraId="4CAA2C90" w14:textId="77777777" w:rsidR="0011326E" w:rsidRDefault="0011326E">
      <w:pPr>
        <w:rPr>
          <w:rFonts w:ascii="Century Gothic" w:eastAsiaTheme="majorEastAsia" w:hAnsi="Century Gothic" w:cstheme="majorBidi"/>
          <w:b/>
          <w:color w:val="FFFFFF" w:themeColor="background1"/>
          <w:spacing w:val="-10"/>
          <w:kern w:val="28"/>
          <w:sz w:val="60"/>
          <w:szCs w:val="56"/>
          <w:lang w:val="en-AU"/>
        </w:rPr>
      </w:pPr>
    </w:p>
    <w:p w14:paraId="04A8FD40" w14:textId="66CC9918" w:rsidR="008A059F" w:rsidRPr="00C10812" w:rsidRDefault="006D52B4" w:rsidP="006D52B4">
      <w:pPr>
        <w:pStyle w:val="Title"/>
        <w:tabs>
          <w:tab w:val="left" w:pos="5340"/>
        </w:tabs>
        <w:spacing w:before="120" w:after="120" w:line="360" w:lineRule="auto"/>
        <w:rPr>
          <w:rFonts w:ascii="Century Gothic" w:hAnsi="Century Gothic"/>
        </w:rPr>
      </w:pPr>
      <w:r>
        <w:rPr>
          <w:rFonts w:ascii="Century Gothic" w:hAnsi="Century Gothic"/>
        </w:rPr>
        <w:tab/>
      </w:r>
    </w:p>
    <w:p w14:paraId="620841CF" w14:textId="77777777" w:rsidR="008A059F" w:rsidRPr="006C061F" w:rsidRDefault="008A059F" w:rsidP="008A059F">
      <w:pPr>
        <w:spacing w:before="120" w:after="120" w:line="360" w:lineRule="auto"/>
        <w:rPr>
          <w:rFonts w:cstheme="minorHAnsi"/>
        </w:rPr>
      </w:pPr>
      <w:bookmarkStart w:id="0" w:name="_Toc30065222"/>
      <w:r w:rsidRPr="006C061F">
        <w:rPr>
          <w:rFonts w:cstheme="minorHAnsi"/>
          <w:noProof/>
          <w:lang w:val="en-AU" w:eastAsia="en-AU"/>
        </w:rPr>
        <w:lastRenderedPageBreak/>
        <w:drawing>
          <wp:inline distT="0" distB="0" distL="0" distR="0" wp14:anchorId="43DB2BC2" wp14:editId="4A2A7A75">
            <wp:extent cx="847725" cy="285750"/>
            <wp:effectExtent l="0" t="0" r="9525" b="0"/>
            <wp:docPr id="5" name="Picture 5"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5" r:link="rId16"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71D19FED" w14:textId="77777777" w:rsidR="008A059F" w:rsidRPr="006C061F" w:rsidRDefault="008A059F" w:rsidP="008A059F">
      <w:pPr>
        <w:spacing w:before="120" w:after="120" w:line="360" w:lineRule="auto"/>
        <w:rPr>
          <w:rFonts w:cstheme="minorHAnsi"/>
        </w:rPr>
      </w:pPr>
      <w:r w:rsidRPr="006C061F">
        <w:rPr>
          <w:rFonts w:cstheme="minorHAnsi"/>
        </w:rPr>
        <w:t xml:space="preserve">With the exception of the Commonwealth Coat of Arms, the Department’s logo, any material protected by a trade mark and where otherwise noted all material presented in this document is provided under a </w:t>
      </w:r>
      <w:hyperlink r:id="rId17" w:history="1">
        <w:r w:rsidRPr="006C061F">
          <w:rPr>
            <w:rStyle w:val="Hyperlink"/>
            <w:rFonts w:cstheme="minorHAnsi"/>
          </w:rPr>
          <w:t>Creative Commons Attribution 4.0 International</w:t>
        </w:r>
      </w:hyperlink>
      <w:r w:rsidRPr="006C061F">
        <w:rPr>
          <w:rFonts w:cstheme="minorHAnsi"/>
        </w:rPr>
        <w:t xml:space="preserve"> (https://creativecommons.org/licenses/by/4.0/) licence.</w:t>
      </w:r>
    </w:p>
    <w:p w14:paraId="11F13F5C" w14:textId="77777777" w:rsidR="008A059F" w:rsidRPr="006C061F" w:rsidRDefault="008A059F" w:rsidP="008A059F">
      <w:pPr>
        <w:spacing w:before="120" w:after="120" w:line="360" w:lineRule="auto"/>
        <w:rPr>
          <w:rFonts w:cstheme="minorHAnsi"/>
        </w:rPr>
      </w:pPr>
      <w:r w:rsidRPr="006C061F">
        <w:rPr>
          <w:rFonts w:cstheme="minorHAnsi"/>
        </w:rPr>
        <w:t xml:space="preserve">The details of the relevant licence conditions are available on the Creative Commons website (accessible using the links provided) as is the full legal code for the </w:t>
      </w:r>
      <w:hyperlink r:id="rId18" w:history="1">
        <w:r w:rsidRPr="006C061F">
          <w:rPr>
            <w:rStyle w:val="Hyperlink"/>
            <w:rFonts w:cstheme="minorHAnsi"/>
          </w:rPr>
          <w:t>CC BY 4.0 International</w:t>
        </w:r>
      </w:hyperlink>
      <w:r w:rsidRPr="006C061F">
        <w:rPr>
          <w:rFonts w:cstheme="minorHAnsi"/>
        </w:rPr>
        <w:t xml:space="preserve"> (https://creativecommons.org/licenses/by/4.0/legalcode)</w:t>
      </w:r>
    </w:p>
    <w:p w14:paraId="6F18746D" w14:textId="766AF3CA" w:rsidR="008A059F" w:rsidRPr="00C10812" w:rsidRDefault="008A059F" w:rsidP="008A059F">
      <w:pPr>
        <w:spacing w:before="120" w:after="120" w:line="360" w:lineRule="auto"/>
        <w:rPr>
          <w:rFonts w:ascii="Century Gothic" w:hAnsi="Century Gothic"/>
        </w:rPr>
      </w:pPr>
      <w:r w:rsidRPr="006C061F">
        <w:rPr>
          <w:rFonts w:cstheme="minorHAnsi"/>
        </w:rPr>
        <w:t xml:space="preserve">The document must be attributed as </w:t>
      </w:r>
      <w:r w:rsidR="003F75C6" w:rsidRPr="00EC5880">
        <w:rPr>
          <w:rFonts w:cstheme="minorHAnsi"/>
        </w:rPr>
        <w:t>Prohibition on the use of engineered stone (OIA23</w:t>
      </w:r>
      <w:r w:rsidR="003F75C6" w:rsidRPr="003F75C6">
        <w:rPr>
          <w:rFonts w:cstheme="minorHAnsi"/>
        </w:rPr>
        <w:t xml:space="preserve"> 04892)</w:t>
      </w:r>
      <w:r w:rsidRPr="004C0BD7">
        <w:rPr>
          <w:rFonts w:cstheme="minorHAnsi"/>
        </w:rPr>
        <w:t xml:space="preserve"> </w:t>
      </w:r>
      <w:r w:rsidR="00EC1C31">
        <w:rPr>
          <w:rFonts w:cstheme="minorHAnsi"/>
        </w:rPr>
        <w:t>Impact Analysis Equivalent</w:t>
      </w:r>
      <w:r w:rsidRPr="004C0BD7">
        <w:rPr>
          <w:rFonts w:cstheme="minorHAnsi"/>
        </w:rPr>
        <w:t>.</w:t>
      </w:r>
      <w:r w:rsidRPr="7612DB8E">
        <w:rPr>
          <w:rFonts w:ascii="Century Gothic" w:hAnsi="Century Gothic"/>
        </w:rPr>
        <w:br w:type="page"/>
      </w:r>
    </w:p>
    <w:sdt>
      <w:sdtPr>
        <w:id w:val="1964429044"/>
        <w:docPartObj>
          <w:docPartGallery w:val="Table of Contents"/>
          <w:docPartUnique/>
        </w:docPartObj>
      </w:sdtPr>
      <w:sdtEndPr/>
      <w:sdtContent>
        <w:p w14:paraId="188E66CB" w14:textId="12102CAF" w:rsidR="00EB4CEE" w:rsidRDefault="008A059F" w:rsidP="00B1414C">
          <w:pPr>
            <w:pStyle w:val="TOC1"/>
            <w:rPr>
              <w:noProof/>
              <w:lang w:eastAsia="en-AU"/>
            </w:rPr>
          </w:pPr>
          <w:r w:rsidRPr="7612DB8E">
            <w:t>Contents</w:t>
          </w:r>
        </w:p>
        <w:p w14:paraId="1411B4D1" w14:textId="789BA59F" w:rsidR="00931E63" w:rsidRDefault="008A059F">
          <w:pPr>
            <w:pStyle w:val="TOC1"/>
            <w:rPr>
              <w:rFonts w:eastAsiaTheme="minorEastAsia"/>
              <w:b w:val="0"/>
              <w:noProof/>
              <w:kern w:val="2"/>
              <w:lang w:eastAsia="en-AU"/>
              <w14:ligatures w14:val="standardContextual"/>
            </w:rPr>
          </w:pPr>
          <w:r>
            <w:rPr>
              <w:rFonts w:ascii="Calibri" w:eastAsiaTheme="majorEastAsia" w:hAnsi="Calibri" w:cstheme="majorBidi"/>
              <w:color w:val="404246"/>
              <w:sz w:val="32"/>
              <w:szCs w:val="32"/>
            </w:rPr>
            <w:fldChar w:fldCharType="begin"/>
          </w:r>
          <w:r>
            <w:instrText>TOC \o "1-3" \h \z \u</w:instrText>
          </w:r>
          <w:r>
            <w:rPr>
              <w:rFonts w:ascii="Calibri" w:eastAsiaTheme="majorEastAsia" w:hAnsi="Calibri" w:cstheme="majorBidi"/>
              <w:color w:val="404246"/>
              <w:sz w:val="32"/>
              <w:szCs w:val="32"/>
            </w:rPr>
            <w:fldChar w:fldCharType="separate"/>
          </w:r>
          <w:hyperlink w:anchor="_Toc145573515" w:history="1">
            <w:r w:rsidR="00931E63" w:rsidRPr="008D542C">
              <w:rPr>
                <w:rStyle w:val="Hyperlink"/>
                <w:noProof/>
              </w:rPr>
              <w:t>Introduction</w:t>
            </w:r>
            <w:r w:rsidR="00931E63">
              <w:rPr>
                <w:noProof/>
                <w:webHidden/>
              </w:rPr>
              <w:tab/>
            </w:r>
            <w:r w:rsidR="00931E63">
              <w:rPr>
                <w:noProof/>
                <w:webHidden/>
              </w:rPr>
              <w:fldChar w:fldCharType="begin"/>
            </w:r>
            <w:r w:rsidR="00931E63">
              <w:rPr>
                <w:noProof/>
                <w:webHidden/>
              </w:rPr>
              <w:instrText xml:space="preserve"> PAGEREF _Toc145573515 \h </w:instrText>
            </w:r>
            <w:r w:rsidR="00931E63">
              <w:rPr>
                <w:noProof/>
                <w:webHidden/>
              </w:rPr>
            </w:r>
            <w:r w:rsidR="00931E63">
              <w:rPr>
                <w:noProof/>
                <w:webHidden/>
              </w:rPr>
              <w:fldChar w:fldCharType="separate"/>
            </w:r>
            <w:r w:rsidR="00654B26">
              <w:rPr>
                <w:noProof/>
                <w:webHidden/>
              </w:rPr>
              <w:t>4</w:t>
            </w:r>
            <w:r w:rsidR="00931E63">
              <w:rPr>
                <w:noProof/>
                <w:webHidden/>
              </w:rPr>
              <w:fldChar w:fldCharType="end"/>
            </w:r>
          </w:hyperlink>
        </w:p>
        <w:p w14:paraId="06527758" w14:textId="18BDEC37" w:rsidR="00931E63" w:rsidRDefault="006355AF">
          <w:pPr>
            <w:pStyle w:val="TOC1"/>
            <w:rPr>
              <w:rFonts w:eastAsiaTheme="minorEastAsia"/>
              <w:b w:val="0"/>
              <w:noProof/>
              <w:kern w:val="2"/>
              <w:lang w:eastAsia="en-AU"/>
              <w14:ligatures w14:val="standardContextual"/>
            </w:rPr>
          </w:pPr>
          <w:hyperlink w:anchor="_Toc145573516" w:history="1">
            <w:r w:rsidR="00931E63" w:rsidRPr="008D542C">
              <w:rPr>
                <w:rStyle w:val="Hyperlink"/>
                <w:noProof/>
              </w:rPr>
              <w:t>Overview of the Decision Regulation Impact Statement: Managing the risks of respirable crystalline silica at work</w:t>
            </w:r>
            <w:r w:rsidR="00931E63">
              <w:rPr>
                <w:noProof/>
                <w:webHidden/>
              </w:rPr>
              <w:tab/>
            </w:r>
            <w:r w:rsidR="00931E63">
              <w:rPr>
                <w:noProof/>
                <w:webHidden/>
              </w:rPr>
              <w:fldChar w:fldCharType="begin"/>
            </w:r>
            <w:r w:rsidR="00931E63">
              <w:rPr>
                <w:noProof/>
                <w:webHidden/>
              </w:rPr>
              <w:instrText xml:space="preserve"> PAGEREF _Toc145573516 \h </w:instrText>
            </w:r>
            <w:r w:rsidR="00931E63">
              <w:rPr>
                <w:noProof/>
                <w:webHidden/>
              </w:rPr>
            </w:r>
            <w:r w:rsidR="00931E63">
              <w:rPr>
                <w:noProof/>
                <w:webHidden/>
              </w:rPr>
              <w:fldChar w:fldCharType="separate"/>
            </w:r>
            <w:r w:rsidR="00654B26">
              <w:rPr>
                <w:noProof/>
                <w:webHidden/>
              </w:rPr>
              <w:t>5</w:t>
            </w:r>
            <w:r w:rsidR="00931E63">
              <w:rPr>
                <w:noProof/>
                <w:webHidden/>
              </w:rPr>
              <w:fldChar w:fldCharType="end"/>
            </w:r>
          </w:hyperlink>
        </w:p>
        <w:p w14:paraId="24B90E0A" w14:textId="450E1C5C" w:rsidR="00931E63" w:rsidRDefault="006355AF">
          <w:pPr>
            <w:pStyle w:val="TOC1"/>
            <w:rPr>
              <w:rFonts w:eastAsiaTheme="minorEastAsia"/>
              <w:b w:val="0"/>
              <w:noProof/>
              <w:kern w:val="2"/>
              <w:lang w:eastAsia="en-AU"/>
              <w14:ligatures w14:val="standardContextual"/>
            </w:rPr>
          </w:pPr>
          <w:hyperlink w:anchor="_Toc145573517" w:history="1">
            <w:r w:rsidR="00931E63" w:rsidRPr="008D542C">
              <w:rPr>
                <w:rStyle w:val="Hyperlink"/>
                <w:noProof/>
              </w:rPr>
              <w:t>Overview of the Decision Regulation Impact Statement: Prohibition on the use of engineered stone</w:t>
            </w:r>
            <w:r w:rsidR="00931E63">
              <w:rPr>
                <w:noProof/>
                <w:webHidden/>
              </w:rPr>
              <w:tab/>
            </w:r>
            <w:r w:rsidR="00931E63">
              <w:rPr>
                <w:noProof/>
                <w:webHidden/>
              </w:rPr>
              <w:fldChar w:fldCharType="begin"/>
            </w:r>
            <w:r w:rsidR="00931E63">
              <w:rPr>
                <w:noProof/>
                <w:webHidden/>
              </w:rPr>
              <w:instrText xml:space="preserve"> PAGEREF _Toc145573517 \h </w:instrText>
            </w:r>
            <w:r w:rsidR="00931E63">
              <w:rPr>
                <w:noProof/>
                <w:webHidden/>
              </w:rPr>
            </w:r>
            <w:r w:rsidR="00931E63">
              <w:rPr>
                <w:noProof/>
                <w:webHidden/>
              </w:rPr>
              <w:fldChar w:fldCharType="separate"/>
            </w:r>
            <w:r w:rsidR="00654B26">
              <w:rPr>
                <w:noProof/>
                <w:webHidden/>
              </w:rPr>
              <w:t>5</w:t>
            </w:r>
            <w:r w:rsidR="00931E63">
              <w:rPr>
                <w:noProof/>
                <w:webHidden/>
              </w:rPr>
              <w:fldChar w:fldCharType="end"/>
            </w:r>
          </w:hyperlink>
        </w:p>
        <w:p w14:paraId="6A5C4968" w14:textId="6C7FC87D" w:rsidR="00931E63" w:rsidRDefault="006355AF">
          <w:pPr>
            <w:pStyle w:val="TOC2"/>
            <w:rPr>
              <w:rFonts w:eastAsiaTheme="minorEastAsia"/>
              <w:noProof/>
              <w:kern w:val="2"/>
              <w:lang w:eastAsia="en-AU"/>
              <w14:ligatures w14:val="standardContextual"/>
            </w:rPr>
          </w:pPr>
          <w:hyperlink w:anchor="_Toc145573518" w:history="1">
            <w:r w:rsidR="00931E63" w:rsidRPr="008D542C">
              <w:rPr>
                <w:rStyle w:val="Hyperlink"/>
                <w:noProof/>
                <w:lang w:eastAsia="en-AU"/>
              </w:rPr>
              <w:t>Key terms</w:t>
            </w:r>
            <w:r w:rsidR="00931E63">
              <w:rPr>
                <w:noProof/>
                <w:webHidden/>
              </w:rPr>
              <w:tab/>
            </w:r>
            <w:r w:rsidR="00931E63">
              <w:rPr>
                <w:noProof/>
                <w:webHidden/>
              </w:rPr>
              <w:fldChar w:fldCharType="begin"/>
            </w:r>
            <w:r w:rsidR="00931E63">
              <w:rPr>
                <w:noProof/>
                <w:webHidden/>
              </w:rPr>
              <w:instrText xml:space="preserve"> PAGEREF _Toc145573518 \h </w:instrText>
            </w:r>
            <w:r w:rsidR="00931E63">
              <w:rPr>
                <w:noProof/>
                <w:webHidden/>
              </w:rPr>
            </w:r>
            <w:r w:rsidR="00931E63">
              <w:rPr>
                <w:noProof/>
                <w:webHidden/>
              </w:rPr>
              <w:fldChar w:fldCharType="separate"/>
            </w:r>
            <w:r w:rsidR="00654B26">
              <w:rPr>
                <w:noProof/>
                <w:webHidden/>
              </w:rPr>
              <w:t>6</w:t>
            </w:r>
            <w:r w:rsidR="00931E63">
              <w:rPr>
                <w:noProof/>
                <w:webHidden/>
              </w:rPr>
              <w:fldChar w:fldCharType="end"/>
            </w:r>
          </w:hyperlink>
        </w:p>
        <w:p w14:paraId="71790853" w14:textId="6586E7F6" w:rsidR="00931E63" w:rsidRDefault="006355AF">
          <w:pPr>
            <w:pStyle w:val="TOC1"/>
            <w:rPr>
              <w:rFonts w:eastAsiaTheme="minorEastAsia"/>
              <w:b w:val="0"/>
              <w:noProof/>
              <w:kern w:val="2"/>
              <w:lang w:eastAsia="en-AU"/>
              <w14:ligatures w14:val="standardContextual"/>
            </w:rPr>
          </w:pPr>
          <w:hyperlink w:anchor="_Toc145573519" w:history="1">
            <w:r w:rsidR="00931E63" w:rsidRPr="008D542C">
              <w:rPr>
                <w:rStyle w:val="Hyperlink"/>
                <w:noProof/>
              </w:rPr>
              <w:t>1.  What is the problem you are trying to solve and what data is available?</w:t>
            </w:r>
            <w:r w:rsidR="00931E63">
              <w:rPr>
                <w:noProof/>
                <w:webHidden/>
              </w:rPr>
              <w:tab/>
            </w:r>
            <w:r w:rsidR="00931E63">
              <w:rPr>
                <w:noProof/>
                <w:webHidden/>
              </w:rPr>
              <w:fldChar w:fldCharType="begin"/>
            </w:r>
            <w:r w:rsidR="00931E63">
              <w:rPr>
                <w:noProof/>
                <w:webHidden/>
              </w:rPr>
              <w:instrText xml:space="preserve"> PAGEREF _Toc145573519 \h </w:instrText>
            </w:r>
            <w:r w:rsidR="00931E63">
              <w:rPr>
                <w:noProof/>
                <w:webHidden/>
              </w:rPr>
            </w:r>
            <w:r w:rsidR="00931E63">
              <w:rPr>
                <w:noProof/>
                <w:webHidden/>
              </w:rPr>
              <w:fldChar w:fldCharType="separate"/>
            </w:r>
            <w:r w:rsidR="00654B26">
              <w:rPr>
                <w:noProof/>
                <w:webHidden/>
              </w:rPr>
              <w:t>7</w:t>
            </w:r>
            <w:r w:rsidR="00931E63">
              <w:rPr>
                <w:noProof/>
                <w:webHidden/>
              </w:rPr>
              <w:fldChar w:fldCharType="end"/>
            </w:r>
          </w:hyperlink>
        </w:p>
        <w:p w14:paraId="4B41476C" w14:textId="09E66D56" w:rsidR="00931E63" w:rsidRDefault="006355AF">
          <w:pPr>
            <w:pStyle w:val="TOC2"/>
            <w:rPr>
              <w:rFonts w:eastAsiaTheme="minorEastAsia"/>
              <w:noProof/>
              <w:kern w:val="2"/>
              <w:lang w:eastAsia="en-AU"/>
              <w14:ligatures w14:val="standardContextual"/>
            </w:rPr>
          </w:pPr>
          <w:hyperlink w:anchor="_Toc145573520" w:history="1">
            <w:r w:rsidR="00931E63" w:rsidRPr="008D542C">
              <w:rPr>
                <w:rStyle w:val="Hyperlink"/>
                <w:noProof/>
              </w:rPr>
              <w:t>The unique hazards of engineered stone</w:t>
            </w:r>
            <w:r w:rsidR="00931E63">
              <w:rPr>
                <w:noProof/>
                <w:webHidden/>
              </w:rPr>
              <w:tab/>
            </w:r>
            <w:r w:rsidR="00931E63">
              <w:rPr>
                <w:noProof/>
                <w:webHidden/>
              </w:rPr>
              <w:fldChar w:fldCharType="begin"/>
            </w:r>
            <w:r w:rsidR="00931E63">
              <w:rPr>
                <w:noProof/>
                <w:webHidden/>
              </w:rPr>
              <w:instrText xml:space="preserve"> PAGEREF _Toc145573520 \h </w:instrText>
            </w:r>
            <w:r w:rsidR="00931E63">
              <w:rPr>
                <w:noProof/>
                <w:webHidden/>
              </w:rPr>
            </w:r>
            <w:r w:rsidR="00931E63">
              <w:rPr>
                <w:noProof/>
                <w:webHidden/>
              </w:rPr>
              <w:fldChar w:fldCharType="separate"/>
            </w:r>
            <w:r w:rsidR="00654B26">
              <w:rPr>
                <w:noProof/>
                <w:webHidden/>
              </w:rPr>
              <w:t>7</w:t>
            </w:r>
            <w:r w:rsidR="00931E63">
              <w:rPr>
                <w:noProof/>
                <w:webHidden/>
              </w:rPr>
              <w:fldChar w:fldCharType="end"/>
            </w:r>
          </w:hyperlink>
        </w:p>
        <w:p w14:paraId="225DCA09" w14:textId="79BD1940" w:rsidR="00931E63" w:rsidRDefault="006355AF">
          <w:pPr>
            <w:pStyle w:val="TOC2"/>
            <w:rPr>
              <w:rFonts w:eastAsiaTheme="minorEastAsia"/>
              <w:noProof/>
              <w:kern w:val="2"/>
              <w:lang w:eastAsia="en-AU"/>
              <w14:ligatures w14:val="standardContextual"/>
            </w:rPr>
          </w:pPr>
          <w:hyperlink w:anchor="_Toc145573521" w:history="1">
            <w:r w:rsidR="00931E63" w:rsidRPr="008D542C">
              <w:rPr>
                <w:rStyle w:val="Hyperlink"/>
                <w:noProof/>
              </w:rPr>
              <w:t>Insufficient compliance with WHS model laws</w:t>
            </w:r>
            <w:r w:rsidR="00931E63">
              <w:rPr>
                <w:noProof/>
                <w:webHidden/>
              </w:rPr>
              <w:tab/>
            </w:r>
            <w:r w:rsidR="00931E63">
              <w:rPr>
                <w:noProof/>
                <w:webHidden/>
              </w:rPr>
              <w:fldChar w:fldCharType="begin"/>
            </w:r>
            <w:r w:rsidR="00931E63">
              <w:rPr>
                <w:noProof/>
                <w:webHidden/>
              </w:rPr>
              <w:instrText xml:space="preserve"> PAGEREF _Toc145573521 \h </w:instrText>
            </w:r>
            <w:r w:rsidR="00931E63">
              <w:rPr>
                <w:noProof/>
                <w:webHidden/>
              </w:rPr>
            </w:r>
            <w:r w:rsidR="00931E63">
              <w:rPr>
                <w:noProof/>
                <w:webHidden/>
              </w:rPr>
              <w:fldChar w:fldCharType="separate"/>
            </w:r>
            <w:r w:rsidR="00654B26">
              <w:rPr>
                <w:noProof/>
                <w:webHidden/>
              </w:rPr>
              <w:t>7</w:t>
            </w:r>
            <w:r w:rsidR="00931E63">
              <w:rPr>
                <w:noProof/>
                <w:webHidden/>
              </w:rPr>
              <w:fldChar w:fldCharType="end"/>
            </w:r>
          </w:hyperlink>
        </w:p>
        <w:p w14:paraId="031C7FE8" w14:textId="23D039B8" w:rsidR="00931E63" w:rsidRDefault="006355AF">
          <w:pPr>
            <w:pStyle w:val="TOC2"/>
            <w:rPr>
              <w:rFonts w:eastAsiaTheme="minorEastAsia"/>
              <w:noProof/>
              <w:kern w:val="2"/>
              <w:lang w:eastAsia="en-AU"/>
              <w14:ligatures w14:val="standardContextual"/>
            </w:rPr>
          </w:pPr>
          <w:hyperlink w:anchor="_Toc145573522" w:history="1">
            <w:r w:rsidR="00931E63" w:rsidRPr="008D542C">
              <w:rPr>
                <w:rStyle w:val="Hyperlink"/>
                <w:noProof/>
              </w:rPr>
              <w:t>The nature of the engineered stone industry</w:t>
            </w:r>
            <w:r w:rsidR="00931E63">
              <w:rPr>
                <w:noProof/>
                <w:webHidden/>
              </w:rPr>
              <w:tab/>
            </w:r>
            <w:r w:rsidR="00931E63">
              <w:rPr>
                <w:noProof/>
                <w:webHidden/>
              </w:rPr>
              <w:fldChar w:fldCharType="begin"/>
            </w:r>
            <w:r w:rsidR="00931E63">
              <w:rPr>
                <w:noProof/>
                <w:webHidden/>
              </w:rPr>
              <w:instrText xml:space="preserve"> PAGEREF _Toc145573522 \h </w:instrText>
            </w:r>
            <w:r w:rsidR="00931E63">
              <w:rPr>
                <w:noProof/>
                <w:webHidden/>
              </w:rPr>
            </w:r>
            <w:r w:rsidR="00931E63">
              <w:rPr>
                <w:noProof/>
                <w:webHidden/>
              </w:rPr>
              <w:fldChar w:fldCharType="separate"/>
            </w:r>
            <w:r w:rsidR="00654B26">
              <w:rPr>
                <w:noProof/>
                <w:webHidden/>
              </w:rPr>
              <w:t>8</w:t>
            </w:r>
            <w:r w:rsidR="00931E63">
              <w:rPr>
                <w:noProof/>
                <w:webHidden/>
              </w:rPr>
              <w:fldChar w:fldCharType="end"/>
            </w:r>
          </w:hyperlink>
        </w:p>
        <w:p w14:paraId="7763A971" w14:textId="549BD458" w:rsidR="00931E63" w:rsidRDefault="006355AF">
          <w:pPr>
            <w:pStyle w:val="TOC2"/>
            <w:rPr>
              <w:rFonts w:eastAsiaTheme="minorEastAsia"/>
              <w:noProof/>
              <w:kern w:val="2"/>
              <w:lang w:eastAsia="en-AU"/>
              <w14:ligatures w14:val="standardContextual"/>
            </w:rPr>
          </w:pPr>
          <w:hyperlink w:anchor="_Toc145573523" w:history="1">
            <w:r w:rsidR="00931E63" w:rsidRPr="008D542C">
              <w:rPr>
                <w:rStyle w:val="Hyperlink"/>
                <w:noProof/>
              </w:rPr>
              <w:t>Silicosis disease onset and profile differs in engineered stone workers</w:t>
            </w:r>
            <w:r w:rsidR="00931E63">
              <w:rPr>
                <w:noProof/>
                <w:webHidden/>
              </w:rPr>
              <w:tab/>
            </w:r>
            <w:r w:rsidR="00931E63">
              <w:rPr>
                <w:noProof/>
                <w:webHidden/>
              </w:rPr>
              <w:fldChar w:fldCharType="begin"/>
            </w:r>
            <w:r w:rsidR="00931E63">
              <w:rPr>
                <w:noProof/>
                <w:webHidden/>
              </w:rPr>
              <w:instrText xml:space="preserve"> PAGEREF _Toc145573523 \h </w:instrText>
            </w:r>
            <w:r w:rsidR="00931E63">
              <w:rPr>
                <w:noProof/>
                <w:webHidden/>
              </w:rPr>
            </w:r>
            <w:r w:rsidR="00931E63">
              <w:rPr>
                <w:noProof/>
                <w:webHidden/>
              </w:rPr>
              <w:fldChar w:fldCharType="separate"/>
            </w:r>
            <w:r w:rsidR="00654B26">
              <w:rPr>
                <w:noProof/>
                <w:webHidden/>
              </w:rPr>
              <w:t>9</w:t>
            </w:r>
            <w:r w:rsidR="00931E63">
              <w:rPr>
                <w:noProof/>
                <w:webHidden/>
              </w:rPr>
              <w:fldChar w:fldCharType="end"/>
            </w:r>
          </w:hyperlink>
        </w:p>
        <w:p w14:paraId="45683CCE" w14:textId="7A63C6DF" w:rsidR="00931E63" w:rsidRDefault="006355AF">
          <w:pPr>
            <w:pStyle w:val="TOC2"/>
            <w:rPr>
              <w:rFonts w:eastAsiaTheme="minorEastAsia"/>
              <w:noProof/>
              <w:kern w:val="2"/>
              <w:lang w:eastAsia="en-AU"/>
              <w14:ligatures w14:val="standardContextual"/>
            </w:rPr>
          </w:pPr>
          <w:hyperlink w:anchor="_Toc145573524" w:history="1">
            <w:r w:rsidR="00931E63" w:rsidRPr="008D542C">
              <w:rPr>
                <w:rStyle w:val="Hyperlink"/>
                <w:noProof/>
              </w:rPr>
              <w:t>Engineered stone may continue to be knowingly, or unknowingly, brought into Australia</w:t>
            </w:r>
            <w:r w:rsidR="00931E63">
              <w:rPr>
                <w:noProof/>
                <w:webHidden/>
              </w:rPr>
              <w:tab/>
            </w:r>
            <w:r w:rsidR="00931E63">
              <w:rPr>
                <w:noProof/>
                <w:webHidden/>
              </w:rPr>
              <w:fldChar w:fldCharType="begin"/>
            </w:r>
            <w:r w:rsidR="00931E63">
              <w:rPr>
                <w:noProof/>
                <w:webHidden/>
              </w:rPr>
              <w:instrText xml:space="preserve"> PAGEREF _Toc145573524 \h </w:instrText>
            </w:r>
            <w:r w:rsidR="00931E63">
              <w:rPr>
                <w:noProof/>
                <w:webHidden/>
              </w:rPr>
            </w:r>
            <w:r w:rsidR="00931E63">
              <w:rPr>
                <w:noProof/>
                <w:webHidden/>
              </w:rPr>
              <w:fldChar w:fldCharType="separate"/>
            </w:r>
            <w:r w:rsidR="00654B26">
              <w:rPr>
                <w:noProof/>
                <w:webHidden/>
              </w:rPr>
              <w:t>9</w:t>
            </w:r>
            <w:r w:rsidR="00931E63">
              <w:rPr>
                <w:noProof/>
                <w:webHidden/>
              </w:rPr>
              <w:fldChar w:fldCharType="end"/>
            </w:r>
          </w:hyperlink>
        </w:p>
        <w:p w14:paraId="4AF172D7" w14:textId="59FC68DD" w:rsidR="00931E63" w:rsidRDefault="006355AF">
          <w:pPr>
            <w:pStyle w:val="TOC1"/>
            <w:rPr>
              <w:rFonts w:eastAsiaTheme="minorEastAsia"/>
              <w:b w:val="0"/>
              <w:noProof/>
              <w:kern w:val="2"/>
              <w:lang w:eastAsia="en-AU"/>
              <w14:ligatures w14:val="standardContextual"/>
            </w:rPr>
          </w:pPr>
          <w:hyperlink w:anchor="_Toc145573525" w:history="1">
            <w:r w:rsidR="00931E63" w:rsidRPr="008D542C">
              <w:rPr>
                <w:rStyle w:val="Hyperlink"/>
                <w:noProof/>
              </w:rPr>
              <w:t>2. What are the objectives, why is government intervention needed to achieve them, and how will success be measured?</w:t>
            </w:r>
            <w:r w:rsidR="00931E63">
              <w:rPr>
                <w:noProof/>
                <w:webHidden/>
              </w:rPr>
              <w:tab/>
            </w:r>
            <w:r w:rsidR="00931E63">
              <w:rPr>
                <w:noProof/>
                <w:webHidden/>
              </w:rPr>
              <w:fldChar w:fldCharType="begin"/>
            </w:r>
            <w:r w:rsidR="00931E63">
              <w:rPr>
                <w:noProof/>
                <w:webHidden/>
              </w:rPr>
              <w:instrText xml:space="preserve"> PAGEREF _Toc145573525 \h </w:instrText>
            </w:r>
            <w:r w:rsidR="00931E63">
              <w:rPr>
                <w:noProof/>
                <w:webHidden/>
              </w:rPr>
            </w:r>
            <w:r w:rsidR="00931E63">
              <w:rPr>
                <w:noProof/>
                <w:webHidden/>
              </w:rPr>
              <w:fldChar w:fldCharType="separate"/>
            </w:r>
            <w:r w:rsidR="00654B26">
              <w:rPr>
                <w:noProof/>
                <w:webHidden/>
              </w:rPr>
              <w:t>10</w:t>
            </w:r>
            <w:r w:rsidR="00931E63">
              <w:rPr>
                <w:noProof/>
                <w:webHidden/>
              </w:rPr>
              <w:fldChar w:fldCharType="end"/>
            </w:r>
          </w:hyperlink>
        </w:p>
        <w:p w14:paraId="2BCF914D" w14:textId="69085513" w:rsidR="00931E63" w:rsidRDefault="006355AF">
          <w:pPr>
            <w:pStyle w:val="TOC1"/>
            <w:rPr>
              <w:rFonts w:eastAsiaTheme="minorEastAsia"/>
              <w:b w:val="0"/>
              <w:noProof/>
              <w:kern w:val="2"/>
              <w:lang w:eastAsia="en-AU"/>
              <w14:ligatures w14:val="standardContextual"/>
            </w:rPr>
          </w:pPr>
          <w:hyperlink w:anchor="_Toc145573526" w:history="1">
            <w:r w:rsidR="00931E63" w:rsidRPr="008D542C">
              <w:rPr>
                <w:rStyle w:val="Hyperlink"/>
                <w:noProof/>
              </w:rPr>
              <w:t>3. What policy options are you considering?</w:t>
            </w:r>
            <w:r w:rsidR="00931E63">
              <w:rPr>
                <w:noProof/>
                <w:webHidden/>
              </w:rPr>
              <w:tab/>
            </w:r>
            <w:r w:rsidR="00931E63">
              <w:rPr>
                <w:noProof/>
                <w:webHidden/>
              </w:rPr>
              <w:fldChar w:fldCharType="begin"/>
            </w:r>
            <w:r w:rsidR="00931E63">
              <w:rPr>
                <w:noProof/>
                <w:webHidden/>
              </w:rPr>
              <w:instrText xml:space="preserve"> PAGEREF _Toc145573526 \h </w:instrText>
            </w:r>
            <w:r w:rsidR="00931E63">
              <w:rPr>
                <w:noProof/>
                <w:webHidden/>
              </w:rPr>
            </w:r>
            <w:r w:rsidR="00931E63">
              <w:rPr>
                <w:noProof/>
                <w:webHidden/>
              </w:rPr>
              <w:fldChar w:fldCharType="separate"/>
            </w:r>
            <w:r w:rsidR="00654B26">
              <w:rPr>
                <w:noProof/>
                <w:webHidden/>
              </w:rPr>
              <w:t>11</w:t>
            </w:r>
            <w:r w:rsidR="00931E63">
              <w:rPr>
                <w:noProof/>
                <w:webHidden/>
              </w:rPr>
              <w:fldChar w:fldCharType="end"/>
            </w:r>
          </w:hyperlink>
        </w:p>
        <w:p w14:paraId="5505FFBA" w14:textId="50EA6B49" w:rsidR="00931E63" w:rsidRDefault="006355AF">
          <w:pPr>
            <w:pStyle w:val="TOC2"/>
            <w:rPr>
              <w:rFonts w:eastAsiaTheme="minorEastAsia"/>
              <w:noProof/>
              <w:kern w:val="2"/>
              <w:lang w:eastAsia="en-AU"/>
              <w14:ligatures w14:val="standardContextual"/>
            </w:rPr>
          </w:pPr>
          <w:hyperlink w:anchor="_Toc145573527" w:history="1">
            <w:r w:rsidR="00931E63" w:rsidRPr="008D542C">
              <w:rPr>
                <w:rStyle w:val="Hyperlink"/>
                <w:noProof/>
              </w:rPr>
              <w:t>Option 1: Prohibition on the use of engineered stone</w:t>
            </w:r>
            <w:r w:rsidR="00931E63">
              <w:rPr>
                <w:noProof/>
                <w:webHidden/>
              </w:rPr>
              <w:tab/>
            </w:r>
            <w:r w:rsidR="00931E63">
              <w:rPr>
                <w:noProof/>
                <w:webHidden/>
              </w:rPr>
              <w:fldChar w:fldCharType="begin"/>
            </w:r>
            <w:r w:rsidR="00931E63">
              <w:rPr>
                <w:noProof/>
                <w:webHidden/>
              </w:rPr>
              <w:instrText xml:space="preserve"> PAGEREF _Toc145573527 \h </w:instrText>
            </w:r>
            <w:r w:rsidR="00931E63">
              <w:rPr>
                <w:noProof/>
                <w:webHidden/>
              </w:rPr>
            </w:r>
            <w:r w:rsidR="00931E63">
              <w:rPr>
                <w:noProof/>
                <w:webHidden/>
              </w:rPr>
              <w:fldChar w:fldCharType="separate"/>
            </w:r>
            <w:r w:rsidR="00654B26">
              <w:rPr>
                <w:noProof/>
                <w:webHidden/>
              </w:rPr>
              <w:t>11</w:t>
            </w:r>
            <w:r w:rsidR="00931E63">
              <w:rPr>
                <w:noProof/>
                <w:webHidden/>
              </w:rPr>
              <w:fldChar w:fldCharType="end"/>
            </w:r>
          </w:hyperlink>
        </w:p>
        <w:p w14:paraId="62306AB8" w14:textId="69467A67" w:rsidR="00931E63" w:rsidRDefault="006355AF">
          <w:pPr>
            <w:pStyle w:val="TOC2"/>
            <w:rPr>
              <w:rFonts w:eastAsiaTheme="minorEastAsia"/>
              <w:noProof/>
              <w:kern w:val="2"/>
              <w:lang w:eastAsia="en-AU"/>
              <w14:ligatures w14:val="standardContextual"/>
            </w:rPr>
          </w:pPr>
          <w:hyperlink w:anchor="_Toc145573528" w:history="1">
            <w:r w:rsidR="00931E63" w:rsidRPr="008D542C">
              <w:rPr>
                <w:rStyle w:val="Hyperlink"/>
                <w:noProof/>
              </w:rPr>
              <w:t>Option 2: Prohibition on the use of engineered stone with complementary border measures (preferred)</w:t>
            </w:r>
            <w:r w:rsidR="00931E63">
              <w:rPr>
                <w:noProof/>
                <w:webHidden/>
              </w:rPr>
              <w:tab/>
            </w:r>
            <w:r w:rsidR="00931E63">
              <w:rPr>
                <w:noProof/>
                <w:webHidden/>
              </w:rPr>
              <w:fldChar w:fldCharType="begin"/>
            </w:r>
            <w:r w:rsidR="00931E63">
              <w:rPr>
                <w:noProof/>
                <w:webHidden/>
              </w:rPr>
              <w:instrText xml:space="preserve"> PAGEREF _Toc145573528 \h </w:instrText>
            </w:r>
            <w:r w:rsidR="00931E63">
              <w:rPr>
                <w:noProof/>
                <w:webHidden/>
              </w:rPr>
            </w:r>
            <w:r w:rsidR="00931E63">
              <w:rPr>
                <w:noProof/>
                <w:webHidden/>
              </w:rPr>
              <w:fldChar w:fldCharType="separate"/>
            </w:r>
            <w:r w:rsidR="00654B26">
              <w:rPr>
                <w:noProof/>
                <w:webHidden/>
              </w:rPr>
              <w:t>12</w:t>
            </w:r>
            <w:r w:rsidR="00931E63">
              <w:rPr>
                <w:noProof/>
                <w:webHidden/>
              </w:rPr>
              <w:fldChar w:fldCharType="end"/>
            </w:r>
          </w:hyperlink>
        </w:p>
        <w:p w14:paraId="767B011D" w14:textId="5F1C3351" w:rsidR="00931E63" w:rsidRDefault="006355AF">
          <w:pPr>
            <w:pStyle w:val="TOC2"/>
            <w:rPr>
              <w:rFonts w:eastAsiaTheme="minorEastAsia"/>
              <w:noProof/>
              <w:kern w:val="2"/>
              <w:lang w:eastAsia="en-AU"/>
              <w14:ligatures w14:val="standardContextual"/>
            </w:rPr>
          </w:pPr>
          <w:hyperlink w:anchor="_Toc145573529" w:history="1">
            <w:r w:rsidR="00931E63" w:rsidRPr="008D542C">
              <w:rPr>
                <w:rStyle w:val="Hyperlink"/>
                <w:noProof/>
              </w:rPr>
              <w:t>Option 3: Status quo</w:t>
            </w:r>
            <w:r w:rsidR="00931E63">
              <w:rPr>
                <w:noProof/>
                <w:webHidden/>
              </w:rPr>
              <w:tab/>
            </w:r>
            <w:r w:rsidR="00931E63">
              <w:rPr>
                <w:noProof/>
                <w:webHidden/>
              </w:rPr>
              <w:fldChar w:fldCharType="begin"/>
            </w:r>
            <w:r w:rsidR="00931E63">
              <w:rPr>
                <w:noProof/>
                <w:webHidden/>
              </w:rPr>
              <w:instrText xml:space="preserve"> PAGEREF _Toc145573529 \h </w:instrText>
            </w:r>
            <w:r w:rsidR="00931E63">
              <w:rPr>
                <w:noProof/>
                <w:webHidden/>
              </w:rPr>
            </w:r>
            <w:r w:rsidR="00931E63">
              <w:rPr>
                <w:noProof/>
                <w:webHidden/>
              </w:rPr>
              <w:fldChar w:fldCharType="separate"/>
            </w:r>
            <w:r w:rsidR="00654B26">
              <w:rPr>
                <w:noProof/>
                <w:webHidden/>
              </w:rPr>
              <w:t>12</w:t>
            </w:r>
            <w:r w:rsidR="00931E63">
              <w:rPr>
                <w:noProof/>
                <w:webHidden/>
              </w:rPr>
              <w:fldChar w:fldCharType="end"/>
            </w:r>
          </w:hyperlink>
        </w:p>
        <w:p w14:paraId="67E6A16E" w14:textId="37EDCF10" w:rsidR="00931E63" w:rsidRDefault="006355AF">
          <w:pPr>
            <w:pStyle w:val="TOC1"/>
            <w:rPr>
              <w:rFonts w:eastAsiaTheme="minorEastAsia"/>
              <w:b w:val="0"/>
              <w:noProof/>
              <w:kern w:val="2"/>
              <w:lang w:eastAsia="en-AU"/>
              <w14:ligatures w14:val="standardContextual"/>
            </w:rPr>
          </w:pPr>
          <w:hyperlink w:anchor="_Toc145573530" w:history="1">
            <w:r w:rsidR="00931E63" w:rsidRPr="008D542C">
              <w:rPr>
                <w:rStyle w:val="Hyperlink"/>
                <w:noProof/>
              </w:rPr>
              <w:t>4.  What is the likely net benefit of each option?</w:t>
            </w:r>
            <w:r w:rsidR="00931E63">
              <w:rPr>
                <w:noProof/>
                <w:webHidden/>
              </w:rPr>
              <w:tab/>
            </w:r>
            <w:r w:rsidR="00931E63">
              <w:rPr>
                <w:noProof/>
                <w:webHidden/>
              </w:rPr>
              <w:fldChar w:fldCharType="begin"/>
            </w:r>
            <w:r w:rsidR="00931E63">
              <w:rPr>
                <w:noProof/>
                <w:webHidden/>
              </w:rPr>
              <w:instrText xml:space="preserve"> PAGEREF _Toc145573530 \h </w:instrText>
            </w:r>
            <w:r w:rsidR="00931E63">
              <w:rPr>
                <w:noProof/>
                <w:webHidden/>
              </w:rPr>
            </w:r>
            <w:r w:rsidR="00931E63">
              <w:rPr>
                <w:noProof/>
                <w:webHidden/>
              </w:rPr>
              <w:fldChar w:fldCharType="separate"/>
            </w:r>
            <w:r w:rsidR="00654B26">
              <w:rPr>
                <w:noProof/>
                <w:webHidden/>
              </w:rPr>
              <w:t>12</w:t>
            </w:r>
            <w:r w:rsidR="00931E63">
              <w:rPr>
                <w:noProof/>
                <w:webHidden/>
              </w:rPr>
              <w:fldChar w:fldCharType="end"/>
            </w:r>
          </w:hyperlink>
        </w:p>
        <w:p w14:paraId="15CBE862" w14:textId="1BBD2E92" w:rsidR="00931E63" w:rsidRDefault="006355AF">
          <w:pPr>
            <w:pStyle w:val="TOC2"/>
            <w:rPr>
              <w:rFonts w:eastAsiaTheme="minorEastAsia"/>
              <w:noProof/>
              <w:kern w:val="2"/>
              <w:lang w:eastAsia="en-AU"/>
              <w14:ligatures w14:val="standardContextual"/>
            </w:rPr>
          </w:pPr>
          <w:hyperlink w:anchor="_Toc145573531" w:history="1">
            <w:r w:rsidR="00931E63" w:rsidRPr="008D542C">
              <w:rPr>
                <w:rStyle w:val="Hyperlink"/>
                <w:noProof/>
              </w:rPr>
              <w:t xml:space="preserve">Option 1: </w:t>
            </w:r>
            <w:r w:rsidR="00931E63" w:rsidRPr="008D542C">
              <w:rPr>
                <w:rStyle w:val="Hyperlink"/>
                <w:noProof/>
                <w:lang w:val="en-GB"/>
              </w:rPr>
              <w:t>Prohibition on the use of engineered stone</w:t>
            </w:r>
            <w:r w:rsidR="00931E63">
              <w:rPr>
                <w:noProof/>
                <w:webHidden/>
              </w:rPr>
              <w:tab/>
            </w:r>
            <w:r w:rsidR="00931E63">
              <w:rPr>
                <w:noProof/>
                <w:webHidden/>
              </w:rPr>
              <w:fldChar w:fldCharType="begin"/>
            </w:r>
            <w:r w:rsidR="00931E63">
              <w:rPr>
                <w:noProof/>
                <w:webHidden/>
              </w:rPr>
              <w:instrText xml:space="preserve"> PAGEREF _Toc145573531 \h </w:instrText>
            </w:r>
            <w:r w:rsidR="00931E63">
              <w:rPr>
                <w:noProof/>
                <w:webHidden/>
              </w:rPr>
            </w:r>
            <w:r w:rsidR="00931E63">
              <w:rPr>
                <w:noProof/>
                <w:webHidden/>
              </w:rPr>
              <w:fldChar w:fldCharType="separate"/>
            </w:r>
            <w:r w:rsidR="00654B26">
              <w:rPr>
                <w:noProof/>
                <w:webHidden/>
              </w:rPr>
              <w:t>13</w:t>
            </w:r>
            <w:r w:rsidR="00931E63">
              <w:rPr>
                <w:noProof/>
                <w:webHidden/>
              </w:rPr>
              <w:fldChar w:fldCharType="end"/>
            </w:r>
          </w:hyperlink>
        </w:p>
        <w:p w14:paraId="4A9EAEE6" w14:textId="6154CB84" w:rsidR="00931E63" w:rsidRDefault="006355AF">
          <w:pPr>
            <w:pStyle w:val="TOC3"/>
            <w:rPr>
              <w:rFonts w:eastAsiaTheme="minorEastAsia"/>
              <w:noProof/>
              <w:kern w:val="2"/>
              <w:lang w:eastAsia="en-AU"/>
              <w14:ligatures w14:val="standardContextual"/>
            </w:rPr>
          </w:pPr>
          <w:hyperlink w:anchor="_Toc145573532" w:history="1">
            <w:r w:rsidR="00931E63" w:rsidRPr="008D542C">
              <w:rPr>
                <w:rStyle w:val="Hyperlink"/>
                <w:noProof/>
              </w:rPr>
              <w:t>For businesses</w:t>
            </w:r>
            <w:r w:rsidR="00931E63">
              <w:rPr>
                <w:noProof/>
                <w:webHidden/>
              </w:rPr>
              <w:tab/>
            </w:r>
            <w:r w:rsidR="00931E63">
              <w:rPr>
                <w:noProof/>
                <w:webHidden/>
              </w:rPr>
              <w:fldChar w:fldCharType="begin"/>
            </w:r>
            <w:r w:rsidR="00931E63">
              <w:rPr>
                <w:noProof/>
                <w:webHidden/>
              </w:rPr>
              <w:instrText xml:space="preserve"> PAGEREF _Toc145573532 \h </w:instrText>
            </w:r>
            <w:r w:rsidR="00931E63">
              <w:rPr>
                <w:noProof/>
                <w:webHidden/>
              </w:rPr>
            </w:r>
            <w:r w:rsidR="00931E63">
              <w:rPr>
                <w:noProof/>
                <w:webHidden/>
              </w:rPr>
              <w:fldChar w:fldCharType="separate"/>
            </w:r>
            <w:r w:rsidR="00654B26">
              <w:rPr>
                <w:noProof/>
                <w:webHidden/>
              </w:rPr>
              <w:t>13</w:t>
            </w:r>
            <w:r w:rsidR="00931E63">
              <w:rPr>
                <w:noProof/>
                <w:webHidden/>
              </w:rPr>
              <w:fldChar w:fldCharType="end"/>
            </w:r>
          </w:hyperlink>
        </w:p>
        <w:p w14:paraId="44A88958" w14:textId="48865B9B" w:rsidR="00931E63" w:rsidRDefault="006355AF">
          <w:pPr>
            <w:pStyle w:val="TOC3"/>
            <w:rPr>
              <w:rFonts w:eastAsiaTheme="minorEastAsia"/>
              <w:noProof/>
              <w:kern w:val="2"/>
              <w:lang w:eastAsia="en-AU"/>
              <w14:ligatures w14:val="standardContextual"/>
            </w:rPr>
          </w:pPr>
          <w:hyperlink w:anchor="_Toc145573533" w:history="1">
            <w:r w:rsidR="00931E63" w:rsidRPr="008D542C">
              <w:rPr>
                <w:rStyle w:val="Hyperlink"/>
                <w:noProof/>
              </w:rPr>
              <w:t>For workers</w:t>
            </w:r>
            <w:r w:rsidR="00931E63">
              <w:rPr>
                <w:noProof/>
                <w:webHidden/>
              </w:rPr>
              <w:tab/>
            </w:r>
            <w:r w:rsidR="00931E63">
              <w:rPr>
                <w:noProof/>
                <w:webHidden/>
              </w:rPr>
              <w:fldChar w:fldCharType="begin"/>
            </w:r>
            <w:r w:rsidR="00931E63">
              <w:rPr>
                <w:noProof/>
                <w:webHidden/>
              </w:rPr>
              <w:instrText xml:space="preserve"> PAGEREF _Toc145573533 \h </w:instrText>
            </w:r>
            <w:r w:rsidR="00931E63">
              <w:rPr>
                <w:noProof/>
                <w:webHidden/>
              </w:rPr>
            </w:r>
            <w:r w:rsidR="00931E63">
              <w:rPr>
                <w:noProof/>
                <w:webHidden/>
              </w:rPr>
              <w:fldChar w:fldCharType="separate"/>
            </w:r>
            <w:r w:rsidR="00654B26">
              <w:rPr>
                <w:noProof/>
                <w:webHidden/>
              </w:rPr>
              <w:t>15</w:t>
            </w:r>
            <w:r w:rsidR="00931E63">
              <w:rPr>
                <w:noProof/>
                <w:webHidden/>
              </w:rPr>
              <w:fldChar w:fldCharType="end"/>
            </w:r>
          </w:hyperlink>
        </w:p>
        <w:p w14:paraId="10A9BC01" w14:textId="5C9B1A67" w:rsidR="00931E63" w:rsidRDefault="006355AF">
          <w:pPr>
            <w:pStyle w:val="TOC3"/>
            <w:rPr>
              <w:rFonts w:eastAsiaTheme="minorEastAsia"/>
              <w:noProof/>
              <w:kern w:val="2"/>
              <w:lang w:eastAsia="en-AU"/>
              <w14:ligatures w14:val="standardContextual"/>
            </w:rPr>
          </w:pPr>
          <w:hyperlink w:anchor="_Toc145573534" w:history="1">
            <w:r w:rsidR="00931E63" w:rsidRPr="008D542C">
              <w:rPr>
                <w:rStyle w:val="Hyperlink"/>
                <w:noProof/>
              </w:rPr>
              <w:t>For Government</w:t>
            </w:r>
            <w:r w:rsidR="00931E63">
              <w:rPr>
                <w:noProof/>
                <w:webHidden/>
              </w:rPr>
              <w:tab/>
            </w:r>
            <w:r w:rsidR="00931E63">
              <w:rPr>
                <w:noProof/>
                <w:webHidden/>
              </w:rPr>
              <w:fldChar w:fldCharType="begin"/>
            </w:r>
            <w:r w:rsidR="00931E63">
              <w:rPr>
                <w:noProof/>
                <w:webHidden/>
              </w:rPr>
              <w:instrText xml:space="preserve"> PAGEREF _Toc145573534 \h </w:instrText>
            </w:r>
            <w:r w:rsidR="00931E63">
              <w:rPr>
                <w:noProof/>
                <w:webHidden/>
              </w:rPr>
            </w:r>
            <w:r w:rsidR="00931E63">
              <w:rPr>
                <w:noProof/>
                <w:webHidden/>
              </w:rPr>
              <w:fldChar w:fldCharType="separate"/>
            </w:r>
            <w:r w:rsidR="00654B26">
              <w:rPr>
                <w:noProof/>
                <w:webHidden/>
              </w:rPr>
              <w:t>15</w:t>
            </w:r>
            <w:r w:rsidR="00931E63">
              <w:rPr>
                <w:noProof/>
                <w:webHidden/>
              </w:rPr>
              <w:fldChar w:fldCharType="end"/>
            </w:r>
          </w:hyperlink>
        </w:p>
        <w:p w14:paraId="5A9E2D55" w14:textId="472C4DA1" w:rsidR="00931E63" w:rsidRDefault="006355AF">
          <w:pPr>
            <w:pStyle w:val="TOC2"/>
            <w:rPr>
              <w:rFonts w:eastAsiaTheme="minorEastAsia"/>
              <w:noProof/>
              <w:kern w:val="2"/>
              <w:lang w:eastAsia="en-AU"/>
              <w14:ligatures w14:val="standardContextual"/>
            </w:rPr>
          </w:pPr>
          <w:hyperlink w:anchor="_Toc145573535" w:history="1">
            <w:r w:rsidR="00931E63" w:rsidRPr="008D542C">
              <w:rPr>
                <w:rStyle w:val="Hyperlink"/>
                <w:noProof/>
              </w:rPr>
              <w:t xml:space="preserve">Option 2: </w:t>
            </w:r>
            <w:r w:rsidR="00931E63" w:rsidRPr="008D542C">
              <w:rPr>
                <w:rStyle w:val="Hyperlink"/>
                <w:noProof/>
                <w:lang w:val="en-GB"/>
              </w:rPr>
              <w:t xml:space="preserve">Prohibition on the use of engineered stone </w:t>
            </w:r>
            <w:r w:rsidR="00931E63" w:rsidRPr="008D542C">
              <w:rPr>
                <w:rStyle w:val="Hyperlink"/>
                <w:noProof/>
              </w:rPr>
              <w:t xml:space="preserve">with complementary border measures </w:t>
            </w:r>
            <w:r w:rsidR="00931E63" w:rsidRPr="008D542C">
              <w:rPr>
                <w:rStyle w:val="Hyperlink"/>
                <w:noProof/>
                <w:lang w:val="en-GB"/>
              </w:rPr>
              <w:t>(preferred)</w:t>
            </w:r>
            <w:r w:rsidR="00931E63">
              <w:rPr>
                <w:noProof/>
                <w:webHidden/>
              </w:rPr>
              <w:tab/>
            </w:r>
            <w:r w:rsidR="00931E63">
              <w:rPr>
                <w:noProof/>
                <w:webHidden/>
              </w:rPr>
              <w:fldChar w:fldCharType="begin"/>
            </w:r>
            <w:r w:rsidR="00931E63">
              <w:rPr>
                <w:noProof/>
                <w:webHidden/>
              </w:rPr>
              <w:instrText xml:space="preserve"> PAGEREF _Toc145573535 \h </w:instrText>
            </w:r>
            <w:r w:rsidR="00931E63">
              <w:rPr>
                <w:noProof/>
                <w:webHidden/>
              </w:rPr>
            </w:r>
            <w:r w:rsidR="00931E63">
              <w:rPr>
                <w:noProof/>
                <w:webHidden/>
              </w:rPr>
              <w:fldChar w:fldCharType="separate"/>
            </w:r>
            <w:r w:rsidR="00654B26">
              <w:rPr>
                <w:noProof/>
                <w:webHidden/>
              </w:rPr>
              <w:t>16</w:t>
            </w:r>
            <w:r w:rsidR="00931E63">
              <w:rPr>
                <w:noProof/>
                <w:webHidden/>
              </w:rPr>
              <w:fldChar w:fldCharType="end"/>
            </w:r>
          </w:hyperlink>
        </w:p>
        <w:p w14:paraId="013DEDD9" w14:textId="7D8237FA" w:rsidR="00931E63" w:rsidRDefault="006355AF">
          <w:pPr>
            <w:pStyle w:val="TOC3"/>
            <w:rPr>
              <w:rFonts w:eastAsiaTheme="minorEastAsia"/>
              <w:noProof/>
              <w:kern w:val="2"/>
              <w:lang w:eastAsia="en-AU"/>
              <w14:ligatures w14:val="standardContextual"/>
            </w:rPr>
          </w:pPr>
          <w:hyperlink w:anchor="_Toc145573536" w:history="1">
            <w:r w:rsidR="00931E63" w:rsidRPr="008D542C">
              <w:rPr>
                <w:rStyle w:val="Hyperlink"/>
                <w:noProof/>
              </w:rPr>
              <w:t>For businesses</w:t>
            </w:r>
            <w:r w:rsidR="00931E63">
              <w:rPr>
                <w:noProof/>
                <w:webHidden/>
              </w:rPr>
              <w:tab/>
            </w:r>
            <w:r w:rsidR="00931E63">
              <w:rPr>
                <w:noProof/>
                <w:webHidden/>
              </w:rPr>
              <w:fldChar w:fldCharType="begin"/>
            </w:r>
            <w:r w:rsidR="00931E63">
              <w:rPr>
                <w:noProof/>
                <w:webHidden/>
              </w:rPr>
              <w:instrText xml:space="preserve"> PAGEREF _Toc145573536 \h </w:instrText>
            </w:r>
            <w:r w:rsidR="00931E63">
              <w:rPr>
                <w:noProof/>
                <w:webHidden/>
              </w:rPr>
            </w:r>
            <w:r w:rsidR="00931E63">
              <w:rPr>
                <w:noProof/>
                <w:webHidden/>
              </w:rPr>
              <w:fldChar w:fldCharType="separate"/>
            </w:r>
            <w:r w:rsidR="00654B26">
              <w:rPr>
                <w:noProof/>
                <w:webHidden/>
              </w:rPr>
              <w:t>16</w:t>
            </w:r>
            <w:r w:rsidR="00931E63">
              <w:rPr>
                <w:noProof/>
                <w:webHidden/>
              </w:rPr>
              <w:fldChar w:fldCharType="end"/>
            </w:r>
          </w:hyperlink>
        </w:p>
        <w:p w14:paraId="3FDA5AC0" w14:textId="32944E87" w:rsidR="00931E63" w:rsidRDefault="006355AF">
          <w:pPr>
            <w:pStyle w:val="TOC3"/>
            <w:rPr>
              <w:rFonts w:eastAsiaTheme="minorEastAsia"/>
              <w:noProof/>
              <w:kern w:val="2"/>
              <w:lang w:eastAsia="en-AU"/>
              <w14:ligatures w14:val="standardContextual"/>
            </w:rPr>
          </w:pPr>
          <w:hyperlink w:anchor="_Toc145573537" w:history="1">
            <w:r w:rsidR="00931E63" w:rsidRPr="008D542C">
              <w:rPr>
                <w:rStyle w:val="Hyperlink"/>
                <w:noProof/>
              </w:rPr>
              <w:t>For workers</w:t>
            </w:r>
            <w:r w:rsidR="00931E63">
              <w:rPr>
                <w:noProof/>
                <w:webHidden/>
              </w:rPr>
              <w:tab/>
            </w:r>
            <w:r w:rsidR="00931E63">
              <w:rPr>
                <w:noProof/>
                <w:webHidden/>
              </w:rPr>
              <w:fldChar w:fldCharType="begin"/>
            </w:r>
            <w:r w:rsidR="00931E63">
              <w:rPr>
                <w:noProof/>
                <w:webHidden/>
              </w:rPr>
              <w:instrText xml:space="preserve"> PAGEREF _Toc145573537 \h </w:instrText>
            </w:r>
            <w:r w:rsidR="00931E63">
              <w:rPr>
                <w:noProof/>
                <w:webHidden/>
              </w:rPr>
            </w:r>
            <w:r w:rsidR="00931E63">
              <w:rPr>
                <w:noProof/>
                <w:webHidden/>
              </w:rPr>
              <w:fldChar w:fldCharType="separate"/>
            </w:r>
            <w:r w:rsidR="00654B26">
              <w:rPr>
                <w:noProof/>
                <w:webHidden/>
              </w:rPr>
              <w:t>17</w:t>
            </w:r>
            <w:r w:rsidR="00931E63">
              <w:rPr>
                <w:noProof/>
                <w:webHidden/>
              </w:rPr>
              <w:fldChar w:fldCharType="end"/>
            </w:r>
          </w:hyperlink>
        </w:p>
        <w:p w14:paraId="36D84514" w14:textId="45858E06" w:rsidR="00931E63" w:rsidRDefault="006355AF">
          <w:pPr>
            <w:pStyle w:val="TOC3"/>
            <w:rPr>
              <w:rFonts w:eastAsiaTheme="minorEastAsia"/>
              <w:noProof/>
              <w:kern w:val="2"/>
              <w:lang w:eastAsia="en-AU"/>
              <w14:ligatures w14:val="standardContextual"/>
            </w:rPr>
          </w:pPr>
          <w:hyperlink w:anchor="_Toc145573538" w:history="1">
            <w:r w:rsidR="00931E63" w:rsidRPr="008D542C">
              <w:rPr>
                <w:rStyle w:val="Hyperlink"/>
                <w:noProof/>
              </w:rPr>
              <w:t>For Government</w:t>
            </w:r>
            <w:r w:rsidR="00931E63">
              <w:rPr>
                <w:noProof/>
                <w:webHidden/>
              </w:rPr>
              <w:tab/>
            </w:r>
            <w:r w:rsidR="00931E63">
              <w:rPr>
                <w:noProof/>
                <w:webHidden/>
              </w:rPr>
              <w:fldChar w:fldCharType="begin"/>
            </w:r>
            <w:r w:rsidR="00931E63">
              <w:rPr>
                <w:noProof/>
                <w:webHidden/>
              </w:rPr>
              <w:instrText xml:space="preserve"> PAGEREF _Toc145573538 \h </w:instrText>
            </w:r>
            <w:r w:rsidR="00931E63">
              <w:rPr>
                <w:noProof/>
                <w:webHidden/>
              </w:rPr>
            </w:r>
            <w:r w:rsidR="00931E63">
              <w:rPr>
                <w:noProof/>
                <w:webHidden/>
              </w:rPr>
              <w:fldChar w:fldCharType="separate"/>
            </w:r>
            <w:r w:rsidR="00654B26">
              <w:rPr>
                <w:noProof/>
                <w:webHidden/>
              </w:rPr>
              <w:t>17</w:t>
            </w:r>
            <w:r w:rsidR="00931E63">
              <w:rPr>
                <w:noProof/>
                <w:webHidden/>
              </w:rPr>
              <w:fldChar w:fldCharType="end"/>
            </w:r>
          </w:hyperlink>
        </w:p>
        <w:p w14:paraId="21DEE097" w14:textId="1A86D7C5" w:rsidR="00931E63" w:rsidRDefault="006355AF">
          <w:pPr>
            <w:pStyle w:val="TOC2"/>
            <w:rPr>
              <w:rFonts w:eastAsiaTheme="minorEastAsia"/>
              <w:noProof/>
              <w:kern w:val="2"/>
              <w:lang w:eastAsia="en-AU"/>
              <w14:ligatures w14:val="standardContextual"/>
            </w:rPr>
          </w:pPr>
          <w:hyperlink w:anchor="_Toc145573539" w:history="1">
            <w:r w:rsidR="00931E63" w:rsidRPr="008D542C">
              <w:rPr>
                <w:rStyle w:val="Hyperlink"/>
                <w:noProof/>
              </w:rPr>
              <w:t>Option 3: Status Quo</w:t>
            </w:r>
            <w:r w:rsidR="00931E63">
              <w:rPr>
                <w:noProof/>
                <w:webHidden/>
              </w:rPr>
              <w:tab/>
            </w:r>
            <w:r w:rsidR="00931E63">
              <w:rPr>
                <w:noProof/>
                <w:webHidden/>
              </w:rPr>
              <w:fldChar w:fldCharType="begin"/>
            </w:r>
            <w:r w:rsidR="00931E63">
              <w:rPr>
                <w:noProof/>
                <w:webHidden/>
              </w:rPr>
              <w:instrText xml:space="preserve"> PAGEREF _Toc145573539 \h </w:instrText>
            </w:r>
            <w:r w:rsidR="00931E63">
              <w:rPr>
                <w:noProof/>
                <w:webHidden/>
              </w:rPr>
            </w:r>
            <w:r w:rsidR="00931E63">
              <w:rPr>
                <w:noProof/>
                <w:webHidden/>
              </w:rPr>
              <w:fldChar w:fldCharType="separate"/>
            </w:r>
            <w:r w:rsidR="00654B26">
              <w:rPr>
                <w:noProof/>
                <w:webHidden/>
              </w:rPr>
              <w:t>17</w:t>
            </w:r>
            <w:r w:rsidR="00931E63">
              <w:rPr>
                <w:noProof/>
                <w:webHidden/>
              </w:rPr>
              <w:fldChar w:fldCharType="end"/>
            </w:r>
          </w:hyperlink>
        </w:p>
        <w:p w14:paraId="7E5ACFE7" w14:textId="06ABC4B9" w:rsidR="00931E63" w:rsidRDefault="006355AF">
          <w:pPr>
            <w:pStyle w:val="TOC3"/>
            <w:rPr>
              <w:rFonts w:eastAsiaTheme="minorEastAsia"/>
              <w:noProof/>
              <w:kern w:val="2"/>
              <w:lang w:eastAsia="en-AU"/>
              <w14:ligatures w14:val="standardContextual"/>
            </w:rPr>
          </w:pPr>
          <w:hyperlink w:anchor="_Toc145573540" w:history="1">
            <w:r w:rsidR="00931E63" w:rsidRPr="008D542C">
              <w:rPr>
                <w:rStyle w:val="Hyperlink"/>
                <w:noProof/>
              </w:rPr>
              <w:t>For businesses</w:t>
            </w:r>
            <w:r w:rsidR="00931E63">
              <w:rPr>
                <w:noProof/>
                <w:webHidden/>
              </w:rPr>
              <w:tab/>
            </w:r>
            <w:r w:rsidR="00931E63">
              <w:rPr>
                <w:noProof/>
                <w:webHidden/>
              </w:rPr>
              <w:fldChar w:fldCharType="begin"/>
            </w:r>
            <w:r w:rsidR="00931E63">
              <w:rPr>
                <w:noProof/>
                <w:webHidden/>
              </w:rPr>
              <w:instrText xml:space="preserve"> PAGEREF _Toc145573540 \h </w:instrText>
            </w:r>
            <w:r w:rsidR="00931E63">
              <w:rPr>
                <w:noProof/>
                <w:webHidden/>
              </w:rPr>
            </w:r>
            <w:r w:rsidR="00931E63">
              <w:rPr>
                <w:noProof/>
                <w:webHidden/>
              </w:rPr>
              <w:fldChar w:fldCharType="separate"/>
            </w:r>
            <w:r w:rsidR="00654B26">
              <w:rPr>
                <w:noProof/>
                <w:webHidden/>
              </w:rPr>
              <w:t>17</w:t>
            </w:r>
            <w:r w:rsidR="00931E63">
              <w:rPr>
                <w:noProof/>
                <w:webHidden/>
              </w:rPr>
              <w:fldChar w:fldCharType="end"/>
            </w:r>
          </w:hyperlink>
        </w:p>
        <w:p w14:paraId="7CE6C2F5" w14:textId="445A899F" w:rsidR="00931E63" w:rsidRDefault="006355AF">
          <w:pPr>
            <w:pStyle w:val="TOC3"/>
            <w:rPr>
              <w:rFonts w:eastAsiaTheme="minorEastAsia"/>
              <w:noProof/>
              <w:kern w:val="2"/>
              <w:lang w:eastAsia="en-AU"/>
              <w14:ligatures w14:val="standardContextual"/>
            </w:rPr>
          </w:pPr>
          <w:hyperlink w:anchor="_Toc145573541" w:history="1">
            <w:r w:rsidR="00931E63" w:rsidRPr="008D542C">
              <w:rPr>
                <w:rStyle w:val="Hyperlink"/>
                <w:noProof/>
              </w:rPr>
              <w:t>For workers</w:t>
            </w:r>
            <w:r w:rsidR="00931E63">
              <w:rPr>
                <w:noProof/>
                <w:webHidden/>
              </w:rPr>
              <w:tab/>
            </w:r>
            <w:r w:rsidR="00931E63">
              <w:rPr>
                <w:noProof/>
                <w:webHidden/>
              </w:rPr>
              <w:fldChar w:fldCharType="begin"/>
            </w:r>
            <w:r w:rsidR="00931E63">
              <w:rPr>
                <w:noProof/>
                <w:webHidden/>
              </w:rPr>
              <w:instrText xml:space="preserve"> PAGEREF _Toc145573541 \h </w:instrText>
            </w:r>
            <w:r w:rsidR="00931E63">
              <w:rPr>
                <w:noProof/>
                <w:webHidden/>
              </w:rPr>
            </w:r>
            <w:r w:rsidR="00931E63">
              <w:rPr>
                <w:noProof/>
                <w:webHidden/>
              </w:rPr>
              <w:fldChar w:fldCharType="separate"/>
            </w:r>
            <w:r w:rsidR="00654B26">
              <w:rPr>
                <w:noProof/>
                <w:webHidden/>
              </w:rPr>
              <w:t>17</w:t>
            </w:r>
            <w:r w:rsidR="00931E63">
              <w:rPr>
                <w:noProof/>
                <w:webHidden/>
              </w:rPr>
              <w:fldChar w:fldCharType="end"/>
            </w:r>
          </w:hyperlink>
        </w:p>
        <w:p w14:paraId="3BD21C87" w14:textId="22B58BBD" w:rsidR="00931E63" w:rsidRDefault="006355AF">
          <w:pPr>
            <w:pStyle w:val="TOC3"/>
            <w:rPr>
              <w:rFonts w:eastAsiaTheme="minorEastAsia"/>
              <w:noProof/>
              <w:kern w:val="2"/>
              <w:lang w:eastAsia="en-AU"/>
              <w14:ligatures w14:val="standardContextual"/>
            </w:rPr>
          </w:pPr>
          <w:hyperlink w:anchor="_Toc145573542" w:history="1">
            <w:r w:rsidR="00931E63" w:rsidRPr="008D542C">
              <w:rPr>
                <w:rStyle w:val="Hyperlink"/>
                <w:noProof/>
              </w:rPr>
              <w:t>For Government</w:t>
            </w:r>
            <w:r w:rsidR="00931E63">
              <w:rPr>
                <w:noProof/>
                <w:webHidden/>
              </w:rPr>
              <w:tab/>
            </w:r>
            <w:r w:rsidR="00931E63">
              <w:rPr>
                <w:noProof/>
                <w:webHidden/>
              </w:rPr>
              <w:fldChar w:fldCharType="begin"/>
            </w:r>
            <w:r w:rsidR="00931E63">
              <w:rPr>
                <w:noProof/>
                <w:webHidden/>
              </w:rPr>
              <w:instrText xml:space="preserve"> PAGEREF _Toc145573542 \h </w:instrText>
            </w:r>
            <w:r w:rsidR="00931E63">
              <w:rPr>
                <w:noProof/>
                <w:webHidden/>
              </w:rPr>
            </w:r>
            <w:r w:rsidR="00931E63">
              <w:rPr>
                <w:noProof/>
                <w:webHidden/>
              </w:rPr>
              <w:fldChar w:fldCharType="separate"/>
            </w:r>
            <w:r w:rsidR="00654B26">
              <w:rPr>
                <w:noProof/>
                <w:webHidden/>
              </w:rPr>
              <w:t>18</w:t>
            </w:r>
            <w:r w:rsidR="00931E63">
              <w:rPr>
                <w:noProof/>
                <w:webHidden/>
              </w:rPr>
              <w:fldChar w:fldCharType="end"/>
            </w:r>
          </w:hyperlink>
        </w:p>
        <w:p w14:paraId="069D33B3" w14:textId="116D2EB2" w:rsidR="00931E63" w:rsidRDefault="006355AF">
          <w:pPr>
            <w:pStyle w:val="TOC1"/>
            <w:rPr>
              <w:rFonts w:eastAsiaTheme="minorEastAsia"/>
              <w:b w:val="0"/>
              <w:noProof/>
              <w:kern w:val="2"/>
              <w:lang w:eastAsia="en-AU"/>
              <w14:ligatures w14:val="standardContextual"/>
            </w:rPr>
          </w:pPr>
          <w:hyperlink w:anchor="_Toc145573543" w:history="1">
            <w:r w:rsidR="00931E63" w:rsidRPr="008D542C">
              <w:rPr>
                <w:rStyle w:val="Hyperlink"/>
                <w:noProof/>
              </w:rPr>
              <w:t>5.  Who did you consult and how did you incorporate their feedback?</w:t>
            </w:r>
            <w:r w:rsidR="00931E63">
              <w:rPr>
                <w:noProof/>
                <w:webHidden/>
              </w:rPr>
              <w:tab/>
            </w:r>
            <w:r w:rsidR="00931E63">
              <w:rPr>
                <w:noProof/>
                <w:webHidden/>
              </w:rPr>
              <w:fldChar w:fldCharType="begin"/>
            </w:r>
            <w:r w:rsidR="00931E63">
              <w:rPr>
                <w:noProof/>
                <w:webHidden/>
              </w:rPr>
              <w:instrText xml:space="preserve"> PAGEREF _Toc145573543 \h </w:instrText>
            </w:r>
            <w:r w:rsidR="00931E63">
              <w:rPr>
                <w:noProof/>
                <w:webHidden/>
              </w:rPr>
            </w:r>
            <w:r w:rsidR="00931E63">
              <w:rPr>
                <w:noProof/>
                <w:webHidden/>
              </w:rPr>
              <w:fldChar w:fldCharType="separate"/>
            </w:r>
            <w:r w:rsidR="00654B26">
              <w:rPr>
                <w:noProof/>
                <w:webHidden/>
              </w:rPr>
              <w:t>18</w:t>
            </w:r>
            <w:r w:rsidR="00931E63">
              <w:rPr>
                <w:noProof/>
                <w:webHidden/>
              </w:rPr>
              <w:fldChar w:fldCharType="end"/>
            </w:r>
          </w:hyperlink>
        </w:p>
        <w:p w14:paraId="57D50689" w14:textId="6B9CFCC4" w:rsidR="00931E63" w:rsidRDefault="006355AF">
          <w:pPr>
            <w:pStyle w:val="TOC2"/>
            <w:rPr>
              <w:rFonts w:eastAsiaTheme="minorEastAsia"/>
              <w:noProof/>
              <w:kern w:val="2"/>
              <w:lang w:eastAsia="en-AU"/>
              <w14:ligatures w14:val="standardContextual"/>
            </w:rPr>
          </w:pPr>
          <w:hyperlink w:anchor="_Toc145573544" w:history="1">
            <w:r w:rsidR="00931E63" w:rsidRPr="008D542C">
              <w:rPr>
                <w:rStyle w:val="Hyperlink"/>
                <w:noProof/>
              </w:rPr>
              <w:t>The Consultation Regulation Impact Statement: Managing the risks of respirable crystalline silica at work</w:t>
            </w:r>
            <w:r w:rsidR="00931E63">
              <w:rPr>
                <w:noProof/>
                <w:webHidden/>
              </w:rPr>
              <w:tab/>
            </w:r>
            <w:r w:rsidR="00931E63">
              <w:rPr>
                <w:noProof/>
                <w:webHidden/>
              </w:rPr>
              <w:fldChar w:fldCharType="begin"/>
            </w:r>
            <w:r w:rsidR="00931E63">
              <w:rPr>
                <w:noProof/>
                <w:webHidden/>
              </w:rPr>
              <w:instrText xml:space="preserve"> PAGEREF _Toc145573544 \h </w:instrText>
            </w:r>
            <w:r w:rsidR="00931E63">
              <w:rPr>
                <w:noProof/>
                <w:webHidden/>
              </w:rPr>
            </w:r>
            <w:r w:rsidR="00931E63">
              <w:rPr>
                <w:noProof/>
                <w:webHidden/>
              </w:rPr>
              <w:fldChar w:fldCharType="separate"/>
            </w:r>
            <w:r w:rsidR="00654B26">
              <w:rPr>
                <w:noProof/>
                <w:webHidden/>
              </w:rPr>
              <w:t>18</w:t>
            </w:r>
            <w:r w:rsidR="00931E63">
              <w:rPr>
                <w:noProof/>
                <w:webHidden/>
              </w:rPr>
              <w:fldChar w:fldCharType="end"/>
            </w:r>
          </w:hyperlink>
        </w:p>
        <w:p w14:paraId="22688B91" w14:textId="29E35DCF" w:rsidR="00931E63" w:rsidRDefault="006355AF">
          <w:pPr>
            <w:pStyle w:val="TOC3"/>
            <w:rPr>
              <w:rFonts w:eastAsiaTheme="minorEastAsia"/>
              <w:noProof/>
              <w:kern w:val="2"/>
              <w:lang w:eastAsia="en-AU"/>
              <w14:ligatures w14:val="standardContextual"/>
            </w:rPr>
          </w:pPr>
          <w:hyperlink w:anchor="_Toc145573545" w:history="1">
            <w:r w:rsidR="00931E63" w:rsidRPr="008D542C">
              <w:rPr>
                <w:rStyle w:val="Hyperlink"/>
                <w:noProof/>
              </w:rPr>
              <w:t>Preliminary consultation</w:t>
            </w:r>
            <w:r w:rsidR="00931E63">
              <w:rPr>
                <w:noProof/>
                <w:webHidden/>
              </w:rPr>
              <w:tab/>
            </w:r>
            <w:r w:rsidR="00931E63">
              <w:rPr>
                <w:noProof/>
                <w:webHidden/>
              </w:rPr>
              <w:fldChar w:fldCharType="begin"/>
            </w:r>
            <w:r w:rsidR="00931E63">
              <w:rPr>
                <w:noProof/>
                <w:webHidden/>
              </w:rPr>
              <w:instrText xml:space="preserve"> PAGEREF _Toc145573545 \h </w:instrText>
            </w:r>
            <w:r w:rsidR="00931E63">
              <w:rPr>
                <w:noProof/>
                <w:webHidden/>
              </w:rPr>
            </w:r>
            <w:r w:rsidR="00931E63">
              <w:rPr>
                <w:noProof/>
                <w:webHidden/>
              </w:rPr>
              <w:fldChar w:fldCharType="separate"/>
            </w:r>
            <w:r w:rsidR="00654B26">
              <w:rPr>
                <w:noProof/>
                <w:webHidden/>
              </w:rPr>
              <w:t>18</w:t>
            </w:r>
            <w:r w:rsidR="00931E63">
              <w:rPr>
                <w:noProof/>
                <w:webHidden/>
              </w:rPr>
              <w:fldChar w:fldCharType="end"/>
            </w:r>
          </w:hyperlink>
        </w:p>
        <w:p w14:paraId="1FBEEC54" w14:textId="1C6E2587" w:rsidR="00931E63" w:rsidRDefault="006355AF">
          <w:pPr>
            <w:pStyle w:val="TOC3"/>
            <w:rPr>
              <w:rFonts w:eastAsiaTheme="minorEastAsia"/>
              <w:noProof/>
              <w:kern w:val="2"/>
              <w:lang w:eastAsia="en-AU"/>
              <w14:ligatures w14:val="standardContextual"/>
            </w:rPr>
          </w:pPr>
          <w:hyperlink w:anchor="_Toc145573546" w:history="1">
            <w:r w:rsidR="00931E63" w:rsidRPr="008D542C">
              <w:rPr>
                <w:rStyle w:val="Hyperlink"/>
                <w:noProof/>
              </w:rPr>
              <w:t>Public consultation</w:t>
            </w:r>
            <w:r w:rsidR="00931E63">
              <w:rPr>
                <w:noProof/>
                <w:webHidden/>
              </w:rPr>
              <w:tab/>
            </w:r>
            <w:r w:rsidR="00931E63">
              <w:rPr>
                <w:noProof/>
                <w:webHidden/>
              </w:rPr>
              <w:fldChar w:fldCharType="begin"/>
            </w:r>
            <w:r w:rsidR="00931E63">
              <w:rPr>
                <w:noProof/>
                <w:webHidden/>
              </w:rPr>
              <w:instrText xml:space="preserve"> PAGEREF _Toc145573546 \h </w:instrText>
            </w:r>
            <w:r w:rsidR="00931E63">
              <w:rPr>
                <w:noProof/>
                <w:webHidden/>
              </w:rPr>
            </w:r>
            <w:r w:rsidR="00931E63">
              <w:rPr>
                <w:noProof/>
                <w:webHidden/>
              </w:rPr>
              <w:fldChar w:fldCharType="separate"/>
            </w:r>
            <w:r w:rsidR="00654B26">
              <w:rPr>
                <w:noProof/>
                <w:webHidden/>
              </w:rPr>
              <w:t>18</w:t>
            </w:r>
            <w:r w:rsidR="00931E63">
              <w:rPr>
                <w:noProof/>
                <w:webHidden/>
              </w:rPr>
              <w:fldChar w:fldCharType="end"/>
            </w:r>
          </w:hyperlink>
        </w:p>
        <w:p w14:paraId="7A7D2442" w14:textId="1B5D8EB7" w:rsidR="00931E63" w:rsidRDefault="006355AF">
          <w:pPr>
            <w:pStyle w:val="TOC2"/>
            <w:rPr>
              <w:rFonts w:eastAsiaTheme="minorEastAsia"/>
              <w:noProof/>
              <w:kern w:val="2"/>
              <w:lang w:eastAsia="en-AU"/>
              <w14:ligatures w14:val="standardContextual"/>
            </w:rPr>
          </w:pPr>
          <w:hyperlink w:anchor="_Toc145573547" w:history="1">
            <w:r w:rsidR="00931E63" w:rsidRPr="008D542C">
              <w:rPr>
                <w:rStyle w:val="Hyperlink"/>
                <w:noProof/>
              </w:rPr>
              <w:t>SWA consultation on the prohibition on the use of engineered stone</w:t>
            </w:r>
            <w:r w:rsidR="00931E63">
              <w:rPr>
                <w:noProof/>
                <w:webHidden/>
              </w:rPr>
              <w:tab/>
            </w:r>
            <w:r w:rsidR="00931E63">
              <w:rPr>
                <w:noProof/>
                <w:webHidden/>
              </w:rPr>
              <w:fldChar w:fldCharType="begin"/>
            </w:r>
            <w:r w:rsidR="00931E63">
              <w:rPr>
                <w:noProof/>
                <w:webHidden/>
              </w:rPr>
              <w:instrText xml:space="preserve"> PAGEREF _Toc145573547 \h </w:instrText>
            </w:r>
            <w:r w:rsidR="00931E63">
              <w:rPr>
                <w:noProof/>
                <w:webHidden/>
              </w:rPr>
            </w:r>
            <w:r w:rsidR="00931E63">
              <w:rPr>
                <w:noProof/>
                <w:webHidden/>
              </w:rPr>
              <w:fldChar w:fldCharType="separate"/>
            </w:r>
            <w:r w:rsidR="00654B26">
              <w:rPr>
                <w:noProof/>
                <w:webHidden/>
              </w:rPr>
              <w:t>19</w:t>
            </w:r>
            <w:r w:rsidR="00931E63">
              <w:rPr>
                <w:noProof/>
                <w:webHidden/>
              </w:rPr>
              <w:fldChar w:fldCharType="end"/>
            </w:r>
          </w:hyperlink>
        </w:p>
        <w:p w14:paraId="2DE4FEB3" w14:textId="6FB75202" w:rsidR="00931E63" w:rsidRDefault="006355AF">
          <w:pPr>
            <w:pStyle w:val="TOC2"/>
            <w:rPr>
              <w:rFonts w:eastAsiaTheme="minorEastAsia"/>
              <w:noProof/>
              <w:kern w:val="2"/>
              <w:lang w:eastAsia="en-AU"/>
              <w14:ligatures w14:val="standardContextual"/>
            </w:rPr>
          </w:pPr>
          <w:hyperlink w:anchor="_Toc145573548" w:history="1">
            <w:r w:rsidR="00931E63" w:rsidRPr="008D542C">
              <w:rPr>
                <w:rStyle w:val="Hyperlink"/>
                <w:noProof/>
              </w:rPr>
              <w:t>Consultation through the National Dust Disease Taskforce</w:t>
            </w:r>
            <w:r w:rsidR="00931E63">
              <w:rPr>
                <w:noProof/>
                <w:webHidden/>
              </w:rPr>
              <w:tab/>
            </w:r>
            <w:r w:rsidR="00931E63">
              <w:rPr>
                <w:noProof/>
                <w:webHidden/>
              </w:rPr>
              <w:fldChar w:fldCharType="begin"/>
            </w:r>
            <w:r w:rsidR="00931E63">
              <w:rPr>
                <w:noProof/>
                <w:webHidden/>
              </w:rPr>
              <w:instrText xml:space="preserve"> PAGEREF _Toc145573548 \h </w:instrText>
            </w:r>
            <w:r w:rsidR="00931E63">
              <w:rPr>
                <w:noProof/>
                <w:webHidden/>
              </w:rPr>
            </w:r>
            <w:r w:rsidR="00931E63">
              <w:rPr>
                <w:noProof/>
                <w:webHidden/>
              </w:rPr>
              <w:fldChar w:fldCharType="separate"/>
            </w:r>
            <w:r w:rsidR="00654B26">
              <w:rPr>
                <w:noProof/>
                <w:webHidden/>
              </w:rPr>
              <w:t>20</w:t>
            </w:r>
            <w:r w:rsidR="00931E63">
              <w:rPr>
                <w:noProof/>
                <w:webHidden/>
              </w:rPr>
              <w:fldChar w:fldCharType="end"/>
            </w:r>
          </w:hyperlink>
        </w:p>
        <w:p w14:paraId="450BE348" w14:textId="20EF6670" w:rsidR="00931E63" w:rsidRDefault="006355AF">
          <w:pPr>
            <w:pStyle w:val="TOC1"/>
            <w:rPr>
              <w:rFonts w:eastAsiaTheme="minorEastAsia"/>
              <w:b w:val="0"/>
              <w:noProof/>
              <w:kern w:val="2"/>
              <w:lang w:eastAsia="en-AU"/>
              <w14:ligatures w14:val="standardContextual"/>
            </w:rPr>
          </w:pPr>
          <w:hyperlink w:anchor="_Toc145573549" w:history="1">
            <w:r w:rsidR="00931E63" w:rsidRPr="008D542C">
              <w:rPr>
                <w:rStyle w:val="Hyperlink"/>
                <w:noProof/>
              </w:rPr>
              <w:t>6. What is the best option from those you have considered and how will it be implemented?</w:t>
            </w:r>
            <w:r w:rsidR="00931E63">
              <w:rPr>
                <w:noProof/>
                <w:webHidden/>
              </w:rPr>
              <w:tab/>
            </w:r>
            <w:r w:rsidR="00931E63">
              <w:rPr>
                <w:noProof/>
                <w:webHidden/>
              </w:rPr>
              <w:fldChar w:fldCharType="begin"/>
            </w:r>
            <w:r w:rsidR="00931E63">
              <w:rPr>
                <w:noProof/>
                <w:webHidden/>
              </w:rPr>
              <w:instrText xml:space="preserve"> PAGEREF _Toc145573549 \h </w:instrText>
            </w:r>
            <w:r w:rsidR="00931E63">
              <w:rPr>
                <w:noProof/>
                <w:webHidden/>
              </w:rPr>
            </w:r>
            <w:r w:rsidR="00931E63">
              <w:rPr>
                <w:noProof/>
                <w:webHidden/>
              </w:rPr>
              <w:fldChar w:fldCharType="separate"/>
            </w:r>
            <w:r w:rsidR="00654B26">
              <w:rPr>
                <w:noProof/>
                <w:webHidden/>
              </w:rPr>
              <w:t>21</w:t>
            </w:r>
            <w:r w:rsidR="00931E63">
              <w:rPr>
                <w:noProof/>
                <w:webHidden/>
              </w:rPr>
              <w:fldChar w:fldCharType="end"/>
            </w:r>
          </w:hyperlink>
        </w:p>
        <w:p w14:paraId="741B1B38" w14:textId="0EAEE2CC" w:rsidR="00931E63" w:rsidRDefault="006355AF">
          <w:pPr>
            <w:pStyle w:val="TOC1"/>
            <w:rPr>
              <w:rFonts w:eastAsiaTheme="minorEastAsia"/>
              <w:b w:val="0"/>
              <w:noProof/>
              <w:kern w:val="2"/>
              <w:lang w:eastAsia="en-AU"/>
              <w14:ligatures w14:val="standardContextual"/>
            </w:rPr>
          </w:pPr>
          <w:hyperlink w:anchor="_Toc145573550" w:history="1">
            <w:r w:rsidR="00931E63" w:rsidRPr="008D542C">
              <w:rPr>
                <w:rStyle w:val="Hyperlink"/>
                <w:noProof/>
              </w:rPr>
              <w:t>7.  How will you evaluate your chosen option against the success metrics?</w:t>
            </w:r>
            <w:r w:rsidR="00931E63">
              <w:rPr>
                <w:noProof/>
                <w:webHidden/>
              </w:rPr>
              <w:tab/>
            </w:r>
            <w:r w:rsidR="00931E63">
              <w:rPr>
                <w:noProof/>
                <w:webHidden/>
              </w:rPr>
              <w:fldChar w:fldCharType="begin"/>
            </w:r>
            <w:r w:rsidR="00931E63">
              <w:rPr>
                <w:noProof/>
                <w:webHidden/>
              </w:rPr>
              <w:instrText xml:space="preserve"> PAGEREF _Toc145573550 \h </w:instrText>
            </w:r>
            <w:r w:rsidR="00931E63">
              <w:rPr>
                <w:noProof/>
                <w:webHidden/>
              </w:rPr>
            </w:r>
            <w:r w:rsidR="00931E63">
              <w:rPr>
                <w:noProof/>
                <w:webHidden/>
              </w:rPr>
              <w:fldChar w:fldCharType="separate"/>
            </w:r>
            <w:r w:rsidR="00654B26">
              <w:rPr>
                <w:noProof/>
                <w:webHidden/>
              </w:rPr>
              <w:t>22</w:t>
            </w:r>
            <w:r w:rsidR="00931E63">
              <w:rPr>
                <w:noProof/>
                <w:webHidden/>
              </w:rPr>
              <w:fldChar w:fldCharType="end"/>
            </w:r>
          </w:hyperlink>
        </w:p>
        <w:p w14:paraId="4EF019EC" w14:textId="28796CB5" w:rsidR="00931E63" w:rsidRDefault="006355AF">
          <w:pPr>
            <w:pStyle w:val="TOC2"/>
            <w:rPr>
              <w:rFonts w:eastAsiaTheme="minorEastAsia"/>
              <w:noProof/>
              <w:kern w:val="2"/>
              <w:lang w:eastAsia="en-AU"/>
              <w14:ligatures w14:val="standardContextual"/>
            </w:rPr>
          </w:pPr>
          <w:hyperlink w:anchor="_Toc145573551" w:history="1">
            <w:r w:rsidR="00931E63" w:rsidRPr="008D542C">
              <w:rPr>
                <w:rStyle w:val="Hyperlink"/>
                <w:noProof/>
              </w:rPr>
              <w:t>Reducing exposure to RCS in engineered stone workers</w:t>
            </w:r>
            <w:r w:rsidR="00931E63">
              <w:rPr>
                <w:noProof/>
                <w:webHidden/>
              </w:rPr>
              <w:tab/>
            </w:r>
            <w:r w:rsidR="00931E63">
              <w:rPr>
                <w:noProof/>
                <w:webHidden/>
              </w:rPr>
              <w:fldChar w:fldCharType="begin"/>
            </w:r>
            <w:r w:rsidR="00931E63">
              <w:rPr>
                <w:noProof/>
                <w:webHidden/>
              </w:rPr>
              <w:instrText xml:space="preserve"> PAGEREF _Toc145573551 \h </w:instrText>
            </w:r>
            <w:r w:rsidR="00931E63">
              <w:rPr>
                <w:noProof/>
                <w:webHidden/>
              </w:rPr>
            </w:r>
            <w:r w:rsidR="00931E63">
              <w:rPr>
                <w:noProof/>
                <w:webHidden/>
              </w:rPr>
              <w:fldChar w:fldCharType="separate"/>
            </w:r>
            <w:r w:rsidR="00654B26">
              <w:rPr>
                <w:noProof/>
                <w:webHidden/>
              </w:rPr>
              <w:t>22</w:t>
            </w:r>
            <w:r w:rsidR="00931E63">
              <w:rPr>
                <w:noProof/>
                <w:webHidden/>
              </w:rPr>
              <w:fldChar w:fldCharType="end"/>
            </w:r>
          </w:hyperlink>
        </w:p>
        <w:p w14:paraId="6C1F3FD5" w14:textId="67633D61" w:rsidR="00931E63" w:rsidRDefault="006355AF">
          <w:pPr>
            <w:pStyle w:val="TOC2"/>
            <w:rPr>
              <w:rFonts w:eastAsiaTheme="minorEastAsia"/>
              <w:noProof/>
              <w:kern w:val="2"/>
              <w:lang w:eastAsia="en-AU"/>
              <w14:ligatures w14:val="standardContextual"/>
            </w:rPr>
          </w:pPr>
          <w:hyperlink w:anchor="_Toc145573552" w:history="1">
            <w:r w:rsidR="00931E63" w:rsidRPr="008D542C">
              <w:rPr>
                <w:rStyle w:val="Hyperlink"/>
                <w:noProof/>
              </w:rPr>
              <w:t>Silicosis cases</w:t>
            </w:r>
            <w:r w:rsidR="00931E63">
              <w:rPr>
                <w:noProof/>
                <w:webHidden/>
              </w:rPr>
              <w:tab/>
            </w:r>
            <w:r w:rsidR="00931E63">
              <w:rPr>
                <w:noProof/>
                <w:webHidden/>
              </w:rPr>
              <w:fldChar w:fldCharType="begin"/>
            </w:r>
            <w:r w:rsidR="00931E63">
              <w:rPr>
                <w:noProof/>
                <w:webHidden/>
              </w:rPr>
              <w:instrText xml:space="preserve"> PAGEREF _Toc145573552 \h </w:instrText>
            </w:r>
            <w:r w:rsidR="00931E63">
              <w:rPr>
                <w:noProof/>
                <w:webHidden/>
              </w:rPr>
            </w:r>
            <w:r w:rsidR="00931E63">
              <w:rPr>
                <w:noProof/>
                <w:webHidden/>
              </w:rPr>
              <w:fldChar w:fldCharType="separate"/>
            </w:r>
            <w:r w:rsidR="00654B26">
              <w:rPr>
                <w:noProof/>
                <w:webHidden/>
              </w:rPr>
              <w:t>22</w:t>
            </w:r>
            <w:r w:rsidR="00931E63">
              <w:rPr>
                <w:noProof/>
                <w:webHidden/>
              </w:rPr>
              <w:fldChar w:fldCharType="end"/>
            </w:r>
          </w:hyperlink>
        </w:p>
        <w:p w14:paraId="05E0CB10" w14:textId="7DC49217" w:rsidR="00931E63" w:rsidRDefault="006355AF">
          <w:pPr>
            <w:pStyle w:val="TOC2"/>
            <w:rPr>
              <w:rFonts w:eastAsiaTheme="minorEastAsia"/>
              <w:noProof/>
              <w:kern w:val="2"/>
              <w:lang w:eastAsia="en-AU"/>
              <w14:ligatures w14:val="standardContextual"/>
            </w:rPr>
          </w:pPr>
          <w:hyperlink w:anchor="_Toc145573553" w:history="1">
            <w:r w:rsidR="00931E63" w:rsidRPr="008D542C">
              <w:rPr>
                <w:rStyle w:val="Hyperlink"/>
                <w:noProof/>
              </w:rPr>
              <w:t>Continued review of emerging products</w:t>
            </w:r>
            <w:r w:rsidR="00931E63">
              <w:rPr>
                <w:noProof/>
                <w:webHidden/>
              </w:rPr>
              <w:tab/>
            </w:r>
            <w:r w:rsidR="00931E63">
              <w:rPr>
                <w:noProof/>
                <w:webHidden/>
              </w:rPr>
              <w:fldChar w:fldCharType="begin"/>
            </w:r>
            <w:r w:rsidR="00931E63">
              <w:rPr>
                <w:noProof/>
                <w:webHidden/>
              </w:rPr>
              <w:instrText xml:space="preserve"> PAGEREF _Toc145573553 \h </w:instrText>
            </w:r>
            <w:r w:rsidR="00931E63">
              <w:rPr>
                <w:noProof/>
                <w:webHidden/>
              </w:rPr>
            </w:r>
            <w:r w:rsidR="00931E63">
              <w:rPr>
                <w:noProof/>
                <w:webHidden/>
              </w:rPr>
              <w:fldChar w:fldCharType="separate"/>
            </w:r>
            <w:r w:rsidR="00654B26">
              <w:rPr>
                <w:noProof/>
                <w:webHidden/>
              </w:rPr>
              <w:t>22</w:t>
            </w:r>
            <w:r w:rsidR="00931E63">
              <w:rPr>
                <w:noProof/>
                <w:webHidden/>
              </w:rPr>
              <w:fldChar w:fldCharType="end"/>
            </w:r>
          </w:hyperlink>
        </w:p>
        <w:p w14:paraId="1BDAE1E2" w14:textId="2ECC2440" w:rsidR="00931E63" w:rsidRDefault="006355AF">
          <w:pPr>
            <w:pStyle w:val="TOC2"/>
            <w:rPr>
              <w:rFonts w:eastAsiaTheme="minorEastAsia"/>
              <w:noProof/>
              <w:kern w:val="2"/>
              <w:lang w:eastAsia="en-AU"/>
              <w14:ligatures w14:val="standardContextual"/>
            </w:rPr>
          </w:pPr>
          <w:hyperlink w:anchor="_Toc145573554" w:history="1">
            <w:r w:rsidR="00931E63" w:rsidRPr="008D542C">
              <w:rPr>
                <w:rStyle w:val="Hyperlink"/>
                <w:noProof/>
              </w:rPr>
              <w:t>Customs and imports</w:t>
            </w:r>
            <w:r w:rsidR="00931E63">
              <w:rPr>
                <w:noProof/>
                <w:webHidden/>
              </w:rPr>
              <w:tab/>
            </w:r>
            <w:r w:rsidR="00931E63">
              <w:rPr>
                <w:noProof/>
                <w:webHidden/>
              </w:rPr>
              <w:fldChar w:fldCharType="begin"/>
            </w:r>
            <w:r w:rsidR="00931E63">
              <w:rPr>
                <w:noProof/>
                <w:webHidden/>
              </w:rPr>
              <w:instrText xml:space="preserve"> PAGEREF _Toc145573554 \h </w:instrText>
            </w:r>
            <w:r w:rsidR="00931E63">
              <w:rPr>
                <w:noProof/>
                <w:webHidden/>
              </w:rPr>
            </w:r>
            <w:r w:rsidR="00931E63">
              <w:rPr>
                <w:noProof/>
                <w:webHidden/>
              </w:rPr>
              <w:fldChar w:fldCharType="separate"/>
            </w:r>
            <w:r w:rsidR="00654B26">
              <w:rPr>
                <w:noProof/>
                <w:webHidden/>
              </w:rPr>
              <w:t>22</w:t>
            </w:r>
            <w:r w:rsidR="00931E63">
              <w:rPr>
                <w:noProof/>
                <w:webHidden/>
              </w:rPr>
              <w:fldChar w:fldCharType="end"/>
            </w:r>
          </w:hyperlink>
        </w:p>
        <w:p w14:paraId="37185000" w14:textId="17161DD3" w:rsidR="00931E63" w:rsidRDefault="006355AF">
          <w:pPr>
            <w:pStyle w:val="TOC1"/>
            <w:rPr>
              <w:rFonts w:eastAsiaTheme="minorEastAsia"/>
              <w:b w:val="0"/>
              <w:noProof/>
              <w:kern w:val="2"/>
              <w:lang w:eastAsia="en-AU"/>
              <w14:ligatures w14:val="standardContextual"/>
            </w:rPr>
          </w:pPr>
          <w:hyperlink w:anchor="_Toc145573555" w:history="1">
            <w:r w:rsidR="00931E63" w:rsidRPr="008D542C">
              <w:rPr>
                <w:rStyle w:val="Hyperlink"/>
                <w:noProof/>
              </w:rPr>
              <w:t>Appendix A</w:t>
            </w:r>
            <w:r w:rsidR="00931E63">
              <w:rPr>
                <w:noProof/>
                <w:webHidden/>
              </w:rPr>
              <w:tab/>
            </w:r>
            <w:r w:rsidR="00931E63">
              <w:rPr>
                <w:noProof/>
                <w:webHidden/>
              </w:rPr>
              <w:fldChar w:fldCharType="begin"/>
            </w:r>
            <w:r w:rsidR="00931E63">
              <w:rPr>
                <w:noProof/>
                <w:webHidden/>
              </w:rPr>
              <w:instrText xml:space="preserve"> PAGEREF _Toc145573555 \h </w:instrText>
            </w:r>
            <w:r w:rsidR="00931E63">
              <w:rPr>
                <w:noProof/>
                <w:webHidden/>
              </w:rPr>
            </w:r>
            <w:r w:rsidR="00931E63">
              <w:rPr>
                <w:noProof/>
                <w:webHidden/>
              </w:rPr>
              <w:fldChar w:fldCharType="separate"/>
            </w:r>
            <w:r w:rsidR="00654B26">
              <w:rPr>
                <w:noProof/>
                <w:webHidden/>
              </w:rPr>
              <w:t>23</w:t>
            </w:r>
            <w:r w:rsidR="00931E63">
              <w:rPr>
                <w:noProof/>
                <w:webHidden/>
              </w:rPr>
              <w:fldChar w:fldCharType="end"/>
            </w:r>
          </w:hyperlink>
        </w:p>
        <w:p w14:paraId="3AC1F2FB" w14:textId="26CC7F43" w:rsidR="00931E63" w:rsidRDefault="006355AF">
          <w:pPr>
            <w:pStyle w:val="TOC2"/>
            <w:rPr>
              <w:rFonts w:eastAsiaTheme="minorEastAsia"/>
              <w:noProof/>
              <w:kern w:val="2"/>
              <w:lang w:eastAsia="en-AU"/>
              <w14:ligatures w14:val="standardContextual"/>
            </w:rPr>
          </w:pPr>
          <w:hyperlink w:anchor="_Toc145573556" w:history="1">
            <w:r w:rsidR="00931E63" w:rsidRPr="008D542C">
              <w:rPr>
                <w:rStyle w:val="Hyperlink"/>
                <w:noProof/>
              </w:rPr>
              <w:t>Options from the Decision Regulation Impact Statement: Managing the risks of respirable crystalline silica at work</w:t>
            </w:r>
            <w:r w:rsidR="00931E63">
              <w:rPr>
                <w:noProof/>
                <w:webHidden/>
              </w:rPr>
              <w:tab/>
            </w:r>
            <w:r w:rsidR="00931E63">
              <w:rPr>
                <w:noProof/>
                <w:webHidden/>
              </w:rPr>
              <w:fldChar w:fldCharType="begin"/>
            </w:r>
            <w:r w:rsidR="00931E63">
              <w:rPr>
                <w:noProof/>
                <w:webHidden/>
              </w:rPr>
              <w:instrText xml:space="preserve"> PAGEREF _Toc145573556 \h </w:instrText>
            </w:r>
            <w:r w:rsidR="00931E63">
              <w:rPr>
                <w:noProof/>
                <w:webHidden/>
              </w:rPr>
            </w:r>
            <w:r w:rsidR="00931E63">
              <w:rPr>
                <w:noProof/>
                <w:webHidden/>
              </w:rPr>
              <w:fldChar w:fldCharType="separate"/>
            </w:r>
            <w:r w:rsidR="00654B26">
              <w:rPr>
                <w:noProof/>
                <w:webHidden/>
              </w:rPr>
              <w:t>23</w:t>
            </w:r>
            <w:r w:rsidR="00931E63">
              <w:rPr>
                <w:noProof/>
                <w:webHidden/>
              </w:rPr>
              <w:fldChar w:fldCharType="end"/>
            </w:r>
          </w:hyperlink>
        </w:p>
        <w:p w14:paraId="10D505A3" w14:textId="3D935F00" w:rsidR="008A059F" w:rsidRDefault="008A059F" w:rsidP="00B1414C">
          <w:pPr>
            <w:pStyle w:val="TOC1"/>
            <w:rPr>
              <w:rStyle w:val="Hyperlink"/>
              <w:noProof/>
              <w:kern w:val="2"/>
              <w:lang w:eastAsia="en-AU"/>
              <w14:ligatures w14:val="standardContextual"/>
            </w:rPr>
          </w:pPr>
          <w:r>
            <w:fldChar w:fldCharType="end"/>
          </w:r>
        </w:p>
      </w:sdtContent>
    </w:sdt>
    <w:bookmarkEnd w:id="0"/>
    <w:p w14:paraId="31F11DFD" w14:textId="77777777" w:rsidR="008A059F" w:rsidRPr="00BA13F0" w:rsidRDefault="00B72570" w:rsidP="0059106C">
      <w:pPr>
        <w:rPr>
          <w:rStyle w:val="Hyperlink"/>
          <w:rFonts w:eastAsiaTheme="minorEastAsia"/>
          <w:color w:val="auto"/>
          <w:u w:val="none"/>
        </w:rPr>
      </w:pPr>
      <w:r>
        <w:rPr>
          <w:rFonts w:eastAsiaTheme="minorEastAsia"/>
        </w:rPr>
        <w:br w:type="page"/>
      </w:r>
    </w:p>
    <w:p w14:paraId="0A1853F2" w14:textId="77777777" w:rsidR="008A059F" w:rsidRPr="00C10812" w:rsidRDefault="008A059F" w:rsidP="000D738A">
      <w:pPr>
        <w:pStyle w:val="Heading1"/>
        <w:spacing w:before="120" w:line="360" w:lineRule="auto"/>
        <w:rPr>
          <w:rFonts w:asciiTheme="minorHAnsi" w:eastAsiaTheme="minorEastAsia" w:hAnsiTheme="minorHAnsi" w:cstheme="minorBidi"/>
        </w:rPr>
      </w:pPr>
      <w:bookmarkStart w:id="1" w:name="_Toc145573515"/>
      <w:r w:rsidRPr="7612DB8E">
        <w:rPr>
          <w:rFonts w:asciiTheme="minorHAnsi" w:eastAsiaTheme="minorEastAsia" w:hAnsiTheme="minorHAnsi" w:cstheme="minorBidi"/>
        </w:rPr>
        <w:lastRenderedPageBreak/>
        <w:t>Introduction</w:t>
      </w:r>
      <w:bookmarkEnd w:id="1"/>
    </w:p>
    <w:p w14:paraId="6AF3A944" w14:textId="0BD50B79" w:rsidR="002116B1" w:rsidRDefault="0059106C" w:rsidP="00A67BB2">
      <w:pPr>
        <w:pStyle w:val="Body"/>
        <w:spacing w:before="0"/>
      </w:pPr>
      <w:r w:rsidRPr="0033108F">
        <w:t xml:space="preserve">The Department of Employment and Workplace Relations (the department) </w:t>
      </w:r>
      <w:r w:rsidR="00093F9F">
        <w:t xml:space="preserve">considers </w:t>
      </w:r>
      <w:r w:rsidR="00B86951">
        <w:t>the</w:t>
      </w:r>
      <w:r w:rsidRPr="0033108F">
        <w:t xml:space="preserve"> two independent processes led by Safe Work Australia</w:t>
      </w:r>
      <w:r w:rsidR="00A73C30">
        <w:t xml:space="preserve"> </w:t>
      </w:r>
      <w:r w:rsidR="009E2C9C">
        <w:t>(SWA)</w:t>
      </w:r>
      <w:r w:rsidR="00A73C30">
        <w:t xml:space="preserve"> </w:t>
      </w:r>
      <w:r w:rsidRPr="0033108F">
        <w:t xml:space="preserve">– the Decision Regulation Impact Statement: </w:t>
      </w:r>
      <w:r w:rsidRPr="0026574E">
        <w:rPr>
          <w:i/>
          <w:iCs/>
        </w:rPr>
        <w:t>Managing the risks of respirable crystalline silica at work</w:t>
      </w:r>
      <w:r w:rsidR="00C61B04">
        <w:rPr>
          <w:i/>
          <w:iCs/>
        </w:rPr>
        <w:t xml:space="preserve"> </w:t>
      </w:r>
      <w:r w:rsidR="00C61B04" w:rsidRPr="00AC0482">
        <w:t>(Silica Decision RIS)</w:t>
      </w:r>
      <w:r w:rsidRPr="0033108F">
        <w:t>, and the Decision Regulation Impact Statement</w:t>
      </w:r>
      <w:r w:rsidRPr="005C21BC">
        <w:rPr>
          <w:i/>
        </w:rPr>
        <w:t xml:space="preserve">: </w:t>
      </w:r>
      <w:r w:rsidRPr="0026574E">
        <w:rPr>
          <w:i/>
          <w:iCs/>
        </w:rPr>
        <w:t>Prohibition on the use of engineered stone</w:t>
      </w:r>
      <w:r w:rsidR="00A73C30">
        <w:rPr>
          <w:i/>
        </w:rPr>
        <w:t xml:space="preserve"> </w:t>
      </w:r>
      <w:r w:rsidR="00C61B04" w:rsidRPr="00413F53" w:rsidDel="00691F56">
        <w:t>(</w:t>
      </w:r>
      <w:r w:rsidR="00C61B04" w:rsidRPr="000B2A2F">
        <w:t xml:space="preserve">Prohibition </w:t>
      </w:r>
      <w:r w:rsidR="00C61B04" w:rsidDel="00691F56">
        <w:t>Decision</w:t>
      </w:r>
      <w:r w:rsidR="00C61B04" w:rsidDel="00691F56">
        <w:rPr>
          <w:i/>
        </w:rPr>
        <w:t xml:space="preserve"> </w:t>
      </w:r>
      <w:r w:rsidR="00C61B04" w:rsidRPr="00C61B04" w:rsidDel="00691F56">
        <w:rPr>
          <w:iCs/>
        </w:rPr>
        <w:t>RIS)</w:t>
      </w:r>
      <w:r w:rsidR="00A73C30">
        <w:t xml:space="preserve"> –</w:t>
      </w:r>
      <w:r w:rsidRPr="0033108F">
        <w:t xml:space="preserve"> can be </w:t>
      </w:r>
      <w:r w:rsidR="00AD5DFB">
        <w:t>relied upon</w:t>
      </w:r>
      <w:r w:rsidRPr="0033108F">
        <w:t xml:space="preserve"> to </w:t>
      </w:r>
      <w:r w:rsidR="00B468D4">
        <w:t>satisfy</w:t>
      </w:r>
      <w:r w:rsidRPr="0033108F">
        <w:t xml:space="preserve"> impact </w:t>
      </w:r>
      <w:r w:rsidR="00B468D4">
        <w:t>analysis</w:t>
      </w:r>
      <w:r w:rsidR="00B468D4" w:rsidDel="00B468D4">
        <w:t xml:space="preserve"> </w:t>
      </w:r>
      <w:r w:rsidR="00E6321A">
        <w:t>requirements</w:t>
      </w:r>
      <w:r w:rsidRPr="0033108F">
        <w:t>.</w:t>
      </w:r>
      <w:r w:rsidR="00666339" w:rsidRPr="00666339">
        <w:t xml:space="preserve"> </w:t>
      </w:r>
    </w:p>
    <w:p w14:paraId="7007E498" w14:textId="29E646A2" w:rsidR="00666339" w:rsidRPr="00EC5880" w:rsidRDefault="00E96F50" w:rsidP="00666339">
      <w:pPr>
        <w:pStyle w:val="Body"/>
      </w:pPr>
      <w:r>
        <w:t>Th</w:t>
      </w:r>
      <w:r w:rsidR="00691F56">
        <w:t>e</w:t>
      </w:r>
      <w:r>
        <w:t xml:space="preserve"> </w:t>
      </w:r>
      <w:r w:rsidR="004029B9" w:rsidRPr="000B2A2F">
        <w:t xml:space="preserve">Prohibition </w:t>
      </w:r>
      <w:r w:rsidDel="00691F56">
        <w:t>Decision</w:t>
      </w:r>
      <w:r>
        <w:t xml:space="preserve"> RIS</w:t>
      </w:r>
      <w:r w:rsidDel="00691F56">
        <w:rPr>
          <w:i/>
        </w:rPr>
        <w:t xml:space="preserve"> </w:t>
      </w:r>
      <w:r>
        <w:t>provides</w:t>
      </w:r>
      <w:r w:rsidR="002116B1">
        <w:t xml:space="preserve"> </w:t>
      </w:r>
      <w:r>
        <w:t>analysis of</w:t>
      </w:r>
      <w:r w:rsidDel="00691F56">
        <w:t xml:space="preserve"> </w:t>
      </w:r>
      <w:r w:rsidR="008F3E4C">
        <w:t>the</w:t>
      </w:r>
      <w:r>
        <w:t xml:space="preserve"> impacts of options under the model </w:t>
      </w:r>
      <w:r w:rsidR="00691F56">
        <w:t>work health and safety (</w:t>
      </w:r>
      <w:r>
        <w:t>WHS</w:t>
      </w:r>
      <w:r w:rsidR="00691F56">
        <w:t>)</w:t>
      </w:r>
      <w:r>
        <w:t xml:space="preserve"> laws to prohibit the use of engineered stone.</w:t>
      </w:r>
      <w:r w:rsidR="00457E0D">
        <w:rPr>
          <w:rStyle w:val="FootnoteReference"/>
        </w:rPr>
        <w:footnoteReference w:id="2"/>
      </w:r>
      <w:r>
        <w:t xml:space="preserve"> It builds on the evidence and analysis considered </w:t>
      </w:r>
      <w:r w:rsidR="00ED65A5">
        <w:t xml:space="preserve">and </w:t>
      </w:r>
      <w:r w:rsidR="00BF637A">
        <w:t xml:space="preserve">set out in </w:t>
      </w:r>
      <w:r w:rsidR="0044640D">
        <w:t>the</w:t>
      </w:r>
      <w:r w:rsidR="00BF637A">
        <w:t xml:space="preserve"> </w:t>
      </w:r>
      <w:r w:rsidR="006547B7" w:rsidRPr="00AC0482">
        <w:t xml:space="preserve">Silica Decision RIS </w:t>
      </w:r>
      <w:r w:rsidR="008309D4">
        <w:t>noting</w:t>
      </w:r>
      <w:r w:rsidR="000B2A2F">
        <w:t xml:space="preserve"> </w:t>
      </w:r>
      <w:r w:rsidR="00B36B44">
        <w:t>both document</w:t>
      </w:r>
      <w:r w:rsidR="00815A94">
        <w:t>s</w:t>
      </w:r>
      <w:r w:rsidR="00B36B44">
        <w:t xml:space="preserve"> are</w:t>
      </w:r>
      <w:r w:rsidR="00BF637A">
        <w:t xml:space="preserve"> intended to be read </w:t>
      </w:r>
      <w:r w:rsidR="00B82A49">
        <w:t>together</w:t>
      </w:r>
      <w:r w:rsidR="00B3147C">
        <w:t>.</w:t>
      </w:r>
      <w:r w:rsidR="003B0DFA">
        <w:t xml:space="preserve"> B</w:t>
      </w:r>
      <w:r w:rsidR="008B6E18">
        <w:t>o</w:t>
      </w:r>
      <w:r w:rsidR="003B0DFA">
        <w:t xml:space="preserve">th these </w:t>
      </w:r>
      <w:r w:rsidR="00B82A49">
        <w:t>assessments</w:t>
      </w:r>
      <w:r w:rsidR="008B6E18" w:rsidDel="00B82A49">
        <w:t xml:space="preserve"> </w:t>
      </w:r>
      <w:r w:rsidR="008B6E18">
        <w:t xml:space="preserve">have been prepared </w:t>
      </w:r>
      <w:r w:rsidR="000A2340">
        <w:t xml:space="preserve">in accordance with the </w:t>
      </w:r>
      <w:r w:rsidR="00DD512C" w:rsidRPr="004647C2">
        <w:rPr>
          <w:i/>
        </w:rPr>
        <w:t>Regulatory Impact Analysis Guide for Ministers’ Meeting and National Standard Setting Bodies</w:t>
      </w:r>
      <w:r w:rsidR="00A36AB4">
        <w:rPr>
          <w:i/>
          <w:iCs/>
        </w:rPr>
        <w:t xml:space="preserve"> </w:t>
      </w:r>
      <w:r w:rsidR="00A36AB4" w:rsidRPr="004647C2">
        <w:t>and been a</w:t>
      </w:r>
      <w:r w:rsidR="00A36AB4">
        <w:t xml:space="preserve">ssessed by the </w:t>
      </w:r>
      <w:r w:rsidR="00DD512C">
        <w:t xml:space="preserve">Office of </w:t>
      </w:r>
      <w:r w:rsidR="00DD512C" w:rsidRPr="00EC5880">
        <w:t xml:space="preserve">Impact Analysis (OIA) </w:t>
      </w:r>
      <w:r w:rsidR="00137518" w:rsidRPr="00EC5880">
        <w:t xml:space="preserve">as </w:t>
      </w:r>
      <w:r w:rsidR="00A36AB4" w:rsidRPr="00EC5880">
        <w:t>meet</w:t>
      </w:r>
      <w:r w:rsidR="00137518" w:rsidRPr="00EC5880">
        <w:t>ing</w:t>
      </w:r>
      <w:r w:rsidR="00A36AB4" w:rsidRPr="00EC5880">
        <w:t xml:space="preserve"> </w:t>
      </w:r>
      <w:r w:rsidR="00DD512C" w:rsidRPr="00EC5880">
        <w:t>the requirements set out in the Guid</w:t>
      </w:r>
      <w:r w:rsidR="00A36AB4" w:rsidRPr="00EC5880">
        <w:t>e.</w:t>
      </w:r>
    </w:p>
    <w:p w14:paraId="43985939" w14:textId="0D81C046" w:rsidR="00666339" w:rsidRPr="00EC5880" w:rsidRDefault="00666339" w:rsidP="00666339">
      <w:pPr>
        <w:pStyle w:val="Body"/>
      </w:pPr>
      <w:r w:rsidRPr="00EC5880">
        <w:t xml:space="preserve">Additional analysis has been undertaken on the impacts associated with a </w:t>
      </w:r>
      <w:r w:rsidR="006A4102" w:rsidRPr="00EC5880">
        <w:t xml:space="preserve">further option </w:t>
      </w:r>
      <w:r w:rsidR="0003138A" w:rsidRPr="00EC5880">
        <w:t xml:space="preserve">to </w:t>
      </w:r>
      <w:r w:rsidR="008B5417" w:rsidRPr="00EC5880">
        <w:t>includ</w:t>
      </w:r>
      <w:r w:rsidR="0003138A" w:rsidRPr="00EC5880">
        <w:t>e</w:t>
      </w:r>
      <w:r w:rsidR="008B6E18" w:rsidRPr="00EC5880">
        <w:t xml:space="preserve"> </w:t>
      </w:r>
      <w:r w:rsidR="00070CBD" w:rsidRPr="00EC5880">
        <w:t>border measures</w:t>
      </w:r>
      <w:r w:rsidR="00081305" w:rsidRPr="00EC5880">
        <w:t>, such as a customs ban,</w:t>
      </w:r>
      <w:r w:rsidR="009E5FA2" w:rsidRPr="00EC5880">
        <w:t xml:space="preserve"> to compl</w:t>
      </w:r>
      <w:r w:rsidR="00F8338C" w:rsidRPr="00EC5880">
        <w:t>e</w:t>
      </w:r>
      <w:r w:rsidR="009E5FA2" w:rsidRPr="00EC5880">
        <w:t xml:space="preserve">ment the prohibition on </w:t>
      </w:r>
      <w:r w:rsidR="00F8338C" w:rsidRPr="00EC5880">
        <w:t xml:space="preserve">the </w:t>
      </w:r>
      <w:r w:rsidR="009E5FA2" w:rsidRPr="00EC5880">
        <w:t>use of engineered stone</w:t>
      </w:r>
      <w:r w:rsidR="00397AC0" w:rsidRPr="00EC5880">
        <w:t>.</w:t>
      </w:r>
      <w:r w:rsidR="00E66F07" w:rsidRPr="00EC5880">
        <w:t xml:space="preserve"> </w:t>
      </w:r>
      <w:r w:rsidR="003B0DFA" w:rsidRPr="00EC5880">
        <w:t>This option</w:t>
      </w:r>
      <w:r w:rsidR="00956AC0" w:rsidRPr="00EC5880">
        <w:t xml:space="preserve"> seeks to address the same problem outlined in SWA’s </w:t>
      </w:r>
      <w:r w:rsidR="00EC7F07" w:rsidRPr="00EC5880">
        <w:t xml:space="preserve">Prohibition </w:t>
      </w:r>
      <w:r w:rsidR="00777DA0" w:rsidRPr="00EC5880">
        <w:t xml:space="preserve">Decision </w:t>
      </w:r>
      <w:r w:rsidR="001D76B4" w:rsidRPr="00EC5880">
        <w:t>RIS</w:t>
      </w:r>
      <w:r w:rsidR="00100A6B" w:rsidRPr="00EC5880">
        <w:t xml:space="preserve">, </w:t>
      </w:r>
      <w:r w:rsidR="002D47F8" w:rsidRPr="00EC5880">
        <w:t xml:space="preserve">relating to </w:t>
      </w:r>
      <w:r w:rsidR="00A838CE" w:rsidRPr="00EC5880">
        <w:t>the</w:t>
      </w:r>
      <w:r w:rsidR="007B145B" w:rsidRPr="00EC5880" w:rsidDel="00A838CE">
        <w:t xml:space="preserve"> </w:t>
      </w:r>
      <w:r w:rsidR="007B145B" w:rsidRPr="00EC5880">
        <w:t>rise in the number of silicosis cases in workers</w:t>
      </w:r>
      <w:r w:rsidR="009C1000" w:rsidRPr="00EC5880">
        <w:t xml:space="preserve"> in recent years</w:t>
      </w:r>
      <w:r w:rsidR="007B145B" w:rsidRPr="00EC5880">
        <w:t>, which are significantly over</w:t>
      </w:r>
      <w:r w:rsidR="00B1171B" w:rsidRPr="00EC5880">
        <w:t>-</w:t>
      </w:r>
      <w:r w:rsidR="007B145B" w:rsidRPr="00EC5880">
        <w:t xml:space="preserve">represented by </w:t>
      </w:r>
      <w:r w:rsidR="00B1171B" w:rsidRPr="00EC5880">
        <w:t>engi</w:t>
      </w:r>
      <w:r w:rsidR="007B145B" w:rsidRPr="00EC5880">
        <w:t>neered stone workers.</w:t>
      </w:r>
      <w:r w:rsidR="00EC7F07" w:rsidRPr="00EC5880">
        <w:rPr>
          <w:i/>
        </w:rPr>
        <w:t xml:space="preserve"> </w:t>
      </w:r>
      <w:r w:rsidR="006907A6" w:rsidRPr="00EC5880">
        <w:t>T</w:t>
      </w:r>
      <w:r w:rsidRPr="00EC5880">
        <w:t xml:space="preserve">he two independent </w:t>
      </w:r>
      <w:r w:rsidR="00137518" w:rsidRPr="00EC5880">
        <w:t xml:space="preserve">SWA </w:t>
      </w:r>
      <w:r w:rsidRPr="00EC5880">
        <w:t xml:space="preserve">processes </w:t>
      </w:r>
      <w:r w:rsidR="00081181" w:rsidRPr="00EC5880">
        <w:t xml:space="preserve">did not </w:t>
      </w:r>
      <w:r w:rsidR="00861C6F" w:rsidRPr="00EC5880">
        <w:t>scope the impacts</w:t>
      </w:r>
      <w:r w:rsidR="003209CF" w:rsidRPr="00EC5880">
        <w:t xml:space="preserve"> </w:t>
      </w:r>
      <w:r w:rsidR="00861C6F" w:rsidRPr="00EC5880">
        <w:t xml:space="preserve">on </w:t>
      </w:r>
      <w:r w:rsidR="001123EE" w:rsidRPr="00EC5880">
        <w:t xml:space="preserve">implementing </w:t>
      </w:r>
      <w:r w:rsidR="001746DF" w:rsidRPr="00EC5880">
        <w:t xml:space="preserve">complementary </w:t>
      </w:r>
      <w:r w:rsidR="001123EE" w:rsidRPr="00EC5880">
        <w:t>border measures</w:t>
      </w:r>
      <w:r w:rsidR="0054685C" w:rsidRPr="00EC5880">
        <w:t xml:space="preserve"> </w:t>
      </w:r>
      <w:r w:rsidR="009B321D" w:rsidRPr="00EC5880">
        <w:t xml:space="preserve">as these </w:t>
      </w:r>
      <w:r w:rsidR="005D0FD2" w:rsidRPr="00EC5880">
        <w:t>assessments were limited to options</w:t>
      </w:r>
      <w:r w:rsidR="00957832" w:rsidRPr="00EC5880">
        <w:t xml:space="preserve"> for addressing</w:t>
      </w:r>
      <w:r w:rsidR="004E28FB" w:rsidRPr="00EC5880">
        <w:t xml:space="preserve"> the problem</w:t>
      </w:r>
      <w:r w:rsidR="00B82A49" w:rsidRPr="00EC5880">
        <w:t xml:space="preserve"> </w:t>
      </w:r>
      <w:r w:rsidR="004E28FB" w:rsidRPr="00EC5880">
        <w:t xml:space="preserve">through </w:t>
      </w:r>
      <w:r w:rsidR="00B82A49" w:rsidRPr="00EC5880">
        <w:t>the model WHS laws</w:t>
      </w:r>
      <w:r w:rsidRPr="00EC5880">
        <w:t>.</w:t>
      </w:r>
    </w:p>
    <w:p w14:paraId="578C008E" w14:textId="457FF7A6" w:rsidR="0033108F" w:rsidRPr="00EC5880" w:rsidRDefault="001746DF" w:rsidP="00907A49">
      <w:pPr>
        <w:pStyle w:val="Body"/>
      </w:pPr>
      <w:r w:rsidRPr="00EC5880">
        <w:t>Complementary</w:t>
      </w:r>
      <w:r w:rsidR="00F24571" w:rsidRPr="00EC5880">
        <w:t xml:space="preserve"> border m</w:t>
      </w:r>
      <w:r w:rsidR="00372791" w:rsidRPr="00EC5880">
        <w:t>easures</w:t>
      </w:r>
      <w:r w:rsidRPr="00EC5880">
        <w:t>, such as a customs ban,</w:t>
      </w:r>
      <w:r w:rsidR="002E3207" w:rsidRPr="00EC5880" w:rsidDel="00C452B3">
        <w:t xml:space="preserve"> </w:t>
      </w:r>
      <w:r w:rsidR="002E3207" w:rsidRPr="00EC5880">
        <w:t xml:space="preserve">would not have significant additional impacts on businesses, workers or the economy because </w:t>
      </w:r>
      <w:r w:rsidR="000719EB" w:rsidRPr="00EC5880">
        <w:t xml:space="preserve">implementation </w:t>
      </w:r>
      <w:r w:rsidR="0076074F" w:rsidRPr="00EC5880">
        <w:t>would complement</w:t>
      </w:r>
      <w:r w:rsidR="002E3207" w:rsidRPr="00EC5880">
        <w:t xml:space="preserve"> </w:t>
      </w:r>
      <w:r w:rsidR="007156F4" w:rsidRPr="00EC5880">
        <w:t>a prohibition on the</w:t>
      </w:r>
      <w:r w:rsidR="002E3207" w:rsidRPr="00EC5880">
        <w:t xml:space="preserve"> use </w:t>
      </w:r>
      <w:r w:rsidR="007156F4" w:rsidRPr="00EC5880">
        <w:t xml:space="preserve">of engineered stone </w:t>
      </w:r>
      <w:r w:rsidR="0076074F" w:rsidRPr="00EC5880">
        <w:t>if</w:t>
      </w:r>
      <w:r w:rsidR="007156F4" w:rsidRPr="00EC5880">
        <w:t xml:space="preserve"> agreed</w:t>
      </w:r>
      <w:r w:rsidR="00F7180D" w:rsidRPr="00EC5880">
        <w:t xml:space="preserve"> by </w:t>
      </w:r>
      <w:r w:rsidR="002A1261" w:rsidRPr="00EC5880">
        <w:t xml:space="preserve">a requisite </w:t>
      </w:r>
      <w:r w:rsidR="007701F2" w:rsidRPr="00EC5880">
        <w:t xml:space="preserve">two-third majority of </w:t>
      </w:r>
      <w:r w:rsidR="00F7180D" w:rsidRPr="00EC5880">
        <w:t xml:space="preserve">WHS </w:t>
      </w:r>
      <w:r w:rsidR="000719EB" w:rsidRPr="00EC5880">
        <w:t>M</w:t>
      </w:r>
      <w:r w:rsidR="00F7180D" w:rsidRPr="00EC5880">
        <w:t>inisters</w:t>
      </w:r>
      <w:r w:rsidR="00EC5B52" w:rsidRPr="00EC5880">
        <w:t xml:space="preserve"> and </w:t>
      </w:r>
      <w:r w:rsidR="003A7010" w:rsidRPr="00EC5880">
        <w:t xml:space="preserve">adopted into </w:t>
      </w:r>
      <w:r w:rsidR="00B400F6" w:rsidRPr="00EC5880">
        <w:t>jurisdictional</w:t>
      </w:r>
      <w:r w:rsidR="003A7010" w:rsidRPr="00EC5880">
        <w:t xml:space="preserve"> WHS laws</w:t>
      </w:r>
      <w:r w:rsidR="002E3207" w:rsidRPr="00EC5880">
        <w:t>. The impacts on business, workers and consumers all flow from the</w:t>
      </w:r>
      <w:r w:rsidR="00291690" w:rsidRPr="00EC5880">
        <w:t>se</w:t>
      </w:r>
      <w:r w:rsidR="002E3207" w:rsidRPr="00EC5880">
        <w:t xml:space="preserve"> WHS</w:t>
      </w:r>
      <w:r w:rsidR="00F75EBE" w:rsidRPr="00EC5880">
        <w:t xml:space="preserve"> reforms</w:t>
      </w:r>
      <w:r w:rsidR="002E3207" w:rsidRPr="00EC5880">
        <w:t xml:space="preserve">. </w:t>
      </w:r>
      <w:r w:rsidR="00E8510F" w:rsidRPr="00EC5880">
        <w:t>This is because a</w:t>
      </w:r>
      <w:r w:rsidR="002E3207" w:rsidRPr="00EC5880">
        <w:t xml:space="preserve"> use prohibition</w:t>
      </w:r>
      <w:r w:rsidR="00291690" w:rsidRPr="00EC5880">
        <w:t xml:space="preserve"> on engineered stone</w:t>
      </w:r>
      <w:r w:rsidR="002E3207" w:rsidRPr="00EC5880">
        <w:t xml:space="preserve"> would also have the effect of prohibiting the import of products under WHS laws. </w:t>
      </w:r>
      <w:r w:rsidR="00077142" w:rsidRPr="00EC5880">
        <w:t xml:space="preserve">These laws provide </w:t>
      </w:r>
      <w:r w:rsidR="00E8510F" w:rsidRPr="00EC5880">
        <w:t>that</w:t>
      </w:r>
      <w:r w:rsidR="00077142" w:rsidRPr="00EC5880">
        <w:t xml:space="preserve"> i</w:t>
      </w:r>
      <w:r w:rsidR="002E3207" w:rsidRPr="00EC5880">
        <w:t>mporters have a duty of care to ensure, so far as is reasonably practicable, that a product which will be used at a workplace is without risks to the health and safety of persons</w:t>
      </w:r>
      <w:r w:rsidR="002E3207" w:rsidRPr="002E3207">
        <w:t xml:space="preserve"> who would work with it. An importer would breach the duty of care importing a product which has been </w:t>
      </w:r>
      <w:r w:rsidR="002E3207" w:rsidRPr="00EC5880">
        <w:t>determined too unsafe to use in the way it is intended to be (</w:t>
      </w:r>
      <w:r w:rsidR="00FB1D92" w:rsidRPr="00EC5880">
        <w:t>i.e.,</w:t>
      </w:r>
      <w:r w:rsidR="00A73C30" w:rsidRPr="00EC5880">
        <w:t xml:space="preserve"> </w:t>
      </w:r>
      <w:r w:rsidR="002E3207" w:rsidRPr="00EC5880">
        <w:t>fabricated).</w:t>
      </w:r>
    </w:p>
    <w:p w14:paraId="7A10589F" w14:textId="0014ACC6" w:rsidR="00AF74A2" w:rsidRPr="00AF74A2" w:rsidRDefault="000275B2" w:rsidP="00A67BB2">
      <w:pPr>
        <w:pStyle w:val="Body"/>
        <w:widowControl w:val="0"/>
      </w:pPr>
      <w:r w:rsidRPr="00EC5880">
        <w:t>Complementary measures</w:t>
      </w:r>
      <w:r w:rsidR="002A1261" w:rsidRPr="00EC5880">
        <w:t xml:space="preserve"> at the border</w:t>
      </w:r>
      <w:r w:rsidR="00185A69" w:rsidRPr="00EC5880">
        <w:t>, such as a customs ban</w:t>
      </w:r>
      <w:r w:rsidR="000D617C" w:rsidRPr="00EC5880">
        <w:t>,</w:t>
      </w:r>
      <w:r w:rsidR="00372791" w:rsidRPr="00EC5880">
        <w:t xml:space="preserve"> </w:t>
      </w:r>
      <w:r w:rsidR="00400CD7" w:rsidRPr="00EC5880">
        <w:t xml:space="preserve">will support the efforts of state and territory WHS regulators by providing an additional layer of enforcement and deterrence given engineered stone in Australia is predominantly </w:t>
      </w:r>
      <w:r w:rsidR="004957A8" w:rsidRPr="00EC5880">
        <w:t>su</w:t>
      </w:r>
      <w:r w:rsidR="00A37A21" w:rsidRPr="00EC5880">
        <w:t>pplied from overseas</w:t>
      </w:r>
      <w:r w:rsidR="00400CD7" w:rsidRPr="00EC5880">
        <w:t xml:space="preserve">. </w:t>
      </w:r>
      <w:r w:rsidR="00DF70CF" w:rsidRPr="00EC5880">
        <w:t xml:space="preserve">In isolation, </w:t>
      </w:r>
      <w:r w:rsidR="004871A1" w:rsidRPr="00EC5880">
        <w:t>border measures like</w:t>
      </w:r>
      <w:r w:rsidR="00DF70CF" w:rsidRPr="00EC5880">
        <w:t xml:space="preserve"> </w:t>
      </w:r>
      <w:r w:rsidR="00174E97" w:rsidRPr="00EC5880">
        <w:t xml:space="preserve">a </w:t>
      </w:r>
      <w:r w:rsidR="000C1E0D" w:rsidRPr="00EC5880">
        <w:t>customs</w:t>
      </w:r>
      <w:r w:rsidR="00174E97" w:rsidRPr="00EC5880">
        <w:t xml:space="preserve"> ban</w:t>
      </w:r>
      <w:r w:rsidR="000C1E0D" w:rsidRPr="00EC5880">
        <w:t xml:space="preserve"> </w:t>
      </w:r>
      <w:r w:rsidR="00DF70CF" w:rsidRPr="00EC5880">
        <w:t xml:space="preserve">would not address the problems associated with non-compliance </w:t>
      </w:r>
      <w:r w:rsidR="00D30915" w:rsidRPr="00EC5880">
        <w:t xml:space="preserve">when working with engineered stone. </w:t>
      </w:r>
      <w:r w:rsidR="00AF74A2" w:rsidRPr="00EC5880">
        <w:t xml:space="preserve">A customs ban was put in place by the Commonwealth in 2003 when asbestos was prohibited in Australia (Australia’s asbestos prohibition is implemented through both WHS laws and </w:t>
      </w:r>
      <w:r w:rsidR="006A554E" w:rsidRPr="00EC5880">
        <w:t xml:space="preserve">a </w:t>
      </w:r>
      <w:r w:rsidR="00F70059" w:rsidRPr="00EC5880">
        <w:t>customs</w:t>
      </w:r>
      <w:r w:rsidR="00AF74A2" w:rsidRPr="00EC5880">
        <w:t xml:space="preserve"> ban). A customs ban for engineered stone may be more targeted because asbestos is inherently dangerous to humans, </w:t>
      </w:r>
      <w:r w:rsidR="00C735A8" w:rsidRPr="00EC5880">
        <w:t>whereas</w:t>
      </w:r>
      <w:r w:rsidR="00AF74A2" w:rsidRPr="00EC5880">
        <w:t xml:space="preserve"> engineered stone </w:t>
      </w:r>
      <w:r w:rsidR="00C735A8" w:rsidRPr="00EC5880">
        <w:t>does not pose a risk</w:t>
      </w:r>
      <w:r w:rsidR="00AF74A2" w:rsidRPr="00EC5880">
        <w:t xml:space="preserve"> when not being processed.</w:t>
      </w:r>
    </w:p>
    <w:p w14:paraId="0F8C5049" w14:textId="6024D554" w:rsidR="00400CD7" w:rsidRPr="00400CD7" w:rsidRDefault="00400CD7" w:rsidP="00400CD7">
      <w:pPr>
        <w:pStyle w:val="Body"/>
      </w:pPr>
    </w:p>
    <w:p w14:paraId="02642C04" w14:textId="643BEC95" w:rsidR="00FA6FE7" w:rsidRPr="006A4251" w:rsidRDefault="004A57AB" w:rsidP="000D738A">
      <w:pPr>
        <w:pStyle w:val="Heading1"/>
        <w:spacing w:before="120" w:after="120" w:line="240" w:lineRule="auto"/>
        <w:rPr>
          <w:rFonts w:asciiTheme="minorHAnsi" w:eastAsiaTheme="minorEastAsia" w:hAnsiTheme="minorHAnsi" w:cstheme="minorBidi"/>
        </w:rPr>
      </w:pPr>
      <w:bookmarkStart w:id="2" w:name="_Toc145573516"/>
      <w:r>
        <w:rPr>
          <w:rFonts w:asciiTheme="minorHAnsi" w:eastAsiaTheme="minorEastAsia" w:hAnsiTheme="minorHAnsi" w:cstheme="minorBidi"/>
        </w:rPr>
        <w:t xml:space="preserve">Overview of the </w:t>
      </w:r>
      <w:r w:rsidRPr="004A57AB">
        <w:rPr>
          <w:rFonts w:asciiTheme="minorHAnsi" w:eastAsiaTheme="minorEastAsia" w:hAnsiTheme="minorHAnsi" w:cstheme="minorBidi"/>
        </w:rPr>
        <w:t>Decision Regulation Impact Statement</w:t>
      </w:r>
      <w:r>
        <w:rPr>
          <w:rFonts w:asciiTheme="minorHAnsi" w:eastAsiaTheme="minorEastAsia" w:hAnsiTheme="minorHAnsi" w:cstheme="minorBidi"/>
        </w:rPr>
        <w:t xml:space="preserve">: </w:t>
      </w:r>
      <w:r w:rsidRPr="004A57AB">
        <w:rPr>
          <w:rFonts w:asciiTheme="minorHAnsi" w:eastAsiaTheme="minorEastAsia" w:hAnsiTheme="minorHAnsi" w:cstheme="minorBidi"/>
        </w:rPr>
        <w:t>Managing the risks of respirable crystalline silica at work</w:t>
      </w:r>
      <w:bookmarkEnd w:id="2"/>
      <w:r w:rsidR="008A059F" w:rsidRPr="7612DB8E">
        <w:rPr>
          <w:rFonts w:asciiTheme="minorHAnsi" w:eastAsiaTheme="minorEastAsia" w:hAnsiTheme="minorHAnsi" w:cstheme="minorBidi"/>
        </w:rPr>
        <w:t xml:space="preserve"> </w:t>
      </w:r>
    </w:p>
    <w:p w14:paraId="418852F7" w14:textId="121EDD2F" w:rsidR="00900D52" w:rsidRDefault="0068323F" w:rsidP="00131A68">
      <w:pPr>
        <w:pStyle w:val="Body"/>
      </w:pPr>
      <w:r w:rsidRPr="0039290E">
        <w:t xml:space="preserve">On 28 February 2023, </w:t>
      </w:r>
      <w:r w:rsidR="00BC33E5" w:rsidRPr="0039290E">
        <w:t>S</w:t>
      </w:r>
      <w:r w:rsidR="00B430DC" w:rsidRPr="0039290E">
        <w:t xml:space="preserve">WA </w:t>
      </w:r>
      <w:r w:rsidR="004C47D8" w:rsidRPr="0039290E">
        <w:t xml:space="preserve">released the Silica </w:t>
      </w:r>
      <w:r w:rsidR="008B32EE" w:rsidRPr="0039290E">
        <w:t xml:space="preserve">Decision </w:t>
      </w:r>
      <w:r w:rsidR="00BC0DAD" w:rsidRPr="0039290E">
        <w:t>RIS</w:t>
      </w:r>
      <w:r w:rsidR="00134733">
        <w:t xml:space="preserve"> which</w:t>
      </w:r>
      <w:r w:rsidR="00820030" w:rsidRPr="0039290E">
        <w:t xml:space="preserve"> </w:t>
      </w:r>
      <w:r w:rsidR="00BC33E5" w:rsidRPr="00BC33E5">
        <w:t xml:space="preserve">provides an analysis of the impacts of options, under the model </w:t>
      </w:r>
      <w:r w:rsidR="00820030">
        <w:t>WHS</w:t>
      </w:r>
      <w:r w:rsidR="00BC33E5" w:rsidRPr="00BC33E5">
        <w:t xml:space="preserve"> laws, to manage the risks of respirable crystalline silica (RCS</w:t>
      </w:r>
      <w:r w:rsidR="00F45ECD">
        <w:t>)</w:t>
      </w:r>
      <w:r w:rsidR="00BC33E5" w:rsidRPr="00BC33E5">
        <w:t xml:space="preserve"> to improve </w:t>
      </w:r>
      <w:r w:rsidR="00E90F3F">
        <w:t xml:space="preserve">the </w:t>
      </w:r>
      <w:r w:rsidR="00BC33E5" w:rsidRPr="00BC33E5">
        <w:t xml:space="preserve">protection of the health and safety of workers. </w:t>
      </w:r>
    </w:p>
    <w:p w14:paraId="07946A39" w14:textId="5FAAE31F" w:rsidR="00F64589" w:rsidRPr="00321282" w:rsidRDefault="00900D52" w:rsidP="00131A68">
      <w:pPr>
        <w:pStyle w:val="Body"/>
      </w:pPr>
      <w:r w:rsidRPr="00900D52">
        <w:t xml:space="preserve">The </w:t>
      </w:r>
      <w:r>
        <w:t xml:space="preserve">Silica </w:t>
      </w:r>
      <w:r w:rsidRPr="00900D52">
        <w:t>Decision RIS was informed by an extensive consultation process, including a Consultation Regulation Impact Statement</w:t>
      </w:r>
      <w:r w:rsidR="00F64589">
        <w:t xml:space="preserve"> (CRIS)</w:t>
      </w:r>
      <w:r>
        <w:t xml:space="preserve"> where </w:t>
      </w:r>
      <w:r w:rsidRPr="00900D52">
        <w:t>SWA sought public comment on five regulatory and non-regulatory options to reduce workplace exposures to RCS in Australia</w:t>
      </w:r>
      <w:r>
        <w:t>.</w:t>
      </w:r>
      <w:r w:rsidRPr="00900D52">
        <w:t xml:space="preserve"> Submissions were received from governments, peak bodies, unions, employer or industry representatives, commercial enterprises, lawyers, insurance groups, academics, and individuals.</w:t>
      </w:r>
      <w:r w:rsidR="00F64589" w:rsidRPr="00F64589">
        <w:t xml:space="preserve"> </w:t>
      </w:r>
      <w:r w:rsidR="00F64589" w:rsidRPr="00321282">
        <w:t>As part of the feedback on the CRIS, unions, peak health bodies, and professional organisations called for a prohibition on the use of engineered stone. As a result</w:t>
      </w:r>
      <w:r w:rsidR="00E9649E">
        <w:t xml:space="preserve"> of this feedback</w:t>
      </w:r>
      <w:r w:rsidR="00F64589" w:rsidRPr="00321282">
        <w:t>, a</w:t>
      </w:r>
      <w:r w:rsidR="00E9649E">
        <w:t>n additional</w:t>
      </w:r>
      <w:r w:rsidR="00EA0AB5">
        <w:t xml:space="preserve"> option to </w:t>
      </w:r>
      <w:r w:rsidR="006F22EC">
        <w:t xml:space="preserve">undertake </w:t>
      </w:r>
      <w:r w:rsidR="006F22EC" w:rsidRPr="0039290E">
        <w:t>further analysis and consultation on the impacts of the prohibition of use of engineered stone was included</w:t>
      </w:r>
      <w:r w:rsidR="006F22EC">
        <w:t xml:space="preserve"> in the Silica Decision RIS.</w:t>
      </w:r>
      <w:r w:rsidR="001D1D24">
        <w:t xml:space="preserve"> </w:t>
      </w:r>
      <w:r w:rsidR="00CC001D" w:rsidRPr="001357AA">
        <w:rPr>
          <w:u w:val="single"/>
        </w:rPr>
        <w:t xml:space="preserve">A copy of </w:t>
      </w:r>
      <w:r w:rsidR="00CC001D" w:rsidRPr="00A5604A">
        <w:rPr>
          <w:u w:val="single"/>
        </w:rPr>
        <w:t xml:space="preserve">these </w:t>
      </w:r>
      <w:r w:rsidR="002B6437" w:rsidRPr="00A5604A">
        <w:rPr>
          <w:u w:val="single"/>
        </w:rPr>
        <w:t>options</w:t>
      </w:r>
      <w:r w:rsidR="001D1D24" w:rsidRPr="00A5604A">
        <w:rPr>
          <w:u w:val="single"/>
        </w:rPr>
        <w:t xml:space="preserve"> are</w:t>
      </w:r>
      <w:r w:rsidR="00F9445F" w:rsidRPr="00A5604A">
        <w:rPr>
          <w:u w:val="single"/>
        </w:rPr>
        <w:t xml:space="preserve"> at </w:t>
      </w:r>
      <w:r w:rsidR="007A232D">
        <w:rPr>
          <w:u w:val="single"/>
        </w:rPr>
        <w:t>Appendix</w:t>
      </w:r>
      <w:r w:rsidR="007A232D" w:rsidRPr="00A5604A">
        <w:rPr>
          <w:u w:val="single"/>
        </w:rPr>
        <w:t xml:space="preserve"> </w:t>
      </w:r>
      <w:r w:rsidR="00A5604A" w:rsidRPr="00A5604A">
        <w:rPr>
          <w:u w:val="single"/>
        </w:rPr>
        <w:t>A</w:t>
      </w:r>
      <w:r w:rsidR="00F9445F" w:rsidRPr="00A5604A">
        <w:t>.</w:t>
      </w:r>
    </w:p>
    <w:p w14:paraId="0151A6B8" w14:textId="2C06D59D" w:rsidR="00820030" w:rsidRPr="00EB28A2" w:rsidRDefault="00E95648" w:rsidP="00B119C6">
      <w:pPr>
        <w:pStyle w:val="Body"/>
        <w:rPr>
          <w:rFonts w:ascii="Times New Roman" w:eastAsia="Calibri" w:hAnsi="Times New Roman" w:cs="Times New Roman"/>
          <w:sz w:val="24"/>
          <w:szCs w:val="24"/>
        </w:rPr>
      </w:pPr>
      <w:r w:rsidRPr="00E95648">
        <w:t xml:space="preserve">On 28 February 2023, WHS </w:t>
      </w:r>
      <w:r w:rsidR="004E734F">
        <w:t>M</w:t>
      </w:r>
      <w:r w:rsidRPr="00E95648">
        <w:t>inisters considered</w:t>
      </w:r>
      <w:r w:rsidR="00F9445F">
        <w:t xml:space="preserve"> the Silica Decision RIS and agreed to</w:t>
      </w:r>
      <w:r w:rsidR="001F3764">
        <w:t xml:space="preserve"> a nationally coordinated approach</w:t>
      </w:r>
      <w:r w:rsidR="00C77D3F">
        <w:t xml:space="preserve"> addressing</w:t>
      </w:r>
      <w:r w:rsidR="002D4B5D">
        <w:t xml:space="preserve"> this issue</w:t>
      </w:r>
      <w:r w:rsidR="00A01C4D">
        <w:t>, including n</w:t>
      </w:r>
      <w:r w:rsidR="00A01C4D" w:rsidRPr="00556D7F">
        <w:t>ational awareness and behaviour change initiatives</w:t>
      </w:r>
      <w:r w:rsidR="002D4B5D">
        <w:t xml:space="preserve"> (</w:t>
      </w:r>
      <w:r w:rsidR="002B4009">
        <w:t>O</w:t>
      </w:r>
      <w:r w:rsidR="002D4B5D">
        <w:t>ption 2)</w:t>
      </w:r>
      <w:r w:rsidR="001F3764">
        <w:t xml:space="preserve"> and </w:t>
      </w:r>
      <w:r w:rsidR="001F3764" w:rsidRPr="001F3764">
        <w:t>implement</w:t>
      </w:r>
      <w:r w:rsidR="00A01C4D">
        <w:t>ing</w:t>
      </w:r>
      <w:r w:rsidR="001F3764" w:rsidRPr="001F3764">
        <w:t xml:space="preserve"> stronger regulation of high-risk RCS processes </w:t>
      </w:r>
      <w:r w:rsidR="002D4B5D">
        <w:t>(</w:t>
      </w:r>
      <w:r w:rsidR="002B4009">
        <w:t>O</w:t>
      </w:r>
      <w:r w:rsidR="002D4B5D">
        <w:t>ption 5a)</w:t>
      </w:r>
      <w:r w:rsidR="00762E6B">
        <w:t xml:space="preserve">. </w:t>
      </w:r>
      <w:r w:rsidR="002B033F">
        <w:t xml:space="preserve">WHS </w:t>
      </w:r>
      <w:r w:rsidR="004E734F">
        <w:t>M</w:t>
      </w:r>
      <w:r w:rsidR="002B033F">
        <w:t xml:space="preserve">inisters also agreed that </w:t>
      </w:r>
      <w:r w:rsidR="00345405">
        <w:t>SWA undertake</w:t>
      </w:r>
      <w:r w:rsidR="00FD0028">
        <w:t xml:space="preserve"> further analysis and consultation on</w:t>
      </w:r>
      <w:r w:rsidR="00D979BD">
        <w:t xml:space="preserve"> </w:t>
      </w:r>
      <w:r w:rsidR="007A6B95">
        <w:t xml:space="preserve">a prohibition of the </w:t>
      </w:r>
      <w:r w:rsidR="00D979BD">
        <w:t>use of engineered stone u</w:t>
      </w:r>
      <w:r w:rsidR="001A2E5D">
        <w:t>nder the model WHS laws.</w:t>
      </w:r>
      <w:r w:rsidR="004E734F">
        <w:t xml:space="preserve"> The</w:t>
      </w:r>
      <w:r w:rsidR="00F1796B">
        <w:t xml:space="preserve"> decisions of WHS Ministers </w:t>
      </w:r>
      <w:r w:rsidR="00F1796B" w:rsidDel="00086A5E">
        <w:t>were</w:t>
      </w:r>
      <w:r w:rsidR="00086A5E">
        <w:t xml:space="preserve"> announced through a</w:t>
      </w:r>
      <w:r w:rsidR="00F1796B" w:rsidDel="00086A5E">
        <w:t xml:space="preserve"> </w:t>
      </w:r>
      <w:r w:rsidR="00F1796B">
        <w:t xml:space="preserve">communique, available on the </w:t>
      </w:r>
      <w:r w:rsidR="00161836">
        <w:t>d</w:t>
      </w:r>
      <w:r w:rsidR="00F1796B">
        <w:t>epartment</w:t>
      </w:r>
      <w:r w:rsidR="00161836">
        <w:t>’s</w:t>
      </w:r>
      <w:r w:rsidR="00F1796B">
        <w:t xml:space="preserve"> website</w:t>
      </w:r>
      <w:r w:rsidR="00E7290B">
        <w:t>.</w:t>
      </w:r>
      <w:r w:rsidR="00E7290B">
        <w:rPr>
          <w:rStyle w:val="FootnoteReference"/>
        </w:rPr>
        <w:footnoteReference w:id="3"/>
      </w:r>
      <w:r w:rsidR="00F1796B" w:rsidDel="00963A17">
        <w:t xml:space="preserve"> </w:t>
      </w:r>
    </w:p>
    <w:p w14:paraId="4B3B5578" w14:textId="56A6218B" w:rsidR="004A57AB" w:rsidRPr="00C10812" w:rsidRDefault="004A57AB" w:rsidP="000D738A">
      <w:pPr>
        <w:pStyle w:val="Heading1"/>
        <w:spacing w:before="120" w:after="120" w:line="240" w:lineRule="auto"/>
        <w:rPr>
          <w:rFonts w:asciiTheme="minorHAnsi" w:eastAsiaTheme="minorEastAsia" w:hAnsiTheme="minorHAnsi" w:cstheme="minorBidi"/>
        </w:rPr>
      </w:pPr>
      <w:bookmarkStart w:id="3" w:name="_Toc145573517"/>
      <w:r>
        <w:rPr>
          <w:rFonts w:asciiTheme="minorHAnsi" w:eastAsiaTheme="minorEastAsia" w:hAnsiTheme="minorHAnsi" w:cstheme="minorBidi"/>
        </w:rPr>
        <w:t xml:space="preserve">Overview of the </w:t>
      </w:r>
      <w:r w:rsidRPr="004A57AB">
        <w:rPr>
          <w:rFonts w:asciiTheme="minorHAnsi" w:eastAsiaTheme="minorEastAsia" w:hAnsiTheme="minorHAnsi" w:cstheme="minorBidi"/>
        </w:rPr>
        <w:t>Decision Regulation Impact Statement:</w:t>
      </w:r>
      <w:r>
        <w:rPr>
          <w:rFonts w:asciiTheme="minorHAnsi" w:eastAsiaTheme="minorEastAsia" w:hAnsiTheme="minorHAnsi" w:cstheme="minorBidi"/>
        </w:rPr>
        <w:t xml:space="preserve"> </w:t>
      </w:r>
      <w:r w:rsidRPr="004A57AB">
        <w:rPr>
          <w:rFonts w:asciiTheme="minorHAnsi" w:eastAsiaTheme="minorEastAsia" w:hAnsiTheme="minorHAnsi" w:cstheme="minorBidi"/>
        </w:rPr>
        <w:t>Prohibition on the use of engineered stone</w:t>
      </w:r>
      <w:bookmarkEnd w:id="3"/>
      <w:r>
        <w:rPr>
          <w:rFonts w:asciiTheme="minorHAnsi" w:eastAsiaTheme="minorEastAsia" w:hAnsiTheme="minorHAnsi" w:cstheme="minorBidi"/>
        </w:rPr>
        <w:t xml:space="preserve"> </w:t>
      </w:r>
    </w:p>
    <w:p w14:paraId="4BD9E63A" w14:textId="7255420A" w:rsidR="005D0DE0" w:rsidRDefault="00E34A3F" w:rsidP="008C1EA5">
      <w:pPr>
        <w:spacing w:before="120" w:after="120"/>
        <w:rPr>
          <w:rFonts w:eastAsiaTheme="minorEastAsia"/>
          <w:lang w:val="en-AU"/>
        </w:rPr>
      </w:pPr>
      <w:r>
        <w:rPr>
          <w:rFonts w:eastAsiaTheme="minorEastAsia"/>
          <w:lang w:val="en-AU"/>
        </w:rPr>
        <w:t xml:space="preserve">On </w:t>
      </w:r>
      <w:r w:rsidR="00870DEF">
        <w:rPr>
          <w:rFonts w:eastAsiaTheme="minorEastAsia"/>
          <w:lang w:val="en-AU"/>
        </w:rPr>
        <w:t>16 August 2023, SWA circulated a</w:t>
      </w:r>
      <w:r w:rsidR="00A00880">
        <w:rPr>
          <w:rFonts w:eastAsiaTheme="minorEastAsia"/>
          <w:lang w:val="en-AU"/>
        </w:rPr>
        <w:t>n em</w:t>
      </w:r>
      <w:r w:rsidR="0038219A">
        <w:rPr>
          <w:rFonts w:eastAsiaTheme="minorEastAsia"/>
          <w:lang w:val="en-AU"/>
        </w:rPr>
        <w:t>bargoed copy of the Prohibition Decision RIS</w:t>
      </w:r>
      <w:r w:rsidR="001B1BC3">
        <w:rPr>
          <w:rFonts w:eastAsiaTheme="minorEastAsia"/>
          <w:lang w:val="en-AU"/>
        </w:rPr>
        <w:t xml:space="preserve"> to </w:t>
      </w:r>
      <w:r w:rsidR="00B75813">
        <w:rPr>
          <w:rFonts w:eastAsiaTheme="minorEastAsia"/>
          <w:lang w:val="en-AU"/>
        </w:rPr>
        <w:t>WHS Ministers</w:t>
      </w:r>
      <w:r w:rsidR="00EA5D97">
        <w:rPr>
          <w:rFonts w:eastAsiaTheme="minorEastAsia"/>
          <w:lang w:val="en-AU"/>
        </w:rPr>
        <w:t xml:space="preserve">. </w:t>
      </w:r>
      <w:r w:rsidR="005D0DE0" w:rsidRPr="005D0DE0">
        <w:rPr>
          <w:rFonts w:eastAsiaTheme="minorEastAsia"/>
          <w:lang w:val="en-AU"/>
        </w:rPr>
        <w:t>Intended to be considered together</w:t>
      </w:r>
      <w:r w:rsidR="001059C7">
        <w:rPr>
          <w:rFonts w:eastAsiaTheme="minorEastAsia"/>
          <w:lang w:val="en-AU"/>
        </w:rPr>
        <w:t xml:space="preserve"> with the Silica Decision RIS</w:t>
      </w:r>
      <w:r w:rsidR="005D0DE0" w:rsidRPr="005D0DE0">
        <w:rPr>
          <w:rFonts w:eastAsiaTheme="minorEastAsia"/>
          <w:lang w:val="en-AU"/>
        </w:rPr>
        <w:t>,</w:t>
      </w:r>
      <w:r w:rsidR="001059C7">
        <w:rPr>
          <w:rFonts w:eastAsiaTheme="minorEastAsia"/>
          <w:lang w:val="en-AU"/>
        </w:rPr>
        <w:t xml:space="preserve"> the Prohibition Decision RIS </w:t>
      </w:r>
      <w:r w:rsidR="005D0DE0" w:rsidRPr="005D0DE0">
        <w:rPr>
          <w:rFonts w:eastAsiaTheme="minorEastAsia"/>
          <w:lang w:val="en-AU"/>
        </w:rPr>
        <w:t>examine</w:t>
      </w:r>
      <w:r w:rsidR="001059C7">
        <w:rPr>
          <w:rFonts w:eastAsiaTheme="minorEastAsia"/>
          <w:lang w:val="en-AU"/>
        </w:rPr>
        <w:t>s</w:t>
      </w:r>
      <w:r w:rsidR="005D0DE0" w:rsidRPr="005D0DE0">
        <w:rPr>
          <w:rFonts w:eastAsiaTheme="minorEastAsia"/>
          <w:lang w:val="en-AU"/>
        </w:rPr>
        <w:t xml:space="preserve"> the impacts of implementing a prohibition on the use of engineered stone through the model </w:t>
      </w:r>
      <w:r w:rsidR="000F6F6A">
        <w:rPr>
          <w:rFonts w:eastAsiaTheme="minorEastAsia"/>
          <w:lang w:val="en-AU"/>
        </w:rPr>
        <w:t>WHS</w:t>
      </w:r>
      <w:r w:rsidR="005D0DE0" w:rsidRPr="005D0DE0">
        <w:rPr>
          <w:rFonts w:eastAsiaTheme="minorEastAsia"/>
          <w:lang w:val="en-AU"/>
        </w:rPr>
        <w:t xml:space="preserve"> laws, which would have the effect of a domestic ban on these products</w:t>
      </w:r>
      <w:r w:rsidR="00810786">
        <w:rPr>
          <w:rFonts w:eastAsiaTheme="minorEastAsia"/>
          <w:lang w:val="en-AU"/>
        </w:rPr>
        <w:t>.</w:t>
      </w:r>
    </w:p>
    <w:p w14:paraId="09F84F0C" w14:textId="7AA09E4C" w:rsidR="000B79B3" w:rsidRDefault="000B4A23" w:rsidP="008C1EA5">
      <w:pPr>
        <w:spacing w:before="120" w:after="120"/>
        <w:rPr>
          <w:rFonts w:eastAsiaTheme="minorEastAsia"/>
          <w:lang w:val="en-AU"/>
        </w:rPr>
      </w:pPr>
      <w:r>
        <w:rPr>
          <w:rFonts w:eastAsiaTheme="minorEastAsia"/>
          <w:lang w:val="en-AU"/>
        </w:rPr>
        <w:t xml:space="preserve">The </w:t>
      </w:r>
      <w:r w:rsidR="006B7329">
        <w:rPr>
          <w:rFonts w:eastAsiaTheme="minorEastAsia"/>
          <w:lang w:val="en-AU"/>
        </w:rPr>
        <w:t xml:space="preserve">Prohibition Decision RIS </w:t>
      </w:r>
      <w:r w:rsidR="00D8362C">
        <w:rPr>
          <w:rFonts w:eastAsiaTheme="minorEastAsia"/>
          <w:lang w:val="en-AU"/>
        </w:rPr>
        <w:t>was also informed by extensive consultation</w:t>
      </w:r>
      <w:r w:rsidR="004B6249">
        <w:rPr>
          <w:rFonts w:eastAsiaTheme="minorEastAsia"/>
          <w:lang w:val="en-AU"/>
        </w:rPr>
        <w:t xml:space="preserve"> </w:t>
      </w:r>
      <w:r w:rsidR="008C1EA5" w:rsidRPr="008C1EA5">
        <w:rPr>
          <w:rFonts w:eastAsiaTheme="minorEastAsia"/>
          <w:lang w:val="en-AU"/>
        </w:rPr>
        <w:t>based on three implementation options</w:t>
      </w:r>
      <w:r w:rsidR="0025672B">
        <w:rPr>
          <w:rFonts w:eastAsiaTheme="minorEastAsia"/>
          <w:lang w:val="en-AU"/>
        </w:rPr>
        <w:t>.</w:t>
      </w:r>
      <w:r w:rsidR="000B79B3">
        <w:rPr>
          <w:rFonts w:eastAsiaTheme="minorEastAsia"/>
          <w:lang w:val="en-AU"/>
        </w:rPr>
        <w:t xml:space="preserve"> These include:</w:t>
      </w:r>
    </w:p>
    <w:tbl>
      <w:tblPr>
        <w:tblStyle w:val="TableGrid"/>
        <w:tblW w:w="0" w:type="auto"/>
        <w:tblLook w:val="04A0" w:firstRow="1" w:lastRow="0" w:firstColumn="1" w:lastColumn="0" w:noHBand="0" w:noVBand="1"/>
      </w:tblPr>
      <w:tblGrid>
        <w:gridCol w:w="1271"/>
        <w:gridCol w:w="7745"/>
      </w:tblGrid>
      <w:tr w:rsidR="000B79B3" w14:paraId="7D640D8E" w14:textId="77777777" w:rsidTr="00955BF6">
        <w:tc>
          <w:tcPr>
            <w:tcW w:w="1271" w:type="dxa"/>
          </w:tcPr>
          <w:p w14:paraId="1E1EC8B5" w14:textId="77777777" w:rsidR="000B79B3" w:rsidRDefault="000B79B3" w:rsidP="00955BF6">
            <w:pPr>
              <w:rPr>
                <w:rFonts w:eastAsiaTheme="minorEastAsia"/>
              </w:rPr>
            </w:pPr>
            <w:r>
              <w:rPr>
                <w:rFonts w:eastAsiaTheme="minorEastAsia"/>
              </w:rPr>
              <w:t>Option 1</w:t>
            </w:r>
          </w:p>
        </w:tc>
        <w:tc>
          <w:tcPr>
            <w:tcW w:w="7745" w:type="dxa"/>
          </w:tcPr>
          <w:p w14:paraId="1E0693E2" w14:textId="77777777" w:rsidR="000B79B3" w:rsidRDefault="000B79B3" w:rsidP="00955BF6">
            <w:pPr>
              <w:rPr>
                <w:rFonts w:eastAsiaTheme="minorEastAsia"/>
              </w:rPr>
            </w:pPr>
            <w:r>
              <w:rPr>
                <w:rFonts w:eastAsiaTheme="minorEastAsia"/>
              </w:rPr>
              <w:t>Prohibition on the use of all engineered stone</w:t>
            </w:r>
          </w:p>
        </w:tc>
      </w:tr>
      <w:tr w:rsidR="000B79B3" w14:paraId="50CE2F02" w14:textId="77777777" w:rsidTr="00955BF6">
        <w:tc>
          <w:tcPr>
            <w:tcW w:w="1271" w:type="dxa"/>
          </w:tcPr>
          <w:p w14:paraId="0268F33B" w14:textId="77777777" w:rsidR="000B79B3" w:rsidRDefault="000B79B3" w:rsidP="00955BF6">
            <w:pPr>
              <w:rPr>
                <w:rFonts w:eastAsiaTheme="minorEastAsia"/>
              </w:rPr>
            </w:pPr>
            <w:r>
              <w:rPr>
                <w:rFonts w:eastAsiaTheme="minorEastAsia"/>
              </w:rPr>
              <w:t>Option 2</w:t>
            </w:r>
          </w:p>
        </w:tc>
        <w:tc>
          <w:tcPr>
            <w:tcW w:w="7745" w:type="dxa"/>
          </w:tcPr>
          <w:p w14:paraId="0F47CE9E" w14:textId="77777777" w:rsidR="000B79B3" w:rsidRDefault="000B79B3" w:rsidP="00955BF6">
            <w:pPr>
              <w:rPr>
                <w:rFonts w:eastAsiaTheme="minorEastAsia"/>
              </w:rPr>
            </w:pPr>
            <w:r>
              <w:rPr>
                <w:rFonts w:eastAsiaTheme="minorEastAsia"/>
              </w:rPr>
              <w:t>Prohibition on the use of all engineered stone containing 40% or more crystalline silica</w:t>
            </w:r>
          </w:p>
        </w:tc>
      </w:tr>
      <w:tr w:rsidR="000B79B3" w14:paraId="23D7651F" w14:textId="77777777" w:rsidTr="00955BF6">
        <w:tc>
          <w:tcPr>
            <w:tcW w:w="1271" w:type="dxa"/>
          </w:tcPr>
          <w:p w14:paraId="10EE45A2" w14:textId="77777777" w:rsidR="000B79B3" w:rsidRDefault="000B79B3" w:rsidP="00955BF6">
            <w:pPr>
              <w:rPr>
                <w:rFonts w:eastAsiaTheme="minorEastAsia"/>
              </w:rPr>
            </w:pPr>
            <w:r>
              <w:rPr>
                <w:rFonts w:eastAsiaTheme="minorEastAsia"/>
              </w:rPr>
              <w:t>Option 3</w:t>
            </w:r>
          </w:p>
        </w:tc>
        <w:tc>
          <w:tcPr>
            <w:tcW w:w="7745" w:type="dxa"/>
          </w:tcPr>
          <w:p w14:paraId="1FF20C87" w14:textId="4A44A4AF" w:rsidR="000B79B3" w:rsidRDefault="000B79B3" w:rsidP="00955BF6">
            <w:pPr>
              <w:rPr>
                <w:rFonts w:eastAsiaTheme="minorEastAsia"/>
              </w:rPr>
            </w:pPr>
            <w:r>
              <w:rPr>
                <w:rFonts w:eastAsiaTheme="minorEastAsia"/>
              </w:rPr>
              <w:t xml:space="preserve">As for </w:t>
            </w:r>
            <w:r w:rsidR="00EC6EF3">
              <w:rPr>
                <w:rFonts w:eastAsiaTheme="minorEastAsia"/>
              </w:rPr>
              <w:t>O</w:t>
            </w:r>
            <w:r>
              <w:rPr>
                <w:rFonts w:eastAsiaTheme="minorEastAsia"/>
              </w:rPr>
              <w:t>ption 2, with an accompanying licensing scheme for PCBUs working with engineered stone containing less than 40% crystalline silica.</w:t>
            </w:r>
          </w:p>
        </w:tc>
      </w:tr>
    </w:tbl>
    <w:p w14:paraId="31975613" w14:textId="01656A0B" w:rsidR="00CE709F" w:rsidRDefault="00A43030" w:rsidP="00161836">
      <w:pPr>
        <w:spacing w:before="120" w:after="120"/>
        <w:rPr>
          <w:rFonts w:eastAsiaTheme="minorEastAsia"/>
          <w:lang w:val="en-AU" w:eastAsia="en-AU"/>
        </w:rPr>
      </w:pPr>
      <w:r w:rsidRPr="00A43030">
        <w:rPr>
          <w:rFonts w:eastAsiaTheme="minorEastAsia"/>
          <w:lang w:val="en-AU" w:eastAsia="en-AU"/>
        </w:rPr>
        <w:t>How each of the seven Impact Analysis elements were addressed by the two</w:t>
      </w:r>
      <w:r w:rsidR="002A4E2F">
        <w:rPr>
          <w:rFonts w:eastAsiaTheme="minorEastAsia"/>
          <w:lang w:val="en-AU" w:eastAsia="en-AU"/>
        </w:rPr>
        <w:t xml:space="preserve"> independent</w:t>
      </w:r>
      <w:r w:rsidRPr="00A43030">
        <w:rPr>
          <w:rFonts w:eastAsiaTheme="minorEastAsia"/>
          <w:lang w:val="en-AU" w:eastAsia="en-AU"/>
        </w:rPr>
        <w:t xml:space="preserve"> </w:t>
      </w:r>
      <w:r w:rsidR="00CE709F">
        <w:rPr>
          <w:rFonts w:eastAsiaTheme="minorEastAsia"/>
          <w:lang w:val="en-AU" w:eastAsia="en-AU"/>
        </w:rPr>
        <w:t xml:space="preserve">SWA </w:t>
      </w:r>
      <w:r w:rsidRPr="00EC5880">
        <w:rPr>
          <w:rFonts w:eastAsiaTheme="minorEastAsia"/>
          <w:lang w:val="en-AU" w:eastAsia="en-AU"/>
        </w:rPr>
        <w:t>processes is outlined below</w:t>
      </w:r>
      <w:r w:rsidR="000B1FF3" w:rsidRPr="00EC5880">
        <w:rPr>
          <w:rFonts w:eastAsiaTheme="minorEastAsia"/>
          <w:lang w:val="en-AU" w:eastAsia="en-AU"/>
        </w:rPr>
        <w:t xml:space="preserve">, with supplementary analysis </w:t>
      </w:r>
      <w:r w:rsidR="00B039DF" w:rsidRPr="00EC5880">
        <w:rPr>
          <w:rFonts w:eastAsiaTheme="minorEastAsia"/>
          <w:lang w:val="en-AU" w:eastAsia="en-AU"/>
        </w:rPr>
        <w:t xml:space="preserve">provided </w:t>
      </w:r>
      <w:r w:rsidR="000B1FF3" w:rsidRPr="00EC5880">
        <w:rPr>
          <w:rFonts w:eastAsiaTheme="minorEastAsia"/>
          <w:lang w:val="en-AU" w:eastAsia="en-AU"/>
        </w:rPr>
        <w:t xml:space="preserve">relating to </w:t>
      </w:r>
      <w:r w:rsidR="00523E25" w:rsidRPr="00EC5880">
        <w:rPr>
          <w:rFonts w:eastAsiaTheme="minorEastAsia"/>
          <w:lang w:val="en-AU" w:eastAsia="en-AU"/>
        </w:rPr>
        <w:t xml:space="preserve">the </w:t>
      </w:r>
      <w:r w:rsidR="000B1FF3" w:rsidRPr="00EC5880">
        <w:rPr>
          <w:rFonts w:eastAsiaTheme="minorEastAsia"/>
          <w:lang w:val="en-AU" w:eastAsia="en-AU"/>
        </w:rPr>
        <w:t xml:space="preserve">impacts associated with </w:t>
      </w:r>
      <w:r w:rsidR="000C1E0D" w:rsidRPr="00EC5880">
        <w:rPr>
          <w:rFonts w:eastAsiaTheme="minorEastAsia"/>
          <w:lang w:val="en-AU" w:eastAsia="en-AU"/>
        </w:rPr>
        <w:t xml:space="preserve">complementary </w:t>
      </w:r>
      <w:r w:rsidR="00EA0278" w:rsidRPr="00EC5880">
        <w:rPr>
          <w:rFonts w:eastAsiaTheme="minorEastAsia"/>
          <w:lang w:val="en-AU" w:eastAsia="en-AU"/>
        </w:rPr>
        <w:t>border measures</w:t>
      </w:r>
      <w:r w:rsidR="00523E25" w:rsidRPr="00EC5880">
        <w:rPr>
          <w:rFonts w:eastAsiaTheme="minorEastAsia"/>
          <w:lang w:val="en-AU" w:eastAsia="en-AU"/>
        </w:rPr>
        <w:t xml:space="preserve">, </w:t>
      </w:r>
      <w:r w:rsidR="005F25C6" w:rsidRPr="00EC5880">
        <w:rPr>
          <w:rFonts w:eastAsiaTheme="minorEastAsia"/>
          <w:lang w:val="en-AU" w:eastAsia="en-AU"/>
        </w:rPr>
        <w:t>modelled on</w:t>
      </w:r>
      <w:r w:rsidR="00523E25" w:rsidRPr="00EC5880">
        <w:rPr>
          <w:rFonts w:eastAsiaTheme="minorEastAsia"/>
          <w:lang w:val="en-AU" w:eastAsia="en-AU"/>
        </w:rPr>
        <w:t xml:space="preserve"> </w:t>
      </w:r>
      <w:r w:rsidR="005F25C6" w:rsidRPr="00EC5880">
        <w:rPr>
          <w:rFonts w:eastAsiaTheme="minorEastAsia"/>
          <w:lang w:val="en-AU" w:eastAsia="en-AU"/>
        </w:rPr>
        <w:t>a</w:t>
      </w:r>
      <w:r w:rsidR="00523E25" w:rsidRPr="00EC5880">
        <w:rPr>
          <w:rFonts w:eastAsiaTheme="minorEastAsia"/>
          <w:lang w:val="en-AU" w:eastAsia="en-AU"/>
        </w:rPr>
        <w:t xml:space="preserve"> </w:t>
      </w:r>
      <w:r w:rsidR="00166FB7" w:rsidRPr="00EC5880">
        <w:rPr>
          <w:rFonts w:eastAsiaTheme="minorEastAsia"/>
          <w:lang w:val="en-AU" w:eastAsia="en-AU"/>
        </w:rPr>
        <w:t>customs</w:t>
      </w:r>
      <w:r w:rsidR="00523E25" w:rsidRPr="00EC5880">
        <w:rPr>
          <w:rFonts w:eastAsiaTheme="minorEastAsia"/>
          <w:lang w:val="en-AU" w:eastAsia="en-AU"/>
        </w:rPr>
        <w:t xml:space="preserve"> ban</w:t>
      </w:r>
      <w:r w:rsidR="00166FB7" w:rsidRPr="00EC5880">
        <w:rPr>
          <w:rFonts w:eastAsiaTheme="minorEastAsia"/>
          <w:lang w:val="en-AU" w:eastAsia="en-AU"/>
        </w:rPr>
        <w:t xml:space="preserve"> on engineered stone</w:t>
      </w:r>
      <w:r w:rsidR="008667CD" w:rsidRPr="00EC5880">
        <w:rPr>
          <w:rFonts w:eastAsiaTheme="minorEastAsia"/>
          <w:lang w:val="en-AU" w:eastAsia="en-AU"/>
        </w:rPr>
        <w:t>.</w:t>
      </w:r>
      <w:r w:rsidR="00CE709F">
        <w:rPr>
          <w:rFonts w:eastAsiaTheme="minorEastAsia"/>
          <w:lang w:val="en-AU" w:eastAsia="en-AU"/>
        </w:rPr>
        <w:br w:type="page"/>
      </w:r>
    </w:p>
    <w:p w14:paraId="425B0F1F" w14:textId="208D438D" w:rsidR="0014121C" w:rsidRDefault="0014121C" w:rsidP="0014121C">
      <w:pPr>
        <w:pStyle w:val="Heading2"/>
        <w:rPr>
          <w:lang w:eastAsia="en-AU"/>
        </w:rPr>
      </w:pPr>
      <w:bookmarkStart w:id="4" w:name="_Toc145573518"/>
      <w:r>
        <w:rPr>
          <w:lang w:eastAsia="en-AU"/>
        </w:rPr>
        <w:lastRenderedPageBreak/>
        <w:t>Key terms</w:t>
      </w:r>
      <w:bookmarkEnd w:id="4"/>
    </w:p>
    <w:tbl>
      <w:tblPr>
        <w:tblStyle w:val="TableGrid"/>
        <w:tblW w:w="0" w:type="auto"/>
        <w:tblLook w:val="04A0" w:firstRow="1" w:lastRow="0" w:firstColumn="1" w:lastColumn="0" w:noHBand="0" w:noVBand="1"/>
      </w:tblPr>
      <w:tblGrid>
        <w:gridCol w:w="1696"/>
        <w:gridCol w:w="7320"/>
      </w:tblGrid>
      <w:tr w:rsidR="00CF3D46" w:rsidRPr="0014121C" w14:paraId="11A88F92" w14:textId="77777777" w:rsidTr="00FF034A">
        <w:tc>
          <w:tcPr>
            <w:tcW w:w="1696" w:type="dxa"/>
          </w:tcPr>
          <w:p w14:paraId="5AF1183F" w14:textId="77777777" w:rsidR="005F596E" w:rsidRDefault="005F596E" w:rsidP="0014121C">
            <w:pPr>
              <w:pStyle w:val="Body"/>
              <w:spacing w:before="120" w:after="120"/>
              <w:rPr>
                <w:b/>
                <w:bCs/>
              </w:rPr>
            </w:pPr>
            <w:r>
              <w:rPr>
                <w:b/>
                <w:bCs/>
              </w:rPr>
              <w:t>ABF</w:t>
            </w:r>
          </w:p>
        </w:tc>
        <w:tc>
          <w:tcPr>
            <w:tcW w:w="7320" w:type="dxa"/>
          </w:tcPr>
          <w:p w14:paraId="6E3C12C2" w14:textId="77777777" w:rsidR="005F596E" w:rsidRDefault="005F596E" w:rsidP="0014121C">
            <w:pPr>
              <w:pStyle w:val="Body"/>
              <w:spacing w:before="120" w:after="120"/>
            </w:pPr>
            <w:r>
              <w:t>Australian Border Force</w:t>
            </w:r>
          </w:p>
        </w:tc>
      </w:tr>
      <w:tr w:rsidR="00CF3D46" w:rsidRPr="0014121C" w14:paraId="731F6783" w14:textId="77777777" w:rsidTr="004647C2">
        <w:tc>
          <w:tcPr>
            <w:tcW w:w="1696" w:type="dxa"/>
          </w:tcPr>
          <w:p w14:paraId="0A988785" w14:textId="77777777" w:rsidR="005F596E" w:rsidRPr="004647C2" w:rsidRDefault="005F596E" w:rsidP="004647C2">
            <w:pPr>
              <w:pStyle w:val="Body"/>
              <w:spacing w:before="120" w:after="120"/>
              <w:rPr>
                <w:b/>
              </w:rPr>
            </w:pPr>
            <w:r>
              <w:rPr>
                <w:b/>
                <w:bCs/>
              </w:rPr>
              <w:t>CRIS</w:t>
            </w:r>
          </w:p>
        </w:tc>
        <w:tc>
          <w:tcPr>
            <w:tcW w:w="7320" w:type="dxa"/>
          </w:tcPr>
          <w:p w14:paraId="1893A4A1" w14:textId="2E8C1423" w:rsidR="005F596E" w:rsidRPr="0014121C" w:rsidRDefault="005F596E" w:rsidP="004647C2">
            <w:pPr>
              <w:pStyle w:val="Body"/>
              <w:spacing w:before="120" w:after="120"/>
            </w:pPr>
            <w:r>
              <w:t>Consultation Regulat</w:t>
            </w:r>
            <w:r w:rsidR="00161836">
              <w:t>ion</w:t>
            </w:r>
            <w:r>
              <w:t xml:space="preserve"> Impact Statement</w:t>
            </w:r>
          </w:p>
        </w:tc>
      </w:tr>
      <w:tr w:rsidR="00CF3D46" w:rsidRPr="0014121C" w14:paraId="4FCE5A35" w14:textId="77777777" w:rsidTr="004647C2">
        <w:tc>
          <w:tcPr>
            <w:tcW w:w="1696" w:type="dxa"/>
          </w:tcPr>
          <w:p w14:paraId="16D3012E" w14:textId="77777777" w:rsidR="005F596E" w:rsidRPr="004647C2" w:rsidRDefault="005F596E" w:rsidP="004647C2">
            <w:pPr>
              <w:pStyle w:val="Body"/>
              <w:spacing w:before="120" w:after="120"/>
              <w:rPr>
                <w:b/>
              </w:rPr>
            </w:pPr>
            <w:r>
              <w:rPr>
                <w:b/>
                <w:bCs/>
              </w:rPr>
              <w:t>DRIS</w:t>
            </w:r>
          </w:p>
        </w:tc>
        <w:tc>
          <w:tcPr>
            <w:tcW w:w="7320" w:type="dxa"/>
          </w:tcPr>
          <w:p w14:paraId="37E10D77" w14:textId="12A4AA79" w:rsidR="005F596E" w:rsidRPr="0014121C" w:rsidRDefault="005F596E" w:rsidP="004647C2">
            <w:pPr>
              <w:pStyle w:val="Body"/>
              <w:spacing w:before="120" w:after="120"/>
            </w:pPr>
            <w:r>
              <w:t>Decision Regulat</w:t>
            </w:r>
            <w:r w:rsidR="00161836">
              <w:t>ion</w:t>
            </w:r>
            <w:r>
              <w:t xml:space="preserve"> Impact Statement</w:t>
            </w:r>
          </w:p>
        </w:tc>
      </w:tr>
      <w:tr w:rsidR="00CF3D46" w:rsidRPr="0014121C" w14:paraId="63335E70" w14:textId="77777777" w:rsidTr="004647C2">
        <w:tc>
          <w:tcPr>
            <w:tcW w:w="1696" w:type="dxa"/>
          </w:tcPr>
          <w:p w14:paraId="3A678423" w14:textId="77777777" w:rsidR="005F596E" w:rsidRPr="004647C2" w:rsidRDefault="005F596E" w:rsidP="004647C2">
            <w:pPr>
              <w:pStyle w:val="Body"/>
              <w:spacing w:before="120" w:after="120"/>
              <w:rPr>
                <w:b/>
              </w:rPr>
            </w:pPr>
            <w:r>
              <w:rPr>
                <w:b/>
                <w:bCs/>
              </w:rPr>
              <w:t>HSR</w:t>
            </w:r>
          </w:p>
        </w:tc>
        <w:tc>
          <w:tcPr>
            <w:tcW w:w="7320" w:type="dxa"/>
          </w:tcPr>
          <w:p w14:paraId="3045073C" w14:textId="77777777" w:rsidR="005F596E" w:rsidRPr="0014121C" w:rsidRDefault="005F596E" w:rsidP="004647C2">
            <w:pPr>
              <w:pStyle w:val="Body"/>
              <w:spacing w:before="120" w:after="120"/>
            </w:pPr>
            <w:r>
              <w:t>Health and safety representative</w:t>
            </w:r>
          </w:p>
        </w:tc>
      </w:tr>
      <w:tr w:rsidR="00CF3D46" w:rsidRPr="0014121C" w14:paraId="22E4F56E" w14:textId="77777777" w:rsidTr="00FF034A">
        <w:tc>
          <w:tcPr>
            <w:tcW w:w="1696" w:type="dxa"/>
          </w:tcPr>
          <w:p w14:paraId="44BAE021" w14:textId="77777777" w:rsidR="005F596E" w:rsidRDefault="005F596E" w:rsidP="0014121C">
            <w:pPr>
              <w:pStyle w:val="Body"/>
              <w:spacing w:before="120" w:after="120"/>
              <w:rPr>
                <w:b/>
                <w:bCs/>
              </w:rPr>
            </w:pPr>
            <w:r>
              <w:rPr>
                <w:b/>
                <w:bCs/>
              </w:rPr>
              <w:t>IAE</w:t>
            </w:r>
          </w:p>
        </w:tc>
        <w:tc>
          <w:tcPr>
            <w:tcW w:w="7320" w:type="dxa"/>
          </w:tcPr>
          <w:p w14:paraId="50352BFA" w14:textId="77777777" w:rsidR="005F596E" w:rsidRDefault="005F596E" w:rsidP="0014121C">
            <w:pPr>
              <w:pStyle w:val="Body"/>
              <w:spacing w:before="120" w:after="120"/>
            </w:pPr>
            <w:r>
              <w:t>Impact Assessment Equivalent</w:t>
            </w:r>
          </w:p>
        </w:tc>
      </w:tr>
      <w:tr w:rsidR="00CF3D46" w:rsidRPr="0014121C" w14:paraId="52211183" w14:textId="77777777" w:rsidTr="004647C2">
        <w:tc>
          <w:tcPr>
            <w:tcW w:w="1696" w:type="dxa"/>
          </w:tcPr>
          <w:p w14:paraId="44A84E1C" w14:textId="77777777" w:rsidR="005F596E" w:rsidRPr="004647C2" w:rsidRDefault="005F596E" w:rsidP="004647C2">
            <w:pPr>
              <w:pStyle w:val="Body"/>
              <w:spacing w:before="120" w:after="120"/>
              <w:rPr>
                <w:b/>
              </w:rPr>
            </w:pPr>
            <w:r>
              <w:rPr>
                <w:b/>
                <w:bCs/>
              </w:rPr>
              <w:t>NDDT</w:t>
            </w:r>
          </w:p>
        </w:tc>
        <w:tc>
          <w:tcPr>
            <w:tcW w:w="7320" w:type="dxa"/>
          </w:tcPr>
          <w:p w14:paraId="07C95726" w14:textId="77777777" w:rsidR="005F596E" w:rsidRPr="0014121C" w:rsidRDefault="005F596E" w:rsidP="004647C2">
            <w:pPr>
              <w:pStyle w:val="Body"/>
              <w:spacing w:before="120" w:after="120"/>
            </w:pPr>
            <w:r w:rsidRPr="00297FCA">
              <w:t>National Dust Disease Taskforce</w:t>
            </w:r>
          </w:p>
        </w:tc>
      </w:tr>
      <w:tr w:rsidR="00CF3D46" w:rsidRPr="0014121C" w14:paraId="4AF28BA4" w14:textId="77777777" w:rsidTr="004647C2">
        <w:tc>
          <w:tcPr>
            <w:tcW w:w="1696" w:type="dxa"/>
          </w:tcPr>
          <w:p w14:paraId="59A9BE15" w14:textId="77777777" w:rsidR="005F596E" w:rsidRPr="004647C2" w:rsidRDefault="005F596E" w:rsidP="004647C2">
            <w:pPr>
              <w:pStyle w:val="Body"/>
              <w:spacing w:before="120" w:after="120"/>
              <w:rPr>
                <w:b/>
              </w:rPr>
            </w:pPr>
            <w:r>
              <w:rPr>
                <w:b/>
                <w:bCs/>
              </w:rPr>
              <w:t>PCBU</w:t>
            </w:r>
          </w:p>
        </w:tc>
        <w:tc>
          <w:tcPr>
            <w:tcW w:w="7320" w:type="dxa"/>
          </w:tcPr>
          <w:p w14:paraId="5FEE1042" w14:textId="77777777" w:rsidR="005F596E" w:rsidRPr="0014121C" w:rsidRDefault="005F596E" w:rsidP="004647C2">
            <w:pPr>
              <w:pStyle w:val="Body"/>
              <w:spacing w:before="120" w:after="120"/>
            </w:pPr>
            <w:r>
              <w:t xml:space="preserve">Person Conducting a Business or Undertaking (see Section 5 of the </w:t>
            </w:r>
            <w:r w:rsidRPr="004647C2">
              <w:rPr>
                <w:i/>
              </w:rPr>
              <w:t>Model Work Health and Safety Act</w:t>
            </w:r>
            <w:r>
              <w:t>)</w:t>
            </w:r>
          </w:p>
        </w:tc>
      </w:tr>
      <w:tr w:rsidR="003D4ADA" w:rsidRPr="0014121C" w14:paraId="1EC5376A" w14:textId="77777777" w:rsidTr="004647C2">
        <w:tc>
          <w:tcPr>
            <w:tcW w:w="1696" w:type="dxa"/>
          </w:tcPr>
          <w:p w14:paraId="76B55B39" w14:textId="1805C190" w:rsidR="003D4ADA" w:rsidRDefault="003D4ADA" w:rsidP="004647C2">
            <w:pPr>
              <w:pStyle w:val="Body"/>
              <w:spacing w:before="120" w:after="120"/>
              <w:rPr>
                <w:b/>
                <w:bCs/>
              </w:rPr>
            </w:pPr>
            <w:r>
              <w:rPr>
                <w:b/>
                <w:bCs/>
              </w:rPr>
              <w:t>RIS</w:t>
            </w:r>
          </w:p>
        </w:tc>
        <w:tc>
          <w:tcPr>
            <w:tcW w:w="7320" w:type="dxa"/>
          </w:tcPr>
          <w:p w14:paraId="267983E2" w14:textId="306AE3C3" w:rsidR="003D4ADA" w:rsidRDefault="003D4ADA" w:rsidP="004647C2">
            <w:pPr>
              <w:pStyle w:val="Body"/>
              <w:spacing w:before="120" w:after="120"/>
            </w:pPr>
            <w:r>
              <w:t>Regulation Impact Statement</w:t>
            </w:r>
          </w:p>
        </w:tc>
      </w:tr>
      <w:tr w:rsidR="00CF3D46" w:rsidRPr="0014121C" w14:paraId="1B5332CE" w14:textId="77777777" w:rsidTr="004647C2">
        <w:tc>
          <w:tcPr>
            <w:tcW w:w="1696" w:type="dxa"/>
          </w:tcPr>
          <w:p w14:paraId="55E40059" w14:textId="77777777" w:rsidR="005F596E" w:rsidRPr="004647C2" w:rsidRDefault="005F596E" w:rsidP="004647C2">
            <w:pPr>
              <w:pStyle w:val="Body"/>
              <w:spacing w:before="120" w:after="120"/>
              <w:rPr>
                <w:b/>
              </w:rPr>
            </w:pPr>
            <w:r>
              <w:rPr>
                <w:b/>
                <w:bCs/>
              </w:rPr>
              <w:t>RCS</w:t>
            </w:r>
          </w:p>
        </w:tc>
        <w:tc>
          <w:tcPr>
            <w:tcW w:w="7320" w:type="dxa"/>
          </w:tcPr>
          <w:p w14:paraId="26EE3425" w14:textId="77777777" w:rsidR="005F596E" w:rsidRPr="0014121C" w:rsidRDefault="005F596E" w:rsidP="004647C2">
            <w:pPr>
              <w:pStyle w:val="Body"/>
              <w:spacing w:before="120" w:after="120"/>
            </w:pPr>
            <w:r>
              <w:t>R</w:t>
            </w:r>
            <w:r w:rsidRPr="00C959CA">
              <w:t>espirable crystalline silica</w:t>
            </w:r>
          </w:p>
        </w:tc>
      </w:tr>
      <w:tr w:rsidR="00CF3D46" w:rsidRPr="0014121C" w14:paraId="58F7ED2D" w14:textId="77777777" w:rsidTr="004647C2">
        <w:tc>
          <w:tcPr>
            <w:tcW w:w="1696" w:type="dxa"/>
          </w:tcPr>
          <w:p w14:paraId="61D0C7A0" w14:textId="77777777" w:rsidR="005F596E" w:rsidRPr="004647C2" w:rsidRDefault="005F596E" w:rsidP="004647C2">
            <w:pPr>
              <w:pStyle w:val="Body"/>
              <w:spacing w:before="120" w:after="120"/>
              <w:rPr>
                <w:b/>
              </w:rPr>
            </w:pPr>
            <w:r w:rsidRPr="004647C2">
              <w:rPr>
                <w:b/>
              </w:rPr>
              <w:t>SWA</w:t>
            </w:r>
          </w:p>
        </w:tc>
        <w:tc>
          <w:tcPr>
            <w:tcW w:w="7320" w:type="dxa"/>
          </w:tcPr>
          <w:p w14:paraId="21872735" w14:textId="77777777" w:rsidR="005F596E" w:rsidRPr="0014121C" w:rsidRDefault="005F596E" w:rsidP="004647C2">
            <w:pPr>
              <w:pStyle w:val="Body"/>
              <w:spacing w:before="120" w:after="120"/>
            </w:pPr>
            <w:r>
              <w:t>Safe Work Australia</w:t>
            </w:r>
          </w:p>
        </w:tc>
      </w:tr>
      <w:tr w:rsidR="00CF3D46" w:rsidRPr="0014121C" w14:paraId="389681F1" w14:textId="77777777" w:rsidTr="004647C2">
        <w:tc>
          <w:tcPr>
            <w:tcW w:w="1696" w:type="dxa"/>
          </w:tcPr>
          <w:p w14:paraId="3A52B7C8" w14:textId="77777777" w:rsidR="005F596E" w:rsidRPr="004647C2" w:rsidRDefault="005F596E" w:rsidP="004647C2">
            <w:pPr>
              <w:pStyle w:val="Body"/>
              <w:spacing w:before="120" w:after="120"/>
              <w:rPr>
                <w:b/>
              </w:rPr>
            </w:pPr>
            <w:r>
              <w:rPr>
                <w:b/>
                <w:bCs/>
              </w:rPr>
              <w:t>WHS</w:t>
            </w:r>
          </w:p>
        </w:tc>
        <w:tc>
          <w:tcPr>
            <w:tcW w:w="7320" w:type="dxa"/>
          </w:tcPr>
          <w:p w14:paraId="126144BB" w14:textId="77777777" w:rsidR="005F596E" w:rsidRPr="0014121C" w:rsidRDefault="005F596E" w:rsidP="004647C2">
            <w:pPr>
              <w:pStyle w:val="Body"/>
              <w:spacing w:before="120" w:after="120"/>
            </w:pPr>
            <w:r>
              <w:t>Work health and safety</w:t>
            </w:r>
          </w:p>
        </w:tc>
      </w:tr>
    </w:tbl>
    <w:p w14:paraId="5547A4E8" w14:textId="77777777" w:rsidR="00FE1AA3" w:rsidRPr="00CE4824" w:rsidRDefault="00FE1AA3" w:rsidP="00CE4824"/>
    <w:p w14:paraId="44226A0B" w14:textId="77777777" w:rsidR="00FE1AA3" w:rsidRDefault="00FE1AA3">
      <w:pPr>
        <w:rPr>
          <w:rFonts w:eastAsiaTheme="minorEastAsia"/>
          <w:b/>
          <w:color w:val="404246"/>
          <w:sz w:val="32"/>
          <w:szCs w:val="32"/>
          <w:lang w:val="en-AU"/>
        </w:rPr>
      </w:pPr>
      <w:r>
        <w:rPr>
          <w:rFonts w:eastAsiaTheme="minorEastAsia"/>
        </w:rPr>
        <w:br w:type="page"/>
      </w:r>
    </w:p>
    <w:p w14:paraId="755E5A5E" w14:textId="388E3F62" w:rsidR="008A059F" w:rsidRPr="00BA13F0" w:rsidRDefault="008A059F" w:rsidP="005F25C6">
      <w:pPr>
        <w:pStyle w:val="Heading1"/>
        <w:spacing w:line="240" w:lineRule="auto"/>
        <w:rPr>
          <w:rFonts w:asciiTheme="minorHAnsi" w:eastAsiaTheme="minorEastAsia" w:hAnsiTheme="minorHAnsi" w:cstheme="minorBidi"/>
        </w:rPr>
      </w:pPr>
      <w:bookmarkStart w:id="5" w:name="_Toc145573519"/>
      <w:r w:rsidRPr="7612DB8E">
        <w:rPr>
          <w:rFonts w:asciiTheme="minorHAnsi" w:eastAsiaTheme="minorEastAsia" w:hAnsiTheme="minorHAnsi" w:cstheme="minorBidi"/>
        </w:rPr>
        <w:lastRenderedPageBreak/>
        <w:t>1.  What is the problem you are trying to solve and what data is available?</w:t>
      </w:r>
      <w:bookmarkEnd w:id="5"/>
      <w:r w:rsidRPr="7612DB8E">
        <w:rPr>
          <w:rFonts w:asciiTheme="minorHAnsi" w:eastAsiaTheme="minorEastAsia" w:hAnsiTheme="minorHAnsi" w:cstheme="minorBidi"/>
        </w:rPr>
        <w:t xml:space="preserve"> </w:t>
      </w:r>
    </w:p>
    <w:p w14:paraId="2038D295" w14:textId="70BEF993" w:rsidR="00921F82" w:rsidRDefault="00E21FC3" w:rsidP="002B43C2">
      <w:pPr>
        <w:pStyle w:val="Body"/>
      </w:pPr>
      <w:r>
        <w:t xml:space="preserve">The Silica </w:t>
      </w:r>
      <w:r w:rsidR="00924BB1">
        <w:t xml:space="preserve">Decision </w:t>
      </w:r>
      <w:r>
        <w:t xml:space="preserve">RIS and the Prohibition </w:t>
      </w:r>
      <w:r w:rsidR="00924BB1">
        <w:t xml:space="preserve">Decision </w:t>
      </w:r>
      <w:r>
        <w:t xml:space="preserve">RIS undertook extensive research </w:t>
      </w:r>
      <w:r w:rsidR="00922502">
        <w:t xml:space="preserve">to scope </w:t>
      </w:r>
      <w:r w:rsidR="00F23F56">
        <w:t xml:space="preserve">the </w:t>
      </w:r>
      <w:r w:rsidR="002D5E5B">
        <w:t xml:space="preserve">current problem of silicosis and silica-related diseases in the engineered stone industry. </w:t>
      </w:r>
      <w:r w:rsidR="00FE0BC6">
        <w:t>SWA</w:t>
      </w:r>
      <w:r w:rsidR="00D12AB1">
        <w:t xml:space="preserve"> conducted research and analysis </w:t>
      </w:r>
      <w:r w:rsidR="00FE0BC6">
        <w:t>from</w:t>
      </w:r>
      <w:r w:rsidR="00D12AB1">
        <w:t xml:space="preserve"> a wide range of sources, from regulator performance data to academic research. </w:t>
      </w:r>
      <w:r w:rsidR="00160472">
        <w:t>The two</w:t>
      </w:r>
      <w:r w:rsidR="00D31685">
        <w:t xml:space="preserve"> de</w:t>
      </w:r>
      <w:r w:rsidR="00797D23">
        <w:t>cision</w:t>
      </w:r>
      <w:r w:rsidR="00160472">
        <w:t xml:space="preserve"> regulation impact processes also </w:t>
      </w:r>
      <w:r w:rsidR="000223D4">
        <w:t>extensively engaged with stakeholders</w:t>
      </w:r>
      <w:r w:rsidR="009737CF">
        <w:t xml:space="preserve"> such as</w:t>
      </w:r>
      <w:r w:rsidR="00FC2EAF">
        <w:t>:</w:t>
      </w:r>
      <w:r w:rsidR="009737CF">
        <w:t xml:space="preserve"> </w:t>
      </w:r>
      <w:r w:rsidR="00D952DC">
        <w:t>businesses (</w:t>
      </w:r>
      <w:r w:rsidR="00FC2EAF">
        <w:t>including</w:t>
      </w:r>
      <w:r w:rsidR="00D952DC">
        <w:t xml:space="preserve"> </w:t>
      </w:r>
      <w:r w:rsidR="003F14F9">
        <w:t>engineered stone wholesalers</w:t>
      </w:r>
      <w:r w:rsidR="005545D8">
        <w:t>, fabri</w:t>
      </w:r>
      <w:r w:rsidR="00FC2EAF">
        <w:t xml:space="preserve">cators and </w:t>
      </w:r>
      <w:r w:rsidR="005545D8">
        <w:t>resellers)</w:t>
      </w:r>
      <w:r w:rsidR="00FC2EAF">
        <w:t>;</w:t>
      </w:r>
      <w:r w:rsidR="005545D8">
        <w:t xml:space="preserve"> industry groups</w:t>
      </w:r>
      <w:r w:rsidR="00FC2EAF">
        <w:t xml:space="preserve">; unions; </w:t>
      </w:r>
      <w:r w:rsidR="005545D8">
        <w:t>law firms</w:t>
      </w:r>
      <w:r w:rsidR="00FC2EAF">
        <w:t xml:space="preserve">; </w:t>
      </w:r>
      <w:r w:rsidR="00D952DC">
        <w:t>professional organisations</w:t>
      </w:r>
      <w:r w:rsidR="00F00E08">
        <w:t>;</w:t>
      </w:r>
      <w:r w:rsidR="00D952DC">
        <w:t xml:space="preserve"> peak health bodies</w:t>
      </w:r>
      <w:r w:rsidR="003A7F05">
        <w:t xml:space="preserve">; </w:t>
      </w:r>
      <w:r w:rsidR="00F00E08">
        <w:t xml:space="preserve">Commonwealth, state and territory </w:t>
      </w:r>
      <w:r w:rsidR="003A7F05">
        <w:t>governments</w:t>
      </w:r>
      <w:r w:rsidR="00F00E08">
        <w:t>;</w:t>
      </w:r>
      <w:r w:rsidR="003A7F05">
        <w:t xml:space="preserve"> and individuals.</w:t>
      </w:r>
      <w:r w:rsidR="000223D4">
        <w:t xml:space="preserve"> The results of </w:t>
      </w:r>
      <w:r w:rsidR="002F22C6">
        <w:t xml:space="preserve">these </w:t>
      </w:r>
      <w:r w:rsidR="000223D4">
        <w:t>consultation</w:t>
      </w:r>
      <w:r w:rsidR="002F22C6">
        <w:t>s</w:t>
      </w:r>
      <w:r w:rsidR="000223D4">
        <w:t xml:space="preserve"> </w:t>
      </w:r>
      <w:r w:rsidR="00E77D31">
        <w:t xml:space="preserve">– of which the submissions are publicly available – </w:t>
      </w:r>
      <w:r w:rsidR="00772DBD">
        <w:t xml:space="preserve">contributed to the </w:t>
      </w:r>
      <w:r w:rsidR="00782483">
        <w:t xml:space="preserve">final </w:t>
      </w:r>
      <w:r w:rsidR="00721447">
        <w:t xml:space="preserve">decision </w:t>
      </w:r>
      <w:r w:rsidR="00782483">
        <w:t>regulation impact statements</w:t>
      </w:r>
      <w:r w:rsidR="00E77D31">
        <w:t>.</w:t>
      </w:r>
      <w:r w:rsidR="00DB611C">
        <w:rPr>
          <w:rStyle w:val="FootnoteReference"/>
        </w:rPr>
        <w:footnoteReference w:id="4"/>
      </w:r>
      <w:r w:rsidR="000223D4">
        <w:t xml:space="preserve"> </w:t>
      </w:r>
    </w:p>
    <w:p w14:paraId="5CE4D9E6" w14:textId="0C362F10" w:rsidR="002B43C2" w:rsidRPr="002B43C2" w:rsidRDefault="00921F82" w:rsidP="002B43C2">
      <w:pPr>
        <w:pStyle w:val="Body"/>
      </w:pPr>
      <w:r>
        <w:t xml:space="preserve">In addition to the evidence provided by </w:t>
      </w:r>
      <w:r w:rsidR="009826CF">
        <w:t xml:space="preserve">these </w:t>
      </w:r>
      <w:r w:rsidR="00AC31DD">
        <w:t>documents</w:t>
      </w:r>
      <w:r>
        <w:t xml:space="preserve">, </w:t>
      </w:r>
      <w:r w:rsidR="00AC31DD">
        <w:t>the</w:t>
      </w:r>
      <w:r>
        <w:t xml:space="preserve"> interim and final reports</w:t>
      </w:r>
      <w:r w:rsidR="00AC31DD">
        <w:t xml:space="preserve"> </w:t>
      </w:r>
      <w:r w:rsidR="00A62E60">
        <w:t>of the</w:t>
      </w:r>
      <w:r w:rsidR="00AC31DD">
        <w:t xml:space="preserve"> </w:t>
      </w:r>
      <w:r w:rsidR="003D4ADA" w:rsidRPr="003D4ADA">
        <w:t xml:space="preserve">National Dust Disease Taskforce </w:t>
      </w:r>
      <w:r w:rsidR="00F96379">
        <w:t>(NDDT)</w:t>
      </w:r>
      <w:r w:rsidR="00AC31DD">
        <w:t xml:space="preserve"> </w:t>
      </w:r>
      <w:r w:rsidR="00A62E60">
        <w:t>present</w:t>
      </w:r>
      <w:r w:rsidR="00C71C5A">
        <w:t xml:space="preserve"> </w:t>
      </w:r>
      <w:r w:rsidR="00171C27">
        <w:t xml:space="preserve">a consistent </w:t>
      </w:r>
      <w:r w:rsidR="000E0435">
        <w:t>overall view of the problems faced by the engineered stone industry.</w:t>
      </w:r>
      <w:r w:rsidR="00D1468C">
        <w:rPr>
          <w:rStyle w:val="FootnoteReference"/>
        </w:rPr>
        <w:footnoteReference w:id="5"/>
      </w:r>
      <w:r w:rsidR="000E0435">
        <w:t xml:space="preserve"> </w:t>
      </w:r>
      <w:r w:rsidR="003D4ADA" w:rsidRPr="004647C2">
        <w:rPr>
          <w:rStyle w:val="cf01"/>
          <w:rFonts w:asciiTheme="minorHAnsi" w:hAnsiTheme="minorHAnsi" w:cstheme="minorBidi"/>
          <w:sz w:val="22"/>
          <w:szCs w:val="22"/>
        </w:rPr>
        <w:t xml:space="preserve">The </w:t>
      </w:r>
      <w:r w:rsidR="003D4ADA">
        <w:rPr>
          <w:rStyle w:val="cf01"/>
          <w:rFonts w:asciiTheme="minorHAnsi" w:hAnsiTheme="minorHAnsi" w:cstheme="minorBidi"/>
          <w:sz w:val="22"/>
          <w:szCs w:val="22"/>
        </w:rPr>
        <w:t xml:space="preserve">NDDT </w:t>
      </w:r>
      <w:r w:rsidR="003D4ADA" w:rsidRPr="004647C2">
        <w:rPr>
          <w:rStyle w:val="cf01"/>
          <w:rFonts w:asciiTheme="minorHAnsi" w:hAnsiTheme="minorHAnsi" w:cstheme="minorBidi"/>
          <w:sz w:val="22"/>
          <w:szCs w:val="22"/>
        </w:rPr>
        <w:t>was established in 2019 to assist the development of a national approach for the prevention, early identification, control, and management of dust diseases in Australia. The Department of Health and Aged Care led this work.</w:t>
      </w:r>
      <w:r w:rsidR="003D4ADA">
        <w:rPr>
          <w:rStyle w:val="cf01"/>
          <w:rFonts w:asciiTheme="minorHAnsi" w:hAnsiTheme="minorHAnsi" w:cstheme="minorBidi"/>
          <w:sz w:val="22"/>
          <w:szCs w:val="22"/>
        </w:rPr>
        <w:t xml:space="preserve"> </w:t>
      </w:r>
      <w:r w:rsidR="002B6043">
        <w:t xml:space="preserve">Some of the data presented by the NDDT is relied upon by the </w:t>
      </w:r>
      <w:r w:rsidR="006E7DFE">
        <w:t xml:space="preserve">Silica </w:t>
      </w:r>
      <w:r w:rsidR="00F96379">
        <w:t xml:space="preserve">Decision </w:t>
      </w:r>
      <w:r w:rsidR="006E7DFE">
        <w:t xml:space="preserve">RIS and the Prohibition </w:t>
      </w:r>
      <w:r w:rsidR="00F96379">
        <w:t xml:space="preserve">Decision </w:t>
      </w:r>
      <w:r w:rsidR="006E7DFE">
        <w:t xml:space="preserve">RIS. </w:t>
      </w:r>
    </w:p>
    <w:p w14:paraId="0DCA2BC3" w14:textId="7C8940D2" w:rsidR="008E572E" w:rsidRDefault="005E7060" w:rsidP="004A57AB">
      <w:pPr>
        <w:pStyle w:val="Heading2"/>
      </w:pPr>
      <w:bookmarkStart w:id="6" w:name="_Toc145573520"/>
      <w:r>
        <w:t>The unique hazards of e</w:t>
      </w:r>
      <w:r w:rsidR="008E572E">
        <w:t>ngineered stone</w:t>
      </w:r>
      <w:bookmarkEnd w:id="6"/>
    </w:p>
    <w:p w14:paraId="368DE52C" w14:textId="44B40C23" w:rsidR="00733084" w:rsidRDefault="001C5805" w:rsidP="001C5805">
      <w:pPr>
        <w:pStyle w:val="Body"/>
        <w:rPr>
          <w:color w:val="252525"/>
        </w:rPr>
      </w:pPr>
      <w:r>
        <w:t>Engineered stone has been available in Australia since the late 1990s. It is an artificial product that contains high levels of crystalline silica (up to 9</w:t>
      </w:r>
      <w:r w:rsidR="00730762">
        <w:t>7</w:t>
      </w:r>
      <w:r w:rsidR="001C4C5C">
        <w:t xml:space="preserve"> per cent</w:t>
      </w:r>
      <w:r>
        <w:t>) along with other minerals, resins and pigments.</w:t>
      </w:r>
      <w:r w:rsidR="001B69EA" w:rsidRPr="001B69EA">
        <w:rPr>
          <w:color w:val="252525"/>
        </w:rPr>
        <w:t xml:space="preserve"> </w:t>
      </w:r>
      <w:r w:rsidR="001B69EA">
        <w:rPr>
          <w:color w:val="252525"/>
        </w:rPr>
        <w:t>The composite nature of engineered stone materials makes the emissions produced during processing of these products different from those produced when processing natural stone (e.g. granite and marble).</w:t>
      </w:r>
    </w:p>
    <w:p w14:paraId="60C25993" w14:textId="62E6B0CD" w:rsidR="001B69EA" w:rsidRDefault="00382AC3" w:rsidP="001C5805">
      <w:pPr>
        <w:pStyle w:val="Body"/>
        <w:rPr>
          <w:color w:val="252525"/>
        </w:rPr>
      </w:pPr>
      <w:r>
        <w:rPr>
          <w:color w:val="252525"/>
        </w:rPr>
        <w:t>SWA</w:t>
      </w:r>
      <w:r w:rsidR="001B69EA">
        <w:rPr>
          <w:color w:val="252525"/>
        </w:rPr>
        <w:t xml:space="preserve"> commission</w:t>
      </w:r>
      <w:r w:rsidR="00CE7CEE">
        <w:rPr>
          <w:color w:val="252525"/>
        </w:rPr>
        <w:t>ed the University of Adelaide to undertake a review and critical analysis of available evidence of the specific hazards associated with engineered stone.</w:t>
      </w:r>
      <w:r w:rsidR="002D28F4" w:rsidRPr="002D28F4">
        <w:rPr>
          <w:color w:val="252525"/>
        </w:rPr>
        <w:t xml:space="preserve"> </w:t>
      </w:r>
      <w:r w:rsidR="002D28F4">
        <w:rPr>
          <w:color w:val="252525"/>
        </w:rPr>
        <w:t>The review highlights the unique hazards associated with engineered stone that have likely contributed to the high rates of silicosis in engineered stone workers.</w:t>
      </w:r>
    </w:p>
    <w:p w14:paraId="7212B331" w14:textId="23EAD656" w:rsidR="008E572E" w:rsidRDefault="00CC030F" w:rsidP="004A57AB">
      <w:pPr>
        <w:pStyle w:val="Heading2"/>
      </w:pPr>
      <w:bookmarkStart w:id="7" w:name="_Toc145573521"/>
      <w:r>
        <w:t>Insufficient compliance</w:t>
      </w:r>
      <w:r w:rsidR="008E572E">
        <w:t xml:space="preserve"> with WHS model laws</w:t>
      </w:r>
      <w:bookmarkEnd w:id="7"/>
    </w:p>
    <w:p w14:paraId="348D8CFC" w14:textId="7D9F99D3" w:rsidR="00733084" w:rsidRPr="00142F40" w:rsidRDefault="00142F40" w:rsidP="00142F40">
      <w:pPr>
        <w:pStyle w:val="Body"/>
      </w:pPr>
      <w:r w:rsidRPr="00142F40">
        <w:t xml:space="preserve">Engineered stone workers have contracted silicosis and other silica-related diseases because they have not been adequately protected from exposure to </w:t>
      </w:r>
      <w:r w:rsidR="00C71802">
        <w:t>R</w:t>
      </w:r>
      <w:r w:rsidRPr="00142F40">
        <w:t xml:space="preserve">CS dust. This is the result of a failure of </w:t>
      </w:r>
      <w:r w:rsidR="0014582F">
        <w:t>persons conducting a business or undertaking (</w:t>
      </w:r>
      <w:r w:rsidRPr="00142F40">
        <w:t>PCBUs</w:t>
      </w:r>
      <w:r w:rsidR="0014582F">
        <w:t>)</w:t>
      </w:r>
      <w:r w:rsidRPr="00142F40">
        <w:t xml:space="preserve"> to ensure the health and safety of workers, as required by WHS laws. Workers have also failed to take reasonable care for their own health and safety and ensure that their acts or </w:t>
      </w:r>
      <w:r w:rsidR="00DE1564">
        <w:t>e</w:t>
      </w:r>
      <w:r w:rsidRPr="00142F40">
        <w:t>missions do not adversely affect the health and safety of others.</w:t>
      </w:r>
    </w:p>
    <w:p w14:paraId="25D50C35" w14:textId="6385262A" w:rsidR="00142F40" w:rsidRDefault="00E15550" w:rsidP="00142F40">
      <w:pPr>
        <w:pStyle w:val="Body"/>
        <w:rPr>
          <w:color w:val="252525"/>
        </w:rPr>
      </w:pPr>
      <w:r>
        <w:rPr>
          <w:color w:val="252525"/>
        </w:rPr>
        <w:lastRenderedPageBreak/>
        <w:t xml:space="preserve">Importers, suppliers and manufacturers of engineered stone products have failed to comply with their upstream duties to ensure these products are without risks to health and safety of the workers who will use the products. Most have not provided </w:t>
      </w:r>
      <w:r w:rsidR="002A0142">
        <w:rPr>
          <w:color w:val="252525"/>
        </w:rPr>
        <w:t>PCBU</w:t>
      </w:r>
      <w:r w:rsidR="00E271E3">
        <w:rPr>
          <w:color w:val="252525"/>
        </w:rPr>
        <w:t>s</w:t>
      </w:r>
      <w:r w:rsidR="002A0142">
        <w:rPr>
          <w:color w:val="252525"/>
        </w:rPr>
        <w:t xml:space="preserve"> </w:t>
      </w:r>
      <w:r>
        <w:rPr>
          <w:color w:val="252525"/>
        </w:rPr>
        <w:t>with adequate information about the hazardous properties of the products and the co</w:t>
      </w:r>
      <w:r w:rsidR="009A4398">
        <w:rPr>
          <w:color w:val="252525"/>
        </w:rPr>
        <w:t xml:space="preserve">ntrols </w:t>
      </w:r>
      <w:r>
        <w:rPr>
          <w:color w:val="252525"/>
        </w:rPr>
        <w:t>necessary to ensure that the products are without risks to the workers’ health and safety in the fabrication proces</w:t>
      </w:r>
      <w:r w:rsidR="009A4398">
        <w:rPr>
          <w:color w:val="252525"/>
        </w:rPr>
        <w:t>s</w:t>
      </w:r>
      <w:r>
        <w:rPr>
          <w:color w:val="252525"/>
        </w:rPr>
        <w:t>.</w:t>
      </w:r>
    </w:p>
    <w:p w14:paraId="1E4579A5" w14:textId="423D0E61" w:rsidR="00FB6669" w:rsidRPr="00733084" w:rsidRDefault="00FB6669" w:rsidP="00142F40">
      <w:pPr>
        <w:pStyle w:val="Body"/>
      </w:pPr>
      <w:r>
        <w:rPr>
          <w:color w:val="252525"/>
        </w:rPr>
        <w:t>Commonwealth, state and territory WHS regulators are responsible for the enforcement of WHS laws in their jurisdictions. Despite WHS regulators indicating that they have observed a general improvement in compliance in the engineered stone industry in recent years, data from WHS regulators indicates that non-compliance with WHS laws, relating to a broad range of regulatory duties, continues to occur in the engineered stone industry.</w:t>
      </w:r>
      <w:r w:rsidR="000155BA">
        <w:rPr>
          <w:rStyle w:val="FootnoteReference"/>
          <w:color w:val="252525"/>
        </w:rPr>
        <w:footnoteReference w:id="6"/>
      </w:r>
    </w:p>
    <w:p w14:paraId="52C34481" w14:textId="15F5379C" w:rsidR="008E572E" w:rsidRDefault="008E572E" w:rsidP="008E572E">
      <w:pPr>
        <w:pStyle w:val="Heading2"/>
      </w:pPr>
      <w:bookmarkStart w:id="8" w:name="_Toc145573522"/>
      <w:r>
        <w:t xml:space="preserve">The </w:t>
      </w:r>
      <w:r w:rsidR="002B2FFC">
        <w:t xml:space="preserve">nature of the </w:t>
      </w:r>
      <w:r>
        <w:t>engineered stone industry</w:t>
      </w:r>
      <w:bookmarkEnd w:id="8"/>
    </w:p>
    <w:p w14:paraId="12FF0B58" w14:textId="72BF37CC" w:rsidR="00733084" w:rsidRDefault="00B86DEC" w:rsidP="00B86DEC">
      <w:pPr>
        <w:pStyle w:val="Body"/>
      </w:pPr>
      <w:r w:rsidRPr="00B86DEC">
        <w:t>Engineered stone has become the dominant benchtop material in Australia, commanding an estimated 55</w:t>
      </w:r>
      <w:r w:rsidR="00DE03FA">
        <w:t xml:space="preserve"> per cent</w:t>
      </w:r>
      <w:r w:rsidRPr="00B86DEC">
        <w:t xml:space="preserve"> market share, due to a combination of factors including aesthetics, durability, price, and ease of processing.</w:t>
      </w:r>
      <w:r w:rsidR="004D672A">
        <w:rPr>
          <w:rStyle w:val="FootnoteReference"/>
        </w:rPr>
        <w:footnoteReference w:id="7"/>
      </w:r>
    </w:p>
    <w:p w14:paraId="67E546AB" w14:textId="77777777" w:rsidR="00386DF2" w:rsidRDefault="00663D24" w:rsidP="00B86DEC">
      <w:pPr>
        <w:pStyle w:val="Body"/>
        <w:rPr>
          <w:color w:val="252525"/>
        </w:rPr>
      </w:pPr>
      <w:r>
        <w:rPr>
          <w:color w:val="252525"/>
        </w:rPr>
        <w:t>The nature of the engineered stone industry has arguably</w:t>
      </w:r>
      <w:r w:rsidR="004743D9">
        <w:rPr>
          <w:color w:val="252525"/>
        </w:rPr>
        <w:t xml:space="preserve"> contributed to non-compliance</w:t>
      </w:r>
      <w:r w:rsidR="0009508F">
        <w:rPr>
          <w:color w:val="252525"/>
        </w:rPr>
        <w:t xml:space="preserve">, </w:t>
      </w:r>
      <w:r w:rsidR="006842D2">
        <w:rPr>
          <w:color w:val="252525"/>
        </w:rPr>
        <w:t>strongly contributing to the</w:t>
      </w:r>
      <w:r w:rsidR="00132E8F">
        <w:rPr>
          <w:color w:val="252525"/>
        </w:rPr>
        <w:t xml:space="preserve"> extent of cases of silicosis in the industry. </w:t>
      </w:r>
      <w:r w:rsidR="008500A1">
        <w:rPr>
          <w:color w:val="252525"/>
        </w:rPr>
        <w:t xml:space="preserve">In addition to the faster processing time of engineered stone, the ease with which this product can be fabricated means less skill is required to handle these materials compared to more brittle natural stone slabs and many workers in this industry do not have formal stonemason qualifications. </w:t>
      </w:r>
    </w:p>
    <w:p w14:paraId="49CAC45A" w14:textId="50784D2C" w:rsidR="008500A1" w:rsidRDefault="00386DF2" w:rsidP="00B86DEC">
      <w:pPr>
        <w:pStyle w:val="Body"/>
        <w:rPr>
          <w:color w:val="252525"/>
        </w:rPr>
      </w:pPr>
      <w:r>
        <w:rPr>
          <w:color w:val="252525"/>
        </w:rPr>
        <w:t>M</w:t>
      </w:r>
      <w:r w:rsidR="008500A1">
        <w:rPr>
          <w:color w:val="252525"/>
        </w:rPr>
        <w:t xml:space="preserve">any workers in this industry are from a </w:t>
      </w:r>
      <w:r w:rsidR="005A493B">
        <w:rPr>
          <w:color w:val="252525"/>
        </w:rPr>
        <w:t>culturally and linguistically diverse (</w:t>
      </w:r>
      <w:r w:rsidR="008500A1">
        <w:rPr>
          <w:color w:val="252525"/>
        </w:rPr>
        <w:t>CALD</w:t>
      </w:r>
      <w:r w:rsidR="005A493B">
        <w:rPr>
          <w:color w:val="252525"/>
        </w:rPr>
        <w:t>)</w:t>
      </w:r>
      <w:r w:rsidR="008500A1">
        <w:rPr>
          <w:color w:val="252525"/>
        </w:rPr>
        <w:t xml:space="preserve"> background. </w:t>
      </w:r>
      <w:r w:rsidR="00E00523">
        <w:rPr>
          <w:color w:val="252525"/>
        </w:rPr>
        <w:t>CALD workers are at increased risk of occupational disease more broadly, and a recent case study of silicosis in engineered stone workers in California highlights this issue.</w:t>
      </w:r>
      <w:r w:rsidR="00B97492">
        <w:rPr>
          <w:rStyle w:val="FootnoteReference"/>
          <w:color w:val="252525"/>
        </w:rPr>
        <w:footnoteReference w:id="8"/>
      </w:r>
    </w:p>
    <w:p w14:paraId="2C4C0192" w14:textId="4A89E9A1" w:rsidR="000C4673" w:rsidRDefault="000C4673" w:rsidP="00B86DEC">
      <w:pPr>
        <w:pStyle w:val="Body"/>
        <w:rPr>
          <w:color w:val="252525"/>
        </w:rPr>
      </w:pPr>
      <w:r>
        <w:rPr>
          <w:color w:val="252525"/>
        </w:rPr>
        <w:t>The small size of many fabrication businesses (less than 20 employees) means they may also have less ability to invest in automation and other technology to minimise risks, with a resultant increase in the use of handheld tools, which is likely to lead to increased worker exposure to RCS.</w:t>
      </w:r>
    </w:p>
    <w:p w14:paraId="0077D9DC" w14:textId="22F57035" w:rsidR="001B0387" w:rsidRPr="00733084" w:rsidRDefault="001B0387" w:rsidP="00B86DEC">
      <w:pPr>
        <w:pStyle w:val="Body"/>
      </w:pPr>
      <w:r>
        <w:rPr>
          <w:color w:val="252525"/>
        </w:rPr>
        <w:t xml:space="preserve">The nature of the engineered stone industry and the associated workforce also means that some of the mechanisms in the model WHS laws that assist to better manage health and safety risks in workplaces were also less likely to be present. For example, there is unlikely to be a </w:t>
      </w:r>
      <w:r w:rsidR="005D4D3B">
        <w:rPr>
          <w:color w:val="252525"/>
        </w:rPr>
        <w:t>health and safety representative</w:t>
      </w:r>
      <w:r>
        <w:rPr>
          <w:color w:val="252525"/>
        </w:rPr>
        <w:t xml:space="preserve"> </w:t>
      </w:r>
      <w:r w:rsidR="005D4D3B">
        <w:rPr>
          <w:color w:val="252525"/>
        </w:rPr>
        <w:t>(</w:t>
      </w:r>
      <w:r>
        <w:rPr>
          <w:color w:val="252525"/>
        </w:rPr>
        <w:t>HSR</w:t>
      </w:r>
      <w:r w:rsidR="005D4D3B">
        <w:rPr>
          <w:color w:val="252525"/>
        </w:rPr>
        <w:t>)</w:t>
      </w:r>
      <w:r>
        <w:rPr>
          <w:color w:val="252525"/>
        </w:rPr>
        <w:t xml:space="preserve"> or a health and safety committee at these workplaces. Where present, a </w:t>
      </w:r>
      <w:r>
        <w:rPr>
          <w:color w:val="252525"/>
        </w:rPr>
        <w:lastRenderedPageBreak/>
        <w:t>HSR or a health and safety committee can monitor compliance with the WHS laws and raise concerns about risks to health and safety in the business.</w:t>
      </w:r>
    </w:p>
    <w:p w14:paraId="768FC0D0" w14:textId="2D435088" w:rsidR="008E572E" w:rsidRDefault="008E572E" w:rsidP="008E572E">
      <w:pPr>
        <w:pStyle w:val="Heading2"/>
      </w:pPr>
      <w:bookmarkStart w:id="9" w:name="_Toc145573523"/>
      <w:r>
        <w:t>Silicosis disease</w:t>
      </w:r>
      <w:r w:rsidR="00187BC9">
        <w:t xml:space="preserve"> onset</w:t>
      </w:r>
      <w:r w:rsidR="00554BC4">
        <w:t xml:space="preserve"> and profile differs</w:t>
      </w:r>
      <w:r w:rsidR="00BF45FC">
        <w:t xml:space="preserve"> in engineered stone workers</w:t>
      </w:r>
      <w:bookmarkEnd w:id="9"/>
    </w:p>
    <w:p w14:paraId="3E7A2F6B" w14:textId="5B33D5CE" w:rsidR="00733084" w:rsidRDefault="005A1B51" w:rsidP="005A1B51">
      <w:pPr>
        <w:pStyle w:val="Body"/>
      </w:pPr>
      <w:r w:rsidRPr="005A1B51">
        <w:t>There has been a dramatic increase in cases of silicosis and silica-related disease in Australia in recent years, particularly in workers who have been exposed to silica dust from processing engineered stone. Engineered stone workers are over-represented amongst people diagnosed with silicosis</w:t>
      </w:r>
      <w:r w:rsidR="00A24763">
        <w:t>.</w:t>
      </w:r>
    </w:p>
    <w:p w14:paraId="1BDEF13C" w14:textId="7F59BC65" w:rsidR="001A27B7" w:rsidRDefault="00CA018A" w:rsidP="005A1B51">
      <w:pPr>
        <w:pStyle w:val="Body"/>
        <w:rPr>
          <w:color w:val="252525"/>
        </w:rPr>
      </w:pPr>
      <w:r>
        <w:rPr>
          <w:color w:val="252525"/>
        </w:rPr>
        <w:t>Health screening programs carried out by state and territory WHS regulators and health auth</w:t>
      </w:r>
      <w:bookmarkStart w:id="10" w:name="_GoBack"/>
      <w:bookmarkEnd w:id="10"/>
      <w:r>
        <w:rPr>
          <w:color w:val="252525"/>
        </w:rPr>
        <w:t>orities since 2018</w:t>
      </w:r>
      <w:r w:rsidR="006E30DA">
        <w:rPr>
          <w:color w:val="252525"/>
        </w:rPr>
        <w:t>,</w:t>
      </w:r>
      <w:r>
        <w:rPr>
          <w:color w:val="252525"/>
        </w:rPr>
        <w:t xml:space="preserve"> have </w:t>
      </w:r>
      <w:r w:rsidR="00A47467">
        <w:rPr>
          <w:color w:val="252525"/>
        </w:rPr>
        <w:t>shown</w:t>
      </w:r>
      <w:r>
        <w:rPr>
          <w:color w:val="252525"/>
        </w:rPr>
        <w:t xml:space="preserve"> that of the 4,743 stonemasons and engineered stone workers screened, approximately 11</w:t>
      </w:r>
      <w:r w:rsidR="00E44F71">
        <w:rPr>
          <w:color w:val="252525"/>
        </w:rPr>
        <w:t xml:space="preserve"> per cent</w:t>
      </w:r>
      <w:r>
        <w:rPr>
          <w:color w:val="252525"/>
        </w:rPr>
        <w:t xml:space="preserve"> received a probable or confirmed diagnosis of silicosis because of workplace exposure to RCS. There is also a suggestion that current case numbers, particularly in NSW, are an underestimation.</w:t>
      </w:r>
      <w:r w:rsidR="00801FCF">
        <w:rPr>
          <w:rStyle w:val="FootnoteReference"/>
          <w:color w:val="252525"/>
        </w:rPr>
        <w:footnoteReference w:id="9"/>
      </w:r>
    </w:p>
    <w:p w14:paraId="54D06DCD" w14:textId="4A6AC2F5" w:rsidR="00907FD2" w:rsidRDefault="00803FDC" w:rsidP="00803FDC">
      <w:pPr>
        <w:pStyle w:val="Body"/>
        <w:rPr>
          <w:lang w:val="en-GB"/>
        </w:rPr>
      </w:pPr>
      <w:r w:rsidRPr="00803FDC">
        <w:t xml:space="preserve">The increase in </w:t>
      </w:r>
      <w:r>
        <w:t xml:space="preserve">workers’ compensation </w:t>
      </w:r>
      <w:r w:rsidRPr="00803FDC">
        <w:t>claims seen from 2018–19 onwards, together with the concentration of these</w:t>
      </w:r>
      <w:r>
        <w:t xml:space="preserve"> </w:t>
      </w:r>
      <w:r w:rsidRPr="00803FDC">
        <w:t>claims in the manufacturing sector coincides with concerted awareness raising and health</w:t>
      </w:r>
      <w:r>
        <w:t xml:space="preserve"> </w:t>
      </w:r>
      <w:r w:rsidRPr="00803FDC">
        <w:rPr>
          <w:lang w:val="en-GB"/>
        </w:rPr>
        <w:t>screening efforts targeted at stone masons and engineered stone workers.</w:t>
      </w:r>
    </w:p>
    <w:p w14:paraId="2971A14F" w14:textId="515FA68D" w:rsidR="00907FD2" w:rsidRPr="000A5F75" w:rsidRDefault="00907FD2" w:rsidP="00803FDC">
      <w:pPr>
        <w:pStyle w:val="Body"/>
        <w:rPr>
          <w:lang w:val="en-GB"/>
        </w:rPr>
      </w:pPr>
      <w:r w:rsidRPr="00907FD2">
        <w:rPr>
          <w:noProof/>
        </w:rPr>
        <w:drawing>
          <wp:inline distT="0" distB="0" distL="0" distR="0" wp14:anchorId="5D88ABE2" wp14:editId="427A696C">
            <wp:extent cx="5731510" cy="2933700"/>
            <wp:effectExtent l="0" t="0" r="2540" b="0"/>
            <wp:docPr id="1"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number of people&#10;&#10;Description automatically generated with medium confidence"/>
                    <pic:cNvPicPr/>
                  </pic:nvPicPr>
                  <pic:blipFill>
                    <a:blip r:embed="rId19"/>
                    <a:stretch>
                      <a:fillRect/>
                    </a:stretch>
                  </pic:blipFill>
                  <pic:spPr>
                    <a:xfrm>
                      <a:off x="0" y="0"/>
                      <a:ext cx="5731510" cy="2933700"/>
                    </a:xfrm>
                    <a:prstGeom prst="rect">
                      <a:avLst/>
                    </a:prstGeom>
                  </pic:spPr>
                </pic:pic>
              </a:graphicData>
            </a:graphic>
          </wp:inline>
        </w:drawing>
      </w:r>
    </w:p>
    <w:p w14:paraId="6E4DC671" w14:textId="4DCFC396" w:rsidR="00E50EDD" w:rsidRPr="008F1BC3" w:rsidRDefault="00CA6609" w:rsidP="002578E1">
      <w:pPr>
        <w:pStyle w:val="Heading2"/>
        <w:spacing w:line="240" w:lineRule="auto"/>
      </w:pPr>
      <w:bookmarkStart w:id="11" w:name="_Toc145573524"/>
      <w:r>
        <w:t>Eng</w:t>
      </w:r>
      <w:r w:rsidR="00793596">
        <w:t>i</w:t>
      </w:r>
      <w:r w:rsidR="003838BD">
        <w:t>neered</w:t>
      </w:r>
      <w:r w:rsidR="00D0083B">
        <w:t xml:space="preserve"> stone may</w:t>
      </w:r>
      <w:r>
        <w:t xml:space="preserve"> continue to be knowingly, or unknowingly, </w:t>
      </w:r>
      <w:r w:rsidR="00F40A14" w:rsidRPr="008F1BC3">
        <w:t xml:space="preserve">brought </w:t>
      </w:r>
      <w:r w:rsidRPr="008F1BC3">
        <w:t>into Australia</w:t>
      </w:r>
      <w:bookmarkEnd w:id="11"/>
    </w:p>
    <w:p w14:paraId="7C438437" w14:textId="0399E399" w:rsidR="00981C98" w:rsidRDefault="00A12FA0" w:rsidP="00A12FA0">
      <w:pPr>
        <w:pStyle w:val="Body"/>
      </w:pPr>
      <w:r w:rsidRPr="008F1BC3">
        <w:t>Regulatory failure has contributed to ongoing non</w:t>
      </w:r>
      <w:r w:rsidR="009D3720" w:rsidRPr="008F1BC3">
        <w:t>-</w:t>
      </w:r>
      <w:r w:rsidRPr="008F1BC3">
        <w:t xml:space="preserve">compliance with WHS laws concerning RCS exposure. </w:t>
      </w:r>
      <w:r w:rsidR="00B973A9" w:rsidRPr="008F1BC3">
        <w:rPr>
          <w:lang w:val="en-GB"/>
        </w:rPr>
        <w:t>Complementary border measures, such as a customs ban,</w:t>
      </w:r>
      <w:r w:rsidR="00981C98" w:rsidRPr="008F1BC3">
        <w:rPr>
          <w:lang w:val="en-GB"/>
        </w:rPr>
        <w:t xml:space="preserve"> could support the efforts of state and territory WHS regulators by providing an additional layer of enforcement and deterrence given engineered stone in Australia is predominantly imported</w:t>
      </w:r>
      <w:r w:rsidR="001246FA" w:rsidRPr="008F1BC3">
        <w:rPr>
          <w:lang w:val="en-GB"/>
        </w:rPr>
        <w:t xml:space="preserve"> in Australia.</w:t>
      </w:r>
    </w:p>
    <w:p w14:paraId="7BA6C9D8" w14:textId="248A6114" w:rsidR="00E50EDD" w:rsidRPr="008F1BC3" w:rsidRDefault="00E50EDD" w:rsidP="00E50EDD">
      <w:pPr>
        <w:pStyle w:val="Body"/>
      </w:pPr>
      <w:r w:rsidRPr="001447D1">
        <w:rPr>
          <w:kern w:val="2"/>
        </w:rPr>
        <w:lastRenderedPageBreak/>
        <w:t xml:space="preserve">While </w:t>
      </w:r>
      <w:r>
        <w:t xml:space="preserve">a product may be heavily regulated or prohibited in Australia, this does </w:t>
      </w:r>
      <w:r w:rsidR="00132443">
        <w:t xml:space="preserve">not </w:t>
      </w:r>
      <w:r>
        <w:t xml:space="preserve">prevent persons from knowingly or </w:t>
      </w:r>
      <w:r w:rsidRPr="008F1BC3">
        <w:t xml:space="preserve">unknowingly </w:t>
      </w:r>
      <w:r w:rsidR="002D383A" w:rsidRPr="008F1BC3">
        <w:t xml:space="preserve">attempting to bring it </w:t>
      </w:r>
      <w:r w:rsidR="00490CE3" w:rsidRPr="008F1BC3">
        <w:t>into the country</w:t>
      </w:r>
      <w:r w:rsidRPr="008F1BC3">
        <w:t xml:space="preserve">. Two examples of this are substances that mimic the effect of illicit drugs, and asbestos. </w:t>
      </w:r>
    </w:p>
    <w:p w14:paraId="489A4C98" w14:textId="3B995924" w:rsidR="00E50EDD" w:rsidRPr="008F1BC3" w:rsidRDefault="00E50EDD" w:rsidP="00E50EDD">
      <w:pPr>
        <w:pStyle w:val="Body"/>
      </w:pPr>
      <w:r w:rsidRPr="008F1BC3">
        <w:t xml:space="preserve">Despite asbestos being subject to a </w:t>
      </w:r>
      <w:r w:rsidR="00EA470B" w:rsidRPr="008F1BC3">
        <w:t>customs ban</w:t>
      </w:r>
      <w:r w:rsidR="004F2177" w:rsidRPr="008F1BC3">
        <w:t xml:space="preserve"> </w:t>
      </w:r>
      <w:r w:rsidRPr="008F1BC3">
        <w:t xml:space="preserve">since 2003, each year </w:t>
      </w:r>
      <w:r w:rsidR="00822B39" w:rsidRPr="008F1BC3">
        <w:t>the</w:t>
      </w:r>
      <w:r w:rsidRPr="008F1BC3">
        <w:t xml:space="preserve"> Australian Border Force </w:t>
      </w:r>
      <w:r w:rsidR="00F32CC4" w:rsidRPr="008F1BC3">
        <w:t xml:space="preserve">(ABF) </w:t>
      </w:r>
      <w:r w:rsidRPr="008F1BC3">
        <w:t xml:space="preserve">continues to detect asbestos in </w:t>
      </w:r>
      <w:r w:rsidR="003A4B93" w:rsidRPr="008F1BC3">
        <w:t>cargo arrivals</w:t>
      </w:r>
      <w:r w:rsidRPr="008F1BC3">
        <w:t>. The manufacture and use of asbestos products is legal in a number of countries which manufacture products and export them to Australia. The difficulty in detecting asbestos products</w:t>
      </w:r>
      <w:r w:rsidR="00CD0899" w:rsidRPr="008F1BC3">
        <w:t>,</w:t>
      </w:r>
      <w:r w:rsidRPr="008F1BC3">
        <w:t xml:space="preserve"> coupled with their legality elsewhere</w:t>
      </w:r>
      <w:r w:rsidR="00CD0899" w:rsidRPr="008F1BC3">
        <w:t>,</w:t>
      </w:r>
      <w:r w:rsidRPr="008F1BC3">
        <w:t xml:space="preserve"> means it is not uncommon for products containing asbestos to </w:t>
      </w:r>
      <w:r w:rsidR="006C0B35" w:rsidRPr="008F1BC3">
        <w:t xml:space="preserve">arrive in </w:t>
      </w:r>
      <w:r w:rsidRPr="008F1BC3">
        <w:t xml:space="preserve">Australia – often unknowingly. While the properties and uses of asbestos and engineered stone are different, </w:t>
      </w:r>
      <w:r w:rsidR="00354937" w:rsidRPr="008F1BC3">
        <w:t>there is a risk that</w:t>
      </w:r>
      <w:r w:rsidRPr="008F1BC3">
        <w:t xml:space="preserve"> without </w:t>
      </w:r>
      <w:r w:rsidR="006C0B35" w:rsidRPr="008F1BC3">
        <w:t>appropriate border measures</w:t>
      </w:r>
      <w:r w:rsidR="007D52C6" w:rsidRPr="008F1BC3">
        <w:t xml:space="preserve"> in place</w:t>
      </w:r>
      <w:r w:rsidRPr="008F1BC3">
        <w:t xml:space="preserve">, engineered stone may </w:t>
      </w:r>
      <w:r w:rsidR="00E25FF0" w:rsidRPr="008F1BC3">
        <w:t>arrive in the Australian market</w:t>
      </w:r>
      <w:r w:rsidR="0093329B" w:rsidRPr="008F1BC3">
        <w:t xml:space="preserve"> illega</w:t>
      </w:r>
      <w:r w:rsidR="002520D3" w:rsidRPr="008F1BC3">
        <w:t>lly.</w:t>
      </w:r>
    </w:p>
    <w:p w14:paraId="62793710" w14:textId="377318EE" w:rsidR="00E50EDD" w:rsidRDefault="0083759A" w:rsidP="00E50EDD">
      <w:pPr>
        <w:pStyle w:val="Body"/>
      </w:pPr>
      <w:r w:rsidRPr="008F1BC3">
        <w:t>Prior to 2014, s</w:t>
      </w:r>
      <w:r w:rsidR="00E50EDD" w:rsidRPr="008F1BC3">
        <w:t xml:space="preserve">ubstances which mimic the effects of illicit drugs but whose chemical structures fall outside existing controls </w:t>
      </w:r>
      <w:r w:rsidRPr="008F1BC3">
        <w:t>were</w:t>
      </w:r>
      <w:r w:rsidR="00CD0899" w:rsidRPr="008F1BC3">
        <w:t xml:space="preserve"> </w:t>
      </w:r>
      <w:r w:rsidR="00E50EDD" w:rsidRPr="008F1BC3">
        <w:t>marketed as ‘legal highs’</w:t>
      </w:r>
      <w:r w:rsidR="006863DC" w:rsidRPr="008F1BC3">
        <w:t xml:space="preserve"> and imported to Australia</w:t>
      </w:r>
      <w:r w:rsidR="00E50EDD" w:rsidRPr="008F1BC3">
        <w:t>. However, the ‘legal’</w:t>
      </w:r>
      <w:r w:rsidR="006863DC" w:rsidRPr="008F1BC3">
        <w:t xml:space="preserve"> label</w:t>
      </w:r>
      <w:r w:rsidR="00E50EDD" w:rsidRPr="008F1BC3">
        <w:t xml:space="preserve"> was not always correct, as the substances were listed specifically as illicit drugs, or caught as analogues of other listed illicit drugs. In 2014 the Government </w:t>
      </w:r>
      <w:r w:rsidR="004A7D89" w:rsidRPr="008F1BC3">
        <w:t xml:space="preserve">implemented </w:t>
      </w:r>
      <w:r w:rsidR="00D177B7" w:rsidRPr="008F1BC3">
        <w:t xml:space="preserve">border </w:t>
      </w:r>
      <w:r w:rsidR="004A7D89" w:rsidRPr="008F1BC3">
        <w:t xml:space="preserve">measures to </w:t>
      </w:r>
      <w:r w:rsidR="00E50EDD" w:rsidRPr="008F1BC3">
        <w:t>prohib</w:t>
      </w:r>
      <w:r w:rsidR="004A7D89" w:rsidRPr="008F1BC3">
        <w:t>it</w:t>
      </w:r>
      <w:r w:rsidR="00E50EDD" w:rsidRPr="008F1BC3">
        <w:t xml:space="preserve"> these substances </w:t>
      </w:r>
      <w:r w:rsidR="003D1947" w:rsidRPr="008F1BC3">
        <w:t xml:space="preserve">from passing customs in order </w:t>
      </w:r>
      <w:r w:rsidR="00E50EDD" w:rsidRPr="008F1BC3">
        <w:t xml:space="preserve">to prevent manufacturers from evading existing controls and provide the ABF with certainty to seize suspected illegal </w:t>
      </w:r>
      <w:r w:rsidR="007252DD" w:rsidRPr="008F1BC3">
        <w:t>cargo arrivals</w:t>
      </w:r>
      <w:r w:rsidR="00E50EDD" w:rsidRPr="008F1BC3">
        <w:t>. Once again, despite domestic prohibitions on the possession and manufacture of illegal products, the appropriate regulatory response</w:t>
      </w:r>
      <w:r w:rsidR="00E50EDD">
        <w:t xml:space="preserve"> was to complement existing measures with strict border controls. </w:t>
      </w:r>
    </w:p>
    <w:p w14:paraId="1285AEE0" w14:textId="6B80FE9E" w:rsidR="006167AC" w:rsidRDefault="00945406" w:rsidP="00E50EDD">
      <w:pPr>
        <w:pStyle w:val="Body"/>
      </w:pPr>
      <w:r>
        <w:t>A prohibition on the use of engineered stone</w:t>
      </w:r>
      <w:r w:rsidR="00666486">
        <w:t xml:space="preserve"> </w:t>
      </w:r>
      <w:r w:rsidR="00666486" w:rsidRPr="008F1BC3">
        <w:t>under the model WHS laws</w:t>
      </w:r>
      <w:r w:rsidRPr="008F1BC3">
        <w:t xml:space="preserve"> will require </w:t>
      </w:r>
      <w:r w:rsidR="00133FD6" w:rsidRPr="008F1BC3">
        <w:t xml:space="preserve">importers to ensure </w:t>
      </w:r>
      <w:r w:rsidR="002305CC" w:rsidRPr="008F1BC3">
        <w:t xml:space="preserve">defined </w:t>
      </w:r>
      <w:r w:rsidR="00133FD6" w:rsidRPr="008F1BC3">
        <w:t xml:space="preserve">goods are not </w:t>
      </w:r>
      <w:r w:rsidR="00BF7921" w:rsidRPr="008F1BC3">
        <w:t xml:space="preserve">imported into Australia. </w:t>
      </w:r>
      <w:r w:rsidR="00E50EDD" w:rsidRPr="008F1BC3">
        <w:t xml:space="preserve">This </w:t>
      </w:r>
      <w:r w:rsidR="00CC2782" w:rsidRPr="008F1BC3">
        <w:t>IAE</w:t>
      </w:r>
      <w:r w:rsidR="00E50EDD" w:rsidRPr="008F1BC3">
        <w:t xml:space="preserve"> accepts that importers do not always comply with customs restrictions and domestic prohibitions</w:t>
      </w:r>
      <w:r w:rsidR="006167AC" w:rsidRPr="008F1BC3">
        <w:t xml:space="preserve"> either deliberately </w:t>
      </w:r>
      <w:r w:rsidR="00DA609B" w:rsidRPr="008F1BC3">
        <w:t xml:space="preserve">or </w:t>
      </w:r>
      <w:r w:rsidR="00BB2829" w:rsidRPr="008F1BC3">
        <w:t xml:space="preserve">unwittingly. </w:t>
      </w:r>
      <w:r w:rsidR="005838B7" w:rsidRPr="008F1BC3">
        <w:t xml:space="preserve">The market for engineered stone is evolving </w:t>
      </w:r>
      <w:r w:rsidR="006778DD" w:rsidRPr="008F1BC3">
        <w:t xml:space="preserve">which is likely to create instances where importers </w:t>
      </w:r>
      <w:r w:rsidR="0094341A" w:rsidRPr="008F1BC3">
        <w:t xml:space="preserve">unlawfully </w:t>
      </w:r>
      <w:r w:rsidR="00694CEE" w:rsidRPr="008F1BC3">
        <w:t>import goo</w:t>
      </w:r>
      <w:r w:rsidR="00A92739" w:rsidRPr="008F1BC3">
        <w:t xml:space="preserve">ds </w:t>
      </w:r>
      <w:r w:rsidR="00706C81" w:rsidRPr="008F1BC3">
        <w:t xml:space="preserve">which </w:t>
      </w:r>
      <w:r w:rsidR="00A92739" w:rsidRPr="008F1BC3">
        <w:t>they do not believe fit the definition</w:t>
      </w:r>
      <w:r w:rsidR="00A92739">
        <w:t xml:space="preserve"> of engineered stone</w:t>
      </w:r>
      <w:r w:rsidR="00B667C1">
        <w:t xml:space="preserve">. </w:t>
      </w:r>
      <w:r w:rsidR="00997FA0">
        <w:t xml:space="preserve">It is for this reason additional measures to complement state and territory </w:t>
      </w:r>
      <w:r w:rsidR="00EC2697">
        <w:t>enforcement activities should be investigated</w:t>
      </w:r>
      <w:r w:rsidR="000B73D7">
        <w:t>.</w:t>
      </w:r>
    </w:p>
    <w:p w14:paraId="2E4AFCE5" w14:textId="77777777" w:rsidR="008A059F" w:rsidRPr="00BA13F0" w:rsidRDefault="008A059F" w:rsidP="00E13877">
      <w:pPr>
        <w:pStyle w:val="Heading1"/>
        <w:spacing w:before="120" w:after="120" w:line="240" w:lineRule="auto"/>
        <w:rPr>
          <w:rFonts w:asciiTheme="minorHAnsi" w:eastAsiaTheme="minorEastAsia" w:hAnsiTheme="minorHAnsi" w:cstheme="minorBidi"/>
        </w:rPr>
      </w:pPr>
      <w:bookmarkStart w:id="12" w:name="_Toc145573525"/>
      <w:r w:rsidRPr="7612DB8E">
        <w:rPr>
          <w:rFonts w:asciiTheme="minorHAnsi" w:eastAsiaTheme="minorEastAsia" w:hAnsiTheme="minorHAnsi" w:cstheme="minorBidi"/>
        </w:rPr>
        <w:t>2. What are the objectives, why is government intervention needed to achieve them, and how will success be measured?</w:t>
      </w:r>
      <w:bookmarkEnd w:id="12"/>
      <w:r w:rsidRPr="7612DB8E">
        <w:rPr>
          <w:rFonts w:asciiTheme="minorHAnsi" w:eastAsiaTheme="minorEastAsia" w:hAnsiTheme="minorHAnsi" w:cstheme="minorBidi"/>
        </w:rPr>
        <w:t xml:space="preserve"> </w:t>
      </w:r>
    </w:p>
    <w:p w14:paraId="425B0658" w14:textId="6AFB5D3C" w:rsidR="008A059F" w:rsidRPr="00C10812" w:rsidDel="00DF234F" w:rsidRDefault="00DA7493" w:rsidP="00DA7493">
      <w:pPr>
        <w:pStyle w:val="Body"/>
      </w:pPr>
      <w:r>
        <w:t xml:space="preserve">The primary objective of government intervention is to reduce workplace exposure to RCS from engineered stone in Australia, with the aim of </w:t>
      </w:r>
      <w:r w:rsidR="00BA0AEE">
        <w:t xml:space="preserve">significantly reducing </w:t>
      </w:r>
      <w:r>
        <w:t>silicosis, a preventable disease, and other silica-related diseases in engineered stone workers.</w:t>
      </w:r>
    </w:p>
    <w:p w14:paraId="0E56EB09" w14:textId="2FDA4901" w:rsidR="00F669A4" w:rsidRDefault="00544E74" w:rsidP="00DA7493">
      <w:pPr>
        <w:pStyle w:val="Body"/>
      </w:pPr>
      <w:r>
        <w:t xml:space="preserve">Since 2011, there have been robust and consistent </w:t>
      </w:r>
      <w:r w:rsidR="00373A38">
        <w:t xml:space="preserve">WHS </w:t>
      </w:r>
      <w:r>
        <w:t>laws in place requiring PCBUs, including designers, importers and manufacturers of engineered stone products, to eliminate or minimise the risks to workers and others from RCS</w:t>
      </w:r>
      <w:r w:rsidR="00373A38">
        <w:t>,</w:t>
      </w:r>
      <w:r>
        <w:t xml:space="preserve"> so far as is reasonably practicable, including </w:t>
      </w:r>
      <w:r w:rsidR="00223BD1">
        <w:t xml:space="preserve">RCS </w:t>
      </w:r>
      <w:r>
        <w:t xml:space="preserve">generated from </w:t>
      </w:r>
      <w:r w:rsidR="007312B2">
        <w:t xml:space="preserve">use of </w:t>
      </w:r>
      <w:r>
        <w:t>engineered stone.</w:t>
      </w:r>
      <w:r w:rsidR="00F669A4">
        <w:t xml:space="preserve"> </w:t>
      </w:r>
      <w:r w:rsidR="00F669A4" w:rsidRPr="00F669A4">
        <w:t>There has been, and continues to be, non-compliance with the obligations imposed by WHS laws by both PCBUs and workers. Additionally, historically there has been insufficient compliance activities in respect of the engineered stone industry for the level of risk.</w:t>
      </w:r>
    </w:p>
    <w:p w14:paraId="61CB4321" w14:textId="65A8505B" w:rsidR="00F669A4" w:rsidDel="00DF234F" w:rsidRDefault="005C16A6" w:rsidP="00DA7493">
      <w:pPr>
        <w:pStyle w:val="Body"/>
        <w:rPr>
          <w:color w:val="252525"/>
        </w:rPr>
      </w:pPr>
      <w:r>
        <w:rPr>
          <w:color w:val="252525"/>
        </w:rPr>
        <w:lastRenderedPageBreak/>
        <w:t>The increased risks posed by RCS from engineered stone, increased rate of silicosis diagnosis amongst engineered stone workers, and the faster and more severe disease progression amongst this group, combined with a multi-faceted failure of this industry to comply with the model WHS laws means that continued work with engineered stone poses an unacceptable risk to workers.</w:t>
      </w:r>
    </w:p>
    <w:p w14:paraId="7DC33AF0" w14:textId="77777777" w:rsidR="00A9099A" w:rsidRDefault="006B3ECF" w:rsidP="00A9099A">
      <w:pPr>
        <w:pStyle w:val="ListBullet"/>
        <w:numPr>
          <w:ilvl w:val="0"/>
          <w:numId w:val="0"/>
        </w:numPr>
      </w:pPr>
      <w:r>
        <w:rPr>
          <w:color w:val="252525"/>
        </w:rPr>
        <w:t>Success will</w:t>
      </w:r>
      <w:r w:rsidR="00F82EFD">
        <w:rPr>
          <w:color w:val="252525"/>
        </w:rPr>
        <w:t xml:space="preserve"> be measured </w:t>
      </w:r>
      <w:r w:rsidR="00B516ED">
        <w:rPr>
          <w:color w:val="252525"/>
        </w:rPr>
        <w:t xml:space="preserve">in the long term by a reduction or elimination in rates of silicosis and silica related disease in engineered stone workers. </w:t>
      </w:r>
      <w:r w:rsidR="00895408" w:rsidRPr="00895408">
        <w:rPr>
          <w:color w:val="252525"/>
        </w:rPr>
        <w:t xml:space="preserve">Following the decision by WHS Ministers in February 2023 to introduce additional regulations of high risk crystalline silica processes, </w:t>
      </w:r>
      <w:r w:rsidR="00054095">
        <w:rPr>
          <w:color w:val="252525"/>
        </w:rPr>
        <w:t xml:space="preserve">which included additional reporting requirements, </w:t>
      </w:r>
      <w:r w:rsidR="00895408" w:rsidRPr="00895408">
        <w:rPr>
          <w:color w:val="252525"/>
        </w:rPr>
        <w:t>RCS exposures will be measured by reviewing the air and health monitoring data provided to WHS regulators. Workers’ compensation claims data, jurisdictional screening programs and dust disease registers will continue to be monitored to evaluate the impact of the prohibition.</w:t>
      </w:r>
      <w:r w:rsidR="00A9099A">
        <w:rPr>
          <w:color w:val="252525"/>
        </w:rPr>
        <w:t xml:space="preserve"> </w:t>
      </w:r>
      <w:r w:rsidR="00BE0037">
        <w:t>Once operational, the National Occupational Respiratory Disease Register (establish</w:t>
      </w:r>
      <w:r w:rsidR="00957AD5">
        <w:t xml:space="preserve">ing legislation is currently before the Parliament) will be relied upon in place of the state dust disease </w:t>
      </w:r>
      <w:r w:rsidR="00DE50CC">
        <w:t>registry</w:t>
      </w:r>
      <w:r w:rsidR="00957AD5">
        <w:t>.</w:t>
      </w:r>
    </w:p>
    <w:p w14:paraId="3C7CDA39" w14:textId="77777777" w:rsidR="00A9099A" w:rsidRDefault="00A9099A" w:rsidP="00A9099A">
      <w:pPr>
        <w:pStyle w:val="ListBullet"/>
        <w:numPr>
          <w:ilvl w:val="0"/>
          <w:numId w:val="0"/>
        </w:numPr>
      </w:pPr>
    </w:p>
    <w:p w14:paraId="58D9AE1C" w14:textId="66E57A13" w:rsidR="00A9099A" w:rsidRPr="00E6115C" w:rsidRDefault="00895408" w:rsidP="004647C2">
      <w:pPr>
        <w:pStyle w:val="ListBullet"/>
        <w:numPr>
          <w:ilvl w:val="0"/>
          <w:numId w:val="0"/>
        </w:numPr>
        <w:rPr>
          <w:color w:val="252525"/>
        </w:rPr>
      </w:pPr>
      <w:r>
        <w:t xml:space="preserve">SWA will monitor emerging engineered stone-like products and make recommendations to WHS Ministers on effective ways to manage these risks. This will be undertaken as part of SWA’s broader functions in monitoring and evaluating the model WHS laws and facilitating WHS compliance. </w:t>
      </w:r>
      <w:r w:rsidR="00196352" w:rsidRPr="00196352">
        <w:t xml:space="preserve">The Asbestos Safety and Eradication Agency </w:t>
      </w:r>
      <w:r w:rsidR="0041026D">
        <w:t xml:space="preserve">would also play a role in coordinating, monitoring and reporting on jurisdictional actions relating to silica, subject to </w:t>
      </w:r>
      <w:r w:rsidR="00AB785C">
        <w:t xml:space="preserve">proposed amendments </w:t>
      </w:r>
      <w:r w:rsidR="00954E5B">
        <w:t xml:space="preserve">to expand the Agency’s role to silica, </w:t>
      </w:r>
      <w:r w:rsidR="00196352" w:rsidRPr="00196352">
        <w:t>set out in the Fair Work Legislation Amendment (Closing Loopholes) Bill 2023 currently before the Parliament</w:t>
      </w:r>
      <w:r w:rsidR="00AB785C">
        <w:t>.</w:t>
      </w:r>
    </w:p>
    <w:p w14:paraId="390F38A2" w14:textId="01B8687C" w:rsidR="008A059F" w:rsidRPr="00C10812" w:rsidRDefault="008A059F" w:rsidP="008A059F">
      <w:pPr>
        <w:pStyle w:val="Heading1"/>
        <w:spacing w:before="120" w:after="120" w:line="360" w:lineRule="auto"/>
        <w:rPr>
          <w:rFonts w:asciiTheme="minorHAnsi" w:eastAsiaTheme="minorEastAsia" w:hAnsiTheme="minorHAnsi" w:cstheme="minorBidi"/>
        </w:rPr>
      </w:pPr>
      <w:bookmarkStart w:id="13" w:name="_Toc145573526"/>
      <w:r w:rsidRPr="7612DB8E">
        <w:rPr>
          <w:rFonts w:asciiTheme="minorHAnsi" w:eastAsiaTheme="minorEastAsia" w:hAnsiTheme="minorHAnsi" w:cstheme="minorBidi"/>
        </w:rPr>
        <w:t>3. What policy options are you considering?</w:t>
      </w:r>
      <w:bookmarkEnd w:id="13"/>
      <w:r w:rsidRPr="7612DB8E">
        <w:rPr>
          <w:rFonts w:asciiTheme="minorHAnsi" w:eastAsiaTheme="minorEastAsia" w:hAnsiTheme="minorHAnsi" w:cstheme="minorBidi"/>
        </w:rPr>
        <w:t xml:space="preserve"> </w:t>
      </w:r>
    </w:p>
    <w:p w14:paraId="5F496CCC" w14:textId="45ADB812" w:rsidR="007D1998" w:rsidRPr="00733084" w:rsidRDefault="00733084" w:rsidP="007D1998">
      <w:pPr>
        <w:pStyle w:val="Heading2"/>
      </w:pPr>
      <w:bookmarkStart w:id="14" w:name="_Toc145573527"/>
      <w:r>
        <w:t xml:space="preserve">Option 1: Prohibition on the use </w:t>
      </w:r>
      <w:r w:rsidR="007D1998">
        <w:t>of engineered stone</w:t>
      </w:r>
      <w:bookmarkEnd w:id="14"/>
    </w:p>
    <w:p w14:paraId="4B0D4697" w14:textId="73E7EBF0" w:rsidR="001F0B96" w:rsidRPr="001F0B96" w:rsidRDefault="00B813A4" w:rsidP="004647C2">
      <w:pPr>
        <w:pStyle w:val="Body"/>
      </w:pPr>
      <w:r>
        <w:t xml:space="preserve">The Prohibition Decision RIS </w:t>
      </w:r>
      <w:r w:rsidR="00EC711A">
        <w:t>effectively</w:t>
      </w:r>
      <w:r>
        <w:t xml:space="preserve"> explored the impacts </w:t>
      </w:r>
      <w:r w:rsidR="00EC711A">
        <w:t>associated with a prohibition on the use of engineered stone</w:t>
      </w:r>
      <w:r w:rsidR="005E069F">
        <w:t>, noting this was identified as the recommended option</w:t>
      </w:r>
      <w:r w:rsidR="00EC711A">
        <w:t>.</w:t>
      </w:r>
      <w:r>
        <w:t xml:space="preserve"> </w:t>
      </w:r>
      <w:r w:rsidR="001F0B96" w:rsidRPr="001F0B96">
        <w:t xml:space="preserve">A prohibition on the use of engineered stone would be </w:t>
      </w:r>
      <w:r w:rsidR="0089522C">
        <w:t>similar to</w:t>
      </w:r>
      <w:r w:rsidR="00F97FC3">
        <w:t>,</w:t>
      </w:r>
      <w:r w:rsidR="0089522C">
        <w:t xml:space="preserve"> but not the same as</w:t>
      </w:r>
      <w:r w:rsidR="00F97FC3">
        <w:t>,</w:t>
      </w:r>
      <w:r w:rsidR="0089522C">
        <w:t xml:space="preserve"> that for asbestos</w:t>
      </w:r>
      <w:r w:rsidR="00056B77">
        <w:t xml:space="preserve"> (as per </w:t>
      </w:r>
      <w:r w:rsidR="00D07D85">
        <w:t xml:space="preserve">Chapter </w:t>
      </w:r>
      <w:r w:rsidR="003B2F86">
        <w:t xml:space="preserve">8 </w:t>
      </w:r>
      <w:r w:rsidR="00D07D85">
        <w:t xml:space="preserve">of the model </w:t>
      </w:r>
      <w:r w:rsidR="00D07D85" w:rsidRPr="004647C2">
        <w:rPr>
          <w:color w:val="252525"/>
        </w:rPr>
        <w:t>WHS</w:t>
      </w:r>
      <w:r w:rsidR="00D07D85">
        <w:t xml:space="preserve"> regulations). </w:t>
      </w:r>
      <w:r w:rsidR="00A32712">
        <w:t xml:space="preserve">It would be </w:t>
      </w:r>
      <w:r w:rsidR="001F0B96" w:rsidRPr="001F0B96">
        <w:t>enforced through state and territory WHS laws</w:t>
      </w:r>
      <w:r w:rsidR="00222874">
        <w:t xml:space="preserve"> and</w:t>
      </w:r>
      <w:r w:rsidR="001F0B96" w:rsidRPr="001F0B96">
        <w:t xml:space="preserve"> would apply to any product meeting the definition of engineered stone in the model WHS Regulations. Continued use of products previously installed, as well as minor modifications and removal would be permitted.</w:t>
      </w:r>
    </w:p>
    <w:p w14:paraId="5AF68834" w14:textId="7BDD9870" w:rsidR="00DB6434" w:rsidRPr="001F0B96" w:rsidRDefault="001F0B96" w:rsidP="001F0B96">
      <w:pPr>
        <w:rPr>
          <w:lang w:val="en-AU"/>
        </w:rPr>
      </w:pPr>
      <w:r w:rsidRPr="001F0B96">
        <w:rPr>
          <w:lang w:val="en-AU"/>
        </w:rPr>
        <w:t>Under the recommended option in the Prohibition Decision RIS</w:t>
      </w:r>
      <w:r w:rsidR="00EB78FA">
        <w:rPr>
          <w:lang w:val="en-AU"/>
        </w:rPr>
        <w:t xml:space="preserve">, </w:t>
      </w:r>
      <w:r w:rsidRPr="001F0B96">
        <w:rPr>
          <w:lang w:val="en-AU"/>
        </w:rPr>
        <w:t xml:space="preserve">businesses wanting to undertake exempt work with engineered stone already in place would require a licence </w:t>
      </w:r>
      <w:r w:rsidR="00F55116">
        <w:rPr>
          <w:lang w:val="en-AU"/>
        </w:rPr>
        <w:t xml:space="preserve">(or similar) </w:t>
      </w:r>
      <w:r w:rsidRPr="001F0B96">
        <w:rPr>
          <w:lang w:val="en-AU"/>
        </w:rPr>
        <w:t xml:space="preserve">for work with legacy products. </w:t>
      </w:r>
      <w:r w:rsidR="003B591A">
        <w:rPr>
          <w:lang w:val="en-AU"/>
        </w:rPr>
        <w:t xml:space="preserve">The Prohibition Decision RIS identifies </w:t>
      </w:r>
      <w:r w:rsidR="008806F2" w:rsidRPr="00DB6434" w:rsidDel="008806F2">
        <w:t>t</w:t>
      </w:r>
      <w:r w:rsidR="008806F2" w:rsidRPr="00DB6434">
        <w:t xml:space="preserve">he licensing framework for work with legacy products proposed is largely an administrative framework that ensures regulators are aware of which </w:t>
      </w:r>
      <w:r w:rsidR="00A3354B">
        <w:t>businesses</w:t>
      </w:r>
      <w:r w:rsidR="008806F2" w:rsidRPr="00DB6434">
        <w:t xml:space="preserve"> are undertaking this work. This is because existing regulations, including the prohibition of uncontrolled processing of engineered stone; and the additional requirements agreed for Option 5a of the Silica Decision RIS (including requirements for risk control plans, training, air and health monitoring, and reporting) would already apply and no additional regulations are proposed.</w:t>
      </w:r>
    </w:p>
    <w:p w14:paraId="75AE5AF5" w14:textId="14DB69D3" w:rsidR="00766DB2" w:rsidRPr="008F1BC3" w:rsidRDefault="00766DB2" w:rsidP="00766DB2">
      <w:pPr>
        <w:pStyle w:val="Heading2"/>
      </w:pPr>
      <w:bookmarkStart w:id="15" w:name="_Toc145573528"/>
      <w:r w:rsidRPr="008F1BC3">
        <w:lastRenderedPageBreak/>
        <w:t xml:space="preserve">Option </w:t>
      </w:r>
      <w:r w:rsidR="00A179FF" w:rsidRPr="008F1BC3">
        <w:t>2</w:t>
      </w:r>
      <w:r w:rsidRPr="008F1BC3">
        <w:t xml:space="preserve">: Prohibition on the use </w:t>
      </w:r>
      <w:r w:rsidRPr="008F1BC3" w:rsidDel="00903C68">
        <w:t xml:space="preserve">of </w:t>
      </w:r>
      <w:r w:rsidRPr="008F1BC3">
        <w:t>engineered stone</w:t>
      </w:r>
      <w:r w:rsidR="006024F8" w:rsidRPr="008F1BC3">
        <w:t xml:space="preserve"> </w:t>
      </w:r>
      <w:r w:rsidR="002276AA" w:rsidRPr="008F1BC3">
        <w:t xml:space="preserve">with complementary </w:t>
      </w:r>
      <w:r w:rsidR="005E4FA0" w:rsidRPr="008F1BC3">
        <w:t>border measures</w:t>
      </w:r>
      <w:r w:rsidR="006024F8" w:rsidRPr="008F1BC3">
        <w:t xml:space="preserve"> (preferred)</w:t>
      </w:r>
      <w:bookmarkEnd w:id="15"/>
    </w:p>
    <w:p w14:paraId="1C1E7603" w14:textId="2C7877B8" w:rsidR="0062265A" w:rsidRPr="008F1BC3" w:rsidRDefault="00F31E80" w:rsidP="0053694D">
      <w:pPr>
        <w:pStyle w:val="Body"/>
      </w:pPr>
      <w:r w:rsidRPr="008F1BC3">
        <w:t>The preferred option</w:t>
      </w:r>
      <w:r w:rsidR="00875629" w:rsidRPr="008F1BC3">
        <w:t xml:space="preserve"> in this IAE</w:t>
      </w:r>
      <w:r w:rsidR="004C2674" w:rsidRPr="008F1BC3">
        <w:t>,</w:t>
      </w:r>
      <w:r w:rsidRPr="008F1BC3">
        <w:t xml:space="preserve"> is to prohibit the use of engineered stone (consistent with </w:t>
      </w:r>
      <w:r w:rsidR="00EC6EF3" w:rsidRPr="008F1BC3">
        <w:t>O</w:t>
      </w:r>
      <w:r w:rsidR="008A6613" w:rsidRPr="008F1BC3">
        <w:t>ption 1 above</w:t>
      </w:r>
      <w:r w:rsidR="002A05E5" w:rsidRPr="008F1BC3">
        <w:t xml:space="preserve">) </w:t>
      </w:r>
      <w:r w:rsidRPr="008F1BC3">
        <w:t xml:space="preserve">but complement this measure with </w:t>
      </w:r>
      <w:r w:rsidR="005D3246" w:rsidRPr="008F1BC3">
        <w:t>border measures, such as a</w:t>
      </w:r>
      <w:r w:rsidR="002126FD" w:rsidRPr="008F1BC3">
        <w:t xml:space="preserve"> customs ba</w:t>
      </w:r>
      <w:r w:rsidR="00B70186" w:rsidRPr="008F1BC3">
        <w:t xml:space="preserve">n </w:t>
      </w:r>
      <w:r w:rsidR="00C156F6" w:rsidRPr="008F1BC3">
        <w:t>through customs legislation</w:t>
      </w:r>
      <w:r w:rsidRPr="008F1BC3">
        <w:t xml:space="preserve">. </w:t>
      </w:r>
      <w:r w:rsidR="004034F4" w:rsidRPr="008F1BC3">
        <w:t xml:space="preserve">Border measures </w:t>
      </w:r>
      <w:r w:rsidR="00FA51B0" w:rsidRPr="008F1BC3">
        <w:t>would complement</w:t>
      </w:r>
      <w:r w:rsidR="008E66C1" w:rsidRPr="008F1BC3">
        <w:t xml:space="preserve"> a </w:t>
      </w:r>
      <w:r w:rsidR="00FA51B0" w:rsidRPr="008F1BC3">
        <w:t>decision of</w:t>
      </w:r>
      <w:r w:rsidR="007E35DA" w:rsidRPr="008F1BC3">
        <w:t xml:space="preserve"> </w:t>
      </w:r>
      <w:r w:rsidR="008E66C1" w:rsidRPr="008F1BC3">
        <w:t xml:space="preserve">WHS </w:t>
      </w:r>
      <w:r w:rsidR="007E35DA" w:rsidRPr="008F1BC3">
        <w:t>Ministers</w:t>
      </w:r>
      <w:r w:rsidR="008E66C1" w:rsidRPr="008F1BC3">
        <w:t xml:space="preserve"> to a use prohibition in WHS laws</w:t>
      </w:r>
      <w:r w:rsidR="00B1093A" w:rsidRPr="008F1BC3">
        <w:t>.</w:t>
      </w:r>
      <w:r w:rsidR="000E06F7" w:rsidRPr="008F1BC3">
        <w:t xml:space="preserve"> </w:t>
      </w:r>
      <w:r w:rsidR="00931C36" w:rsidRPr="008F1BC3">
        <w:rPr>
          <w:color w:val="252525"/>
          <w:lang w:val="en-GB"/>
        </w:rPr>
        <w:t>Complementary b</w:t>
      </w:r>
      <w:r w:rsidR="004034F4" w:rsidRPr="008F1BC3">
        <w:rPr>
          <w:color w:val="252525"/>
          <w:lang w:val="en-GB"/>
        </w:rPr>
        <w:t xml:space="preserve">order measures </w:t>
      </w:r>
      <w:r w:rsidR="00A02C45" w:rsidRPr="008F1BC3">
        <w:rPr>
          <w:color w:val="252525"/>
          <w:lang w:val="en-GB"/>
        </w:rPr>
        <w:t xml:space="preserve">in isolation </w:t>
      </w:r>
      <w:r w:rsidR="004034F4" w:rsidRPr="008F1BC3">
        <w:rPr>
          <w:color w:val="252525"/>
          <w:lang w:val="en-GB"/>
        </w:rPr>
        <w:t xml:space="preserve">are </w:t>
      </w:r>
      <w:r w:rsidR="00B153D1" w:rsidRPr="008F1BC3">
        <w:rPr>
          <w:color w:val="252525"/>
          <w:lang w:val="en-GB"/>
        </w:rPr>
        <w:t>not being considered because it</w:t>
      </w:r>
      <w:r w:rsidR="00A02C45" w:rsidRPr="008F1BC3">
        <w:rPr>
          <w:color w:val="252525"/>
          <w:lang w:val="en-GB"/>
        </w:rPr>
        <w:t xml:space="preserve"> would not prevent engineered stone being manufactured and fabricated domestically</w:t>
      </w:r>
      <w:r w:rsidR="00702A80" w:rsidRPr="008F1BC3">
        <w:rPr>
          <w:color w:val="252525"/>
          <w:lang w:val="en-GB"/>
        </w:rPr>
        <w:t>.</w:t>
      </w:r>
      <w:r w:rsidR="00A02C45" w:rsidRPr="008F1BC3">
        <w:rPr>
          <w:color w:val="252525"/>
          <w:lang w:val="en-GB"/>
        </w:rPr>
        <w:t xml:space="preserve"> </w:t>
      </w:r>
      <w:r w:rsidR="00244620" w:rsidRPr="008F1BC3">
        <w:rPr>
          <w:color w:val="252525"/>
          <w:lang w:val="en-GB"/>
        </w:rPr>
        <w:t>They</w:t>
      </w:r>
      <w:r w:rsidR="00702A80" w:rsidRPr="008F1BC3">
        <w:rPr>
          <w:color w:val="252525"/>
          <w:lang w:val="en-GB"/>
        </w:rPr>
        <w:t xml:space="preserve"> also would not</w:t>
      </w:r>
      <w:r w:rsidR="00A02C45" w:rsidRPr="008F1BC3">
        <w:rPr>
          <w:color w:val="252525"/>
          <w:lang w:val="en-GB"/>
        </w:rPr>
        <w:t xml:space="preserve"> address the long-term and persistent lack of compliance with WHS laws</w:t>
      </w:r>
      <w:r w:rsidR="00EE486A" w:rsidRPr="008F1BC3">
        <w:rPr>
          <w:color w:val="252525"/>
          <w:lang w:val="en-GB"/>
        </w:rPr>
        <w:t xml:space="preserve"> in the engineered stone industry</w:t>
      </w:r>
      <w:r w:rsidR="00A02C45" w:rsidRPr="008F1BC3">
        <w:rPr>
          <w:color w:val="252525"/>
          <w:lang w:val="en-GB"/>
        </w:rPr>
        <w:t>, which is a key factor driving the increase in occupational silicosis cases in recent years.</w:t>
      </w:r>
      <w:r w:rsidR="00742937" w:rsidRPr="008F1BC3">
        <w:rPr>
          <w:color w:val="252525"/>
          <w:lang w:val="en-GB"/>
        </w:rPr>
        <w:t xml:space="preserve"> </w:t>
      </w:r>
    </w:p>
    <w:p w14:paraId="56F00EE7" w14:textId="4D2399E5" w:rsidR="00742937" w:rsidRPr="00375B97" w:rsidRDefault="006A48D1" w:rsidP="0053694D">
      <w:pPr>
        <w:pStyle w:val="Body"/>
        <w:rPr>
          <w:color w:val="252525"/>
          <w:lang w:val="en-GB"/>
        </w:rPr>
      </w:pPr>
      <w:r w:rsidRPr="008F1BC3">
        <w:rPr>
          <w:color w:val="252525"/>
        </w:rPr>
        <w:t xml:space="preserve">Complementary </w:t>
      </w:r>
      <w:r w:rsidR="006A5EC4" w:rsidRPr="008F1BC3">
        <w:rPr>
          <w:color w:val="252525"/>
        </w:rPr>
        <w:t xml:space="preserve">border measures </w:t>
      </w:r>
      <w:r w:rsidR="0053694D" w:rsidRPr="008F1BC3">
        <w:rPr>
          <w:color w:val="252525"/>
        </w:rPr>
        <w:t>would provid</w:t>
      </w:r>
      <w:r w:rsidR="001B7609" w:rsidRPr="008F1BC3">
        <w:rPr>
          <w:color w:val="252525"/>
        </w:rPr>
        <w:t>e</w:t>
      </w:r>
      <w:r w:rsidR="0053694D" w:rsidRPr="008F1BC3">
        <w:rPr>
          <w:color w:val="252525"/>
        </w:rPr>
        <w:t xml:space="preserve"> an additional layer of </w:t>
      </w:r>
      <w:r w:rsidR="00566788" w:rsidRPr="008F1BC3">
        <w:rPr>
          <w:color w:val="252525"/>
        </w:rPr>
        <w:t>enforcement</w:t>
      </w:r>
      <w:r w:rsidR="0053694D" w:rsidRPr="008F1BC3">
        <w:rPr>
          <w:color w:val="252525"/>
        </w:rPr>
        <w:t xml:space="preserve"> and deterrence. </w:t>
      </w:r>
      <w:r w:rsidR="000775F7" w:rsidRPr="008F1BC3">
        <w:t>A customs ban for example,</w:t>
      </w:r>
      <w:r w:rsidR="0053694D" w:rsidRPr="008F1BC3">
        <w:t xml:space="preserve"> would </w:t>
      </w:r>
      <w:r w:rsidR="000775F7" w:rsidRPr="008F1BC3">
        <w:t>see the ABF</w:t>
      </w:r>
      <w:r w:rsidR="0053694D" w:rsidRPr="008F1BC3">
        <w:t xml:space="preserve"> responsible for identifying prohibited products before they reach workplaces and compliance</w:t>
      </w:r>
      <w:r w:rsidR="000775F7" w:rsidRPr="008F1BC3">
        <w:t xml:space="preserve"> and enforcement activities.</w:t>
      </w:r>
      <w:r w:rsidR="00246EB1" w:rsidRPr="008F1BC3">
        <w:t xml:space="preserve"> </w:t>
      </w:r>
      <w:r w:rsidR="006C60D3" w:rsidRPr="008F1BC3">
        <w:rPr>
          <w:color w:val="252525"/>
          <w:lang w:val="en-GB"/>
        </w:rPr>
        <w:t xml:space="preserve">Because </w:t>
      </w:r>
      <w:r w:rsidR="00342B34" w:rsidRPr="008F1BC3">
        <w:rPr>
          <w:color w:val="252525"/>
          <w:lang w:val="en-GB"/>
        </w:rPr>
        <w:t xml:space="preserve">border </w:t>
      </w:r>
      <w:r w:rsidR="00C25C7F" w:rsidRPr="008F1BC3">
        <w:rPr>
          <w:color w:val="252525"/>
          <w:lang w:val="en-GB"/>
        </w:rPr>
        <w:t>measures</w:t>
      </w:r>
      <w:r w:rsidR="00321748" w:rsidRPr="008F1BC3">
        <w:rPr>
          <w:color w:val="252525"/>
          <w:lang w:val="en-GB"/>
        </w:rPr>
        <w:t>, such as a customs ban</w:t>
      </w:r>
      <w:r w:rsidR="00342B34" w:rsidRPr="008F1BC3">
        <w:rPr>
          <w:color w:val="252525"/>
          <w:lang w:val="en-GB"/>
        </w:rPr>
        <w:t xml:space="preserve"> are </w:t>
      </w:r>
      <w:r w:rsidR="006C60D3" w:rsidRPr="008F1BC3">
        <w:rPr>
          <w:color w:val="252525"/>
          <w:lang w:val="en-GB"/>
        </w:rPr>
        <w:t xml:space="preserve">intended to complement the work of state and territory WHS regulations </w:t>
      </w:r>
      <w:r w:rsidR="008C468A" w:rsidRPr="008F1BC3">
        <w:rPr>
          <w:color w:val="252525"/>
          <w:lang w:val="en-GB"/>
        </w:rPr>
        <w:t xml:space="preserve">which are yet to be </w:t>
      </w:r>
      <w:r w:rsidR="008645C1" w:rsidRPr="008F1BC3">
        <w:rPr>
          <w:color w:val="252525"/>
          <w:lang w:val="en-GB"/>
        </w:rPr>
        <w:t>developed</w:t>
      </w:r>
      <w:r w:rsidR="006C60D3" w:rsidRPr="008F1BC3">
        <w:rPr>
          <w:color w:val="252525"/>
          <w:lang w:val="en-GB"/>
        </w:rPr>
        <w:t xml:space="preserve">, </w:t>
      </w:r>
      <w:r w:rsidR="00246EB1" w:rsidRPr="008F1BC3">
        <w:rPr>
          <w:color w:val="252525"/>
          <w:lang w:val="en-GB"/>
        </w:rPr>
        <w:t xml:space="preserve">further </w:t>
      </w:r>
      <w:r w:rsidR="006C60D3" w:rsidRPr="008F1BC3">
        <w:rPr>
          <w:color w:val="252525"/>
          <w:lang w:val="en-GB"/>
        </w:rPr>
        <w:t xml:space="preserve">detail </w:t>
      </w:r>
      <w:r w:rsidR="000775F7" w:rsidRPr="008F1BC3">
        <w:rPr>
          <w:color w:val="252525"/>
          <w:lang w:val="en-GB"/>
        </w:rPr>
        <w:t xml:space="preserve">on these measures </w:t>
      </w:r>
      <w:r w:rsidR="006C60D3" w:rsidRPr="008F1BC3">
        <w:rPr>
          <w:color w:val="252525"/>
          <w:lang w:val="en-GB"/>
        </w:rPr>
        <w:t>will be resolved at a later date.</w:t>
      </w:r>
      <w:r w:rsidR="006C60D3" w:rsidRPr="008F1BC3">
        <w:rPr>
          <w:i/>
          <w:iCs/>
          <w:color w:val="252525"/>
          <w:lang w:val="en-GB"/>
        </w:rPr>
        <w:t xml:space="preserve"> </w:t>
      </w:r>
      <w:r w:rsidR="00375B97" w:rsidRPr="008F1BC3">
        <w:rPr>
          <w:color w:val="252525"/>
          <w:lang w:val="en-GB"/>
        </w:rPr>
        <w:t>This includes</w:t>
      </w:r>
      <w:r w:rsidR="008F7AA8" w:rsidRPr="008F1BC3">
        <w:rPr>
          <w:color w:val="252525"/>
          <w:lang w:val="en-GB"/>
        </w:rPr>
        <w:t xml:space="preserve"> </w:t>
      </w:r>
      <w:r w:rsidR="00FC6CB3" w:rsidRPr="008F1BC3">
        <w:rPr>
          <w:color w:val="252525"/>
          <w:lang w:val="en-GB"/>
        </w:rPr>
        <w:t>testing requirements</w:t>
      </w:r>
      <w:r w:rsidR="009F218D" w:rsidRPr="008F1BC3">
        <w:rPr>
          <w:color w:val="252525"/>
          <w:lang w:val="en-GB"/>
        </w:rPr>
        <w:t>, should they be necessary.</w:t>
      </w:r>
    </w:p>
    <w:p w14:paraId="7FD48712" w14:textId="1A7B4D03" w:rsidR="00733084" w:rsidRDefault="00733084" w:rsidP="00733084">
      <w:pPr>
        <w:pStyle w:val="Heading2"/>
      </w:pPr>
      <w:bookmarkStart w:id="16" w:name="_Toc145573529"/>
      <w:r>
        <w:t>Option 3: Status quo</w:t>
      </w:r>
      <w:bookmarkEnd w:id="16"/>
    </w:p>
    <w:p w14:paraId="74ACD41C" w14:textId="328D785D" w:rsidR="00445AC9" w:rsidRDefault="00A54DFD" w:rsidP="00CD4EB6">
      <w:pPr>
        <w:pStyle w:val="Body"/>
      </w:pPr>
      <w:r>
        <w:t xml:space="preserve">The risks of RCS exposure would be managed </w:t>
      </w:r>
      <w:r w:rsidR="009D6E1F">
        <w:t>through</w:t>
      </w:r>
      <w:r>
        <w:t xml:space="preserve"> the existing WHS </w:t>
      </w:r>
      <w:r w:rsidR="009801E0">
        <w:t>framework.</w:t>
      </w:r>
      <w:r w:rsidR="00844422">
        <w:t xml:space="preserve"> It assumes</w:t>
      </w:r>
      <w:r w:rsidR="0014372B">
        <w:t xml:space="preserve"> compliance and enforcement activities</w:t>
      </w:r>
      <w:r w:rsidR="00061F99">
        <w:t xml:space="preserve"> of WHS regulator</w:t>
      </w:r>
      <w:r w:rsidR="007E484D">
        <w:t>s, and education and awareness activities</w:t>
      </w:r>
      <w:r w:rsidR="00F161AB">
        <w:t xml:space="preserve"> undertaken by </w:t>
      </w:r>
      <w:r w:rsidR="00E333CA">
        <w:t>SWA</w:t>
      </w:r>
      <w:r w:rsidR="004B17CC">
        <w:t>;</w:t>
      </w:r>
      <w:r w:rsidR="00B92233">
        <w:t xml:space="preserve"> </w:t>
      </w:r>
      <w:r w:rsidR="004B17CC">
        <w:t>Commonwealth</w:t>
      </w:r>
      <w:r w:rsidR="00B92233">
        <w:t>, state and territory governments</w:t>
      </w:r>
      <w:r w:rsidR="004B17CC">
        <w:t>;</w:t>
      </w:r>
      <w:r w:rsidR="00B92233">
        <w:t xml:space="preserve"> and</w:t>
      </w:r>
      <w:r w:rsidR="00E66778">
        <w:t xml:space="preserve"> non-government organisations </w:t>
      </w:r>
      <w:r w:rsidR="00554E2D">
        <w:t>would continue</w:t>
      </w:r>
      <w:r w:rsidR="00E66778">
        <w:t xml:space="preserve"> at current levels.</w:t>
      </w:r>
      <w:r w:rsidR="007363ED">
        <w:t xml:space="preserve"> </w:t>
      </w:r>
    </w:p>
    <w:p w14:paraId="5816ED29" w14:textId="77777777" w:rsidR="008A059F" w:rsidRPr="00C10812" w:rsidRDefault="008A059F" w:rsidP="008A059F">
      <w:pPr>
        <w:pStyle w:val="Heading1"/>
        <w:spacing w:before="120" w:after="120" w:line="360" w:lineRule="auto"/>
        <w:rPr>
          <w:rFonts w:asciiTheme="minorHAnsi" w:eastAsiaTheme="minorEastAsia" w:hAnsiTheme="minorHAnsi" w:cstheme="minorBidi"/>
        </w:rPr>
      </w:pPr>
      <w:bookmarkStart w:id="17" w:name="_Toc145573530"/>
      <w:r w:rsidRPr="7612DB8E">
        <w:rPr>
          <w:rFonts w:asciiTheme="minorHAnsi" w:eastAsiaTheme="minorEastAsia" w:hAnsiTheme="minorHAnsi" w:cstheme="minorBidi"/>
        </w:rPr>
        <w:t>4.  What is the likely net benefit of each option?</w:t>
      </w:r>
      <w:bookmarkEnd w:id="17"/>
      <w:r w:rsidRPr="7612DB8E">
        <w:rPr>
          <w:rFonts w:asciiTheme="minorHAnsi" w:eastAsiaTheme="minorEastAsia" w:hAnsiTheme="minorHAnsi" w:cstheme="minorBidi"/>
        </w:rPr>
        <w:t xml:space="preserve"> </w:t>
      </w:r>
    </w:p>
    <w:p w14:paraId="66070833" w14:textId="18DF73C6" w:rsidR="007A2DD1" w:rsidRPr="007A2DD1" w:rsidRDefault="009E08E1" w:rsidP="009E08E1">
      <w:pPr>
        <w:pStyle w:val="Caption"/>
      </w:pPr>
      <w:r>
        <w:t xml:space="preserve">Table 1: </w:t>
      </w:r>
      <w:r w:rsidR="00FE7332">
        <w:t xml:space="preserve">Breakdown of estimated costs for </w:t>
      </w:r>
      <w:r w:rsidR="00693790">
        <w:t>each option</w:t>
      </w:r>
      <w:r w:rsidR="00251A28">
        <w:t xml:space="preserve"> </w:t>
      </w:r>
      <w:r w:rsidR="00976F79">
        <w:t xml:space="preserve">over the </w:t>
      </w:r>
      <w:r w:rsidR="007D4BF4">
        <w:t>10</w:t>
      </w:r>
      <w:r w:rsidR="00927A5B">
        <w:t>-</w:t>
      </w:r>
      <w:r w:rsidR="007D4BF4">
        <w:t xml:space="preserve">year </w:t>
      </w:r>
      <w:r w:rsidR="00976F79">
        <w:t>appraisal period</w:t>
      </w:r>
      <w:r w:rsidR="00251A28">
        <w:t xml:space="preserve"> ($m)</w:t>
      </w:r>
      <w:r w:rsidR="0005063E">
        <w:rPr>
          <w:rStyle w:val="FootnoteReference"/>
        </w:rPr>
        <w:footnoteReference w:id="10"/>
      </w:r>
    </w:p>
    <w:tbl>
      <w:tblPr>
        <w:tblStyle w:val="TableGrid"/>
        <w:tblW w:w="0" w:type="auto"/>
        <w:tblLook w:val="04A0" w:firstRow="1" w:lastRow="0" w:firstColumn="1" w:lastColumn="0" w:noHBand="0" w:noVBand="1"/>
      </w:tblPr>
      <w:tblGrid>
        <w:gridCol w:w="2254"/>
        <w:gridCol w:w="2254"/>
        <w:gridCol w:w="2254"/>
        <w:gridCol w:w="2254"/>
      </w:tblGrid>
      <w:tr w:rsidR="007C0048" w:rsidRPr="00D41D11" w14:paraId="63C1431F" w14:textId="77777777" w:rsidTr="007C0048">
        <w:tc>
          <w:tcPr>
            <w:tcW w:w="2254" w:type="dxa"/>
          </w:tcPr>
          <w:p w14:paraId="45D656BD" w14:textId="77777777" w:rsidR="007C0048" w:rsidRPr="00D41D11" w:rsidRDefault="007C0048" w:rsidP="004647C2">
            <w:pPr>
              <w:pStyle w:val="Body"/>
              <w:spacing w:before="60" w:after="60" w:line="240" w:lineRule="auto"/>
              <w:rPr>
                <w:b/>
              </w:rPr>
            </w:pPr>
          </w:p>
        </w:tc>
        <w:tc>
          <w:tcPr>
            <w:tcW w:w="2254" w:type="dxa"/>
          </w:tcPr>
          <w:p w14:paraId="4ACA65B4" w14:textId="61E77379" w:rsidR="007C0048" w:rsidRPr="00D41D11" w:rsidRDefault="007C0048" w:rsidP="004647C2">
            <w:pPr>
              <w:pStyle w:val="Body"/>
              <w:spacing w:before="60" w:after="60" w:line="240" w:lineRule="auto"/>
              <w:rPr>
                <w:b/>
              </w:rPr>
            </w:pPr>
            <w:r w:rsidRPr="00D41D11">
              <w:rPr>
                <w:b/>
              </w:rPr>
              <w:t>Option 1</w:t>
            </w:r>
          </w:p>
        </w:tc>
        <w:tc>
          <w:tcPr>
            <w:tcW w:w="2254" w:type="dxa"/>
          </w:tcPr>
          <w:p w14:paraId="51AC8A73" w14:textId="03147CE9" w:rsidR="007C0048" w:rsidRPr="00D41D11" w:rsidRDefault="007C0048" w:rsidP="004647C2">
            <w:pPr>
              <w:pStyle w:val="Body"/>
              <w:spacing w:before="60" w:after="60" w:line="240" w:lineRule="auto"/>
              <w:rPr>
                <w:b/>
              </w:rPr>
            </w:pPr>
            <w:r w:rsidRPr="00D41D11">
              <w:rPr>
                <w:b/>
              </w:rPr>
              <w:t>Option 2</w:t>
            </w:r>
          </w:p>
        </w:tc>
        <w:tc>
          <w:tcPr>
            <w:tcW w:w="2254" w:type="dxa"/>
          </w:tcPr>
          <w:p w14:paraId="6348325F" w14:textId="4A1B3AF6" w:rsidR="007C0048" w:rsidRPr="00D41D11" w:rsidRDefault="007C0048" w:rsidP="004647C2">
            <w:pPr>
              <w:pStyle w:val="Body"/>
              <w:spacing w:before="60" w:after="60" w:line="240" w:lineRule="auto"/>
              <w:rPr>
                <w:b/>
              </w:rPr>
            </w:pPr>
            <w:r w:rsidRPr="00D41D11">
              <w:rPr>
                <w:b/>
              </w:rPr>
              <w:t>Option 3</w:t>
            </w:r>
          </w:p>
        </w:tc>
      </w:tr>
      <w:tr w:rsidR="007C0048" w:rsidRPr="00D41D11" w14:paraId="307A4BDD" w14:textId="77777777">
        <w:tc>
          <w:tcPr>
            <w:tcW w:w="9016" w:type="dxa"/>
            <w:gridSpan w:val="4"/>
          </w:tcPr>
          <w:p w14:paraId="6F7D2ED3" w14:textId="5CE57F33" w:rsidR="007C0048" w:rsidRPr="00182F9F" w:rsidRDefault="007C0048" w:rsidP="004647C2">
            <w:pPr>
              <w:pStyle w:val="Body"/>
              <w:spacing w:before="60" w:after="60" w:line="240" w:lineRule="auto"/>
              <w:rPr>
                <w:b/>
                <w:sz w:val="20"/>
                <w:szCs w:val="20"/>
              </w:rPr>
            </w:pPr>
            <w:r w:rsidRPr="00D41D11">
              <w:rPr>
                <w:b/>
              </w:rPr>
              <w:t xml:space="preserve">Licensing framework for work with legacy products </w:t>
            </w:r>
          </w:p>
        </w:tc>
      </w:tr>
      <w:tr w:rsidR="007C0048" w14:paraId="7378D258" w14:textId="77777777" w:rsidTr="007C0048">
        <w:tc>
          <w:tcPr>
            <w:tcW w:w="2254" w:type="dxa"/>
          </w:tcPr>
          <w:p w14:paraId="5EBD36D3" w14:textId="5439BA47" w:rsidR="007C0048" w:rsidRDefault="007C0048" w:rsidP="004647C2">
            <w:pPr>
              <w:pStyle w:val="Body"/>
              <w:spacing w:before="60" w:after="60" w:line="240" w:lineRule="auto"/>
            </w:pPr>
            <w:r>
              <w:t>Cost to PCBUs</w:t>
            </w:r>
          </w:p>
        </w:tc>
        <w:tc>
          <w:tcPr>
            <w:tcW w:w="2254" w:type="dxa"/>
          </w:tcPr>
          <w:p w14:paraId="1BED18D1" w14:textId="6DC52EEB" w:rsidR="007C0048" w:rsidRDefault="00693790" w:rsidP="004647C2">
            <w:pPr>
              <w:pStyle w:val="Body"/>
              <w:spacing w:before="60" w:after="60" w:line="240" w:lineRule="auto"/>
            </w:pPr>
            <w:r>
              <w:t>$133.0</w:t>
            </w:r>
          </w:p>
        </w:tc>
        <w:tc>
          <w:tcPr>
            <w:tcW w:w="2254" w:type="dxa"/>
          </w:tcPr>
          <w:p w14:paraId="71DDCD6F" w14:textId="321B7E29" w:rsidR="007C0048" w:rsidRDefault="00693790" w:rsidP="004647C2">
            <w:pPr>
              <w:pStyle w:val="Body"/>
              <w:spacing w:before="60" w:after="60" w:line="240" w:lineRule="auto"/>
            </w:pPr>
            <w:r w:rsidRPr="002225F7">
              <w:t>$</w:t>
            </w:r>
            <w:r w:rsidR="002960DC">
              <w:t>133.</w:t>
            </w:r>
            <w:r w:rsidRPr="002225F7">
              <w:t>0</w:t>
            </w:r>
          </w:p>
        </w:tc>
        <w:tc>
          <w:tcPr>
            <w:tcW w:w="2254" w:type="dxa"/>
          </w:tcPr>
          <w:p w14:paraId="651F0E6A" w14:textId="4399E1F2" w:rsidR="007C0048" w:rsidRDefault="00693790" w:rsidP="004647C2">
            <w:pPr>
              <w:pStyle w:val="Body"/>
              <w:spacing w:before="60" w:after="60" w:line="240" w:lineRule="auto"/>
            </w:pPr>
            <w:r>
              <w:t>$0</w:t>
            </w:r>
          </w:p>
        </w:tc>
      </w:tr>
      <w:tr w:rsidR="007C0048" w14:paraId="050D17B3" w14:textId="77777777" w:rsidTr="007C0048">
        <w:tc>
          <w:tcPr>
            <w:tcW w:w="2254" w:type="dxa"/>
          </w:tcPr>
          <w:p w14:paraId="7D2A7200" w14:textId="2EFE0A21" w:rsidR="007C0048" w:rsidRDefault="007C0048" w:rsidP="004647C2">
            <w:pPr>
              <w:pStyle w:val="Body"/>
              <w:spacing w:before="60" w:after="60" w:line="240" w:lineRule="auto"/>
            </w:pPr>
            <w:r>
              <w:t>Cost to government</w:t>
            </w:r>
          </w:p>
        </w:tc>
        <w:tc>
          <w:tcPr>
            <w:tcW w:w="2254" w:type="dxa"/>
          </w:tcPr>
          <w:p w14:paraId="606469E7" w14:textId="10EB4BD0" w:rsidR="007C0048" w:rsidRDefault="00693790" w:rsidP="004647C2">
            <w:pPr>
              <w:pStyle w:val="Body"/>
              <w:spacing w:before="60" w:after="60" w:line="240" w:lineRule="auto"/>
            </w:pPr>
            <w:r>
              <w:t>$107.5</w:t>
            </w:r>
          </w:p>
        </w:tc>
        <w:tc>
          <w:tcPr>
            <w:tcW w:w="2254" w:type="dxa"/>
          </w:tcPr>
          <w:p w14:paraId="073F9F29" w14:textId="27DC1888" w:rsidR="007C0048" w:rsidRDefault="00693790" w:rsidP="004647C2">
            <w:pPr>
              <w:pStyle w:val="Body"/>
              <w:spacing w:before="60" w:after="60" w:line="240" w:lineRule="auto"/>
            </w:pPr>
            <w:r w:rsidRPr="002225F7">
              <w:t>$</w:t>
            </w:r>
            <w:r w:rsidR="00FF43F4">
              <w:t>107.5</w:t>
            </w:r>
          </w:p>
        </w:tc>
        <w:tc>
          <w:tcPr>
            <w:tcW w:w="2254" w:type="dxa"/>
          </w:tcPr>
          <w:p w14:paraId="2EC98C03" w14:textId="56715670" w:rsidR="007C0048" w:rsidRDefault="00693790" w:rsidP="004647C2">
            <w:pPr>
              <w:pStyle w:val="Body"/>
              <w:spacing w:before="60" w:after="60" w:line="240" w:lineRule="auto"/>
            </w:pPr>
            <w:r>
              <w:t>$0</w:t>
            </w:r>
          </w:p>
        </w:tc>
      </w:tr>
      <w:tr w:rsidR="007C0048" w:rsidRPr="00D41D11" w14:paraId="687D84DB" w14:textId="77777777" w:rsidTr="007C0048">
        <w:tc>
          <w:tcPr>
            <w:tcW w:w="2254" w:type="dxa"/>
          </w:tcPr>
          <w:p w14:paraId="6252E1E0" w14:textId="72DE6B51" w:rsidR="007C0048" w:rsidRPr="00D41D11" w:rsidRDefault="007C0048" w:rsidP="004647C2">
            <w:pPr>
              <w:pStyle w:val="Body"/>
              <w:spacing w:before="60" w:after="60" w:line="240" w:lineRule="auto"/>
              <w:rPr>
                <w:b/>
              </w:rPr>
            </w:pPr>
            <w:r w:rsidRPr="00D41D11">
              <w:rPr>
                <w:b/>
              </w:rPr>
              <w:t>Sub total</w:t>
            </w:r>
          </w:p>
        </w:tc>
        <w:tc>
          <w:tcPr>
            <w:tcW w:w="2254" w:type="dxa"/>
          </w:tcPr>
          <w:p w14:paraId="20B042E4" w14:textId="0A55AA20" w:rsidR="007C0048" w:rsidRPr="00D41D11" w:rsidRDefault="00251A28" w:rsidP="004647C2">
            <w:pPr>
              <w:pStyle w:val="Body"/>
              <w:spacing w:before="60" w:after="60" w:line="240" w:lineRule="auto"/>
              <w:rPr>
                <w:b/>
              </w:rPr>
            </w:pPr>
            <w:r w:rsidRPr="00251A28">
              <w:rPr>
                <w:b/>
                <w:bCs/>
              </w:rPr>
              <w:t>$240.5</w:t>
            </w:r>
          </w:p>
        </w:tc>
        <w:tc>
          <w:tcPr>
            <w:tcW w:w="2254" w:type="dxa"/>
          </w:tcPr>
          <w:p w14:paraId="2502E99D" w14:textId="3718210E" w:rsidR="007C0048" w:rsidRPr="00D41D11" w:rsidRDefault="00693790" w:rsidP="004647C2">
            <w:pPr>
              <w:pStyle w:val="Body"/>
              <w:spacing w:before="60" w:after="60" w:line="240" w:lineRule="auto"/>
              <w:rPr>
                <w:b/>
              </w:rPr>
            </w:pPr>
            <w:r w:rsidRPr="00251A28">
              <w:rPr>
                <w:b/>
              </w:rPr>
              <w:t>$</w:t>
            </w:r>
            <w:r w:rsidR="006245D4">
              <w:rPr>
                <w:b/>
              </w:rPr>
              <w:t>240.5</w:t>
            </w:r>
          </w:p>
        </w:tc>
        <w:tc>
          <w:tcPr>
            <w:tcW w:w="2254" w:type="dxa"/>
          </w:tcPr>
          <w:p w14:paraId="7BC8FC21" w14:textId="60943DCD" w:rsidR="007C0048" w:rsidRPr="00D41D11" w:rsidRDefault="00693790" w:rsidP="004647C2">
            <w:pPr>
              <w:pStyle w:val="Body"/>
              <w:spacing w:before="60" w:after="60" w:line="240" w:lineRule="auto"/>
              <w:rPr>
                <w:b/>
              </w:rPr>
            </w:pPr>
            <w:r w:rsidRPr="00251A28">
              <w:rPr>
                <w:b/>
              </w:rPr>
              <w:t>$0</w:t>
            </w:r>
          </w:p>
        </w:tc>
      </w:tr>
      <w:tr w:rsidR="007C0048" w:rsidRPr="00D41D11" w14:paraId="2413E6EA" w14:textId="77777777" w:rsidTr="007C0048">
        <w:tc>
          <w:tcPr>
            <w:tcW w:w="9016" w:type="dxa"/>
            <w:gridSpan w:val="4"/>
          </w:tcPr>
          <w:p w14:paraId="3118EB9E" w14:textId="38116D27" w:rsidR="007C0048" w:rsidRPr="00D41D11" w:rsidRDefault="00D41D11" w:rsidP="004647C2">
            <w:pPr>
              <w:pStyle w:val="Body"/>
              <w:spacing w:before="60" w:after="60" w:line="240" w:lineRule="auto"/>
              <w:rPr>
                <w:b/>
              </w:rPr>
            </w:pPr>
            <w:r w:rsidRPr="00D41D11">
              <w:rPr>
                <w:b/>
                <w:bCs/>
              </w:rPr>
              <w:t xml:space="preserve">Option-specific costs </w:t>
            </w:r>
          </w:p>
        </w:tc>
      </w:tr>
      <w:tr w:rsidR="007C0048" w14:paraId="66EB41A2" w14:textId="77777777" w:rsidTr="007C0048">
        <w:tc>
          <w:tcPr>
            <w:tcW w:w="2254" w:type="dxa"/>
          </w:tcPr>
          <w:p w14:paraId="2A8E62AB" w14:textId="32205B29" w:rsidR="007C0048" w:rsidRDefault="00D41D11" w:rsidP="004647C2">
            <w:pPr>
              <w:pStyle w:val="Body"/>
              <w:spacing w:before="60" w:after="60" w:line="240" w:lineRule="auto"/>
            </w:pPr>
            <w:r>
              <w:t>Cost to PCBUs</w:t>
            </w:r>
          </w:p>
        </w:tc>
        <w:tc>
          <w:tcPr>
            <w:tcW w:w="2254" w:type="dxa"/>
          </w:tcPr>
          <w:p w14:paraId="336C14C9" w14:textId="0EE17CB6" w:rsidR="007C0048" w:rsidRDefault="00251A28" w:rsidP="004647C2">
            <w:pPr>
              <w:pStyle w:val="Body"/>
              <w:spacing w:before="60" w:after="60" w:line="240" w:lineRule="auto"/>
            </w:pPr>
            <w:r>
              <w:t>$6.9</w:t>
            </w:r>
          </w:p>
        </w:tc>
        <w:tc>
          <w:tcPr>
            <w:tcW w:w="2254" w:type="dxa"/>
          </w:tcPr>
          <w:p w14:paraId="5466349E" w14:textId="375B2515" w:rsidR="007C0048" w:rsidRDefault="00251A28" w:rsidP="004647C2">
            <w:pPr>
              <w:pStyle w:val="Body"/>
              <w:spacing w:before="60" w:after="60" w:line="240" w:lineRule="auto"/>
            </w:pPr>
            <w:r>
              <w:t>$6.9</w:t>
            </w:r>
          </w:p>
        </w:tc>
        <w:tc>
          <w:tcPr>
            <w:tcW w:w="2254" w:type="dxa"/>
          </w:tcPr>
          <w:p w14:paraId="6FFD63D1" w14:textId="250928D4" w:rsidR="007C0048" w:rsidRDefault="00693790" w:rsidP="004647C2">
            <w:pPr>
              <w:pStyle w:val="Body"/>
              <w:spacing w:before="60" w:after="60" w:line="240" w:lineRule="auto"/>
            </w:pPr>
            <w:r w:rsidRPr="0065671A">
              <w:t>$0</w:t>
            </w:r>
          </w:p>
        </w:tc>
      </w:tr>
      <w:tr w:rsidR="007C0048" w14:paraId="43027927" w14:textId="77777777" w:rsidTr="007C0048">
        <w:tc>
          <w:tcPr>
            <w:tcW w:w="2254" w:type="dxa"/>
          </w:tcPr>
          <w:p w14:paraId="6A41D5AA" w14:textId="1E55EF8A" w:rsidR="007C0048" w:rsidRDefault="00D41D11" w:rsidP="004647C2">
            <w:pPr>
              <w:pStyle w:val="Body"/>
              <w:spacing w:before="60" w:after="60" w:line="240" w:lineRule="auto"/>
            </w:pPr>
            <w:r>
              <w:t>Cost to government</w:t>
            </w:r>
          </w:p>
        </w:tc>
        <w:tc>
          <w:tcPr>
            <w:tcW w:w="2254" w:type="dxa"/>
          </w:tcPr>
          <w:p w14:paraId="7AAED796" w14:textId="1334221F" w:rsidR="007C0048" w:rsidRDefault="00251A28" w:rsidP="004647C2">
            <w:pPr>
              <w:pStyle w:val="Body"/>
              <w:spacing w:before="60" w:after="60" w:line="240" w:lineRule="auto"/>
            </w:pPr>
            <w:r>
              <w:t>$0.7</w:t>
            </w:r>
          </w:p>
        </w:tc>
        <w:tc>
          <w:tcPr>
            <w:tcW w:w="2254" w:type="dxa"/>
          </w:tcPr>
          <w:p w14:paraId="209186DC" w14:textId="3EAA69BA" w:rsidR="007C0048" w:rsidRDefault="00251A28" w:rsidP="004647C2">
            <w:pPr>
              <w:pStyle w:val="Body"/>
              <w:spacing w:before="60" w:after="60" w:line="240" w:lineRule="auto"/>
            </w:pPr>
            <w:r>
              <w:t>$0.7</w:t>
            </w:r>
          </w:p>
        </w:tc>
        <w:tc>
          <w:tcPr>
            <w:tcW w:w="2254" w:type="dxa"/>
          </w:tcPr>
          <w:p w14:paraId="09EF7905" w14:textId="6B7020B5" w:rsidR="007C0048" w:rsidRDefault="00693790" w:rsidP="004647C2">
            <w:pPr>
              <w:pStyle w:val="Body"/>
              <w:spacing w:before="60" w:after="60" w:line="240" w:lineRule="auto"/>
            </w:pPr>
            <w:r w:rsidRPr="0065671A">
              <w:t>$0</w:t>
            </w:r>
          </w:p>
        </w:tc>
      </w:tr>
      <w:tr w:rsidR="007C0048" w14:paraId="0A1CE4D6" w14:textId="77777777" w:rsidTr="007C0048">
        <w:tc>
          <w:tcPr>
            <w:tcW w:w="2254" w:type="dxa"/>
          </w:tcPr>
          <w:p w14:paraId="668F5CC1" w14:textId="556E55AE" w:rsidR="007C0048" w:rsidRDefault="00D41D11" w:rsidP="004647C2">
            <w:pPr>
              <w:pStyle w:val="Body"/>
              <w:spacing w:before="60" w:after="60" w:line="240" w:lineRule="auto"/>
            </w:pPr>
            <w:r>
              <w:t>Cost to workers</w:t>
            </w:r>
          </w:p>
        </w:tc>
        <w:tc>
          <w:tcPr>
            <w:tcW w:w="2254" w:type="dxa"/>
          </w:tcPr>
          <w:p w14:paraId="24E64968" w14:textId="577E5876" w:rsidR="007C0048" w:rsidRDefault="00251A28" w:rsidP="004647C2">
            <w:pPr>
              <w:pStyle w:val="Body"/>
              <w:spacing w:before="60" w:after="60" w:line="240" w:lineRule="auto"/>
            </w:pPr>
            <w:r>
              <w:t>$3.1</w:t>
            </w:r>
          </w:p>
        </w:tc>
        <w:tc>
          <w:tcPr>
            <w:tcW w:w="2254" w:type="dxa"/>
          </w:tcPr>
          <w:p w14:paraId="319AE6D6" w14:textId="2AA6C8E8" w:rsidR="007C0048" w:rsidRDefault="00251A28" w:rsidP="004647C2">
            <w:pPr>
              <w:pStyle w:val="Body"/>
              <w:spacing w:before="60" w:after="60" w:line="240" w:lineRule="auto"/>
            </w:pPr>
            <w:r>
              <w:t>$3.1</w:t>
            </w:r>
          </w:p>
        </w:tc>
        <w:tc>
          <w:tcPr>
            <w:tcW w:w="2254" w:type="dxa"/>
          </w:tcPr>
          <w:p w14:paraId="1E96613B" w14:textId="47A3BBD6" w:rsidR="007C0048" w:rsidRDefault="00693790" w:rsidP="004647C2">
            <w:pPr>
              <w:pStyle w:val="Body"/>
              <w:spacing w:before="60" w:after="60" w:line="240" w:lineRule="auto"/>
            </w:pPr>
            <w:r w:rsidRPr="0065671A">
              <w:t>$0</w:t>
            </w:r>
          </w:p>
        </w:tc>
      </w:tr>
      <w:tr w:rsidR="007C0048" w:rsidRPr="00D41D11" w14:paraId="2BEE2AA2" w14:textId="77777777" w:rsidTr="007C0048">
        <w:tc>
          <w:tcPr>
            <w:tcW w:w="2254" w:type="dxa"/>
          </w:tcPr>
          <w:p w14:paraId="07708C56" w14:textId="233D3933" w:rsidR="007C0048" w:rsidRPr="00D41D11" w:rsidRDefault="00D41D11" w:rsidP="004647C2">
            <w:pPr>
              <w:pStyle w:val="Body"/>
              <w:spacing w:before="60" w:after="60" w:line="240" w:lineRule="auto"/>
              <w:rPr>
                <w:b/>
              </w:rPr>
            </w:pPr>
            <w:r w:rsidRPr="00D41D11">
              <w:rPr>
                <w:b/>
                <w:bCs/>
              </w:rPr>
              <w:t>Sub total</w:t>
            </w:r>
          </w:p>
        </w:tc>
        <w:tc>
          <w:tcPr>
            <w:tcW w:w="2254" w:type="dxa"/>
          </w:tcPr>
          <w:p w14:paraId="03C4792A" w14:textId="058BB854" w:rsidR="007C0048" w:rsidRPr="00D41D11" w:rsidRDefault="00251A28" w:rsidP="004647C2">
            <w:pPr>
              <w:pStyle w:val="Body"/>
              <w:spacing w:before="60" w:after="60" w:line="240" w:lineRule="auto"/>
              <w:rPr>
                <w:b/>
              </w:rPr>
            </w:pPr>
            <w:r w:rsidRPr="00251A28">
              <w:rPr>
                <w:b/>
                <w:bCs/>
              </w:rPr>
              <w:t>$10.6</w:t>
            </w:r>
          </w:p>
        </w:tc>
        <w:tc>
          <w:tcPr>
            <w:tcW w:w="2254" w:type="dxa"/>
          </w:tcPr>
          <w:p w14:paraId="23690365" w14:textId="5B7638EE" w:rsidR="007C0048" w:rsidRPr="00D41D11" w:rsidRDefault="00251A28" w:rsidP="004647C2">
            <w:pPr>
              <w:pStyle w:val="Body"/>
              <w:spacing w:before="60" w:after="60" w:line="240" w:lineRule="auto"/>
              <w:rPr>
                <w:b/>
              </w:rPr>
            </w:pPr>
            <w:r w:rsidRPr="00251A28">
              <w:rPr>
                <w:b/>
                <w:bCs/>
              </w:rPr>
              <w:t>$10.6</w:t>
            </w:r>
          </w:p>
        </w:tc>
        <w:tc>
          <w:tcPr>
            <w:tcW w:w="2254" w:type="dxa"/>
          </w:tcPr>
          <w:p w14:paraId="0EB409F1" w14:textId="6F69D2C9" w:rsidR="007C0048" w:rsidRPr="00D41D11" w:rsidRDefault="00693790" w:rsidP="004647C2">
            <w:pPr>
              <w:pStyle w:val="Body"/>
              <w:spacing w:before="60" w:after="60" w:line="240" w:lineRule="auto"/>
              <w:rPr>
                <w:b/>
              </w:rPr>
            </w:pPr>
            <w:r w:rsidRPr="00251A28">
              <w:rPr>
                <w:b/>
              </w:rPr>
              <w:t>$0</w:t>
            </w:r>
          </w:p>
        </w:tc>
      </w:tr>
      <w:tr w:rsidR="00D41D11" w:rsidRPr="00D41D11" w14:paraId="4B35DCC1" w14:textId="77777777" w:rsidTr="007C0048">
        <w:tc>
          <w:tcPr>
            <w:tcW w:w="2254" w:type="dxa"/>
          </w:tcPr>
          <w:p w14:paraId="3220AB5D" w14:textId="134DDADC" w:rsidR="00D41D11" w:rsidRPr="00D41D11" w:rsidRDefault="00D41D11" w:rsidP="004647C2">
            <w:pPr>
              <w:pStyle w:val="Body"/>
              <w:spacing w:before="60" w:after="60" w:line="240" w:lineRule="auto"/>
              <w:rPr>
                <w:b/>
                <w:bCs/>
              </w:rPr>
            </w:pPr>
            <w:r w:rsidRPr="00D41D11">
              <w:rPr>
                <w:b/>
                <w:bCs/>
              </w:rPr>
              <w:t>Total</w:t>
            </w:r>
          </w:p>
        </w:tc>
        <w:tc>
          <w:tcPr>
            <w:tcW w:w="2254" w:type="dxa"/>
          </w:tcPr>
          <w:p w14:paraId="2A5AEACC" w14:textId="144B8A23" w:rsidR="00D41D11" w:rsidRPr="00D41D11" w:rsidRDefault="00251A28" w:rsidP="004647C2">
            <w:pPr>
              <w:pStyle w:val="Body"/>
              <w:spacing w:before="60" w:after="60" w:line="240" w:lineRule="auto"/>
              <w:rPr>
                <w:b/>
                <w:bCs/>
              </w:rPr>
            </w:pPr>
            <w:r w:rsidRPr="00251A28">
              <w:rPr>
                <w:b/>
                <w:bCs/>
              </w:rPr>
              <w:t>$251.1</w:t>
            </w:r>
          </w:p>
        </w:tc>
        <w:tc>
          <w:tcPr>
            <w:tcW w:w="2254" w:type="dxa"/>
          </w:tcPr>
          <w:p w14:paraId="7CEE700B" w14:textId="0547EF16" w:rsidR="00D41D11" w:rsidRPr="00D41D11" w:rsidRDefault="00251A28" w:rsidP="004647C2">
            <w:pPr>
              <w:pStyle w:val="Body"/>
              <w:spacing w:before="60" w:after="60" w:line="240" w:lineRule="auto"/>
              <w:rPr>
                <w:b/>
                <w:bCs/>
              </w:rPr>
            </w:pPr>
            <w:r w:rsidRPr="00251A28">
              <w:rPr>
                <w:b/>
                <w:bCs/>
              </w:rPr>
              <w:t>$</w:t>
            </w:r>
            <w:r w:rsidR="00E21627">
              <w:rPr>
                <w:b/>
                <w:bCs/>
              </w:rPr>
              <w:t>251.1</w:t>
            </w:r>
          </w:p>
        </w:tc>
        <w:tc>
          <w:tcPr>
            <w:tcW w:w="2254" w:type="dxa"/>
          </w:tcPr>
          <w:p w14:paraId="624D5154" w14:textId="49C86540" w:rsidR="00D41D11" w:rsidRPr="00D41D11" w:rsidRDefault="00693790" w:rsidP="004647C2">
            <w:pPr>
              <w:pStyle w:val="Body"/>
              <w:spacing w:before="60" w:after="60" w:line="240" w:lineRule="auto"/>
              <w:rPr>
                <w:b/>
                <w:bCs/>
              </w:rPr>
            </w:pPr>
            <w:r w:rsidRPr="00251A28">
              <w:rPr>
                <w:b/>
              </w:rPr>
              <w:t>$0</w:t>
            </w:r>
          </w:p>
        </w:tc>
      </w:tr>
    </w:tbl>
    <w:p w14:paraId="325E9719" w14:textId="77601A34" w:rsidR="00DB156D" w:rsidRDefault="00DB156D" w:rsidP="00DB156D">
      <w:pPr>
        <w:pStyle w:val="Heading2"/>
      </w:pPr>
      <w:bookmarkStart w:id="18" w:name="_Toc145573531"/>
      <w:r>
        <w:lastRenderedPageBreak/>
        <w:t>Option 1</w:t>
      </w:r>
      <w:r w:rsidR="00A950CC">
        <w:t xml:space="preserve">: </w:t>
      </w:r>
      <w:r w:rsidR="00A950CC" w:rsidRPr="00A950CC">
        <w:rPr>
          <w:lang w:val="en-GB"/>
        </w:rPr>
        <w:t>Prohibition on the use of engineered stone</w:t>
      </w:r>
      <w:bookmarkEnd w:id="18"/>
    </w:p>
    <w:p w14:paraId="63ABB31A" w14:textId="605367E2" w:rsidR="004B3F6A" w:rsidRPr="00EE5E7D" w:rsidRDefault="004B3F6A" w:rsidP="004B3F6A">
      <w:pPr>
        <w:pStyle w:val="Heading3"/>
      </w:pPr>
      <w:bookmarkStart w:id="19" w:name="_Toc145573532"/>
      <w:r>
        <w:t>For businesses</w:t>
      </w:r>
      <w:bookmarkEnd w:id="19"/>
    </w:p>
    <w:p w14:paraId="4D02D93E" w14:textId="77777777" w:rsidR="004B3F6A" w:rsidRDefault="004B3F6A" w:rsidP="004B3F6A">
      <w:pPr>
        <w:pStyle w:val="Heading4"/>
      </w:pPr>
      <w:r>
        <w:t>Costs</w:t>
      </w:r>
    </w:p>
    <w:p w14:paraId="633C7D2D" w14:textId="0A915AD1" w:rsidR="00060905" w:rsidRPr="00FB64FD" w:rsidRDefault="004B3F6A" w:rsidP="00060905">
      <w:pPr>
        <w:pStyle w:val="Body"/>
        <w:rPr>
          <w:lang w:val="en-GB"/>
        </w:rPr>
      </w:pPr>
      <w:r>
        <w:t xml:space="preserve">The </w:t>
      </w:r>
      <w:r w:rsidR="002D3D9F">
        <w:t>Prohibition Decision RIS</w:t>
      </w:r>
      <w:r w:rsidR="0071013C">
        <w:t xml:space="preserve"> </w:t>
      </w:r>
      <w:r w:rsidR="00977867">
        <w:t>identified</w:t>
      </w:r>
      <w:r w:rsidR="008D341C">
        <w:t xml:space="preserve"> the </w:t>
      </w:r>
      <w:r w:rsidR="00D963AA">
        <w:t xml:space="preserve">primary </w:t>
      </w:r>
      <w:r w:rsidR="00520361">
        <w:t xml:space="preserve">business cohorts </w:t>
      </w:r>
      <w:r w:rsidR="00E12360">
        <w:t xml:space="preserve">impacted by </w:t>
      </w:r>
      <w:r w:rsidR="002D7513">
        <w:t>O</w:t>
      </w:r>
      <w:r w:rsidR="00060905">
        <w:t>ption</w:t>
      </w:r>
      <w:r w:rsidR="00E12360">
        <w:t xml:space="preserve"> 1</w:t>
      </w:r>
      <w:r w:rsidR="00060905" w:rsidRPr="00FB64FD">
        <w:rPr>
          <w:lang w:val="en-GB"/>
        </w:rPr>
        <w:t xml:space="preserve">: </w:t>
      </w:r>
    </w:p>
    <w:p w14:paraId="229B1B44" w14:textId="77777777" w:rsidR="00060905" w:rsidRPr="00FB64FD" w:rsidRDefault="00060905" w:rsidP="00060905">
      <w:pPr>
        <w:pStyle w:val="ListBullet"/>
      </w:pPr>
      <w:r w:rsidRPr="00FB64FD">
        <w:t>Engineered</w:t>
      </w:r>
      <w:r w:rsidR="009E7DCF">
        <w:t xml:space="preserve"> stone PCBUs</w:t>
      </w:r>
      <w:r w:rsidR="00717F9D">
        <w:t xml:space="preserve"> </w:t>
      </w:r>
      <w:r w:rsidRPr="00FB64FD">
        <w:t xml:space="preserve">which fabricate (i.e. cut, shape, polish) </w:t>
      </w:r>
      <w:r w:rsidR="00717F9D">
        <w:t xml:space="preserve">and </w:t>
      </w:r>
      <w:r w:rsidRPr="00FB64FD">
        <w:t>install new engineered stone as their primary activity.</w:t>
      </w:r>
    </w:p>
    <w:p w14:paraId="3371B31B" w14:textId="77777777" w:rsidR="00060905" w:rsidRPr="00FB64FD" w:rsidRDefault="00060905" w:rsidP="00060905">
      <w:pPr>
        <w:pStyle w:val="ListBullet"/>
      </w:pPr>
      <w:r w:rsidRPr="00FB64FD">
        <w:t>Other</w:t>
      </w:r>
      <w:r w:rsidR="001376A1">
        <w:t xml:space="preserve"> industry PCBUs </w:t>
      </w:r>
      <w:r w:rsidRPr="00FB64FD">
        <w:t>which, in the course of their primary activities, may work with engineered stone that has previously been installed (legacy engineered stone). For example, cutting an existing benchtop</w:t>
      </w:r>
      <w:r w:rsidR="00AB2FBC">
        <w:t xml:space="preserve"> </w:t>
      </w:r>
      <w:r w:rsidR="004668AA">
        <w:t xml:space="preserve">to </w:t>
      </w:r>
      <w:r w:rsidRPr="00FB64FD">
        <w:t>fit an electrical outlet, replacing a cooktop, repairing or modifying plumbing, or removing a benchtop.</w:t>
      </w:r>
    </w:p>
    <w:p w14:paraId="56A7F348" w14:textId="6830962C" w:rsidR="006314A8" w:rsidRDefault="003B327E" w:rsidP="004B3F6A">
      <w:pPr>
        <w:pStyle w:val="Body"/>
        <w:rPr>
          <w:lang w:val="en-GB"/>
        </w:rPr>
      </w:pPr>
      <w:r>
        <w:t>Additionally, t</w:t>
      </w:r>
      <w:r w:rsidR="00717F9D">
        <w:t>he Prohibition Decision RIS also</w:t>
      </w:r>
      <w:r w:rsidR="00A254F7" w:rsidDel="001376A1">
        <w:t xml:space="preserve"> </w:t>
      </w:r>
      <w:r w:rsidR="00357A43">
        <w:t>identified</w:t>
      </w:r>
      <w:r w:rsidR="00B1599A">
        <w:t xml:space="preserve"> </w:t>
      </w:r>
      <w:r w:rsidR="001B54E4">
        <w:t xml:space="preserve">a small number of </w:t>
      </w:r>
      <w:r w:rsidR="00B1599A">
        <w:t>other impacted PCBUs</w:t>
      </w:r>
      <w:r w:rsidR="00721A37">
        <w:t xml:space="preserve"> </w:t>
      </w:r>
      <w:r w:rsidR="00497760">
        <w:t>including</w:t>
      </w:r>
      <w:r w:rsidR="00893A6F">
        <w:t xml:space="preserve"> importers</w:t>
      </w:r>
      <w:r w:rsidR="00F614B2">
        <w:t>, distributors and wholesale businesses</w:t>
      </w:r>
      <w:r w:rsidR="00BE19F3">
        <w:t>,</w:t>
      </w:r>
      <w:r w:rsidR="001C2E23">
        <w:t xml:space="preserve"> </w:t>
      </w:r>
      <w:r w:rsidR="008F257C">
        <w:t xml:space="preserve">noting these were not quantitively </w:t>
      </w:r>
      <w:r w:rsidR="00DE1D20">
        <w:t>costed</w:t>
      </w:r>
      <w:r w:rsidR="00D01195">
        <w:t xml:space="preserve"> due to the lack of </w:t>
      </w:r>
      <w:r w:rsidR="00283001">
        <w:t>information</w:t>
      </w:r>
      <w:r w:rsidR="00DE1D20">
        <w:t>.</w:t>
      </w:r>
      <w:r w:rsidR="00EB233F">
        <w:t xml:space="preserve"> A</w:t>
      </w:r>
      <w:r w:rsidR="005D784E">
        <w:t xml:space="preserve"> 2019 report</w:t>
      </w:r>
      <w:r w:rsidR="00791F01">
        <w:t xml:space="preserve"> suggested</w:t>
      </w:r>
      <w:r w:rsidR="002702A1">
        <w:t xml:space="preserve"> that 77</w:t>
      </w:r>
      <w:r w:rsidR="00AA26A7">
        <w:t xml:space="preserve"> per cent</w:t>
      </w:r>
      <w:r w:rsidR="002702A1">
        <w:t xml:space="preserve"> of Australia</w:t>
      </w:r>
      <w:r w:rsidR="004F301A">
        <w:t xml:space="preserve">’s engineered stone </w:t>
      </w:r>
      <w:r w:rsidR="00442923" w:rsidRPr="00442923">
        <w:rPr>
          <w:lang w:val="en-GB"/>
        </w:rPr>
        <w:t>of Australia’s engineered stone was supplied by 3–4</w:t>
      </w:r>
      <w:r w:rsidR="00442923" w:rsidRPr="00442923" w:rsidDel="007B4BDE">
        <w:rPr>
          <w:lang w:val="en-GB"/>
        </w:rPr>
        <w:t xml:space="preserve"> companies</w:t>
      </w:r>
      <w:r w:rsidR="00442923" w:rsidRPr="00442923">
        <w:rPr>
          <w:lang w:val="en-GB"/>
        </w:rPr>
        <w:t>.</w:t>
      </w:r>
      <w:r w:rsidR="009E4D54">
        <w:rPr>
          <w:rStyle w:val="FootnoteReference"/>
          <w:lang w:val="en-GB"/>
        </w:rPr>
        <w:footnoteReference w:id="11"/>
      </w:r>
      <w:r w:rsidR="00120E41">
        <w:rPr>
          <w:lang w:val="en-GB"/>
        </w:rPr>
        <w:t xml:space="preserve"> </w:t>
      </w:r>
      <w:r w:rsidR="00120E41" w:rsidRPr="00C662CA">
        <w:rPr>
          <w:lang w:val="en-GB"/>
        </w:rPr>
        <w:t xml:space="preserve">One major manufacturer </w:t>
      </w:r>
      <w:r w:rsidR="00120E41" w:rsidRPr="00907593">
        <w:rPr>
          <w:lang w:val="en-GB"/>
        </w:rPr>
        <w:t>an</w:t>
      </w:r>
      <w:r w:rsidR="002A1019">
        <w:rPr>
          <w:lang w:val="en-GB"/>
        </w:rPr>
        <w:t>d</w:t>
      </w:r>
      <w:r w:rsidR="00120E41" w:rsidRPr="001E51CA">
        <w:rPr>
          <w:lang w:val="en-GB"/>
        </w:rPr>
        <w:t xml:space="preserve"> wholesaler, Caesarstone, </w:t>
      </w:r>
      <w:r w:rsidR="006314A8" w:rsidRPr="001E51CA">
        <w:rPr>
          <w:lang w:val="en-GB"/>
        </w:rPr>
        <w:t>estimates there</w:t>
      </w:r>
      <w:r w:rsidR="006C5BB5">
        <w:rPr>
          <w:lang w:val="en-GB"/>
        </w:rPr>
        <w:t xml:space="preserve"> are</w:t>
      </w:r>
      <w:r w:rsidR="006314A8" w:rsidRPr="001E51CA">
        <w:rPr>
          <w:lang w:val="en-GB"/>
        </w:rPr>
        <w:t xml:space="preserve"> about </w:t>
      </w:r>
      <w:r w:rsidR="00661190" w:rsidRPr="001E51CA">
        <w:rPr>
          <w:lang w:val="en-GB"/>
        </w:rPr>
        <w:t xml:space="preserve">12 importers in the Australian market </w:t>
      </w:r>
      <w:r w:rsidR="00F12F7B" w:rsidRPr="001E51CA">
        <w:rPr>
          <w:lang w:val="en-GB"/>
        </w:rPr>
        <w:t>including Caesarstone, Smartstone and Cosentino.</w:t>
      </w:r>
      <w:r w:rsidR="00F12F7B" w:rsidRPr="001E51CA">
        <w:rPr>
          <w:rStyle w:val="FootnoteReference"/>
          <w:lang w:val="en-GB"/>
        </w:rPr>
        <w:footnoteReference w:id="12"/>
      </w:r>
      <w:r w:rsidR="00F12F7B">
        <w:rPr>
          <w:lang w:val="en-GB"/>
        </w:rPr>
        <w:t xml:space="preserve"> </w:t>
      </w:r>
    </w:p>
    <w:p w14:paraId="7E535A05" w14:textId="432074E6" w:rsidR="00B373CD" w:rsidRDefault="00442923" w:rsidP="004B3F6A">
      <w:pPr>
        <w:pStyle w:val="Body"/>
        <w:rPr>
          <w:lang w:val="en-GB"/>
        </w:rPr>
      </w:pPr>
      <w:r w:rsidRPr="00442923">
        <w:rPr>
          <w:lang w:val="en-GB"/>
        </w:rPr>
        <w:t xml:space="preserve">While it is not possible to determine exact numbers, it appears that up to 4 of these supply companies are large multi-national companies who also manufacture engineered stone and other stone or stone-like products. The remainder are locally owned </w:t>
      </w:r>
      <w:r w:rsidRPr="0038569F">
        <w:rPr>
          <w:lang w:val="en-GB"/>
        </w:rPr>
        <w:t xml:space="preserve">companies who import </w:t>
      </w:r>
      <w:r w:rsidRPr="00442923">
        <w:rPr>
          <w:lang w:val="en-GB"/>
        </w:rPr>
        <w:t xml:space="preserve">engineered stone from overseas manufacturers. Based on the limited information available, it appears that the companies </w:t>
      </w:r>
      <w:r w:rsidRPr="0038569F">
        <w:rPr>
          <w:lang w:val="en-GB"/>
        </w:rPr>
        <w:t>importing and</w:t>
      </w:r>
      <w:r w:rsidRPr="00442923">
        <w:rPr>
          <w:lang w:val="en-GB"/>
        </w:rPr>
        <w:t xml:space="preserve"> supplying engineered stone do not undertake fabrication themselves.</w:t>
      </w:r>
    </w:p>
    <w:p w14:paraId="4E37E965" w14:textId="4B3858D8" w:rsidR="006561CF" w:rsidRDefault="00AF42EA" w:rsidP="004B3F6A">
      <w:pPr>
        <w:pStyle w:val="Body"/>
      </w:pPr>
      <w:r w:rsidRPr="00FB64FD">
        <w:t xml:space="preserve">SWA </w:t>
      </w:r>
      <w:r w:rsidR="002211DF" w:rsidRPr="00FB64FD">
        <w:t>assume</w:t>
      </w:r>
      <w:r w:rsidRPr="00FB64FD">
        <w:t>s</w:t>
      </w:r>
      <w:r w:rsidR="002211DF" w:rsidRPr="00FB64FD">
        <w:t xml:space="preserve"> that no engineered stone PCBUs work with legacy engineered stone, and no other industry PCBUs fabricate or install new engineered stone.</w:t>
      </w:r>
      <w:r w:rsidR="000C7D74" w:rsidRPr="00FB64FD">
        <w:rPr>
          <w:rStyle w:val="FootnoteReference"/>
        </w:rPr>
        <w:footnoteReference w:id="13"/>
      </w:r>
    </w:p>
    <w:p w14:paraId="67710C17" w14:textId="77777777" w:rsidR="00116CBD" w:rsidRDefault="00116CBD" w:rsidP="00116CBD">
      <w:pPr>
        <w:pStyle w:val="Heading5"/>
      </w:pPr>
      <w:r>
        <w:t>Prohibition impact</w:t>
      </w:r>
    </w:p>
    <w:p w14:paraId="76E9CFAE" w14:textId="691E6253" w:rsidR="00116CBD" w:rsidRDefault="00B1525E" w:rsidP="00116CBD">
      <w:pPr>
        <w:pStyle w:val="Body"/>
        <w:rPr>
          <w:color w:val="252525"/>
        </w:rPr>
      </w:pPr>
      <w:r>
        <w:rPr>
          <w:color w:val="252525"/>
        </w:rPr>
        <w:t>SWA e</w:t>
      </w:r>
      <w:r w:rsidR="00116CBD" w:rsidRPr="00907593">
        <w:rPr>
          <w:color w:val="252525"/>
        </w:rPr>
        <w:t>stimate</w:t>
      </w:r>
      <w:r>
        <w:rPr>
          <w:color w:val="252525"/>
        </w:rPr>
        <w:t xml:space="preserve"> there are</w:t>
      </w:r>
      <w:r w:rsidR="00116CBD" w:rsidRPr="00907593">
        <w:rPr>
          <w:color w:val="252525"/>
        </w:rPr>
        <w:t xml:space="preserve"> 750 to 1,250 PCBUs working with engineered stone in Australia</w:t>
      </w:r>
      <w:r w:rsidR="00116CBD">
        <w:rPr>
          <w:color w:val="252525"/>
        </w:rPr>
        <w:t xml:space="preserve">. Under Option 1, it is assumed that 10 per cent of sole traders, 10 per cent of small businesses and 5 per cent of medium businesses would exit the industry due to a prohibition on the use of all engineered stone. Of </w:t>
      </w:r>
      <w:r w:rsidR="008F5AEE">
        <w:rPr>
          <w:color w:val="252525"/>
        </w:rPr>
        <w:t>the</w:t>
      </w:r>
      <w:r w:rsidR="00116CBD">
        <w:rPr>
          <w:color w:val="252525"/>
        </w:rPr>
        <w:t xml:space="preserve"> engineered stone PCBUs who responded to the SWA consultation on the prohibition consultation options, 95 per cent indicated they also work with natural stone, meaning the transition to work with natural stone would likely have less impact than previously assumed.</w:t>
      </w:r>
    </w:p>
    <w:p w14:paraId="02D133AF" w14:textId="010DF83F" w:rsidR="00116CBD" w:rsidRDefault="00116CBD" w:rsidP="00116CBD">
      <w:pPr>
        <w:pStyle w:val="Body"/>
        <w:rPr>
          <w:color w:val="252525"/>
        </w:rPr>
      </w:pPr>
      <w:r>
        <w:rPr>
          <w:color w:val="252525"/>
        </w:rPr>
        <w:t xml:space="preserve">Business closure costs (e.g. financial wind up or liquidation costs) and redundancy payments paid to workers have been estimated at $4.8 million across all engineered stone PCBUs for Option 1. </w:t>
      </w:r>
      <w:r>
        <w:rPr>
          <w:color w:val="252525"/>
        </w:rPr>
        <w:lastRenderedPageBreak/>
        <w:t>Redundancy costs have been assumed to be paid only by medium businesses, with displaced workers from smaller businesses eligible for government income support.</w:t>
      </w:r>
    </w:p>
    <w:p w14:paraId="2EB88296" w14:textId="77777777" w:rsidR="00116CBD" w:rsidRPr="00023818" w:rsidRDefault="00116CBD" w:rsidP="00116CBD">
      <w:pPr>
        <w:pStyle w:val="Body"/>
        <w:rPr>
          <w:color w:val="000000"/>
        </w:rPr>
      </w:pPr>
      <w:r w:rsidRPr="00023818">
        <w:t>Under Option 1, it is assumed that most engineered stone PCBUs would continue to work with natural stone, but a small number (5</w:t>
      </w:r>
      <w:r>
        <w:t xml:space="preserve"> per cent</w:t>
      </w:r>
      <w:r w:rsidRPr="00023818">
        <w:t xml:space="preserve">) of medium sized engineered stone PCBUs may choose to expand their business to include non-stone products. This would result in new equipment costs of $2.1 million over </w:t>
      </w:r>
      <w:r>
        <w:t>10 years</w:t>
      </w:r>
      <w:r w:rsidRPr="00023818">
        <w:t xml:space="preserve">. </w:t>
      </w:r>
    </w:p>
    <w:p w14:paraId="77768F4E" w14:textId="77777777" w:rsidR="00116CBD" w:rsidRDefault="00116CBD" w:rsidP="00116CBD">
      <w:pPr>
        <w:pStyle w:val="Body"/>
        <w:rPr>
          <w:rFonts w:eastAsiaTheme="minorHAnsi"/>
          <w:lang w:eastAsia="en-US"/>
        </w:rPr>
      </w:pPr>
      <w:r w:rsidRPr="00023818">
        <w:rPr>
          <w:rFonts w:eastAsiaTheme="minorHAnsi"/>
          <w:lang w:eastAsia="en-US"/>
        </w:rPr>
        <w:t>Medium sized PCBUs are assumed to be more able to expand their offering to include non-stone products than sole traders and small businesses, as they are expected to have better access to the capital required to invest in new equipment, processes and training, and may already be undertaking work with alternative products such as laminate.</w:t>
      </w:r>
    </w:p>
    <w:p w14:paraId="34F581C6" w14:textId="5CF6C859" w:rsidR="002F09EF" w:rsidRDefault="00D87232" w:rsidP="00116CBD">
      <w:pPr>
        <w:pStyle w:val="Body"/>
        <w:rPr>
          <w:rFonts w:eastAsiaTheme="minorHAnsi"/>
          <w:lang w:eastAsia="en-US"/>
        </w:rPr>
      </w:pPr>
      <w:r w:rsidRPr="00B17C57">
        <w:rPr>
          <w:rFonts w:eastAsiaTheme="minorHAnsi"/>
          <w:lang w:eastAsia="en-US"/>
        </w:rPr>
        <w:t xml:space="preserve">Importers have a duty of care </w:t>
      </w:r>
      <w:r w:rsidR="00E709B1" w:rsidRPr="00B17C57">
        <w:rPr>
          <w:rFonts w:eastAsiaTheme="minorHAnsi"/>
          <w:lang w:eastAsia="en-US"/>
        </w:rPr>
        <w:t xml:space="preserve">under WHS laws </w:t>
      </w:r>
      <w:r w:rsidRPr="00B17C57">
        <w:rPr>
          <w:rFonts w:eastAsiaTheme="minorHAnsi"/>
          <w:lang w:eastAsia="en-US"/>
        </w:rPr>
        <w:t>to ensure, so far as reasonably practica</w:t>
      </w:r>
      <w:r w:rsidR="009505D1" w:rsidRPr="00B17C57">
        <w:rPr>
          <w:rFonts w:eastAsiaTheme="minorHAnsi"/>
          <w:lang w:eastAsia="en-US"/>
        </w:rPr>
        <w:t>ble</w:t>
      </w:r>
      <w:r w:rsidRPr="00B17C57">
        <w:rPr>
          <w:rFonts w:eastAsiaTheme="minorHAnsi"/>
          <w:lang w:eastAsia="en-US"/>
        </w:rPr>
        <w:t xml:space="preserve">, that a product </w:t>
      </w:r>
      <w:r w:rsidR="00B35176" w:rsidRPr="00B17C57">
        <w:rPr>
          <w:rFonts w:eastAsiaTheme="minorHAnsi"/>
          <w:lang w:eastAsia="en-US"/>
        </w:rPr>
        <w:t xml:space="preserve">which </w:t>
      </w:r>
      <w:r w:rsidRPr="00B17C57">
        <w:rPr>
          <w:rFonts w:eastAsiaTheme="minorHAnsi"/>
          <w:lang w:eastAsia="en-US"/>
        </w:rPr>
        <w:t>will be used at a workplace</w:t>
      </w:r>
      <w:r w:rsidR="00D612C8" w:rsidRPr="00B17C57">
        <w:rPr>
          <w:rFonts w:eastAsiaTheme="minorHAnsi"/>
          <w:lang w:eastAsia="en-US"/>
        </w:rPr>
        <w:t xml:space="preserve"> is without risks to the health and safety of workers using it. </w:t>
      </w:r>
      <w:r w:rsidR="00DA7A53" w:rsidRPr="00B17C57">
        <w:rPr>
          <w:rFonts w:eastAsiaTheme="minorHAnsi"/>
          <w:lang w:eastAsia="en-US"/>
        </w:rPr>
        <w:t xml:space="preserve">A prohibition </w:t>
      </w:r>
      <w:r w:rsidR="009505D1" w:rsidRPr="00B17C57">
        <w:rPr>
          <w:rFonts w:eastAsiaTheme="minorHAnsi"/>
          <w:lang w:eastAsia="en-US"/>
        </w:rPr>
        <w:t xml:space="preserve">on the use of engineered stone </w:t>
      </w:r>
      <w:r w:rsidR="00DA7A53" w:rsidRPr="00B17C57">
        <w:rPr>
          <w:rFonts w:eastAsiaTheme="minorHAnsi"/>
          <w:lang w:eastAsia="en-US"/>
        </w:rPr>
        <w:t xml:space="preserve">would </w:t>
      </w:r>
      <w:r w:rsidR="00066AE8" w:rsidRPr="00B17C57">
        <w:rPr>
          <w:rFonts w:eastAsiaTheme="minorHAnsi"/>
          <w:lang w:eastAsia="en-US"/>
        </w:rPr>
        <w:t>impact</w:t>
      </w:r>
      <w:r w:rsidR="00CE42E0" w:rsidRPr="00B17C57">
        <w:rPr>
          <w:rFonts w:eastAsiaTheme="minorHAnsi"/>
          <w:lang w:eastAsia="en-US"/>
        </w:rPr>
        <w:t xml:space="preserve"> importers </w:t>
      </w:r>
      <w:r w:rsidR="0020244B" w:rsidRPr="00B17C57">
        <w:rPr>
          <w:rFonts w:eastAsiaTheme="minorHAnsi"/>
          <w:lang w:eastAsia="en-US"/>
        </w:rPr>
        <w:t>as</w:t>
      </w:r>
      <w:r w:rsidR="00144471" w:rsidRPr="00B17C57">
        <w:rPr>
          <w:rFonts w:eastAsiaTheme="minorHAnsi"/>
          <w:lang w:eastAsia="en-US"/>
        </w:rPr>
        <w:t xml:space="preserve"> their duty of care </w:t>
      </w:r>
      <w:r w:rsidR="0020244B" w:rsidRPr="00B17C57">
        <w:rPr>
          <w:rFonts w:eastAsiaTheme="minorHAnsi"/>
          <w:lang w:eastAsia="en-US"/>
        </w:rPr>
        <w:t xml:space="preserve">would mean they </w:t>
      </w:r>
      <w:r w:rsidR="008673D7" w:rsidRPr="00B17C57">
        <w:rPr>
          <w:rFonts w:eastAsiaTheme="minorHAnsi"/>
          <w:lang w:eastAsia="en-US"/>
        </w:rPr>
        <w:t>could</w:t>
      </w:r>
      <w:r w:rsidR="0064337D" w:rsidRPr="00B17C57">
        <w:rPr>
          <w:rFonts w:eastAsiaTheme="minorHAnsi"/>
          <w:lang w:eastAsia="en-US"/>
        </w:rPr>
        <w:t xml:space="preserve"> not </w:t>
      </w:r>
      <w:r w:rsidR="00330575" w:rsidRPr="00B17C57">
        <w:rPr>
          <w:rFonts w:eastAsiaTheme="minorHAnsi"/>
          <w:lang w:eastAsia="en-US"/>
        </w:rPr>
        <w:t xml:space="preserve">bring into Australia </w:t>
      </w:r>
      <w:r w:rsidR="0064337D" w:rsidRPr="00B17C57">
        <w:rPr>
          <w:rFonts w:eastAsiaTheme="minorHAnsi"/>
          <w:lang w:eastAsia="en-US"/>
        </w:rPr>
        <w:t>a product which has been determined too unsafe to use</w:t>
      </w:r>
      <w:r w:rsidR="00B40DB6" w:rsidRPr="00B17C57">
        <w:rPr>
          <w:rFonts w:eastAsiaTheme="minorHAnsi"/>
          <w:lang w:eastAsia="en-US"/>
        </w:rPr>
        <w:t xml:space="preserve">. </w:t>
      </w:r>
    </w:p>
    <w:p w14:paraId="3273C787" w14:textId="6C157675" w:rsidR="004B3F6A" w:rsidRDefault="004B3F6A" w:rsidP="004B3F6A">
      <w:pPr>
        <w:pStyle w:val="Heading5"/>
      </w:pPr>
      <w:r>
        <w:t>Licensing</w:t>
      </w:r>
    </w:p>
    <w:p w14:paraId="1EBA6654" w14:textId="3F301580" w:rsidR="004B3F6A" w:rsidRDefault="00410BA2" w:rsidP="004B3F6A">
      <w:pPr>
        <w:pStyle w:val="Body"/>
        <w:rPr>
          <w:color w:val="252525"/>
        </w:rPr>
      </w:pPr>
      <w:r w:rsidRPr="00183611">
        <w:rPr>
          <w:color w:val="252525"/>
        </w:rPr>
        <w:t>There is an estimated 179,750 other industry PCBUs currently assumed to do some work with engineered stone in the course of their primary activities.</w:t>
      </w:r>
      <w:r w:rsidR="00F70CB8" w:rsidRPr="00183611">
        <w:rPr>
          <w:rStyle w:val="FootnoteReference"/>
          <w:color w:val="252525"/>
        </w:rPr>
        <w:footnoteReference w:id="14"/>
      </w:r>
      <w:r w:rsidR="00F70CB8">
        <w:rPr>
          <w:color w:val="252525"/>
        </w:rPr>
        <w:t xml:space="preserve"> </w:t>
      </w:r>
      <w:r w:rsidR="004B3F6A">
        <w:rPr>
          <w:color w:val="252525"/>
        </w:rPr>
        <w:t xml:space="preserve">It </w:t>
      </w:r>
      <w:r w:rsidR="008235E3">
        <w:rPr>
          <w:color w:val="252525"/>
        </w:rPr>
        <w:t>was</w:t>
      </w:r>
      <w:r w:rsidR="004B3F6A">
        <w:rPr>
          <w:color w:val="252525"/>
        </w:rPr>
        <w:t xml:space="preserve"> assumed</w:t>
      </w:r>
      <w:r w:rsidR="008235E3">
        <w:rPr>
          <w:color w:val="252525"/>
        </w:rPr>
        <w:t xml:space="preserve"> in the Prohibition Decision RIS,</w:t>
      </w:r>
      <w:r w:rsidR="004B3F6A">
        <w:rPr>
          <w:color w:val="252525"/>
        </w:rPr>
        <w:t xml:space="preserve"> that 30 per cent of other industry sole traders, 35 per cent of small businesses and 40</w:t>
      </w:r>
      <w:r w:rsidR="00757311">
        <w:rPr>
          <w:color w:val="252525"/>
        </w:rPr>
        <w:t> </w:t>
      </w:r>
      <w:r w:rsidR="004B3F6A">
        <w:rPr>
          <w:color w:val="252525"/>
        </w:rPr>
        <w:t xml:space="preserve">per cent of medium to large businesses would choose to acquire a licence to work with previously installed engineered stone (under the licensing framework for work with legacy products). Costs include those administrative costs associated with applying for and renewing a licence and participating in compliance inspections. These have been estimated to be </w:t>
      </w:r>
      <w:r w:rsidR="00B538BF">
        <w:rPr>
          <w:color w:val="252525"/>
        </w:rPr>
        <w:t>up</w:t>
      </w:r>
      <w:r w:rsidR="00D15FF3">
        <w:rPr>
          <w:color w:val="252525"/>
        </w:rPr>
        <w:t xml:space="preserve"> </w:t>
      </w:r>
      <w:r w:rsidR="00B538BF">
        <w:rPr>
          <w:color w:val="252525"/>
        </w:rPr>
        <w:t>to</w:t>
      </w:r>
      <w:r w:rsidR="004B3F6A">
        <w:rPr>
          <w:color w:val="252525"/>
        </w:rPr>
        <w:t xml:space="preserve"> $133.0 million over 10 years.</w:t>
      </w:r>
    </w:p>
    <w:p w14:paraId="6FF47326" w14:textId="77777777" w:rsidR="004B3F6A" w:rsidRDefault="004B3F6A" w:rsidP="004B3F6A">
      <w:pPr>
        <w:pStyle w:val="Body"/>
        <w:rPr>
          <w:color w:val="252525"/>
        </w:rPr>
      </w:pPr>
      <w:r>
        <w:rPr>
          <w:color w:val="252525"/>
        </w:rPr>
        <w:t>Given that working with engineered stone is not likely to be the primary activity of other industry PCBUs, it is expected that only a very small number of these PCBUs would cease operating as a result of Option 1. Therefore, no business closure or redundancy costs have been estimated for other industry PCBUs.</w:t>
      </w:r>
    </w:p>
    <w:p w14:paraId="13F75B19" w14:textId="77777777" w:rsidR="004B3F6A" w:rsidRDefault="004B3F6A" w:rsidP="004B3F6A">
      <w:pPr>
        <w:pStyle w:val="Heading4"/>
      </w:pPr>
      <w:r>
        <w:t>Benefits</w:t>
      </w:r>
    </w:p>
    <w:p w14:paraId="136E883B" w14:textId="2E338CE0" w:rsidR="004B3F6A" w:rsidRPr="00995384" w:rsidRDefault="004B3F6A" w:rsidP="004B3F6A">
      <w:pPr>
        <w:pStyle w:val="Body"/>
      </w:pPr>
      <w:r>
        <w:rPr>
          <w:color w:val="252525"/>
        </w:rPr>
        <w:t>Benefits of a prohibition on the use of engineered stone are avoided costs associated with workers compensation claims and higher insurance premiums, and an increase in productivity in the relevant industry workforce.</w:t>
      </w:r>
    </w:p>
    <w:p w14:paraId="73F5D51D" w14:textId="248DFC46" w:rsidR="004B3F6A" w:rsidRPr="00EE5E7D" w:rsidRDefault="004B3F6A" w:rsidP="004B3F6A">
      <w:pPr>
        <w:pStyle w:val="Heading3"/>
      </w:pPr>
      <w:bookmarkStart w:id="20" w:name="_Toc145573533"/>
      <w:r>
        <w:lastRenderedPageBreak/>
        <w:t>For workers</w:t>
      </w:r>
      <w:bookmarkEnd w:id="20"/>
    </w:p>
    <w:p w14:paraId="38FD9D7E" w14:textId="77777777" w:rsidR="004B3F6A" w:rsidRDefault="004B3F6A" w:rsidP="004B3F6A">
      <w:pPr>
        <w:pStyle w:val="Heading4"/>
      </w:pPr>
      <w:r>
        <w:t>Costs</w:t>
      </w:r>
    </w:p>
    <w:p w14:paraId="748FAA3C" w14:textId="56FF4E85" w:rsidR="004B3F6A" w:rsidRDefault="004B3F6A" w:rsidP="004B3F6A">
      <w:pPr>
        <w:pStyle w:val="Body"/>
      </w:pPr>
      <w:r>
        <w:t xml:space="preserve">The impacts on workers of </w:t>
      </w:r>
      <w:r w:rsidR="009E5B72">
        <w:t>O</w:t>
      </w:r>
      <w:r>
        <w:t xml:space="preserve">ption 1 are </w:t>
      </w:r>
      <w:r w:rsidR="0060129B">
        <w:t xml:space="preserve">identified </w:t>
      </w:r>
      <w:r w:rsidR="006E4891">
        <w:t>in the</w:t>
      </w:r>
      <w:r w:rsidR="0060129B">
        <w:t xml:space="preserve"> </w:t>
      </w:r>
      <w:r>
        <w:t xml:space="preserve">Prohibition </w:t>
      </w:r>
      <w:r w:rsidR="0060129B">
        <w:t>Decision</w:t>
      </w:r>
      <w:r>
        <w:t xml:space="preserve"> RIS and are estimated to be $3.1 million over 10 years.</w:t>
      </w:r>
    </w:p>
    <w:p w14:paraId="4682BA3B" w14:textId="1B6A28A3" w:rsidR="004B3F6A" w:rsidRPr="00EC77AE" w:rsidRDefault="004B3F6A" w:rsidP="004B3F6A">
      <w:pPr>
        <w:pStyle w:val="Body"/>
      </w:pPr>
      <w:r>
        <w:t xml:space="preserve">The Prohibition </w:t>
      </w:r>
      <w:r w:rsidR="00AC5A12">
        <w:t xml:space="preserve">Decision </w:t>
      </w:r>
      <w:r>
        <w:t xml:space="preserve">RIS estimates the cost to workers as </w:t>
      </w:r>
      <w:r w:rsidRPr="003F5698">
        <w:t xml:space="preserve">$2.9 million, covering the difference between average wage in this sector and current </w:t>
      </w:r>
      <w:r w:rsidR="001A44DF">
        <w:t>J</w:t>
      </w:r>
      <w:r w:rsidRPr="003F5698">
        <w:t xml:space="preserve">obseeker payments for the displaced workers from those sole trader and small business PCBUs that close as a result of a prohibition. The cost is calculated based on a worker receiving Jobseeker for an 8-week period. </w:t>
      </w:r>
      <w:r>
        <w:t xml:space="preserve">This is mitigated by the </w:t>
      </w:r>
      <w:r w:rsidRPr="003F5698">
        <w:t>assumption that any periods of unemployment will be minimal given the tight labour market in the construction sector</w:t>
      </w:r>
      <w:r w:rsidR="00D84DE0">
        <w:t xml:space="preserve"> and that underlying demand for bathroom and kitchen benchtops and surfaces is not expected to change</w:t>
      </w:r>
      <w:r w:rsidRPr="003F5698">
        <w:t xml:space="preserve">. </w:t>
      </w:r>
    </w:p>
    <w:p w14:paraId="202F3BC8" w14:textId="3BE6E668" w:rsidR="004B3F6A" w:rsidRDefault="004B3F6A" w:rsidP="004B3F6A">
      <w:pPr>
        <w:pStyle w:val="Body"/>
      </w:pPr>
      <w:r>
        <w:t>It also estimates r</w:t>
      </w:r>
      <w:r w:rsidRPr="00EC77AE">
        <w:t>e</w:t>
      </w:r>
      <w:r w:rsidR="006140ED">
        <w:t>-</w:t>
      </w:r>
      <w:r w:rsidRPr="00EC77AE">
        <w:t xml:space="preserve">training costs </w:t>
      </w:r>
      <w:r>
        <w:t xml:space="preserve">as </w:t>
      </w:r>
      <w:r w:rsidRPr="00EC77AE">
        <w:t xml:space="preserve">$0.2 million over </w:t>
      </w:r>
      <w:r w:rsidR="00B935A4">
        <w:t xml:space="preserve">10 </w:t>
      </w:r>
      <w:r>
        <w:t>years</w:t>
      </w:r>
      <w:r w:rsidRPr="00EC77AE">
        <w:t>, based on average course fees for a Certificate III qualification for Civil Construction, Cabinet Making, Tiling and Fabrication Trades, for the 3</w:t>
      </w:r>
      <w:r>
        <w:t xml:space="preserve"> per cent</w:t>
      </w:r>
      <w:r w:rsidRPr="00EC77AE">
        <w:t xml:space="preserve"> of displaced workers from PCBU closures who are assumed to re</w:t>
      </w:r>
      <w:r w:rsidR="00BC12EB">
        <w:t>-</w:t>
      </w:r>
      <w:r w:rsidRPr="00EC77AE">
        <w:t xml:space="preserve">train. </w:t>
      </w:r>
    </w:p>
    <w:p w14:paraId="4F153309" w14:textId="77777777" w:rsidR="004B3F6A" w:rsidRPr="00EC77AE" w:rsidRDefault="004B3F6A" w:rsidP="004B3F6A">
      <w:pPr>
        <w:pStyle w:val="Heading4"/>
        <w:rPr>
          <w:rFonts w:asciiTheme="minorHAnsi" w:hAnsiTheme="minorHAnsi" w:cstheme="minorBidi"/>
          <w:color w:val="auto"/>
        </w:rPr>
      </w:pPr>
      <w:r>
        <w:t>Benefits</w:t>
      </w:r>
    </w:p>
    <w:p w14:paraId="7B53AFC4" w14:textId="37AE9B00" w:rsidR="004B3F6A" w:rsidRDefault="001138FD" w:rsidP="004B3F6A">
      <w:pPr>
        <w:pStyle w:val="Body"/>
        <w:rPr>
          <w:color w:val="252525"/>
        </w:rPr>
      </w:pPr>
      <w:r w:rsidRPr="001138FD">
        <w:rPr>
          <w:color w:val="252525"/>
          <w:lang w:val="en-GB"/>
        </w:rPr>
        <w:t>The direct benefit from a</w:t>
      </w:r>
      <w:r w:rsidR="004B3F6A" w:rsidRPr="001138FD">
        <w:rPr>
          <w:color w:val="252525"/>
          <w:lang w:val="en-GB"/>
        </w:rPr>
        <w:t xml:space="preserve"> prohibition on the use of engineered stone </w:t>
      </w:r>
      <w:r w:rsidRPr="001138FD">
        <w:rPr>
          <w:color w:val="252525"/>
          <w:lang w:val="en-GB"/>
        </w:rPr>
        <w:t xml:space="preserve">is </w:t>
      </w:r>
      <w:r w:rsidR="003C67C2">
        <w:rPr>
          <w:color w:val="252525"/>
          <w:lang w:val="en-GB"/>
        </w:rPr>
        <w:t>an improvement</w:t>
      </w:r>
      <w:r w:rsidR="004B3F6A" w:rsidRPr="001138FD">
        <w:rPr>
          <w:color w:val="252525"/>
          <w:lang w:val="en-GB"/>
        </w:rPr>
        <w:t xml:space="preserve"> </w:t>
      </w:r>
      <w:r w:rsidR="004B3F6A">
        <w:rPr>
          <w:color w:val="252525"/>
          <w:lang w:val="en-GB"/>
        </w:rPr>
        <w:t xml:space="preserve">to </w:t>
      </w:r>
      <w:r w:rsidR="004B3F6A" w:rsidRPr="001138FD">
        <w:rPr>
          <w:color w:val="252525"/>
          <w:lang w:val="en-GB"/>
        </w:rPr>
        <w:t xml:space="preserve">health </w:t>
      </w:r>
      <w:r w:rsidRPr="001138FD">
        <w:rPr>
          <w:color w:val="252525"/>
          <w:lang w:val="en-GB"/>
        </w:rPr>
        <w:t xml:space="preserve">and quality of life outcomes </w:t>
      </w:r>
      <w:r w:rsidR="004B3F6A" w:rsidRPr="001138FD">
        <w:rPr>
          <w:color w:val="252525"/>
          <w:lang w:val="en-GB"/>
        </w:rPr>
        <w:t xml:space="preserve">for those </w:t>
      </w:r>
      <w:r w:rsidRPr="001138FD">
        <w:rPr>
          <w:color w:val="252525"/>
          <w:lang w:val="en-GB"/>
        </w:rPr>
        <w:t>who work with engineered stone products, which are challenging to assess quantitatively.</w:t>
      </w:r>
      <w:r w:rsidR="004B3F6A" w:rsidRPr="001138FD">
        <w:rPr>
          <w:color w:val="252525"/>
          <w:lang w:val="en-GB"/>
        </w:rPr>
        <w:t xml:space="preserve"> </w:t>
      </w:r>
      <w:r w:rsidR="004B3F6A">
        <w:rPr>
          <w:color w:val="252525"/>
        </w:rPr>
        <w:t>This would be accompanied by an indirect benefit to the wellbeing of their family, friends and community.</w:t>
      </w:r>
    </w:p>
    <w:p w14:paraId="5536A761" w14:textId="15954314" w:rsidR="004B3F6A" w:rsidRDefault="004B3F6A" w:rsidP="004B3F6A">
      <w:pPr>
        <w:pStyle w:val="Heading3"/>
      </w:pPr>
      <w:bookmarkStart w:id="21" w:name="_Toc145573534"/>
      <w:r>
        <w:t>For Government</w:t>
      </w:r>
      <w:bookmarkEnd w:id="21"/>
    </w:p>
    <w:p w14:paraId="2CC01220" w14:textId="77777777" w:rsidR="004B3F6A" w:rsidRDefault="004B3F6A" w:rsidP="004B3F6A">
      <w:pPr>
        <w:pStyle w:val="Heading4"/>
      </w:pPr>
      <w:r>
        <w:t>Costs</w:t>
      </w:r>
    </w:p>
    <w:p w14:paraId="7D820CF0" w14:textId="4EA336D7" w:rsidR="004B3F6A" w:rsidRDefault="002C0538" w:rsidP="00C40934">
      <w:pPr>
        <w:pStyle w:val="Body"/>
      </w:pPr>
      <w:r>
        <w:t>The Prohibition Decision RIS identified t</w:t>
      </w:r>
      <w:r w:rsidR="004B3F6A">
        <w:t xml:space="preserve">he total cost to </w:t>
      </w:r>
      <w:r w:rsidR="00A26DA8">
        <w:t xml:space="preserve">Commonwealth, state and territory </w:t>
      </w:r>
      <w:r w:rsidR="004B3F6A" w:rsidRPr="006B7940">
        <w:t>government</w:t>
      </w:r>
      <w:r w:rsidR="00A26DA8">
        <w:t>s</w:t>
      </w:r>
      <w:r w:rsidR="004B3F6A">
        <w:t xml:space="preserve"> of Option 1</w:t>
      </w:r>
      <w:r w:rsidR="006140ED">
        <w:t>. The cost</w:t>
      </w:r>
      <w:r w:rsidR="004B3F6A">
        <w:t xml:space="preserve"> is estimated to be </w:t>
      </w:r>
      <w:r w:rsidR="00B538BF">
        <w:t>up</w:t>
      </w:r>
      <w:r w:rsidR="00B935A4">
        <w:t xml:space="preserve"> </w:t>
      </w:r>
      <w:r w:rsidR="00B538BF">
        <w:t>to</w:t>
      </w:r>
      <w:r w:rsidR="004B3F6A">
        <w:t xml:space="preserve"> $108.2 million over </w:t>
      </w:r>
      <w:r w:rsidR="00B935A4">
        <w:t xml:space="preserve">10 </w:t>
      </w:r>
      <w:r w:rsidR="004B3F6A">
        <w:t xml:space="preserve">years. </w:t>
      </w:r>
      <w:r w:rsidR="001C0C0F">
        <w:t>These costs identified</w:t>
      </w:r>
      <w:r w:rsidR="00A17B17">
        <w:t xml:space="preserve"> for the preferred option (a use prohibition) in </w:t>
      </w:r>
      <w:r w:rsidR="001C0C0F">
        <w:t xml:space="preserve">the </w:t>
      </w:r>
      <w:r w:rsidR="00AA44FC">
        <w:t>Prohibition Decision R</w:t>
      </w:r>
      <w:r w:rsidR="00FC7B51">
        <w:t>IS</w:t>
      </w:r>
      <w:r w:rsidR="00C40934">
        <w:t xml:space="preserve"> include </w:t>
      </w:r>
      <w:r w:rsidR="00564BDD">
        <w:t xml:space="preserve">the </w:t>
      </w:r>
      <w:r w:rsidR="004B3F6A">
        <w:t>p</w:t>
      </w:r>
      <w:r w:rsidR="004B3F6A" w:rsidRPr="008C5E6A">
        <w:t xml:space="preserve">rovision of income and vocational training support for displaced workers </w:t>
      </w:r>
      <w:r w:rsidR="004B3F6A">
        <w:t>($0.7 million over ten years)</w:t>
      </w:r>
      <w:r w:rsidR="00564BDD">
        <w:t xml:space="preserve"> and</w:t>
      </w:r>
      <w:r w:rsidR="006A65F0">
        <w:t xml:space="preserve"> </w:t>
      </w:r>
      <w:r w:rsidR="00564BDD">
        <w:t>the i</w:t>
      </w:r>
      <w:r w:rsidR="00564BDD" w:rsidRPr="00AB3633">
        <w:t xml:space="preserve">mplementation of a licensing framework for work with legacy products </w:t>
      </w:r>
      <w:r w:rsidR="00564BDD">
        <w:t>($107.5 over ten years</w:t>
      </w:r>
      <w:r w:rsidR="00564BDD" w:rsidRPr="00B17C57">
        <w:t>)</w:t>
      </w:r>
      <w:r w:rsidR="00564BDD" w:rsidRPr="00B17C57">
        <w:rPr>
          <w:lang w:val="en-GB"/>
        </w:rPr>
        <w:t>.</w:t>
      </w:r>
      <w:r w:rsidR="009142ED" w:rsidRPr="00B17C57">
        <w:rPr>
          <w:lang w:val="en-GB"/>
        </w:rPr>
        <w:t xml:space="preserve"> There will also be a minor impact on import tariff revenue.</w:t>
      </w:r>
      <w:r w:rsidR="009142ED">
        <w:rPr>
          <w:lang w:val="en-GB"/>
        </w:rPr>
        <w:t xml:space="preserve"> </w:t>
      </w:r>
    </w:p>
    <w:p w14:paraId="40AF8A49" w14:textId="77777777" w:rsidR="004B3F6A" w:rsidRDefault="004B3F6A" w:rsidP="004B3F6A">
      <w:pPr>
        <w:pStyle w:val="Heading4"/>
      </w:pPr>
      <w:r>
        <w:t>Benefits</w:t>
      </w:r>
    </w:p>
    <w:p w14:paraId="2958E432" w14:textId="6289C6CB" w:rsidR="004B3F6A" w:rsidRPr="004647C2" w:rsidRDefault="004B3F6A" w:rsidP="004B3F6A">
      <w:pPr>
        <w:pStyle w:val="Body"/>
      </w:pPr>
      <w:r>
        <w:t xml:space="preserve">A prohibition on the use of engineered stone will see governments avoid the costs associated with </w:t>
      </w:r>
      <w:r w:rsidRPr="004647C2">
        <w:t>hospitalisations and outpatient care</w:t>
      </w:r>
      <w:r w:rsidR="00D11104" w:rsidRPr="004647C2">
        <w:t>, as well</w:t>
      </w:r>
      <w:r w:rsidR="00D36425" w:rsidRPr="004647C2">
        <w:t xml:space="preserve"> </w:t>
      </w:r>
      <w:r w:rsidR="00346607">
        <w:t>as</w:t>
      </w:r>
      <w:r w:rsidR="00D36425" w:rsidRPr="004647C2">
        <w:t xml:space="preserve"> broader community</w:t>
      </w:r>
      <w:r w:rsidR="0097275C" w:rsidRPr="004647C2">
        <w:t xml:space="preserve"> benefits resulting from</w:t>
      </w:r>
      <w:r w:rsidR="006A5A1B" w:rsidRPr="004647C2">
        <w:t xml:space="preserve"> improved health benefits.</w:t>
      </w:r>
    </w:p>
    <w:p w14:paraId="453ABD64" w14:textId="02273D83" w:rsidR="00DB156D" w:rsidRPr="00B17C57" w:rsidRDefault="00DB156D" w:rsidP="004C6E5D">
      <w:pPr>
        <w:pStyle w:val="Heading2"/>
        <w:spacing w:line="240" w:lineRule="auto"/>
      </w:pPr>
      <w:bookmarkStart w:id="22" w:name="_Toc145573535"/>
      <w:r>
        <w:lastRenderedPageBreak/>
        <w:t>Option 2</w:t>
      </w:r>
      <w:r w:rsidR="00352C8C">
        <w:t xml:space="preserve">: </w:t>
      </w:r>
      <w:r w:rsidR="00D15FF3" w:rsidRPr="00B17C57">
        <w:rPr>
          <w:lang w:val="en-GB"/>
        </w:rPr>
        <w:t>Prohibition on the use</w:t>
      </w:r>
      <w:r w:rsidR="00C61FC7" w:rsidRPr="00B17C57">
        <w:rPr>
          <w:lang w:val="en-GB"/>
        </w:rPr>
        <w:t xml:space="preserve"> </w:t>
      </w:r>
      <w:r w:rsidR="00D15FF3" w:rsidRPr="00B17C57">
        <w:rPr>
          <w:lang w:val="en-GB"/>
        </w:rPr>
        <w:t xml:space="preserve">of engineered stone </w:t>
      </w:r>
      <w:r w:rsidR="00287CD2" w:rsidRPr="00B17C57">
        <w:t xml:space="preserve">with complementary </w:t>
      </w:r>
      <w:r w:rsidR="000A1E5F" w:rsidRPr="00B17C57">
        <w:t>border measures</w:t>
      </w:r>
      <w:r w:rsidR="00287CD2" w:rsidRPr="00B17C57">
        <w:t xml:space="preserve"> </w:t>
      </w:r>
      <w:r w:rsidR="00D15FF3" w:rsidRPr="00B17C57">
        <w:rPr>
          <w:lang w:val="en-GB"/>
        </w:rPr>
        <w:t>(preferred)</w:t>
      </w:r>
      <w:bookmarkEnd w:id="22"/>
    </w:p>
    <w:p w14:paraId="0B12E78F" w14:textId="6B393C7C" w:rsidR="004B3F6A" w:rsidRDefault="004B3F6A" w:rsidP="004B3F6A">
      <w:pPr>
        <w:pStyle w:val="Heading3"/>
      </w:pPr>
      <w:bookmarkStart w:id="23" w:name="_Toc145573536"/>
      <w:r w:rsidRPr="00B17C57">
        <w:t>For businesses</w:t>
      </w:r>
      <w:bookmarkEnd w:id="23"/>
    </w:p>
    <w:p w14:paraId="6F4A151D" w14:textId="77777777" w:rsidR="004B3F6A" w:rsidRDefault="004B3F6A" w:rsidP="004B3F6A">
      <w:pPr>
        <w:pStyle w:val="Heading4"/>
      </w:pPr>
      <w:r>
        <w:t>Costs</w:t>
      </w:r>
    </w:p>
    <w:p w14:paraId="48C21D35" w14:textId="2A5791B5" w:rsidR="00D80586" w:rsidRDefault="004B3F6A" w:rsidP="004B3F6A">
      <w:pPr>
        <w:pStyle w:val="Body"/>
      </w:pPr>
      <w:r>
        <w:t xml:space="preserve">Option 2 assumes the same costs in </w:t>
      </w:r>
      <w:r w:rsidR="009E5B72">
        <w:t>O</w:t>
      </w:r>
      <w:r>
        <w:t>ption 1 associated with a prohibition on the use of engineered stone (</w:t>
      </w:r>
      <w:r w:rsidR="004247C2">
        <w:t>$</w:t>
      </w:r>
      <w:r w:rsidR="00A96E34">
        <w:t xml:space="preserve">133.0 million </w:t>
      </w:r>
      <w:r w:rsidR="000F0C5C">
        <w:t xml:space="preserve">for licensing costs and </w:t>
      </w:r>
      <w:r>
        <w:t xml:space="preserve">$6.9 million </w:t>
      </w:r>
      <w:r w:rsidR="008F1066">
        <w:t>for other costs</w:t>
      </w:r>
      <w:r>
        <w:t xml:space="preserve"> over 10 years). </w:t>
      </w:r>
      <w:r w:rsidR="00B83D15">
        <w:t>This assumption is based on the following:</w:t>
      </w:r>
    </w:p>
    <w:p w14:paraId="503646F4" w14:textId="30C7AD84" w:rsidR="00F74FC2" w:rsidRDefault="00F74FC2" w:rsidP="00F74FC2">
      <w:pPr>
        <w:pStyle w:val="Body"/>
        <w:numPr>
          <w:ilvl w:val="0"/>
          <w:numId w:val="33"/>
        </w:numPr>
      </w:pPr>
      <w:r>
        <w:t xml:space="preserve">There would be no demand for </w:t>
      </w:r>
      <w:r w:rsidRPr="00AA2410">
        <w:t>the importation of</w:t>
      </w:r>
      <w:r>
        <w:t xml:space="preserve"> </w:t>
      </w:r>
      <w:r w:rsidR="00AA2410">
        <w:t xml:space="preserve">international </w:t>
      </w:r>
      <w:r>
        <w:t xml:space="preserve">products which are prohibited from use in Australian workplaces. </w:t>
      </w:r>
      <w:r w:rsidR="00BE34F1">
        <w:t>I</w:t>
      </w:r>
      <w:r>
        <w:t xml:space="preserve">mpacts on importers </w:t>
      </w:r>
      <w:r w:rsidR="00BE34F1">
        <w:t xml:space="preserve">of engineered stone products </w:t>
      </w:r>
      <w:r>
        <w:t xml:space="preserve">would be primarily derived from </w:t>
      </w:r>
      <w:r w:rsidR="00E90F28">
        <w:t>the prohibition on use</w:t>
      </w:r>
      <w:r w:rsidR="004F7BFF">
        <w:t xml:space="preserve"> under WHS laws</w:t>
      </w:r>
      <w:r w:rsidR="00E90F28">
        <w:t>.</w:t>
      </w:r>
    </w:p>
    <w:p w14:paraId="314E6A03" w14:textId="0B064F58" w:rsidR="000241C7" w:rsidRPr="00B17C57" w:rsidRDefault="000241C7" w:rsidP="00F74FC2">
      <w:pPr>
        <w:pStyle w:val="Body"/>
        <w:numPr>
          <w:ilvl w:val="0"/>
          <w:numId w:val="33"/>
        </w:numPr>
      </w:pPr>
      <w:r>
        <w:t>A use prohibition would</w:t>
      </w:r>
      <w:r w:rsidRPr="00742937">
        <w:rPr>
          <w:lang w:val="en-GB"/>
        </w:rPr>
        <w:t xml:space="preserve"> have the effect of </w:t>
      </w:r>
      <w:r w:rsidR="00E8488A">
        <w:rPr>
          <w:lang w:val="en-GB"/>
        </w:rPr>
        <w:t>an</w:t>
      </w:r>
      <w:r w:rsidR="00E8488A" w:rsidDel="00C61FC7">
        <w:rPr>
          <w:lang w:val="en-GB"/>
        </w:rPr>
        <w:t xml:space="preserve"> </w:t>
      </w:r>
      <w:r w:rsidRPr="00742937" w:rsidDel="00C61FC7">
        <w:rPr>
          <w:lang w:val="en-GB"/>
        </w:rPr>
        <w:t>import</w:t>
      </w:r>
      <w:r w:rsidR="00E8488A" w:rsidDel="00C61FC7">
        <w:rPr>
          <w:lang w:val="en-GB"/>
        </w:rPr>
        <w:t xml:space="preserve"> ban </w:t>
      </w:r>
      <w:r w:rsidRPr="00742937">
        <w:rPr>
          <w:lang w:val="en-GB"/>
        </w:rPr>
        <w:t>o</w:t>
      </w:r>
      <w:r w:rsidR="00792E70">
        <w:rPr>
          <w:lang w:val="en-GB"/>
        </w:rPr>
        <w:t>n</w:t>
      </w:r>
      <w:r w:rsidRPr="00742937">
        <w:rPr>
          <w:lang w:val="en-GB"/>
        </w:rPr>
        <w:t xml:space="preserve"> </w:t>
      </w:r>
      <w:r w:rsidR="007A2825">
        <w:rPr>
          <w:lang w:val="en-GB"/>
        </w:rPr>
        <w:t xml:space="preserve">engineered stone </w:t>
      </w:r>
      <w:r w:rsidRPr="00742937">
        <w:rPr>
          <w:lang w:val="en-GB"/>
        </w:rPr>
        <w:t>products under WHS laws</w:t>
      </w:r>
      <w:r w:rsidR="004F6AF9">
        <w:t xml:space="preserve">. A </w:t>
      </w:r>
      <w:r w:rsidR="00ED3A9D" w:rsidRPr="00B17C57">
        <w:t>PCBU</w:t>
      </w:r>
      <w:r w:rsidRPr="00B17C57">
        <w:t xml:space="preserve"> </w:t>
      </w:r>
      <w:r w:rsidR="004F6AF9" w:rsidRPr="00B17C57">
        <w:t>importing substances for use in a workplace must ensure</w:t>
      </w:r>
      <w:r w:rsidR="00346607" w:rsidRPr="00B17C57">
        <w:t>,</w:t>
      </w:r>
      <w:r w:rsidR="004F6AF9" w:rsidRPr="00B17C57">
        <w:t xml:space="preserve"> so far as is reasonably practicable</w:t>
      </w:r>
      <w:r w:rsidR="00346607" w:rsidRPr="00B17C57">
        <w:t>,</w:t>
      </w:r>
      <w:r w:rsidR="004F6AF9" w:rsidRPr="00B17C57">
        <w:t xml:space="preserve"> that the substance is safe for use by workers</w:t>
      </w:r>
      <w:r w:rsidR="0097464B" w:rsidRPr="00B17C57">
        <w:t xml:space="preserve"> (section 24 model WHS Act)</w:t>
      </w:r>
      <w:r w:rsidR="004F6AF9" w:rsidRPr="00B17C57">
        <w:t xml:space="preserve">. </w:t>
      </w:r>
      <w:r w:rsidR="0097464B" w:rsidRPr="00B17C57">
        <w:t>A</w:t>
      </w:r>
      <w:r w:rsidR="004F6AF9" w:rsidRPr="00B17C57">
        <w:t>n importer would breach th</w:t>
      </w:r>
      <w:r w:rsidR="00346607" w:rsidRPr="00B17C57">
        <w:t>is</w:t>
      </w:r>
      <w:r w:rsidR="004F6AF9" w:rsidRPr="00B17C57">
        <w:t xml:space="preserve"> duty </w:t>
      </w:r>
      <w:r w:rsidR="00346607" w:rsidRPr="00B17C57">
        <w:t>of</w:t>
      </w:r>
      <w:r w:rsidR="004F6AF9" w:rsidRPr="00B17C57">
        <w:t xml:space="preserve"> care </w:t>
      </w:r>
      <w:r w:rsidR="00346607" w:rsidRPr="00B17C57">
        <w:t>by</w:t>
      </w:r>
      <w:r w:rsidR="004F6AF9" w:rsidRPr="00B17C57">
        <w:t xml:space="preserve"> importing a substance which h</w:t>
      </w:r>
      <w:r w:rsidR="00346607" w:rsidRPr="00B17C57">
        <w:t>a</w:t>
      </w:r>
      <w:r w:rsidR="001A62CF" w:rsidRPr="00B17C57">
        <w:t>s</w:t>
      </w:r>
      <w:r w:rsidR="004F6AF9" w:rsidRPr="00B17C57">
        <w:t xml:space="preserve"> been prohibited from use in workplace</w:t>
      </w:r>
      <w:r w:rsidR="00346607" w:rsidRPr="00B17C57">
        <w:t>s,</w:t>
      </w:r>
      <w:r w:rsidR="004F6AF9" w:rsidRPr="00B17C57">
        <w:t xml:space="preserve"> because of the </w:t>
      </w:r>
      <w:r w:rsidR="00B223AB" w:rsidRPr="00B17C57">
        <w:t xml:space="preserve">health and safety </w:t>
      </w:r>
      <w:r w:rsidR="004F6AF9" w:rsidRPr="00B17C57">
        <w:t>risk pos</w:t>
      </w:r>
      <w:r w:rsidR="00346607" w:rsidRPr="00B17C57">
        <w:t>ed</w:t>
      </w:r>
      <w:r w:rsidR="004F6AF9" w:rsidRPr="00B17C57">
        <w:t xml:space="preserve"> to workers.</w:t>
      </w:r>
      <w:r w:rsidRPr="00B17C57">
        <w:t xml:space="preserve"> </w:t>
      </w:r>
    </w:p>
    <w:p w14:paraId="34C5B8FE" w14:textId="6E433CB2" w:rsidR="004B3F6A" w:rsidRDefault="00E90F28" w:rsidP="004B3F6A">
      <w:pPr>
        <w:pStyle w:val="Body"/>
      </w:pPr>
      <w:r w:rsidRPr="00B17C57">
        <w:t>There may be</w:t>
      </w:r>
      <w:r w:rsidR="004B3F6A" w:rsidRPr="00B17C57">
        <w:t xml:space="preserve"> costs </w:t>
      </w:r>
      <w:r w:rsidRPr="00B17C57">
        <w:t xml:space="preserve">for importers of products similar to </w:t>
      </w:r>
      <w:r w:rsidR="00695A42" w:rsidRPr="00B17C57">
        <w:t xml:space="preserve">engineered stone but this will need to be </w:t>
      </w:r>
      <w:r w:rsidR="00B25119" w:rsidRPr="00B17C57">
        <w:t>assessed</w:t>
      </w:r>
      <w:r w:rsidR="00695A42" w:rsidRPr="00B17C57">
        <w:t xml:space="preserve"> when the use prohibition in the model WHS law </w:t>
      </w:r>
      <w:r w:rsidR="00BD24E2" w:rsidRPr="00B17C57">
        <w:t xml:space="preserve">and the scope of complementary </w:t>
      </w:r>
      <w:r w:rsidR="00C527F7" w:rsidRPr="00B17C57">
        <w:t xml:space="preserve">border measures </w:t>
      </w:r>
      <w:r w:rsidR="00BD24E2" w:rsidRPr="00B17C57">
        <w:t xml:space="preserve">are </w:t>
      </w:r>
      <w:r w:rsidR="00695A42" w:rsidRPr="00B17C57">
        <w:t>settled</w:t>
      </w:r>
      <w:r w:rsidR="00006571" w:rsidRPr="00B17C57">
        <w:t xml:space="preserve">. </w:t>
      </w:r>
      <w:r w:rsidR="004B3F6A" w:rsidRPr="00B17C57">
        <w:t xml:space="preserve">Importers may have consignments with products similar to engineered stone held under suspicion at customs which could cause supply chain disruption to stone fabricators and the building industry. </w:t>
      </w:r>
      <w:r w:rsidR="00BD24E2" w:rsidRPr="00B17C57">
        <w:t>In the case of a customs ban for example, t</w:t>
      </w:r>
      <w:r w:rsidR="00DA5997" w:rsidRPr="00B17C57">
        <w:t>he potential</w:t>
      </w:r>
      <w:r w:rsidR="00A86FBB" w:rsidRPr="00B17C57">
        <w:t xml:space="preserve"> for </w:t>
      </w:r>
      <w:r w:rsidR="00DA5997" w:rsidRPr="00B17C57">
        <w:t xml:space="preserve">uncertainty would depend on the definition of engineered stone which is adopted in the customs legislation, which may be narrower than the definition in the </w:t>
      </w:r>
      <w:r w:rsidR="00C07D2B" w:rsidRPr="00B17C57">
        <w:t xml:space="preserve">model WHS </w:t>
      </w:r>
      <w:r w:rsidR="0014681A" w:rsidRPr="00B17C57">
        <w:t>regulations</w:t>
      </w:r>
      <w:r w:rsidR="005661F9" w:rsidRPr="00B17C57">
        <w:t xml:space="preserve"> and </w:t>
      </w:r>
      <w:r w:rsidR="00434633" w:rsidRPr="00B17C57">
        <w:t>lin</w:t>
      </w:r>
      <w:r w:rsidR="00867E97" w:rsidRPr="00B17C57">
        <w:t xml:space="preserve">ked to prohibiting </w:t>
      </w:r>
      <w:r w:rsidR="00867DEF" w:rsidRPr="00B17C57">
        <w:t>materials designed for fabrication</w:t>
      </w:r>
      <w:r w:rsidR="0004479C" w:rsidRPr="00B17C57">
        <w:t>.</w:t>
      </w:r>
      <w:r w:rsidR="00F92BD2" w:rsidRPr="00B17C57">
        <w:rPr>
          <w:rStyle w:val="FootnoteReference"/>
        </w:rPr>
        <w:footnoteReference w:id="15"/>
      </w:r>
      <w:r w:rsidR="002056B3" w:rsidRPr="00B17C57">
        <w:t xml:space="preserve"> </w:t>
      </w:r>
      <w:r w:rsidR="00486530" w:rsidRPr="00B17C57">
        <w:t>Th</w:t>
      </w:r>
      <w:r w:rsidR="0098339E" w:rsidRPr="00B17C57">
        <w:t xml:space="preserve">is uncertainty </w:t>
      </w:r>
      <w:r w:rsidR="00C949C2" w:rsidRPr="00B17C57">
        <w:t>is</w:t>
      </w:r>
      <w:r w:rsidR="0098339E" w:rsidRPr="00B17C57">
        <w:t xml:space="preserve"> most</w:t>
      </w:r>
      <w:r w:rsidR="00C949C2" w:rsidRPr="00B17C57">
        <w:t xml:space="preserve"> to</w:t>
      </w:r>
      <w:r w:rsidR="0098339E" w:rsidRPr="00B17C57">
        <w:t xml:space="preserve"> likely occur when </w:t>
      </w:r>
      <w:r w:rsidR="00065C0A" w:rsidRPr="00B17C57">
        <w:t>importing</w:t>
      </w:r>
      <w:r w:rsidR="004E78CF" w:rsidRPr="00B17C57">
        <w:t xml:space="preserve"> </w:t>
      </w:r>
      <w:r w:rsidR="00D2587A" w:rsidRPr="00B17C57">
        <w:t>goods</w:t>
      </w:r>
      <w:r w:rsidR="00A91612" w:rsidRPr="00B17C57">
        <w:t xml:space="preserve"> from international suppliers</w:t>
      </w:r>
      <w:r w:rsidR="00E32A61" w:rsidRPr="00B17C57">
        <w:t>,</w:t>
      </w:r>
      <w:r w:rsidR="00D2587A" w:rsidRPr="00B17C57">
        <w:t xml:space="preserve"> like natural stone or artificial materials</w:t>
      </w:r>
      <w:r w:rsidR="00E32A61" w:rsidRPr="00B17C57">
        <w:t>, which may</w:t>
      </w:r>
      <w:r w:rsidR="00D2587A" w:rsidRPr="00B17C57">
        <w:t xml:space="preserve"> resembl</w:t>
      </w:r>
      <w:r w:rsidR="00E32A61" w:rsidRPr="00B17C57">
        <w:t>e</w:t>
      </w:r>
      <w:r w:rsidR="00D2587A" w:rsidRPr="00B17C57">
        <w:t xml:space="preserve"> prohibited engineered stone. </w:t>
      </w:r>
      <w:r w:rsidR="00E5399C" w:rsidRPr="00B17C57">
        <w:t xml:space="preserve">In some cases where </w:t>
      </w:r>
      <w:r w:rsidR="00492A9B" w:rsidRPr="00B17C57">
        <w:t xml:space="preserve">products cannot be identified, importers may be required to pay for independent </w:t>
      </w:r>
      <w:r w:rsidR="001E2509" w:rsidRPr="00B17C57">
        <w:t xml:space="preserve">third-party testing. Costs </w:t>
      </w:r>
      <w:r w:rsidR="00211C85" w:rsidRPr="00B17C57">
        <w:t>to importers</w:t>
      </w:r>
      <w:r w:rsidR="001E2509" w:rsidRPr="00B17C57">
        <w:t xml:space="preserve"> in this instance </w:t>
      </w:r>
      <w:r w:rsidR="00211C85" w:rsidRPr="00B17C57">
        <w:t xml:space="preserve">may </w:t>
      </w:r>
      <w:r w:rsidR="001E2509" w:rsidRPr="00B17C57">
        <w:t xml:space="preserve">include </w:t>
      </w:r>
      <w:r w:rsidR="00492A9B" w:rsidRPr="00B17C57">
        <w:t>sampling</w:t>
      </w:r>
      <w:r w:rsidR="001E2509" w:rsidRPr="00B17C57">
        <w:t xml:space="preserve">, </w:t>
      </w:r>
      <w:r w:rsidR="00492A9B" w:rsidRPr="00B17C57">
        <w:t>testing</w:t>
      </w:r>
      <w:r w:rsidR="00211C85" w:rsidRPr="00B17C57">
        <w:t>,</w:t>
      </w:r>
      <w:r w:rsidR="00492A9B" w:rsidRPr="00B17C57">
        <w:t xml:space="preserve"> and storage </w:t>
      </w:r>
      <w:r w:rsidR="00211C85" w:rsidRPr="00B17C57">
        <w:t>for</w:t>
      </w:r>
      <w:r w:rsidR="00492A9B" w:rsidRPr="00B17C57">
        <w:t xml:space="preserve"> goods held </w:t>
      </w:r>
      <w:r w:rsidR="00211C85" w:rsidRPr="00B17C57">
        <w:t>by Customs</w:t>
      </w:r>
      <w:r w:rsidR="001E2509" w:rsidRPr="00B17C57">
        <w:t xml:space="preserve"> until</w:t>
      </w:r>
      <w:r w:rsidR="00492A9B" w:rsidRPr="00B17C57">
        <w:t xml:space="preserve"> </w:t>
      </w:r>
      <w:r w:rsidR="00FE6A8F" w:rsidRPr="00B17C57">
        <w:t>they are</w:t>
      </w:r>
      <w:r w:rsidR="00492A9B" w:rsidRPr="00B17C57">
        <w:t xml:space="preserve"> tested by third partie</w:t>
      </w:r>
      <w:r w:rsidR="001E2509" w:rsidRPr="00B17C57">
        <w:t>s.</w:t>
      </w:r>
      <w:r w:rsidR="00492A9B" w:rsidRPr="00B17C57">
        <w:t xml:space="preserve"> </w:t>
      </w:r>
      <w:r w:rsidR="001E2509" w:rsidRPr="00B17C57">
        <w:t>This may also include</w:t>
      </w:r>
      <w:r w:rsidR="00492A9B" w:rsidRPr="00B17C57">
        <w:t xml:space="preserve"> delays at the border having a flow on effect to </w:t>
      </w:r>
      <w:r w:rsidR="001E2509" w:rsidRPr="00B17C57">
        <w:t>other</w:t>
      </w:r>
      <w:r w:rsidR="00492A9B" w:rsidRPr="00B17C57">
        <w:t xml:space="preserve"> businesses. </w:t>
      </w:r>
      <w:r w:rsidR="00F912BB" w:rsidRPr="00B17C57">
        <w:t>Costs</w:t>
      </w:r>
      <w:r w:rsidR="00F912BB" w:rsidRPr="0028539C">
        <w:t xml:space="preserve"> for importers would also be dependent on </w:t>
      </w:r>
      <w:r w:rsidR="00077525" w:rsidRPr="0028539C">
        <w:t>requirements stipulated by</w:t>
      </w:r>
      <w:r w:rsidR="00F912BB" w:rsidRPr="0028539C">
        <w:t xml:space="preserve"> immigration and ABF</w:t>
      </w:r>
      <w:r w:rsidR="00077525" w:rsidRPr="0028539C">
        <w:t>.</w:t>
      </w:r>
    </w:p>
    <w:p w14:paraId="09FBDA22" w14:textId="77777777" w:rsidR="004B3F6A" w:rsidRPr="00230DE7" w:rsidRDefault="004B3F6A" w:rsidP="004B3F6A">
      <w:pPr>
        <w:pStyle w:val="Heading4"/>
      </w:pPr>
      <w:r>
        <w:t>Benefits</w:t>
      </w:r>
    </w:p>
    <w:p w14:paraId="1DEBF2F7" w14:textId="16A0BC09" w:rsidR="004B3F6A" w:rsidRDefault="003321CF" w:rsidP="004B3F6A">
      <w:pPr>
        <w:pStyle w:val="Body"/>
      </w:pPr>
      <w:r w:rsidRPr="00B17C57">
        <w:t xml:space="preserve">A </w:t>
      </w:r>
      <w:r w:rsidR="009E0A46" w:rsidRPr="00B17C57">
        <w:t xml:space="preserve">complementary </w:t>
      </w:r>
      <w:r w:rsidR="00B26403" w:rsidRPr="00B17C57">
        <w:t>border measure</w:t>
      </w:r>
      <w:r w:rsidR="009E0A46" w:rsidRPr="00B17C57">
        <w:t xml:space="preserve"> like a</w:t>
      </w:r>
      <w:r w:rsidRPr="00B17C57">
        <w:t xml:space="preserve"> customs ban</w:t>
      </w:r>
      <w:r w:rsidR="009C4B53" w:rsidRPr="00B17C57">
        <w:t xml:space="preserve"> </w:t>
      </w:r>
      <w:r w:rsidR="004B3F6A" w:rsidRPr="00B17C57">
        <w:t>benefit</w:t>
      </w:r>
      <w:r w:rsidR="0026284E" w:rsidRPr="00B17C57">
        <w:t>s</w:t>
      </w:r>
      <w:r w:rsidR="004B3F6A" w:rsidRPr="00B17C57">
        <w:t xml:space="preserve"> fabricators and installers (compared to </w:t>
      </w:r>
      <w:r w:rsidR="00CF563E" w:rsidRPr="00B17C57">
        <w:t>O</w:t>
      </w:r>
      <w:r w:rsidR="004B3F6A" w:rsidRPr="00B17C57">
        <w:t>ption</w:t>
      </w:r>
      <w:r w:rsidR="009C4B53" w:rsidRPr="00B17C57">
        <w:t> </w:t>
      </w:r>
      <w:r w:rsidR="004B3F6A" w:rsidRPr="00B17C57">
        <w:t>1) by providing a higher degree of certainty that the product</w:t>
      </w:r>
      <w:r w:rsidR="004B3F6A">
        <w:t xml:space="preserve"> that they are using is not prohibited for use. This certainty will increase over time as engineered stone products are removed from domestic stocks.</w:t>
      </w:r>
    </w:p>
    <w:p w14:paraId="7FD4B270" w14:textId="7CC56764" w:rsidR="004B3F6A" w:rsidRDefault="004B3F6A" w:rsidP="004B3F6A">
      <w:pPr>
        <w:pStyle w:val="Body"/>
      </w:pPr>
      <w:r>
        <w:lastRenderedPageBreak/>
        <w:t xml:space="preserve">This option also assumes businesses will </w:t>
      </w:r>
      <w:r w:rsidR="008E62BD">
        <w:t>experience</w:t>
      </w:r>
      <w:r>
        <w:t xml:space="preserve"> the same benefits related to avoided costs and workplace productivity associated with the prohibition on engineered stone. </w:t>
      </w:r>
    </w:p>
    <w:p w14:paraId="2354FE5A" w14:textId="068B0BAA" w:rsidR="00BE0ABA" w:rsidRDefault="00BE0ABA" w:rsidP="00BE0ABA">
      <w:pPr>
        <w:pStyle w:val="Heading3"/>
      </w:pPr>
      <w:bookmarkStart w:id="24" w:name="_Toc145573537"/>
      <w:r>
        <w:t>For workers</w:t>
      </w:r>
      <w:bookmarkEnd w:id="24"/>
    </w:p>
    <w:p w14:paraId="0EAE83A9" w14:textId="11D0298B" w:rsidR="00BE0ABA" w:rsidRPr="00B17C57" w:rsidRDefault="00497BC4" w:rsidP="00BE0ABA">
      <w:pPr>
        <w:pStyle w:val="Body"/>
      </w:pPr>
      <w:r>
        <w:t xml:space="preserve">Option </w:t>
      </w:r>
      <w:r w:rsidRPr="00B17C57">
        <w:t>2</w:t>
      </w:r>
      <w:r w:rsidR="00BE0ABA" w:rsidRPr="00B17C57">
        <w:t xml:space="preserve"> assumes the same costs and benefits for workers as in </w:t>
      </w:r>
      <w:r w:rsidR="001E3632" w:rsidRPr="00B17C57">
        <w:t>O</w:t>
      </w:r>
      <w:r w:rsidR="00BE0ABA" w:rsidRPr="00B17C57">
        <w:t xml:space="preserve">ption 1. </w:t>
      </w:r>
      <w:r w:rsidR="00367E00" w:rsidRPr="00B17C57">
        <w:t>Complementary border measures</w:t>
      </w:r>
      <w:r w:rsidR="00D91A1F" w:rsidRPr="00B17C57">
        <w:t xml:space="preserve"> targeting </w:t>
      </w:r>
      <w:r w:rsidR="00BE0ABA" w:rsidRPr="00B17C57">
        <w:t xml:space="preserve">engineered stone </w:t>
      </w:r>
      <w:r w:rsidR="00E714F6" w:rsidRPr="00B17C57">
        <w:t>are</w:t>
      </w:r>
      <w:r w:rsidR="00BE0ABA" w:rsidRPr="00B17C57">
        <w:t xml:space="preserve"> likely to have the effect of reducing the likelihood of workers fabricating or installing engineered stone sooner, and reducing the chan</w:t>
      </w:r>
      <w:r w:rsidR="00D87E14" w:rsidRPr="00B17C57">
        <w:t>c</w:t>
      </w:r>
      <w:r w:rsidR="00BE0ABA" w:rsidRPr="00B17C57">
        <w:t xml:space="preserve">e of unknowingly working with it in the future in instances where it is unlawfully imported. </w:t>
      </w:r>
    </w:p>
    <w:p w14:paraId="6D13C7B0" w14:textId="2765CB23" w:rsidR="00902C45" w:rsidRPr="00B17C57" w:rsidRDefault="00902C45" w:rsidP="00902C45">
      <w:pPr>
        <w:pStyle w:val="Heading3"/>
      </w:pPr>
      <w:bookmarkStart w:id="25" w:name="_Toc145573538"/>
      <w:r w:rsidRPr="00B17C57">
        <w:t>For Government</w:t>
      </w:r>
      <w:bookmarkEnd w:id="25"/>
    </w:p>
    <w:p w14:paraId="05C5106A" w14:textId="133FC00D" w:rsidR="00902C45" w:rsidRPr="00B17C57" w:rsidRDefault="00902C45" w:rsidP="00902C45">
      <w:pPr>
        <w:pStyle w:val="Body"/>
      </w:pPr>
      <w:r w:rsidRPr="00B17C57">
        <w:t xml:space="preserve">Option 2 assumes the same costs related to </w:t>
      </w:r>
      <w:r w:rsidR="0013282D" w:rsidRPr="00B17C57">
        <w:t xml:space="preserve">a licensing </w:t>
      </w:r>
      <w:r w:rsidR="00BE368C" w:rsidRPr="00B17C57">
        <w:t>framework for use with legacy products</w:t>
      </w:r>
      <w:r w:rsidR="0013282D" w:rsidRPr="00B17C57">
        <w:t xml:space="preserve">, </w:t>
      </w:r>
      <w:r w:rsidRPr="00B17C57">
        <w:t xml:space="preserve">income support and vocational training for displaced workers described in </w:t>
      </w:r>
      <w:r w:rsidR="00640563" w:rsidRPr="00B17C57">
        <w:t>O</w:t>
      </w:r>
      <w:r w:rsidRPr="00B17C57">
        <w:t>ption 1 ($</w:t>
      </w:r>
      <w:r w:rsidR="0066566F" w:rsidRPr="00B17C57">
        <w:t>108</w:t>
      </w:r>
      <w:r w:rsidRPr="00B17C57">
        <w:t>.</w:t>
      </w:r>
      <w:r w:rsidR="0066566F" w:rsidRPr="00B17C57">
        <w:t>2</w:t>
      </w:r>
      <w:r w:rsidRPr="00B17C57">
        <w:t xml:space="preserve"> million</w:t>
      </w:r>
      <w:r w:rsidR="00BE368C" w:rsidRPr="00B17C57">
        <w:t xml:space="preserve"> over 10 years</w:t>
      </w:r>
      <w:r w:rsidRPr="00B17C57">
        <w:t xml:space="preserve">). </w:t>
      </w:r>
    </w:p>
    <w:p w14:paraId="61D34343" w14:textId="11DCEA7A" w:rsidR="008603CC" w:rsidRPr="00B17C57" w:rsidRDefault="00D35806" w:rsidP="00902C45">
      <w:pPr>
        <w:pStyle w:val="Body"/>
      </w:pPr>
      <w:r w:rsidRPr="00B17C57">
        <w:t>Complementary border measures</w:t>
      </w:r>
      <w:r w:rsidR="008603CC" w:rsidRPr="00B17C57">
        <w:t xml:space="preserve"> have </w:t>
      </w:r>
      <w:r w:rsidR="007B4A86" w:rsidRPr="00B17C57">
        <w:t>impacts associated with</w:t>
      </w:r>
      <w:r w:rsidR="008603CC" w:rsidRPr="00B17C57">
        <w:t xml:space="preserve"> resourcing of </w:t>
      </w:r>
      <w:r w:rsidR="0035212C" w:rsidRPr="00B17C57">
        <w:t>ABF</w:t>
      </w:r>
      <w:r w:rsidR="008603CC" w:rsidRPr="00B17C57">
        <w:t xml:space="preserve"> compliance efforts</w:t>
      </w:r>
      <w:r w:rsidR="00523ECF" w:rsidRPr="00B17C57">
        <w:t xml:space="preserve">. </w:t>
      </w:r>
      <w:r w:rsidR="00394395" w:rsidRPr="00B17C57">
        <w:t xml:space="preserve">The ABF has noted that its role and function in operationalising border control includes targeting of goods and engagement offshore, storage pending testing, </w:t>
      </w:r>
      <w:r w:rsidR="00735931" w:rsidRPr="00B17C57">
        <w:t>seizure,</w:t>
      </w:r>
      <w:r w:rsidR="00394395" w:rsidRPr="00B17C57">
        <w:t xml:space="preserve"> and potential disposal.</w:t>
      </w:r>
      <w:r w:rsidR="004910FF" w:rsidRPr="00B17C57">
        <w:t xml:space="preserve"> </w:t>
      </w:r>
      <w:r w:rsidR="000E1F86" w:rsidRPr="00B17C57">
        <w:t>E</w:t>
      </w:r>
      <w:r w:rsidR="00A47178" w:rsidRPr="00B17C57">
        <w:t xml:space="preserve">ngineered stone carries less inherent risk than </w:t>
      </w:r>
      <w:r w:rsidR="00A07061" w:rsidRPr="00B17C57">
        <w:t>other prohibited goods like asbestos and illicit drugs</w:t>
      </w:r>
      <w:r w:rsidR="000E1F86" w:rsidRPr="00B17C57">
        <w:t xml:space="preserve"> noting </w:t>
      </w:r>
      <w:r w:rsidR="00C37224" w:rsidRPr="00B17C57">
        <w:t>it does not pose risks</w:t>
      </w:r>
      <w:r w:rsidR="000E1F86" w:rsidRPr="00B17C57">
        <w:t xml:space="preserve"> </w:t>
      </w:r>
      <w:r w:rsidR="00C37224" w:rsidRPr="00B17C57">
        <w:t xml:space="preserve">unless it is being </w:t>
      </w:r>
      <w:r w:rsidR="0007527E" w:rsidRPr="00B17C57">
        <w:t>cut or ground</w:t>
      </w:r>
      <w:r w:rsidR="004910FF" w:rsidRPr="00B17C57">
        <w:t>.</w:t>
      </w:r>
      <w:r w:rsidR="00275703" w:rsidRPr="00B17C57">
        <w:t xml:space="preserve"> </w:t>
      </w:r>
      <w:r w:rsidR="00BC2D64" w:rsidRPr="00B17C57">
        <w:t>If disposal is required,</w:t>
      </w:r>
      <w:r w:rsidR="000E1F86" w:rsidRPr="00B17C57">
        <w:t xml:space="preserve"> engineered stone products will likely be treated as trade waste.</w:t>
      </w:r>
    </w:p>
    <w:p w14:paraId="4DFFE9BD" w14:textId="605B4AB3" w:rsidR="00FC4298" w:rsidRPr="005E7475" w:rsidRDefault="00CF096C" w:rsidP="00902C45">
      <w:pPr>
        <w:pStyle w:val="Body"/>
      </w:pPr>
      <w:r w:rsidRPr="00B17C57">
        <w:t xml:space="preserve">This option may also have a </w:t>
      </w:r>
      <w:r w:rsidR="00A32049" w:rsidRPr="00B17C57">
        <w:t>minor impact on tariff revenues.</w:t>
      </w:r>
    </w:p>
    <w:p w14:paraId="255FDF1F" w14:textId="6A53839A" w:rsidR="00DB156D" w:rsidRPr="00DB156D" w:rsidRDefault="00DB156D" w:rsidP="004B3F6A">
      <w:pPr>
        <w:pStyle w:val="Heading2"/>
      </w:pPr>
      <w:bookmarkStart w:id="26" w:name="_Toc145573539"/>
      <w:r>
        <w:t>Option 3</w:t>
      </w:r>
      <w:r w:rsidR="002D5448">
        <w:t>: Status Quo</w:t>
      </w:r>
      <w:bookmarkEnd w:id="26"/>
    </w:p>
    <w:p w14:paraId="6642AD1C" w14:textId="7E06235C" w:rsidR="004B3F6A" w:rsidRDefault="004B3F6A" w:rsidP="004B3F6A">
      <w:pPr>
        <w:pStyle w:val="Heading3"/>
      </w:pPr>
      <w:bookmarkStart w:id="27" w:name="_Toc145573540"/>
      <w:r>
        <w:t>For businesses</w:t>
      </w:r>
      <w:bookmarkEnd w:id="27"/>
    </w:p>
    <w:p w14:paraId="26F7F1E7" w14:textId="47331822" w:rsidR="004B3F6A" w:rsidRDefault="004B3F6A" w:rsidP="004B3F6A">
      <w:pPr>
        <w:pStyle w:val="Body"/>
      </w:pPr>
      <w:r>
        <w:t xml:space="preserve">Option 3, the status quo, does not entail monetised costs and only requires businesses to comply with WHS laws. The benefit for engineered stone businesses </w:t>
      </w:r>
      <w:r w:rsidR="00A753A0">
        <w:t>is</w:t>
      </w:r>
      <w:r>
        <w:t xml:space="preserve"> that they will be able to carry on business as usual with their primary material of use and without the need to transition to other materials. </w:t>
      </w:r>
    </w:p>
    <w:p w14:paraId="1107DF85" w14:textId="51ABD33F" w:rsidR="004B3F6A" w:rsidRDefault="004B3F6A" w:rsidP="004B3F6A">
      <w:pPr>
        <w:pStyle w:val="Body"/>
      </w:pPr>
      <w:r>
        <w:t xml:space="preserve">The impacts over the medium and long term will be increased workers’ compensation premiums, likely heavier regulatory targeting of their industries and a decline in the physical wellbeing of their workforces. </w:t>
      </w:r>
      <w:r w:rsidR="001014DD" w:rsidRPr="001D7B24">
        <w:t xml:space="preserve">The </w:t>
      </w:r>
      <w:r w:rsidR="00C15EDE" w:rsidRPr="001D7B24">
        <w:t>nature of the engineered stone industry</w:t>
      </w:r>
      <w:r w:rsidR="007539FB" w:rsidRPr="001D7B24">
        <w:t xml:space="preserve"> means that there is likely to be continued</w:t>
      </w:r>
      <w:r w:rsidR="00E556AE" w:rsidRPr="001D7B24">
        <w:t xml:space="preserve"> non</w:t>
      </w:r>
      <w:r w:rsidR="009B0E0E">
        <w:t>-</w:t>
      </w:r>
      <w:r w:rsidR="00A00BD4" w:rsidRPr="001D7B24">
        <w:t xml:space="preserve">compliance with </w:t>
      </w:r>
      <w:r w:rsidR="00937168" w:rsidRPr="001D7B24">
        <w:t>the WHS model laws</w:t>
      </w:r>
      <w:r w:rsidR="00A30FE9" w:rsidRPr="001D7B24">
        <w:t>.</w:t>
      </w:r>
    </w:p>
    <w:p w14:paraId="05C7AB48" w14:textId="63356E7E" w:rsidR="00BE0ABA" w:rsidRDefault="00BE0ABA" w:rsidP="00BE0ABA">
      <w:pPr>
        <w:pStyle w:val="Heading3"/>
      </w:pPr>
      <w:bookmarkStart w:id="28" w:name="_Toc145573541"/>
      <w:r>
        <w:t xml:space="preserve">For </w:t>
      </w:r>
      <w:r w:rsidR="008B10C5">
        <w:t>w</w:t>
      </w:r>
      <w:r>
        <w:t>orkers</w:t>
      </w:r>
      <w:bookmarkEnd w:id="28"/>
    </w:p>
    <w:p w14:paraId="5FEC6341" w14:textId="0FE0DB3D" w:rsidR="009A0C27" w:rsidRDefault="00064700" w:rsidP="00E66B70">
      <w:pPr>
        <w:pStyle w:val="Body"/>
      </w:pPr>
      <w:r>
        <w:t>T</w:t>
      </w:r>
      <w:r w:rsidR="009A0C27">
        <w:t xml:space="preserve">here are clear </w:t>
      </w:r>
      <w:r>
        <w:t xml:space="preserve">health and wellbeing </w:t>
      </w:r>
      <w:r w:rsidR="009A0C27">
        <w:t>disa</w:t>
      </w:r>
      <w:r w:rsidR="008F7379">
        <w:t xml:space="preserve">dvantages to workers continuing to work with engineered stone. </w:t>
      </w:r>
      <w:r w:rsidR="00985F9B">
        <w:t xml:space="preserve">Workers </w:t>
      </w:r>
      <w:r w:rsidR="00F711EB">
        <w:t xml:space="preserve">in the engineered stone sector are disproportionately </w:t>
      </w:r>
      <w:r w:rsidR="00777882">
        <w:t>being diagnosed with silic</w:t>
      </w:r>
      <w:r w:rsidR="00F011B1">
        <w:t>osis and silica-related diseases</w:t>
      </w:r>
      <w:r w:rsidR="00777882">
        <w:t xml:space="preserve"> and will continue to </w:t>
      </w:r>
      <w:r w:rsidR="00735931">
        <w:t xml:space="preserve">do </w:t>
      </w:r>
      <w:r w:rsidR="00777882">
        <w:t xml:space="preserve">so until the risk of RCS </w:t>
      </w:r>
      <w:r w:rsidR="00B81A14">
        <w:t xml:space="preserve">as a result from working with </w:t>
      </w:r>
      <w:r w:rsidR="00F011B1">
        <w:t>engineered</w:t>
      </w:r>
      <w:r w:rsidR="00B81A14">
        <w:t xml:space="preserve"> is </w:t>
      </w:r>
      <w:r w:rsidR="007D6962">
        <w:t xml:space="preserve">eliminated. </w:t>
      </w:r>
    </w:p>
    <w:p w14:paraId="3E73DD9A" w14:textId="04F80B6A" w:rsidR="0044452A" w:rsidRDefault="0044452A" w:rsidP="00E66B70">
      <w:pPr>
        <w:pStyle w:val="Body"/>
      </w:pPr>
      <w:r>
        <w:lastRenderedPageBreak/>
        <w:t xml:space="preserve">Insufficient compliance </w:t>
      </w:r>
      <w:r w:rsidR="00655975">
        <w:t xml:space="preserve">with WHS laws </w:t>
      </w:r>
      <w:r>
        <w:t>at all levels of the supply chain</w:t>
      </w:r>
      <w:r w:rsidR="00A84F01">
        <w:t xml:space="preserve"> casts doubt on whether </w:t>
      </w:r>
      <w:r w:rsidR="00EF56E2">
        <w:t xml:space="preserve">tighter regulation will </w:t>
      </w:r>
      <w:r w:rsidR="00C24E84">
        <w:t>remove th</w:t>
      </w:r>
      <w:r w:rsidR="00655975">
        <w:t>e</w:t>
      </w:r>
      <w:r w:rsidR="00C24E84">
        <w:t xml:space="preserve"> risk, and </w:t>
      </w:r>
      <w:r w:rsidR="003F29BD">
        <w:t>evaluating the effectiveness of</w:t>
      </w:r>
      <w:r w:rsidR="00C24E84">
        <w:t xml:space="preserve"> </w:t>
      </w:r>
      <w:r w:rsidR="00120D2A">
        <w:t xml:space="preserve">this regulation is affected by the significant time lag between RCS exposure and silicosis diagnosis. </w:t>
      </w:r>
    </w:p>
    <w:p w14:paraId="6A80BAE0" w14:textId="44533211" w:rsidR="0054492C" w:rsidRDefault="0054492C" w:rsidP="0054492C">
      <w:pPr>
        <w:pStyle w:val="Heading3"/>
      </w:pPr>
      <w:bookmarkStart w:id="29" w:name="_Toc145573542"/>
      <w:r>
        <w:t>For Government</w:t>
      </w:r>
      <w:bookmarkEnd w:id="29"/>
    </w:p>
    <w:p w14:paraId="15E0B3D4" w14:textId="150AC24D" w:rsidR="0054492C" w:rsidRDefault="0054492C" w:rsidP="00BE0ABA">
      <w:pPr>
        <w:pStyle w:val="Body"/>
      </w:pPr>
      <w:r>
        <w:t xml:space="preserve">Option 3 </w:t>
      </w:r>
      <w:r w:rsidR="00943E8C">
        <w:t xml:space="preserve">is the status quo option and does not </w:t>
      </w:r>
      <w:r w:rsidR="00FC4209">
        <w:t xml:space="preserve">entail any additional </w:t>
      </w:r>
      <w:r w:rsidR="00AE76D4">
        <w:t xml:space="preserve">monetised </w:t>
      </w:r>
      <w:r w:rsidR="00FC4209">
        <w:t xml:space="preserve">costs. </w:t>
      </w:r>
      <w:r w:rsidR="00AE76D4">
        <w:t>The ongoing fabrication and installation of engineered stone on the current scale will see an increasing number of workers develop silicosis and other silica-related diseases</w:t>
      </w:r>
      <w:r w:rsidR="00CA473F">
        <w:t xml:space="preserve"> which will </w:t>
      </w:r>
      <w:r w:rsidR="00E94F49">
        <w:t xml:space="preserve">have long-term, ongoing implications for health systems. </w:t>
      </w:r>
    </w:p>
    <w:p w14:paraId="41B783A6" w14:textId="5DCA1ADB" w:rsidR="008A059F" w:rsidRDefault="008A059F" w:rsidP="00BC2D64">
      <w:pPr>
        <w:pStyle w:val="Heading1"/>
        <w:spacing w:before="120" w:after="120" w:line="240" w:lineRule="auto"/>
        <w:rPr>
          <w:rFonts w:asciiTheme="minorHAnsi" w:eastAsiaTheme="minorEastAsia" w:hAnsiTheme="minorHAnsi" w:cstheme="minorBidi"/>
        </w:rPr>
      </w:pPr>
      <w:bookmarkStart w:id="30" w:name="_Toc145573543"/>
      <w:r w:rsidRPr="7612DB8E">
        <w:rPr>
          <w:rFonts w:asciiTheme="minorHAnsi" w:eastAsiaTheme="minorEastAsia" w:hAnsiTheme="minorHAnsi" w:cstheme="minorBidi"/>
        </w:rPr>
        <w:t>5.  Who did you consult and how did you incorporate their feedback?</w:t>
      </w:r>
      <w:bookmarkEnd w:id="30"/>
      <w:r w:rsidRPr="7612DB8E">
        <w:rPr>
          <w:rFonts w:asciiTheme="minorHAnsi" w:eastAsiaTheme="minorEastAsia" w:hAnsiTheme="minorHAnsi" w:cstheme="minorBidi"/>
        </w:rPr>
        <w:t xml:space="preserve"> </w:t>
      </w:r>
    </w:p>
    <w:p w14:paraId="70620A66" w14:textId="76C37F88" w:rsidR="006679CF" w:rsidRPr="006679CF" w:rsidRDefault="006679CF" w:rsidP="004647C2">
      <w:pPr>
        <w:pStyle w:val="Body"/>
      </w:pPr>
      <w:r w:rsidRPr="00B37789">
        <w:t xml:space="preserve">Consultation on </w:t>
      </w:r>
      <w:r w:rsidR="00E41E9C" w:rsidRPr="00B37789">
        <w:t xml:space="preserve">a prohibition on the use of engineered stone </w:t>
      </w:r>
      <w:r w:rsidR="00CE4851" w:rsidRPr="00B37789">
        <w:t xml:space="preserve">and on addressing the risks of </w:t>
      </w:r>
      <w:r w:rsidR="004134C9" w:rsidRPr="00B37789">
        <w:t>silica more broadly was</w:t>
      </w:r>
      <w:r w:rsidR="00BC6F33" w:rsidRPr="00B37789" w:rsidDel="004134C9">
        <w:t xml:space="preserve"> </w:t>
      </w:r>
      <w:r w:rsidR="00BC6F33" w:rsidRPr="00B37789">
        <w:t>extensive</w:t>
      </w:r>
      <w:r w:rsidR="00247C6C" w:rsidRPr="00B37789">
        <w:t xml:space="preserve">ly undertaken </w:t>
      </w:r>
      <w:r w:rsidR="001F5AD0" w:rsidRPr="00B37789">
        <w:t xml:space="preserve">at the Commonwealth level and is subject to </w:t>
      </w:r>
      <w:r w:rsidR="0055698E" w:rsidRPr="00B37789">
        <w:t xml:space="preserve">three </w:t>
      </w:r>
      <w:r w:rsidR="004134C9" w:rsidRPr="00B37789">
        <w:t xml:space="preserve">key </w:t>
      </w:r>
      <w:r w:rsidR="0033516B" w:rsidRPr="00B37789">
        <w:t xml:space="preserve">consultative </w:t>
      </w:r>
      <w:r w:rsidR="00BD25EB" w:rsidRPr="00B37789">
        <w:t>processes</w:t>
      </w:r>
      <w:r w:rsidR="00200D90" w:rsidRPr="00B37789">
        <w:t xml:space="preserve"> outlined below. </w:t>
      </w:r>
      <w:r w:rsidR="00756FD2" w:rsidRPr="00B37789">
        <w:t xml:space="preserve">These processes incorporated a wide range of views, from unions, industry groups, </w:t>
      </w:r>
      <w:r w:rsidR="00283E9A" w:rsidRPr="00B37789">
        <w:t>health bodies</w:t>
      </w:r>
      <w:r w:rsidR="00E16715" w:rsidRPr="00B37789">
        <w:t xml:space="preserve"> as well as individual employers and workers. </w:t>
      </w:r>
    </w:p>
    <w:p w14:paraId="5D07DE05" w14:textId="3257D503" w:rsidR="008A059F" w:rsidRPr="00BA13F0" w:rsidRDefault="00712E4F" w:rsidP="00BC2D64">
      <w:pPr>
        <w:pStyle w:val="Heading2"/>
        <w:spacing w:before="120" w:after="120" w:line="240" w:lineRule="auto"/>
      </w:pPr>
      <w:bookmarkStart w:id="31" w:name="_Toc145573544"/>
      <w:r>
        <w:t>The</w:t>
      </w:r>
      <w:r w:rsidR="00012F4A">
        <w:t xml:space="preserve"> Consultation </w:t>
      </w:r>
      <w:r w:rsidR="00012F4A" w:rsidRPr="004A57AB">
        <w:t>Regulation Impact Statement</w:t>
      </w:r>
      <w:r w:rsidR="00012F4A">
        <w:t xml:space="preserve">: </w:t>
      </w:r>
      <w:r w:rsidR="00012F4A" w:rsidRPr="004A57AB">
        <w:t>Managing the risks of respirable crystalline silica at work</w:t>
      </w:r>
      <w:bookmarkEnd w:id="31"/>
    </w:p>
    <w:p w14:paraId="3B33355C" w14:textId="72603609" w:rsidR="00EE626A" w:rsidRPr="00EE626A" w:rsidRDefault="00EF4B61" w:rsidP="00EE626A">
      <w:pPr>
        <w:pStyle w:val="Body"/>
      </w:pPr>
      <w:r>
        <w:t xml:space="preserve">The </w:t>
      </w:r>
      <w:r w:rsidR="00EE6A50">
        <w:t xml:space="preserve">Silica </w:t>
      </w:r>
      <w:r w:rsidR="00712E4F">
        <w:t>Decision</w:t>
      </w:r>
      <w:r w:rsidR="00EE6A50">
        <w:t xml:space="preserve"> RIS incorporates </w:t>
      </w:r>
      <w:r w:rsidR="00EE626A" w:rsidRPr="00EE626A">
        <w:t xml:space="preserve">feedback from consultation conducted in two stages: </w:t>
      </w:r>
    </w:p>
    <w:p w14:paraId="3692E59C" w14:textId="79C31F29" w:rsidR="00EE626A" w:rsidRPr="00EE626A" w:rsidRDefault="00EE626A" w:rsidP="00EE626A">
      <w:pPr>
        <w:pStyle w:val="ListBullet"/>
      </w:pPr>
      <w:r w:rsidRPr="00EE626A">
        <w:t xml:space="preserve">preliminary consultation via workshops and individual consultation with key stakeholders to inform the Consultation Regulation Impact Statement: </w:t>
      </w:r>
      <w:r w:rsidRPr="00712E4F">
        <w:rPr>
          <w:i/>
        </w:rPr>
        <w:t xml:space="preserve">Managing the risks of respirable crystalline silica at work </w:t>
      </w:r>
      <w:r w:rsidRPr="00EE626A">
        <w:t xml:space="preserve">(CRIS), and </w:t>
      </w:r>
    </w:p>
    <w:p w14:paraId="3C7F6DAF" w14:textId="0F185599" w:rsidR="00EE626A" w:rsidRDefault="00EE626A" w:rsidP="00EE626A">
      <w:pPr>
        <w:pStyle w:val="ListBullet"/>
      </w:pPr>
      <w:r w:rsidRPr="00EE626A">
        <w:t xml:space="preserve">public consultation on the CRIS. </w:t>
      </w:r>
    </w:p>
    <w:p w14:paraId="033C1550" w14:textId="72DD934A" w:rsidR="00080B04" w:rsidRDefault="00080B04" w:rsidP="00080B04">
      <w:pPr>
        <w:pStyle w:val="Heading3"/>
      </w:pPr>
      <w:bookmarkStart w:id="32" w:name="_Toc145573545"/>
      <w:r>
        <w:t>Preliminary consultation</w:t>
      </w:r>
      <w:bookmarkEnd w:id="32"/>
    </w:p>
    <w:p w14:paraId="07979EC5" w14:textId="45C7F0FD" w:rsidR="00080B04" w:rsidRDefault="0092699D" w:rsidP="00EE626A">
      <w:pPr>
        <w:pStyle w:val="Body"/>
        <w:rPr>
          <w:color w:val="252525"/>
        </w:rPr>
      </w:pPr>
      <w:r>
        <w:rPr>
          <w:color w:val="252525"/>
        </w:rPr>
        <w:t>Preliminary consultations were held with a range of stakeholders including WHS regulators, industry peak bodies, employee representatives, employer representatives and health organisations. The consultation consisted of 3 workshops and 4 discussions with individual organisations. In total 24</w:t>
      </w:r>
      <w:r w:rsidR="0021796E">
        <w:rPr>
          <w:color w:val="252525"/>
        </w:rPr>
        <w:t> </w:t>
      </w:r>
      <w:r>
        <w:rPr>
          <w:color w:val="252525"/>
        </w:rPr>
        <w:t>stakeholders were invited to participate in the consultations, with representatives from 23</w:t>
      </w:r>
      <w:r w:rsidR="0021796E">
        <w:rPr>
          <w:color w:val="252525"/>
        </w:rPr>
        <w:t> </w:t>
      </w:r>
      <w:r>
        <w:rPr>
          <w:color w:val="252525"/>
        </w:rPr>
        <w:t>stakeholders taking part.</w:t>
      </w:r>
      <w:r w:rsidR="0088743F">
        <w:rPr>
          <w:color w:val="252525"/>
        </w:rPr>
        <w:t xml:space="preserve"> </w:t>
      </w:r>
    </w:p>
    <w:p w14:paraId="7C6EEEDE" w14:textId="4537C544" w:rsidR="00EE626A" w:rsidRDefault="0088743F" w:rsidP="00EE626A">
      <w:pPr>
        <w:pStyle w:val="Body"/>
        <w:rPr>
          <w:color w:val="252525"/>
        </w:rPr>
      </w:pPr>
      <w:r>
        <w:rPr>
          <w:color w:val="252525"/>
        </w:rPr>
        <w:t xml:space="preserve">Stakeholder feedback informed the drafting of the </w:t>
      </w:r>
      <w:r w:rsidR="00986B16">
        <w:rPr>
          <w:color w:val="252525"/>
        </w:rPr>
        <w:t xml:space="preserve">Silica </w:t>
      </w:r>
      <w:r>
        <w:rPr>
          <w:color w:val="252525"/>
        </w:rPr>
        <w:t>C</w:t>
      </w:r>
      <w:r w:rsidR="00986B16">
        <w:rPr>
          <w:color w:val="252525"/>
        </w:rPr>
        <w:t xml:space="preserve">onsultation </w:t>
      </w:r>
      <w:r>
        <w:rPr>
          <w:color w:val="252525"/>
        </w:rPr>
        <w:t>RIS, including development of the problem statement and evidence base, and the options. Stakeholders provided information such as quantitative data, reports and peer-reviewed papers to inform this process.</w:t>
      </w:r>
    </w:p>
    <w:p w14:paraId="1F895AFF" w14:textId="35D14672" w:rsidR="0092699D" w:rsidRPr="00EE626A" w:rsidRDefault="00080B04" w:rsidP="00080B04">
      <w:pPr>
        <w:pStyle w:val="Heading3"/>
      </w:pPr>
      <w:bookmarkStart w:id="33" w:name="_Toc145573546"/>
      <w:r>
        <w:t>Public consultation</w:t>
      </w:r>
      <w:bookmarkEnd w:id="33"/>
    </w:p>
    <w:p w14:paraId="786B2DBD" w14:textId="5EC459AD" w:rsidR="007F561F" w:rsidRPr="00564E64" w:rsidRDefault="00564E64" w:rsidP="007F561F">
      <w:pPr>
        <w:pStyle w:val="Body"/>
      </w:pPr>
      <w:r>
        <w:rPr>
          <w:color w:val="252525"/>
        </w:rPr>
        <w:t>SWA</w:t>
      </w:r>
      <w:r w:rsidR="00080B04">
        <w:rPr>
          <w:color w:val="252525"/>
        </w:rPr>
        <w:t xml:space="preserve"> sought feedback on the CRIS. The CRIS outlined specific consultation questions relating to the problem statement, proposed options and impact analysis. </w:t>
      </w:r>
      <w:r w:rsidR="007F561F" w:rsidRPr="007F561F">
        <w:t xml:space="preserve">A total of 67 submissions were received from a range of stakeholders, including: </w:t>
      </w:r>
    </w:p>
    <w:p w14:paraId="42C6B0E2" w14:textId="5B17DF7C" w:rsidR="007F561F" w:rsidRPr="007F561F" w:rsidRDefault="00BA0734" w:rsidP="00F354CA">
      <w:pPr>
        <w:pStyle w:val="ListBullet"/>
        <w:rPr>
          <w:rFonts w:ascii="Calibri" w:hAnsi="Calibri" w:cs="Calibri"/>
          <w:color w:val="000000"/>
        </w:rPr>
      </w:pPr>
      <w:r>
        <w:lastRenderedPageBreak/>
        <w:t>C</w:t>
      </w:r>
      <w:r w:rsidR="007F561F" w:rsidRPr="007F561F">
        <w:t xml:space="preserve">ommonwealth, state and territory government departments </w:t>
      </w:r>
    </w:p>
    <w:p w14:paraId="5B7CA671" w14:textId="1137DD05" w:rsidR="007F561F" w:rsidRPr="007F561F" w:rsidRDefault="007F561F" w:rsidP="00F354CA">
      <w:pPr>
        <w:pStyle w:val="ListBullet"/>
        <w:rPr>
          <w:rFonts w:ascii="Calibri" w:hAnsi="Calibri" w:cs="Calibri"/>
          <w:color w:val="000000"/>
        </w:rPr>
      </w:pPr>
      <w:r w:rsidRPr="007F561F">
        <w:t xml:space="preserve">peak health bodies </w:t>
      </w:r>
    </w:p>
    <w:p w14:paraId="580A1CCF" w14:textId="2DA49058" w:rsidR="007F561F" w:rsidRPr="007F561F" w:rsidRDefault="007F561F" w:rsidP="00F354CA">
      <w:pPr>
        <w:pStyle w:val="ListBullet"/>
        <w:rPr>
          <w:rFonts w:ascii="Calibri" w:hAnsi="Calibri" w:cs="Calibri"/>
          <w:color w:val="000000"/>
        </w:rPr>
      </w:pPr>
      <w:r w:rsidRPr="007F561F">
        <w:t xml:space="preserve">industry groups </w:t>
      </w:r>
    </w:p>
    <w:p w14:paraId="17001049" w14:textId="466DD3E0" w:rsidR="007F561F" w:rsidRPr="007F561F" w:rsidRDefault="007F561F" w:rsidP="00F354CA">
      <w:pPr>
        <w:pStyle w:val="ListBullet"/>
        <w:rPr>
          <w:rFonts w:ascii="Calibri" w:hAnsi="Calibri" w:cs="Calibri"/>
          <w:color w:val="000000"/>
        </w:rPr>
      </w:pPr>
      <w:r w:rsidRPr="007F561F">
        <w:t>unions</w:t>
      </w:r>
      <w:r w:rsidRPr="007F561F">
        <w:rPr>
          <w:rFonts w:ascii="Calibri" w:hAnsi="Calibri" w:cs="Calibri"/>
          <w:color w:val="000000"/>
        </w:rPr>
        <w:t xml:space="preserve"> </w:t>
      </w:r>
    </w:p>
    <w:p w14:paraId="787D8740" w14:textId="5C2CFED7" w:rsidR="007F561F" w:rsidRPr="007F561F" w:rsidRDefault="007F561F" w:rsidP="00F354CA">
      <w:pPr>
        <w:pStyle w:val="ListBullet"/>
        <w:rPr>
          <w:rFonts w:ascii="Calibri" w:hAnsi="Calibri" w:cs="Calibri"/>
          <w:color w:val="000000"/>
        </w:rPr>
      </w:pPr>
      <w:r w:rsidRPr="007F561F">
        <w:t xml:space="preserve">commercial enterprises including engineered stone suppliers </w:t>
      </w:r>
    </w:p>
    <w:p w14:paraId="02BA8E13" w14:textId="078EE4DF" w:rsidR="007F561F" w:rsidRPr="007F561F" w:rsidRDefault="007F561F" w:rsidP="00F354CA">
      <w:pPr>
        <w:pStyle w:val="ListBullet"/>
        <w:rPr>
          <w:rFonts w:ascii="Calibri" w:hAnsi="Calibri" w:cs="Calibri"/>
          <w:color w:val="000000"/>
        </w:rPr>
      </w:pPr>
      <w:r w:rsidRPr="007F561F">
        <w:t xml:space="preserve">lawyers </w:t>
      </w:r>
    </w:p>
    <w:p w14:paraId="49E93110" w14:textId="38EF3DEE" w:rsidR="007F561F" w:rsidRPr="007F561F" w:rsidRDefault="007F561F" w:rsidP="00F354CA">
      <w:pPr>
        <w:pStyle w:val="ListBullet"/>
        <w:rPr>
          <w:rFonts w:ascii="Calibri" w:hAnsi="Calibri" w:cs="Calibri"/>
          <w:color w:val="000000"/>
        </w:rPr>
      </w:pPr>
      <w:r w:rsidRPr="007F561F">
        <w:t xml:space="preserve">insurance groups </w:t>
      </w:r>
    </w:p>
    <w:p w14:paraId="120C1B91" w14:textId="458FA105" w:rsidR="007F561F" w:rsidRPr="007F561F" w:rsidRDefault="007F561F" w:rsidP="00F354CA">
      <w:pPr>
        <w:pStyle w:val="ListBullet"/>
        <w:rPr>
          <w:rFonts w:ascii="Calibri" w:hAnsi="Calibri" w:cs="Calibri"/>
          <w:color w:val="000000"/>
        </w:rPr>
      </w:pPr>
      <w:r w:rsidRPr="007F561F">
        <w:t xml:space="preserve">academics, and </w:t>
      </w:r>
    </w:p>
    <w:p w14:paraId="758A519B" w14:textId="016BB087" w:rsidR="007F561F" w:rsidRPr="007F561F" w:rsidRDefault="007F561F" w:rsidP="00F354CA">
      <w:pPr>
        <w:pStyle w:val="ListBullet"/>
        <w:rPr>
          <w:rFonts w:ascii="Calibri" w:hAnsi="Calibri" w:cs="Calibri"/>
          <w:color w:val="000000"/>
        </w:rPr>
      </w:pPr>
      <w:r w:rsidRPr="007F561F">
        <w:t xml:space="preserve">individuals. </w:t>
      </w:r>
    </w:p>
    <w:p w14:paraId="61ECC068" w14:textId="4CA5B691" w:rsidR="00AA5F18" w:rsidRDefault="00700F22" w:rsidP="00AA5F18">
      <w:pPr>
        <w:pStyle w:val="Body"/>
        <w:rPr>
          <w:color w:val="252525"/>
        </w:rPr>
      </w:pPr>
      <w:r>
        <w:rPr>
          <w:color w:val="252525"/>
        </w:rPr>
        <w:t>There was clear support for further government intervention to reduce the risks of RCS exposure at work. Only a small number of businesses and industry groups argued the existing regulations are adequate to address the need. Stakeholders were supportive of the objectives of government intervention.</w:t>
      </w:r>
    </w:p>
    <w:p w14:paraId="1557C991" w14:textId="12539478" w:rsidR="00012F4A" w:rsidRDefault="00235D9B" w:rsidP="00012F4A">
      <w:pPr>
        <w:pStyle w:val="Heading2"/>
      </w:pPr>
      <w:bookmarkStart w:id="34" w:name="_Toc145573547"/>
      <w:r>
        <w:t>SWA c</w:t>
      </w:r>
      <w:r w:rsidR="00012F4A">
        <w:t xml:space="preserve">onsultation </w:t>
      </w:r>
      <w:r w:rsidR="00A4120E">
        <w:t>on the</w:t>
      </w:r>
      <w:r>
        <w:t xml:space="preserve"> </w:t>
      </w:r>
      <w:r>
        <w:rPr>
          <w:rFonts w:asciiTheme="minorHAnsi" w:eastAsiaTheme="minorEastAsia" w:hAnsiTheme="minorHAnsi" w:cstheme="minorBidi"/>
        </w:rPr>
        <w:t>p</w:t>
      </w:r>
      <w:r w:rsidR="00012F4A" w:rsidRPr="004A57AB">
        <w:rPr>
          <w:rFonts w:asciiTheme="minorHAnsi" w:eastAsiaTheme="minorEastAsia" w:hAnsiTheme="minorHAnsi" w:cstheme="minorBidi"/>
        </w:rPr>
        <w:t>rohibition on the use of engineered stone</w:t>
      </w:r>
      <w:bookmarkEnd w:id="34"/>
    </w:p>
    <w:p w14:paraId="5180EEE2" w14:textId="29687D19" w:rsidR="00012F4A" w:rsidRDefault="00AA0372" w:rsidP="00AA0372">
      <w:pPr>
        <w:pStyle w:val="Body"/>
      </w:pPr>
      <w:r>
        <w:t xml:space="preserve">This </w:t>
      </w:r>
      <w:r w:rsidR="00235D9B">
        <w:t>Prohibition</w:t>
      </w:r>
      <w:r>
        <w:t xml:space="preserve"> Decision RIS was informed by a consultation process that </w:t>
      </w:r>
      <w:r w:rsidR="00235D9B">
        <w:t xml:space="preserve">SWA </w:t>
      </w:r>
      <w:r>
        <w:t>ran from March–April 2023. The Agency sought feedback on a consultation paper outlining 3 options</w:t>
      </w:r>
      <w:r w:rsidR="00235D9B">
        <w:t>, which included:</w:t>
      </w:r>
    </w:p>
    <w:p w14:paraId="3FF0DB2A" w14:textId="16A5CCA8" w:rsidR="0007433D" w:rsidRPr="00765B06" w:rsidRDefault="0007433D" w:rsidP="00765B06">
      <w:pPr>
        <w:pStyle w:val="ListBullet"/>
        <w:rPr>
          <w:color w:val="000000"/>
        </w:rPr>
      </w:pPr>
      <w:r w:rsidRPr="00765B06">
        <w:t xml:space="preserve">Option 1: Prohibition on the use of all engineered stone </w:t>
      </w:r>
    </w:p>
    <w:p w14:paraId="1614A2DE" w14:textId="4BAFA98B" w:rsidR="0007433D" w:rsidRPr="00765B06" w:rsidRDefault="0007433D" w:rsidP="00765B06">
      <w:pPr>
        <w:pStyle w:val="ListBullet"/>
        <w:rPr>
          <w:color w:val="000000"/>
        </w:rPr>
      </w:pPr>
      <w:r w:rsidRPr="00765B06">
        <w:t xml:space="preserve">Option 2: Prohibition on the use of engineered stone containing 40% or more crystalline silica, and </w:t>
      </w:r>
    </w:p>
    <w:p w14:paraId="17533974" w14:textId="6F28BA22" w:rsidR="0007433D" w:rsidRPr="0007433D" w:rsidRDefault="0007433D" w:rsidP="00765B06">
      <w:pPr>
        <w:pStyle w:val="ListBullet"/>
        <w:rPr>
          <w:color w:val="000000"/>
        </w:rPr>
      </w:pPr>
      <w:r w:rsidRPr="00765B06">
        <w:t>Option 3: Prohibition on the use of engineered stone containing 40% or more crystalline silica and licensing of PCBUs working</w:t>
      </w:r>
      <w:r w:rsidRPr="0007433D">
        <w:t xml:space="preserve"> with engineered stone containing less than 40% crystalline silica. </w:t>
      </w:r>
    </w:p>
    <w:p w14:paraId="3CEE0C24" w14:textId="4BA834CE" w:rsidR="00AA0372" w:rsidRPr="00E261BB" w:rsidRDefault="00D92EA4" w:rsidP="00D92EA4">
      <w:pPr>
        <w:pStyle w:val="Body"/>
      </w:pPr>
      <w:r>
        <w:t>The consultation paper asked stakeholders to provide data and evidence to support their preferred options and to inform the impact analysis. Stakeholders were also asked to submit any evidence to support a “threshold” level of crystalline silica below which engineered stone can be worked with safely.</w:t>
      </w:r>
    </w:p>
    <w:p w14:paraId="68922F5E" w14:textId="77777777" w:rsidR="00CD2EC7" w:rsidRDefault="00CD2EC7" w:rsidP="00CD2EC7">
      <w:pPr>
        <w:pStyle w:val="Body"/>
      </w:pPr>
      <w:r>
        <w:t>A total of 114 submissions were received from a range of stakeholders, including:</w:t>
      </w:r>
    </w:p>
    <w:p w14:paraId="4B302109" w14:textId="5263764A" w:rsidR="00CD2EC7" w:rsidRDefault="00CD2EC7" w:rsidP="00CD2EC7">
      <w:pPr>
        <w:pStyle w:val="ListBullet"/>
      </w:pPr>
      <w:r>
        <w:t>PCBUs working with engineered stone (60, including four engineered stone suppliers)</w:t>
      </w:r>
    </w:p>
    <w:p w14:paraId="107021BA" w14:textId="2A03919F" w:rsidR="00CD2EC7" w:rsidRDefault="00CD2EC7" w:rsidP="00CD2EC7">
      <w:pPr>
        <w:pStyle w:val="ListBullet"/>
      </w:pPr>
      <w:r>
        <w:t>other PCBUs, including law firms (11)</w:t>
      </w:r>
    </w:p>
    <w:p w14:paraId="38CA8CAD" w14:textId="330AC524" w:rsidR="00CD2EC7" w:rsidRDefault="00CD2EC7" w:rsidP="00CD2EC7">
      <w:pPr>
        <w:pStyle w:val="ListBullet"/>
      </w:pPr>
      <w:r>
        <w:t>industry groups (8)</w:t>
      </w:r>
    </w:p>
    <w:p w14:paraId="4D8393DA" w14:textId="26C5093C" w:rsidR="00CD2EC7" w:rsidRDefault="00CD2EC7" w:rsidP="00CD2EC7">
      <w:pPr>
        <w:pStyle w:val="ListBullet"/>
      </w:pPr>
      <w:r>
        <w:t>professional organisations and peak health bodies (6)</w:t>
      </w:r>
    </w:p>
    <w:p w14:paraId="4BCBE537" w14:textId="50A6BDE8" w:rsidR="00CD2EC7" w:rsidRDefault="007A0830" w:rsidP="00CD2EC7">
      <w:pPr>
        <w:pStyle w:val="ListBullet"/>
      </w:pPr>
      <w:r>
        <w:t>C</w:t>
      </w:r>
      <w:r w:rsidR="00CD2EC7">
        <w:t>ommonwealth, state and territory government departments and agencies (6)</w:t>
      </w:r>
    </w:p>
    <w:p w14:paraId="682552B5" w14:textId="7E931CD8" w:rsidR="00CD2EC7" w:rsidRDefault="00CD2EC7" w:rsidP="00CD2EC7">
      <w:pPr>
        <w:pStyle w:val="ListBullet"/>
      </w:pPr>
      <w:r>
        <w:t>unions (5), and</w:t>
      </w:r>
    </w:p>
    <w:p w14:paraId="28A52BAD" w14:textId="17B17B03" w:rsidR="00F354CA" w:rsidRPr="00E261BB" w:rsidRDefault="00CD2EC7" w:rsidP="00CD2EC7">
      <w:pPr>
        <w:pStyle w:val="ListBullet"/>
      </w:pPr>
      <w:r>
        <w:t>individuals, including WHS and medical professionals and individuals who work with stone (18).</w:t>
      </w:r>
    </w:p>
    <w:p w14:paraId="06344BF4" w14:textId="6F08D90D" w:rsidR="00675ABD" w:rsidRPr="00E261BB" w:rsidRDefault="00675ABD" w:rsidP="00675ABD">
      <w:pPr>
        <w:pStyle w:val="Body"/>
      </w:pPr>
      <w:r>
        <w:rPr>
          <w:color w:val="252525"/>
        </w:rPr>
        <w:t>The consultation paper sought specific information from businesses working with engineered stone to inform the impact analysis. This included business size, workforce data, revenue and proportion of work carried out with engineered stone (with varying silica content) and natural stone products.</w:t>
      </w:r>
      <w:r w:rsidR="003F675A">
        <w:rPr>
          <w:color w:val="252525"/>
        </w:rPr>
        <w:t xml:space="preserve"> The provided data highlight</w:t>
      </w:r>
      <w:r w:rsidR="00FA4B37">
        <w:rPr>
          <w:color w:val="252525"/>
        </w:rPr>
        <w:t>s</w:t>
      </w:r>
      <w:r w:rsidR="003F675A">
        <w:rPr>
          <w:color w:val="252525"/>
        </w:rPr>
        <w:t xml:space="preserve"> that the vast majority of these PCBUs work with both engineered stone and natural stone, which differs from the assumption made in </w:t>
      </w:r>
      <w:r w:rsidR="00A55FFE">
        <w:rPr>
          <w:color w:val="252525"/>
        </w:rPr>
        <w:t>the</w:t>
      </w:r>
      <w:r w:rsidR="003F675A">
        <w:rPr>
          <w:color w:val="252525"/>
        </w:rPr>
        <w:t xml:space="preserve"> preliminary considerations of the impacts of a prohibition on use of engineered stone in the Silica Decision RIS.</w:t>
      </w:r>
    </w:p>
    <w:p w14:paraId="12D5855A" w14:textId="03389B04" w:rsidR="00E16715" w:rsidRDefault="00E16715" w:rsidP="00E16715">
      <w:pPr>
        <w:pStyle w:val="Heading2"/>
      </w:pPr>
      <w:bookmarkStart w:id="35" w:name="_Toc145573548"/>
      <w:r w:rsidRPr="7612DB8E">
        <w:lastRenderedPageBreak/>
        <w:t xml:space="preserve">Consultation through the </w:t>
      </w:r>
      <w:r>
        <w:t>National Dust Disease Taskforce</w:t>
      </w:r>
      <w:bookmarkEnd w:id="35"/>
      <w:r w:rsidRPr="7612DB8E">
        <w:t xml:space="preserve"> </w:t>
      </w:r>
    </w:p>
    <w:p w14:paraId="24699507" w14:textId="650704FA" w:rsidR="00E16715" w:rsidRDefault="007A0830" w:rsidP="00E16715">
      <w:pPr>
        <w:pStyle w:val="Body"/>
      </w:pPr>
      <w:r>
        <w:t xml:space="preserve">The </w:t>
      </w:r>
      <w:r w:rsidR="00E16715">
        <w:t xml:space="preserve">NDDT undertook a series of consultations from mid-2019 to mid-2021 to seek input from a wide range of stakeholders as part of its work to </w:t>
      </w:r>
      <w:r w:rsidR="00E16715" w:rsidRPr="006D0E8C">
        <w:t>develop a national approach for the prevention, early identification, control, and management of dust diseases in Australia</w:t>
      </w:r>
      <w:r w:rsidR="00E16715">
        <w:t>. There was a high level of similarity and agreement on the issues identified across the various consultation phases. A number of research projects were also conducted into dust diseases in general and silicosis in particular.</w:t>
      </w:r>
    </w:p>
    <w:p w14:paraId="01870464" w14:textId="77777777" w:rsidR="00E16715" w:rsidRPr="00287D89" w:rsidRDefault="00E16715" w:rsidP="00E16715">
      <w:pPr>
        <w:pStyle w:val="Body"/>
      </w:pPr>
      <w:r>
        <w:t xml:space="preserve">Phase 1 of consultation received 69 responses, and 146 individuals attended forums in Adelaide, Brisbane, Canberra, Hobart, Melbourne, Perth and Sydney. The findings of these consultations contributed to the Interim Advice provided to the Minister for Health. </w:t>
      </w:r>
    </w:p>
    <w:p w14:paraId="33C01173" w14:textId="33FEC18C" w:rsidR="00E16715" w:rsidRPr="00287D89" w:rsidRDefault="00E16715" w:rsidP="00E16715">
      <w:pPr>
        <w:pStyle w:val="Body"/>
      </w:pPr>
      <w:r>
        <w:t xml:space="preserve">Phase 2 consultation collected feedback on </w:t>
      </w:r>
      <w:r w:rsidR="00E331F5">
        <w:t>the NDDT’s</w:t>
      </w:r>
      <w:r>
        <w:t xml:space="preserve"> Interim </w:t>
      </w:r>
      <w:r w:rsidR="00755D37">
        <w:t>Report</w:t>
      </w:r>
      <w:r w:rsidR="002B3F7E">
        <w:t xml:space="preserve"> published on </w:t>
      </w:r>
      <w:r w:rsidR="00925A8F">
        <w:t xml:space="preserve">20 </w:t>
      </w:r>
      <w:r w:rsidR="005F596E">
        <w:t>December</w:t>
      </w:r>
      <w:r w:rsidR="00925A8F">
        <w:t xml:space="preserve"> 2019</w:t>
      </w:r>
      <w:r>
        <w:t>, and further investigated a number of key areas identified by the NDDT - 38 stakeholder submissions received, and 11 stakeholder consultations were conducted.</w:t>
      </w:r>
      <w:r w:rsidR="005F596E">
        <w:rPr>
          <w:rStyle w:val="FootnoteReference"/>
        </w:rPr>
        <w:footnoteReference w:id="16"/>
      </w:r>
    </w:p>
    <w:p w14:paraId="6A6A2731" w14:textId="5A9D89F8" w:rsidR="00E16715" w:rsidRDefault="00E16715" w:rsidP="00E16715">
      <w:pPr>
        <w:pStyle w:val="Body"/>
      </w:pPr>
      <w:r>
        <w:t>Consultation on the NDDT’s draft vision, strategies and priority areas for action commenced on 30</w:t>
      </w:r>
      <w:r w:rsidR="001075FF">
        <w:t> </w:t>
      </w:r>
      <w:r>
        <w:t>April</w:t>
      </w:r>
      <w:r w:rsidR="001075FF">
        <w:t> </w:t>
      </w:r>
      <w:r>
        <w:t>2021 with the dissemination of a consultation paper to key stakeholders. There were 22 submissions received from WHS regulators, unions, peak bodies, industry, legal firms, researchers and health agencies.</w:t>
      </w:r>
    </w:p>
    <w:p w14:paraId="056E73E9" w14:textId="77777777" w:rsidR="00E16715" w:rsidRPr="00287D89" w:rsidRDefault="00E16715" w:rsidP="00E16715">
      <w:pPr>
        <w:pStyle w:val="Body"/>
      </w:pPr>
      <w:r>
        <w:t>The NDDT convened a research-focused workshop in November 2019 to identify research needed to better understand and respond to the emergence of silicosis. It brought together leading Australian researchers in the fields of diagnosis and management of silicosis. Workshop participants identified key research areas as epidemiology, prevention, early diagnosis, underlying pathology and management.</w:t>
      </w:r>
    </w:p>
    <w:p w14:paraId="7961590E" w14:textId="62CFDF14" w:rsidR="00E16715" w:rsidRPr="00287D89" w:rsidRDefault="00014679" w:rsidP="00E16715">
      <w:pPr>
        <w:pStyle w:val="Body"/>
      </w:pPr>
      <w:r>
        <w:t xml:space="preserve">The NDDT delivered its final report to the Minister for Health on </w:t>
      </w:r>
      <w:r w:rsidR="002D7CB1">
        <w:t>30 June 2021.</w:t>
      </w:r>
      <w:r w:rsidR="002D7CB1">
        <w:rPr>
          <w:rStyle w:val="FootnoteReference"/>
        </w:rPr>
        <w:footnoteReference w:id="17"/>
      </w:r>
      <w:r w:rsidR="002D7CB1">
        <w:t xml:space="preserve"> </w:t>
      </w:r>
      <w:r w:rsidR="00E16715">
        <w:t xml:space="preserve">The work of the NDDT was assumed into </w:t>
      </w:r>
      <w:r w:rsidR="009E1B69">
        <w:t>SWA’s</w:t>
      </w:r>
      <w:r w:rsidR="00E16715">
        <w:t xml:space="preserve"> Silica De</w:t>
      </w:r>
      <w:r w:rsidR="00E16715" w:rsidRPr="00B17C57">
        <w:t xml:space="preserve">cision RIS and Prohibition Decision RIS. Of particular note is the NDDT’s recommendation </w:t>
      </w:r>
      <w:r w:rsidR="006316DF" w:rsidRPr="00B17C57">
        <w:t>for</w:t>
      </w:r>
      <w:r w:rsidR="00E16715" w:rsidRPr="00B17C57">
        <w:t xml:space="preserve"> an importation prohibition</w:t>
      </w:r>
      <w:r w:rsidR="003D52BF" w:rsidRPr="00B17C57">
        <w:t xml:space="preserve"> </w:t>
      </w:r>
      <w:r w:rsidR="00E16715" w:rsidRPr="00B17C57">
        <w:t>by July</w:t>
      </w:r>
      <w:r w:rsidR="00E16715">
        <w:t xml:space="preserve"> 2024, which was incorporated into the preferred policy option in this IAE. In summarising its consultation, the NDDT noted:</w:t>
      </w:r>
      <w:r w:rsidR="003D378D">
        <w:rPr>
          <w:rStyle w:val="FootnoteReference"/>
        </w:rPr>
        <w:footnoteReference w:id="18"/>
      </w:r>
    </w:p>
    <w:p w14:paraId="26A25CC2" w14:textId="77777777" w:rsidR="00E16715" w:rsidRPr="00012F4A" w:rsidRDefault="00E16715" w:rsidP="004647C2">
      <w:pPr>
        <w:pStyle w:val="Body"/>
        <w:ind w:left="720"/>
      </w:pPr>
      <w:r>
        <w:t>Unions, occupational hygienists, and one medical professional are particularly vocal about the risk of allowing products into the country as importation marks the first tick of approval that the product is fit for handling. Restricted importation and distribution, coupled with enforceable repercussions for misconduct or incompliance would help close the gap on hazardous products making it into the hands of workers.</w:t>
      </w:r>
    </w:p>
    <w:p w14:paraId="07F00B11" w14:textId="194924A1" w:rsidR="008A059F" w:rsidRPr="00C10812" w:rsidRDefault="008A059F" w:rsidP="00BC2D64">
      <w:pPr>
        <w:pStyle w:val="Heading1"/>
        <w:spacing w:before="120" w:after="120" w:line="240" w:lineRule="auto"/>
        <w:rPr>
          <w:rFonts w:asciiTheme="minorHAnsi" w:eastAsiaTheme="minorEastAsia" w:hAnsiTheme="minorHAnsi" w:cstheme="minorBidi"/>
        </w:rPr>
      </w:pPr>
      <w:bookmarkStart w:id="36" w:name="_Toc145573549"/>
      <w:r w:rsidRPr="7612DB8E">
        <w:rPr>
          <w:rFonts w:asciiTheme="minorHAnsi" w:eastAsiaTheme="minorEastAsia" w:hAnsiTheme="minorHAnsi" w:cstheme="minorBidi"/>
        </w:rPr>
        <w:lastRenderedPageBreak/>
        <w:t>6. What is the best option from those you have considered and how will it be implemented?</w:t>
      </w:r>
      <w:bookmarkEnd w:id="36"/>
    </w:p>
    <w:p w14:paraId="52666FB1" w14:textId="62A514F3" w:rsidR="0032218D" w:rsidRPr="00B17C57" w:rsidRDefault="00DD63EB" w:rsidP="00002345">
      <w:pPr>
        <w:pStyle w:val="Body"/>
      </w:pPr>
      <w:r>
        <w:t>A prohibition</w:t>
      </w:r>
      <w:r w:rsidR="0079642B" w:rsidRPr="00766DB2">
        <w:rPr>
          <w:lang w:val="en-GB"/>
        </w:rPr>
        <w:t xml:space="preserve"> on the </w:t>
      </w:r>
      <w:r w:rsidR="0079642B" w:rsidRPr="00B17C57">
        <w:rPr>
          <w:lang w:val="en-GB"/>
        </w:rPr>
        <w:t>use</w:t>
      </w:r>
      <w:r w:rsidR="007A3565" w:rsidRPr="00B17C57">
        <w:rPr>
          <w:lang w:val="en-GB"/>
        </w:rPr>
        <w:t xml:space="preserve"> </w:t>
      </w:r>
      <w:r w:rsidR="0079642B" w:rsidRPr="00B17C57" w:rsidDel="007A3565">
        <w:rPr>
          <w:lang w:val="en-GB"/>
        </w:rPr>
        <w:t>of</w:t>
      </w:r>
      <w:r w:rsidR="0079642B" w:rsidRPr="00B17C57">
        <w:rPr>
          <w:lang w:val="en-GB"/>
        </w:rPr>
        <w:t xml:space="preserve"> engineered stone</w:t>
      </w:r>
      <w:r w:rsidR="0079642B" w:rsidRPr="00B17C57">
        <w:t xml:space="preserve"> </w:t>
      </w:r>
      <w:r w:rsidR="00D90F6F" w:rsidRPr="00B17C57">
        <w:t xml:space="preserve">with complementary </w:t>
      </w:r>
      <w:r w:rsidR="00715861" w:rsidRPr="00B17C57">
        <w:t>border</w:t>
      </w:r>
      <w:r w:rsidR="00D90F6F" w:rsidRPr="00B17C57">
        <w:t xml:space="preserve"> </w:t>
      </w:r>
      <w:r w:rsidR="00715861" w:rsidRPr="00B17C57">
        <w:t>measures</w:t>
      </w:r>
      <w:r w:rsidR="00D90F6F" w:rsidRPr="00B17C57">
        <w:t xml:space="preserve"> </w:t>
      </w:r>
      <w:r w:rsidR="0079642B" w:rsidRPr="00B17C57">
        <w:t>(</w:t>
      </w:r>
      <w:r w:rsidR="009E5B72" w:rsidRPr="00B17C57">
        <w:t>O</w:t>
      </w:r>
      <w:r w:rsidR="0014198E" w:rsidRPr="00B17C57">
        <w:t>ption 2</w:t>
      </w:r>
      <w:r w:rsidR="0079642B" w:rsidRPr="00B17C57">
        <w:t>)</w:t>
      </w:r>
      <w:r w:rsidR="0014198E" w:rsidRPr="00B17C57">
        <w:t xml:space="preserve"> is the best </w:t>
      </w:r>
      <w:r w:rsidR="0015191D" w:rsidRPr="00B17C57">
        <w:t xml:space="preserve">option to </w:t>
      </w:r>
      <w:r w:rsidR="0079642B" w:rsidRPr="00B17C57">
        <w:t xml:space="preserve">address the problem statement and </w:t>
      </w:r>
      <w:r w:rsidR="0037448E" w:rsidRPr="00B17C57">
        <w:t>protect workers from silicosis</w:t>
      </w:r>
      <w:r w:rsidR="006069BA" w:rsidRPr="00B17C57">
        <w:t xml:space="preserve"> and silica-related diseases as a result of exposure to RCS in the engineered stone sector. </w:t>
      </w:r>
    </w:p>
    <w:p w14:paraId="283CF57E" w14:textId="650B36B0" w:rsidR="006D56F2" w:rsidRPr="00B17C57" w:rsidRDefault="00FE5B44" w:rsidP="00002345">
      <w:pPr>
        <w:pStyle w:val="Body"/>
      </w:pPr>
      <w:r w:rsidRPr="00B17C57">
        <w:rPr>
          <w:lang w:val="en-GB"/>
        </w:rPr>
        <w:t>Border measures,</w:t>
      </w:r>
      <w:r w:rsidR="003B3FDC" w:rsidRPr="00B17C57">
        <w:rPr>
          <w:lang w:val="en-GB"/>
        </w:rPr>
        <w:t xml:space="preserve"> such as a customs ban, </w:t>
      </w:r>
      <w:r w:rsidR="00716CD2" w:rsidRPr="00B17C57">
        <w:rPr>
          <w:lang w:val="en-GB"/>
        </w:rPr>
        <w:t xml:space="preserve">would not have significant additional impacts on businesses, workers or the economy because it is </w:t>
      </w:r>
      <w:r w:rsidR="008268E6" w:rsidRPr="00B17C57">
        <w:rPr>
          <w:lang w:val="en-GB"/>
        </w:rPr>
        <w:t>intended to be complementary to</w:t>
      </w:r>
      <w:r w:rsidR="00716CD2" w:rsidRPr="00B17C57">
        <w:rPr>
          <w:lang w:val="en-GB"/>
        </w:rPr>
        <w:t xml:space="preserve"> a prohibition on the use of engineered stone being agreed by WHS</w:t>
      </w:r>
      <w:r w:rsidR="006316DF" w:rsidRPr="00B17C57">
        <w:rPr>
          <w:lang w:val="en-GB"/>
        </w:rPr>
        <w:t xml:space="preserve"> </w:t>
      </w:r>
      <w:r w:rsidR="00716CD2" w:rsidRPr="00B17C57">
        <w:rPr>
          <w:lang w:val="en-GB"/>
        </w:rPr>
        <w:t xml:space="preserve">ministers and adopted into jurisdictional WHS laws. </w:t>
      </w:r>
      <w:r w:rsidR="00716CD2" w:rsidRPr="00B17C57">
        <w:t>Any</w:t>
      </w:r>
      <w:r w:rsidR="006D56F2" w:rsidRPr="00B17C57">
        <w:t xml:space="preserve"> </w:t>
      </w:r>
      <w:r w:rsidR="00821468" w:rsidRPr="00B17C57">
        <w:t>impacts unique to</w:t>
      </w:r>
      <w:r w:rsidR="000711AA" w:rsidRPr="00B17C57">
        <w:t xml:space="preserve"> a</w:t>
      </w:r>
      <w:r w:rsidR="00821468" w:rsidRPr="00B17C57">
        <w:t xml:space="preserve"> </w:t>
      </w:r>
      <w:r w:rsidR="00FA1A4F" w:rsidRPr="00B17C57">
        <w:t>border measures</w:t>
      </w:r>
      <w:r w:rsidR="007A3565" w:rsidRPr="00B17C57">
        <w:t xml:space="preserve"> </w:t>
      </w:r>
      <w:r w:rsidR="00716CD2" w:rsidRPr="00B17C57">
        <w:t>would be</w:t>
      </w:r>
      <w:r w:rsidR="001558C1" w:rsidRPr="00B17C57">
        <w:t xml:space="preserve"> primarily </w:t>
      </w:r>
      <w:r w:rsidR="00136436" w:rsidRPr="00B17C57">
        <w:t xml:space="preserve">felt by the Commonwealth Government, which is responsible for </w:t>
      </w:r>
      <w:r w:rsidR="00481ECF" w:rsidRPr="00B17C57">
        <w:t>customs compliance and enforcement. There may be minor impacts on importers and their associated supply chain</w:t>
      </w:r>
      <w:r w:rsidR="00CA0F13" w:rsidRPr="00B17C57">
        <w:t>s</w:t>
      </w:r>
      <w:r w:rsidR="008354AC" w:rsidRPr="00B17C57">
        <w:t xml:space="preserve"> when suspected engineered goods are held </w:t>
      </w:r>
      <w:r w:rsidR="00BE40E9" w:rsidRPr="00B17C57">
        <w:t>at</w:t>
      </w:r>
      <w:r w:rsidR="008354AC" w:rsidRPr="00B17C57">
        <w:t xml:space="preserve"> </w:t>
      </w:r>
      <w:r w:rsidR="00E22310" w:rsidRPr="00B17C57">
        <w:t>the border</w:t>
      </w:r>
      <w:r w:rsidR="008354AC" w:rsidRPr="00B17C57">
        <w:t>. However,</w:t>
      </w:r>
      <w:r w:rsidR="00A45722" w:rsidRPr="00B17C57">
        <w:t xml:space="preserve"> these impacts </w:t>
      </w:r>
      <w:r w:rsidR="006172EC" w:rsidRPr="00B17C57">
        <w:t xml:space="preserve">are outweighed by the benefits that the assurance complementary </w:t>
      </w:r>
      <w:r w:rsidR="00FA1A4F" w:rsidRPr="00B17C57">
        <w:t>border measures</w:t>
      </w:r>
      <w:r w:rsidR="00174D09" w:rsidRPr="00B17C57">
        <w:t xml:space="preserve"> </w:t>
      </w:r>
      <w:r w:rsidR="005B594B" w:rsidRPr="00B17C57">
        <w:t>ban</w:t>
      </w:r>
      <w:r w:rsidR="00174D09" w:rsidRPr="00B17C57">
        <w:t xml:space="preserve"> </w:t>
      </w:r>
      <w:r w:rsidR="006172EC" w:rsidRPr="00B17C57">
        <w:t xml:space="preserve">will have. </w:t>
      </w:r>
    </w:p>
    <w:p w14:paraId="52B4FD01" w14:textId="2EC67C04" w:rsidR="00353222" w:rsidRDefault="00353222" w:rsidP="00002345">
      <w:pPr>
        <w:pStyle w:val="Body"/>
      </w:pPr>
      <w:r w:rsidRPr="00B17C57" w:rsidDel="001C1A2B">
        <w:t xml:space="preserve">This </w:t>
      </w:r>
      <w:r w:rsidR="004F4064" w:rsidRPr="00B17C57">
        <w:t xml:space="preserve">IAE assumes </w:t>
      </w:r>
      <w:r w:rsidR="005B594B" w:rsidRPr="00B17C57">
        <w:t>any complementary border arrangements</w:t>
      </w:r>
      <w:r w:rsidR="00DE2F43" w:rsidRPr="00B17C57">
        <w:t xml:space="preserve"> </w:t>
      </w:r>
      <w:r w:rsidRPr="00B17C57">
        <w:t xml:space="preserve">would be implemented </w:t>
      </w:r>
      <w:r w:rsidR="006316DF" w:rsidRPr="00B17C57">
        <w:t>similarly</w:t>
      </w:r>
      <w:r w:rsidRPr="00B17C57">
        <w:t xml:space="preserve"> to</w:t>
      </w:r>
      <w:r w:rsidR="006316DF" w:rsidRPr="00B17C57">
        <w:t xml:space="preserve"> </w:t>
      </w:r>
      <w:r w:rsidR="005B43D7" w:rsidRPr="00B17C57">
        <w:t xml:space="preserve">how the </w:t>
      </w:r>
      <w:r w:rsidR="00473997" w:rsidRPr="00B17C57">
        <w:t>arrangements for</w:t>
      </w:r>
      <w:r w:rsidRPr="00B17C57">
        <w:t xml:space="preserve"> asbestos, </w:t>
      </w:r>
      <w:r w:rsidR="00A028D3" w:rsidRPr="00B17C57">
        <w:t xml:space="preserve">via </w:t>
      </w:r>
      <w:r w:rsidR="00B771A4" w:rsidRPr="00B17C57">
        <w:t>amendments</w:t>
      </w:r>
      <w:r w:rsidRPr="00B17C57">
        <w:t xml:space="preserve"> to the </w:t>
      </w:r>
      <w:r w:rsidRPr="00B17C57">
        <w:rPr>
          <w:i/>
        </w:rPr>
        <w:t>Customs (Prohibited Imports) Regulations 1956</w:t>
      </w:r>
      <w:r w:rsidRPr="00B17C57">
        <w:t> (the Prohibited Imports Regulations). Consideration would need to be given to the need for any necessary exemptions</w:t>
      </w:r>
      <w:r w:rsidR="003626F3" w:rsidRPr="00B17C57">
        <w:t>.</w:t>
      </w:r>
      <w:r w:rsidR="00A028D3" w:rsidRPr="00B17C57">
        <w:t xml:space="preserve"> </w:t>
      </w:r>
      <w:r w:rsidR="003626F3" w:rsidRPr="00B17C57">
        <w:t>F</w:t>
      </w:r>
      <w:r w:rsidR="00A028D3" w:rsidRPr="00B17C57">
        <w:t xml:space="preserve">or </w:t>
      </w:r>
      <w:r w:rsidR="00A028D3" w:rsidRPr="00B17C57" w:rsidDel="007C44E1">
        <w:t>instance,</w:t>
      </w:r>
      <w:r w:rsidRPr="00B17C57" w:rsidDel="007C44E1">
        <w:t xml:space="preserve"> </w:t>
      </w:r>
      <w:r w:rsidR="007C44E1" w:rsidRPr="00B17C57">
        <w:t>asbestos</w:t>
      </w:r>
      <w:r w:rsidRPr="00B17C57">
        <w:t xml:space="preserve"> exemptions include a permit system administered by </w:t>
      </w:r>
      <w:r w:rsidR="001C2746" w:rsidRPr="00B17C57">
        <w:t>the Asbestos Safety and Eradication Agency</w:t>
      </w:r>
      <w:r w:rsidRPr="00B17C57">
        <w:t xml:space="preserve"> for research, analysis or display purposes. </w:t>
      </w:r>
      <w:r w:rsidR="00C71A73" w:rsidRPr="00B17C57">
        <w:t xml:space="preserve">To give effect to the </w:t>
      </w:r>
      <w:r w:rsidR="00805D72" w:rsidRPr="00B17C57">
        <w:t xml:space="preserve">any complementary </w:t>
      </w:r>
      <w:r w:rsidR="000949C2" w:rsidRPr="00B17C57">
        <w:t>border measures</w:t>
      </w:r>
      <w:r w:rsidR="003626F3" w:rsidRPr="00B17C57">
        <w:t>,</w:t>
      </w:r>
      <w:r w:rsidR="00805D72" w:rsidRPr="00B17C57">
        <w:t xml:space="preserve"> such as a customs ban,</w:t>
      </w:r>
      <w:r w:rsidR="0075126C" w:rsidRPr="00B17C57" w:rsidDel="0075126C">
        <w:t xml:space="preserve"> </w:t>
      </w:r>
      <w:r w:rsidRPr="00B17C57">
        <w:t>ABF would establish a risk-based framework to monitor and enforce compliance at the border. ABF</w:t>
      </w:r>
      <w:r w:rsidRPr="00907593">
        <w:t xml:space="preserve"> advise</w:t>
      </w:r>
      <w:r w:rsidR="0089214D" w:rsidRPr="00907593">
        <w:t>d the Department</w:t>
      </w:r>
      <w:r w:rsidRPr="00907593">
        <w:t xml:space="preserve"> </w:t>
      </w:r>
      <w:r w:rsidR="0089214D" w:rsidRPr="00907593">
        <w:t xml:space="preserve">that </w:t>
      </w:r>
      <w:r w:rsidRPr="00907593">
        <w:t xml:space="preserve">consideration may need to be </w:t>
      </w:r>
      <w:r w:rsidR="00744E98" w:rsidRPr="00907593">
        <w:t xml:space="preserve">given </w:t>
      </w:r>
      <w:r w:rsidRPr="00907593">
        <w:t>to developing a testing standard, noting however that SWA's us</w:t>
      </w:r>
      <w:r w:rsidR="00074EED" w:rsidRPr="00907593">
        <w:t>e</w:t>
      </w:r>
      <w:r w:rsidRPr="00907593">
        <w:t xml:space="preserve"> prohibition did not contemplate a testing standard to assist enforcement of the use prohibition.</w:t>
      </w:r>
      <w:r w:rsidRPr="004647C2">
        <w:t xml:space="preserve"> </w:t>
      </w:r>
    </w:p>
    <w:p w14:paraId="25D5E91F" w14:textId="6C3634F9" w:rsidR="00B9055C" w:rsidRDefault="00B9055C" w:rsidP="00002345">
      <w:pPr>
        <w:pStyle w:val="Body"/>
        <w:rPr>
          <w:color w:val="252525"/>
        </w:rPr>
      </w:pPr>
      <w:r>
        <w:t xml:space="preserve">To give effect to </w:t>
      </w:r>
      <w:r w:rsidR="00457599">
        <w:t xml:space="preserve">the prohibition on the use of engineered stone in </w:t>
      </w:r>
      <w:r w:rsidR="00880516">
        <w:t>O</w:t>
      </w:r>
      <w:r>
        <w:t>ption 2</w:t>
      </w:r>
      <w:r w:rsidR="0037018C">
        <w:t>,</w:t>
      </w:r>
      <w:r>
        <w:t xml:space="preserve"> </w:t>
      </w:r>
      <w:r>
        <w:rPr>
          <w:color w:val="252525"/>
        </w:rPr>
        <w:t xml:space="preserve">the model WHS Regulations </w:t>
      </w:r>
      <w:r w:rsidR="00F27418">
        <w:rPr>
          <w:color w:val="252525"/>
        </w:rPr>
        <w:t xml:space="preserve">would </w:t>
      </w:r>
      <w:r>
        <w:rPr>
          <w:color w:val="252525"/>
        </w:rPr>
        <w:t>be amended to introduce a prohibition on the use of all engineered stone, with exemptions for certain work on previously installed stone.</w:t>
      </w:r>
      <w:r w:rsidR="00457599">
        <w:rPr>
          <w:color w:val="252525"/>
        </w:rPr>
        <w:t xml:space="preserve"> For the amendments to the model WHS Regulations to apply, each jurisdiction will need to implement them separately through amendments to their jurisdictional WHS Regulations.</w:t>
      </w:r>
      <w:r w:rsidR="0072093C">
        <w:rPr>
          <w:color w:val="252525"/>
        </w:rPr>
        <w:t xml:space="preserve"> To avoid asynchronous implementation of the changes across jurisdictions</w:t>
      </w:r>
      <w:r w:rsidR="00EC3A4D">
        <w:rPr>
          <w:color w:val="252525"/>
        </w:rPr>
        <w:t xml:space="preserve"> a date of implementation will </w:t>
      </w:r>
      <w:r w:rsidR="003626F3">
        <w:rPr>
          <w:color w:val="252525"/>
        </w:rPr>
        <w:t xml:space="preserve">need to </w:t>
      </w:r>
      <w:r w:rsidR="00EC3A4D">
        <w:rPr>
          <w:color w:val="252525"/>
        </w:rPr>
        <w:t>be considered.</w:t>
      </w:r>
    </w:p>
    <w:p w14:paraId="2EDB17F1" w14:textId="427E7F08" w:rsidR="004B6FB1" w:rsidRPr="00907593" w:rsidRDefault="001B7F0F" w:rsidP="00002345">
      <w:pPr>
        <w:pStyle w:val="Body"/>
        <w:rPr>
          <w:color w:val="252525"/>
        </w:rPr>
      </w:pPr>
      <w:r w:rsidRPr="008E45ED">
        <w:rPr>
          <w:color w:val="252525"/>
        </w:rPr>
        <w:t xml:space="preserve">SWA </w:t>
      </w:r>
      <w:r w:rsidR="008718C0">
        <w:rPr>
          <w:color w:val="252525"/>
        </w:rPr>
        <w:t>would</w:t>
      </w:r>
      <w:r w:rsidRPr="008E45ED">
        <w:rPr>
          <w:color w:val="252525"/>
        </w:rPr>
        <w:t xml:space="preserve"> develop</w:t>
      </w:r>
      <w:r>
        <w:rPr>
          <w:color w:val="252525"/>
        </w:rPr>
        <w:t xml:space="preserve"> </w:t>
      </w:r>
      <w:r w:rsidRPr="008E45ED">
        <w:rPr>
          <w:color w:val="252525"/>
        </w:rPr>
        <w:t>c</w:t>
      </w:r>
      <w:r w:rsidR="004B6FB1" w:rsidRPr="008E45ED">
        <w:rPr>
          <w:color w:val="252525"/>
        </w:rPr>
        <w:t>ommunications</w:t>
      </w:r>
      <w:r w:rsidR="004B6FB1">
        <w:rPr>
          <w:color w:val="252525"/>
        </w:rPr>
        <w:t xml:space="preserve"> and guidance materials to assist stakeholders to understand how the amendments to the model WHS Regulations affect them. These materials could be developed prior to the amendments being finalised, to assist stakeholders in their preparations.</w:t>
      </w:r>
      <w:r w:rsidR="00346136">
        <w:rPr>
          <w:color w:val="252525"/>
        </w:rPr>
        <w:t xml:space="preserve"> </w:t>
      </w:r>
      <w:r w:rsidR="008711F5" w:rsidRPr="008E45ED">
        <w:rPr>
          <w:color w:val="252525"/>
        </w:rPr>
        <w:t xml:space="preserve">Post-commencement, </w:t>
      </w:r>
      <w:r w:rsidRPr="008E45ED">
        <w:rPr>
          <w:color w:val="252525"/>
        </w:rPr>
        <w:t xml:space="preserve">SWA </w:t>
      </w:r>
      <w:r w:rsidR="001C0B25">
        <w:rPr>
          <w:color w:val="252525"/>
        </w:rPr>
        <w:t>would</w:t>
      </w:r>
      <w:r w:rsidRPr="008E45ED">
        <w:rPr>
          <w:color w:val="252525"/>
        </w:rPr>
        <w:t xml:space="preserve"> monitor emerging engineered stone-like products and make recommendations to WHS Ministers on effective ways to manage these risks. This </w:t>
      </w:r>
      <w:r w:rsidR="001C0B25">
        <w:rPr>
          <w:color w:val="252525"/>
        </w:rPr>
        <w:t>would</w:t>
      </w:r>
      <w:r w:rsidRPr="008E45ED">
        <w:rPr>
          <w:color w:val="252525"/>
        </w:rPr>
        <w:t xml:space="preserve"> be undertaken as part of SWA’s broader functions in monitoring and evaluating the model WHS laws and facilitating WHS compliance.</w:t>
      </w:r>
      <w:r w:rsidR="005F596E" w:rsidRPr="008E45ED">
        <w:rPr>
          <w:color w:val="252525"/>
        </w:rPr>
        <w:t xml:space="preserve"> </w:t>
      </w:r>
      <w:r w:rsidR="008711F5" w:rsidRPr="00907593">
        <w:rPr>
          <w:color w:val="252525"/>
        </w:rPr>
        <w:t>The</w:t>
      </w:r>
      <w:r w:rsidR="00346136" w:rsidRPr="00907593">
        <w:rPr>
          <w:color w:val="252525"/>
        </w:rPr>
        <w:t xml:space="preserve"> Commonwealth </w:t>
      </w:r>
      <w:r w:rsidR="008711F5" w:rsidRPr="00907593">
        <w:rPr>
          <w:color w:val="252525"/>
        </w:rPr>
        <w:t xml:space="preserve">may be able </w:t>
      </w:r>
      <w:r w:rsidR="00346136" w:rsidRPr="00907593">
        <w:rPr>
          <w:color w:val="252525"/>
        </w:rPr>
        <w:t xml:space="preserve">to support coordination and monitoring activities through the proposed expanded role of the Asbestos Safety and Eradication Agency set out in the </w:t>
      </w:r>
      <w:r w:rsidR="007D22F0" w:rsidRPr="00907593">
        <w:rPr>
          <w:color w:val="252525"/>
        </w:rPr>
        <w:t>Fair Work Legislation Amendment (Closing Loopholes) Bill 2023</w:t>
      </w:r>
      <w:r w:rsidR="003626F3">
        <w:rPr>
          <w:color w:val="252525"/>
        </w:rPr>
        <w:t>,</w:t>
      </w:r>
      <w:r w:rsidR="007D22F0" w:rsidRPr="00907593">
        <w:rPr>
          <w:color w:val="252525"/>
        </w:rPr>
        <w:t xml:space="preserve"> </w:t>
      </w:r>
      <w:r w:rsidR="00346136" w:rsidRPr="00907593">
        <w:rPr>
          <w:color w:val="252525"/>
        </w:rPr>
        <w:t>currently before the Parliament. The Bill seeks to expand the Agency’s functions to monitor and report on jurisdictional activities in relation to silica and to support national education and awareness-raising activities.</w:t>
      </w:r>
      <w:r w:rsidR="001F685C" w:rsidRPr="00907593">
        <w:rPr>
          <w:color w:val="252525"/>
        </w:rPr>
        <w:t xml:space="preserve"> </w:t>
      </w:r>
    </w:p>
    <w:p w14:paraId="0335E8AF" w14:textId="77777777" w:rsidR="008A059F" w:rsidRPr="00C10812" w:rsidRDefault="008A059F" w:rsidP="004D6AAF">
      <w:pPr>
        <w:pStyle w:val="Heading1"/>
        <w:spacing w:before="120" w:after="120" w:line="240" w:lineRule="auto"/>
        <w:rPr>
          <w:rFonts w:asciiTheme="minorHAnsi" w:eastAsiaTheme="minorEastAsia" w:hAnsiTheme="minorHAnsi" w:cstheme="minorBidi"/>
        </w:rPr>
      </w:pPr>
      <w:bookmarkStart w:id="37" w:name="_Toc145573550"/>
      <w:r w:rsidRPr="00907593">
        <w:rPr>
          <w:rFonts w:asciiTheme="minorHAnsi" w:eastAsiaTheme="minorEastAsia" w:hAnsiTheme="minorHAnsi" w:cstheme="minorBidi"/>
        </w:rPr>
        <w:lastRenderedPageBreak/>
        <w:t>7.  How will you evaluate your chosen option against the success metrics?</w:t>
      </w:r>
      <w:bookmarkEnd w:id="37"/>
    </w:p>
    <w:p w14:paraId="1ACA16B6" w14:textId="6709BC7E" w:rsidR="000F3DEA" w:rsidRDefault="001E6F0E" w:rsidP="001E6F0E">
      <w:pPr>
        <w:pStyle w:val="Heading2"/>
      </w:pPr>
      <w:bookmarkStart w:id="38" w:name="_Toc145573551"/>
      <w:r>
        <w:t>Reducing exposure to RCS in engineered stone workers</w:t>
      </w:r>
      <w:bookmarkEnd w:id="38"/>
    </w:p>
    <w:p w14:paraId="06586368" w14:textId="5245DF30" w:rsidR="001E6F0E" w:rsidRDefault="00BF3071" w:rsidP="00BF3071">
      <w:pPr>
        <w:pStyle w:val="Body"/>
      </w:pPr>
      <w:r>
        <w:t>Following the decision by WHS ministers in February 2023 to introduce additional regulations of high</w:t>
      </w:r>
      <w:r w:rsidR="009812A1">
        <w:t>-risk</w:t>
      </w:r>
      <w:r>
        <w:t xml:space="preserve"> crystalline silica processes, including requirements for air and health monitoring, RCS exposures in these workers will be measured by reviewing the air and health monitoring data provided to WHS regulators. RCS exposures in these workers will also be measured by reviewing relevant jurisdictional compliance and enforcement data.</w:t>
      </w:r>
    </w:p>
    <w:p w14:paraId="3AAE9044" w14:textId="4A81BC20" w:rsidR="00BF3071" w:rsidRDefault="00BF3071" w:rsidP="00C40A67">
      <w:pPr>
        <w:pStyle w:val="Heading2"/>
      </w:pPr>
      <w:bookmarkStart w:id="39" w:name="_Toc145573552"/>
      <w:r>
        <w:t>Silicosis cases</w:t>
      </w:r>
      <w:bookmarkEnd w:id="39"/>
    </w:p>
    <w:p w14:paraId="022760B9" w14:textId="138EE129" w:rsidR="00C40A67" w:rsidRPr="00C40A67" w:rsidRDefault="00CD6C5A" w:rsidP="00CD6C5A">
      <w:pPr>
        <w:pStyle w:val="Body"/>
      </w:pPr>
      <w:r>
        <w:t>Currently, there are several data sources for silicosis cases – accepted workers’ compensation claims, jurisdictional health screening programs, and state-based dust disease registers. These will continue to be monitored to evaluate the impact of the preferred option on reducing silicosis cases. Once</w:t>
      </w:r>
      <w:r w:rsidR="00407741" w:rsidRPr="00407741">
        <w:t xml:space="preserve"> </w:t>
      </w:r>
      <w:r w:rsidR="00407741">
        <w:t>operational, the National Occupational Respiratory Disease Register, which will mandate the reporting of all diagnosed silicosis cases in Australia, will be relied upon in place of the state dust disease registries.</w:t>
      </w:r>
    </w:p>
    <w:p w14:paraId="3985F9FD" w14:textId="423859C3" w:rsidR="00BF3071" w:rsidRPr="001E6F0E" w:rsidRDefault="00C40A67" w:rsidP="00C40A67">
      <w:pPr>
        <w:pStyle w:val="Heading2"/>
      </w:pPr>
      <w:bookmarkStart w:id="40" w:name="_Toc145573553"/>
      <w:r>
        <w:t>Continued review of emerging products</w:t>
      </w:r>
      <w:bookmarkEnd w:id="40"/>
    </w:p>
    <w:p w14:paraId="727CB9E6" w14:textId="6BAAA7B0" w:rsidR="00E20498" w:rsidRPr="00053011" w:rsidRDefault="00CB071C" w:rsidP="00E20498">
      <w:pPr>
        <w:pStyle w:val="Body"/>
      </w:pPr>
      <w:r>
        <w:t>SWA</w:t>
      </w:r>
      <w:r w:rsidR="00C96C6A" w:rsidRPr="00C96C6A">
        <w:t xml:space="preserve"> will continue to review and assess the risk profile of emerging products. This includes products not currently covered by the definition of engineered stone, such as porcelain, ceramic, and engineered stone-like products that contain amorphous silica (recycled glass), feldspar or other products in place of crystalline silica. As appropriate, </w:t>
      </w:r>
      <w:r w:rsidR="005302A2">
        <w:t>SWA</w:t>
      </w:r>
      <w:r w:rsidR="00C96C6A" w:rsidRPr="00C96C6A">
        <w:t xml:space="preserve"> will make recommendations to WHS </w:t>
      </w:r>
      <w:r w:rsidR="004D6AAF">
        <w:t>M</w:t>
      </w:r>
      <w:r w:rsidR="00C96C6A" w:rsidRPr="00C96C6A">
        <w:t>inisters</w:t>
      </w:r>
      <w:r w:rsidR="00C96C6A" w:rsidRPr="00053011">
        <w:t xml:space="preserve"> on effective ways to manage risks posed by these products.</w:t>
      </w:r>
    </w:p>
    <w:p w14:paraId="55D0E344" w14:textId="52BA815D" w:rsidR="0042711E" w:rsidRPr="00053011" w:rsidRDefault="0042711E" w:rsidP="0042711E">
      <w:pPr>
        <w:pStyle w:val="Heading2"/>
      </w:pPr>
      <w:bookmarkStart w:id="41" w:name="_Toc145573554"/>
      <w:r w:rsidRPr="00053011">
        <w:t>Customs and imports</w:t>
      </w:r>
      <w:bookmarkEnd w:id="41"/>
    </w:p>
    <w:p w14:paraId="2390E41C" w14:textId="65EE9788" w:rsidR="0042711E" w:rsidRDefault="005302A2" w:rsidP="00C96C6A">
      <w:pPr>
        <w:pStyle w:val="Body"/>
      </w:pPr>
      <w:r w:rsidRPr="00053011">
        <w:t>ABF</w:t>
      </w:r>
      <w:r w:rsidR="004466AA" w:rsidRPr="00053011">
        <w:t xml:space="preserve"> import data can appraise Government of the </w:t>
      </w:r>
      <w:r w:rsidR="00287DB7" w:rsidRPr="00053011">
        <w:t xml:space="preserve">extent to which importers are attempting to </w:t>
      </w:r>
      <w:r w:rsidR="008E5E8D" w:rsidRPr="00053011">
        <w:t xml:space="preserve">import engineered stone products after their prohibition. </w:t>
      </w:r>
      <w:r w:rsidR="00041015" w:rsidRPr="00053011">
        <w:t xml:space="preserve">Where appropriate, this data could be used </w:t>
      </w:r>
      <w:r w:rsidR="003D1ABF" w:rsidRPr="00053011">
        <w:t xml:space="preserve">to </w:t>
      </w:r>
      <w:r w:rsidR="00ED6ABF" w:rsidRPr="00053011">
        <w:t xml:space="preserve">measure import trends and </w:t>
      </w:r>
      <w:r w:rsidR="0060306B" w:rsidRPr="00053011">
        <w:t>provide information</w:t>
      </w:r>
      <w:r w:rsidR="0060306B">
        <w:t xml:space="preserve"> to state and territory regulators if required. </w:t>
      </w:r>
    </w:p>
    <w:p w14:paraId="127CC12A" w14:textId="77777777" w:rsidR="00135BBD" w:rsidRDefault="00135BBD">
      <w:pPr>
        <w:rPr>
          <w:rFonts w:ascii="Calibri" w:eastAsiaTheme="majorEastAsia" w:hAnsi="Calibri" w:cstheme="majorBidi"/>
          <w:b/>
          <w:color w:val="404246"/>
          <w:sz w:val="32"/>
          <w:szCs w:val="32"/>
          <w:lang w:val="en-AU"/>
        </w:rPr>
      </w:pPr>
      <w:r>
        <w:br w:type="page"/>
      </w:r>
    </w:p>
    <w:p w14:paraId="29D5839A" w14:textId="0BA50428" w:rsidR="00D13C9C" w:rsidRPr="00D7184C" w:rsidRDefault="005F596E" w:rsidP="004647C2">
      <w:pPr>
        <w:pStyle w:val="Heading1"/>
        <w:jc w:val="right"/>
      </w:pPr>
      <w:bookmarkStart w:id="42" w:name="_Toc145573555"/>
      <w:r w:rsidRPr="00D7184C">
        <w:lastRenderedPageBreak/>
        <w:t>Appendix</w:t>
      </w:r>
      <w:r>
        <w:t xml:space="preserve"> </w:t>
      </w:r>
      <w:r w:rsidR="0055292F" w:rsidRPr="00D7184C">
        <w:t>A</w:t>
      </w:r>
      <w:bookmarkEnd w:id="42"/>
    </w:p>
    <w:p w14:paraId="6C6FC4FD" w14:textId="6B52A741" w:rsidR="00D13C9C" w:rsidRPr="0070628C" w:rsidRDefault="002815DC" w:rsidP="004647C2">
      <w:pPr>
        <w:pStyle w:val="Heading2"/>
      </w:pPr>
      <w:bookmarkStart w:id="43" w:name="_Toc145573556"/>
      <w:r>
        <w:t>Options</w:t>
      </w:r>
      <w:r w:rsidR="00D13C9C" w:rsidRPr="0070628C">
        <w:t xml:space="preserve"> from the Decision</w:t>
      </w:r>
      <w:r w:rsidR="0070628C" w:rsidRPr="0070628C">
        <w:t xml:space="preserve"> Regulation Impact Statement: Managing the risks of </w:t>
      </w:r>
      <w:r w:rsidR="0070628C">
        <w:t>respirable crystalline silica at work</w:t>
      </w:r>
      <w:bookmarkEnd w:id="43"/>
    </w:p>
    <w:p w14:paraId="7609D638" w14:textId="77777777" w:rsidR="00D13C9C" w:rsidRDefault="00D13C9C" w:rsidP="008202AE">
      <w:pPr>
        <w:rPr>
          <w:rFonts w:eastAsiaTheme="minorEastAsia"/>
          <w:b/>
          <w:bCs/>
          <w:u w:val="single"/>
        </w:rPr>
      </w:pPr>
    </w:p>
    <w:tbl>
      <w:tblPr>
        <w:tblStyle w:val="TableGrid"/>
        <w:tblW w:w="0" w:type="auto"/>
        <w:tblLook w:val="04A0" w:firstRow="1" w:lastRow="0" w:firstColumn="1" w:lastColumn="0" w:noHBand="0" w:noVBand="1"/>
      </w:tblPr>
      <w:tblGrid>
        <w:gridCol w:w="1271"/>
        <w:gridCol w:w="7745"/>
      </w:tblGrid>
      <w:tr w:rsidR="00714906" w14:paraId="0450CAB9" w14:textId="77777777" w:rsidTr="00853F6B">
        <w:tc>
          <w:tcPr>
            <w:tcW w:w="1271" w:type="dxa"/>
          </w:tcPr>
          <w:p w14:paraId="7E5834CA" w14:textId="63ED244D" w:rsidR="00714906" w:rsidRDefault="00714906" w:rsidP="008202AE">
            <w:pPr>
              <w:rPr>
                <w:rFonts w:eastAsiaTheme="minorEastAsia"/>
              </w:rPr>
            </w:pPr>
            <w:r>
              <w:rPr>
                <w:rFonts w:eastAsiaTheme="minorEastAsia"/>
              </w:rPr>
              <w:t>Option 1</w:t>
            </w:r>
          </w:p>
        </w:tc>
        <w:tc>
          <w:tcPr>
            <w:tcW w:w="7745" w:type="dxa"/>
          </w:tcPr>
          <w:p w14:paraId="18EE2D69" w14:textId="092E4E5C" w:rsidR="00714906" w:rsidRDefault="00714906" w:rsidP="008202AE">
            <w:pPr>
              <w:rPr>
                <w:rFonts w:eastAsiaTheme="minorEastAsia"/>
              </w:rPr>
            </w:pPr>
            <w:r>
              <w:rPr>
                <w:rFonts w:eastAsiaTheme="minorEastAsia"/>
              </w:rPr>
              <w:t>Base Case</w:t>
            </w:r>
          </w:p>
        </w:tc>
      </w:tr>
      <w:tr w:rsidR="00714906" w14:paraId="33E32462" w14:textId="77777777" w:rsidTr="00853F6B">
        <w:tc>
          <w:tcPr>
            <w:tcW w:w="1271" w:type="dxa"/>
          </w:tcPr>
          <w:p w14:paraId="2A7DC9D0" w14:textId="5F4485FA" w:rsidR="00714906" w:rsidRDefault="00714906" w:rsidP="008202AE">
            <w:pPr>
              <w:rPr>
                <w:rFonts w:eastAsiaTheme="minorEastAsia"/>
              </w:rPr>
            </w:pPr>
            <w:r>
              <w:rPr>
                <w:rFonts w:eastAsiaTheme="minorEastAsia"/>
              </w:rPr>
              <w:t>Option 2</w:t>
            </w:r>
          </w:p>
        </w:tc>
        <w:tc>
          <w:tcPr>
            <w:tcW w:w="7745" w:type="dxa"/>
          </w:tcPr>
          <w:p w14:paraId="36B409A7" w14:textId="2C10CBF5" w:rsidR="00714906" w:rsidRDefault="00714906" w:rsidP="008202AE">
            <w:pPr>
              <w:rPr>
                <w:rFonts w:eastAsiaTheme="minorEastAsia"/>
              </w:rPr>
            </w:pPr>
            <w:r w:rsidRPr="00556D7F">
              <w:rPr>
                <w:rFonts w:eastAsiaTheme="minorEastAsia"/>
              </w:rPr>
              <w:t>National awareness and behaviour change initiatives</w:t>
            </w:r>
          </w:p>
        </w:tc>
      </w:tr>
      <w:tr w:rsidR="00714906" w14:paraId="1F97D41A" w14:textId="77777777" w:rsidTr="00853F6B">
        <w:tc>
          <w:tcPr>
            <w:tcW w:w="1271" w:type="dxa"/>
          </w:tcPr>
          <w:p w14:paraId="2BF79FD7" w14:textId="6040F61F" w:rsidR="00714906" w:rsidRDefault="00025903" w:rsidP="008202AE">
            <w:pPr>
              <w:rPr>
                <w:rFonts w:eastAsiaTheme="minorEastAsia"/>
              </w:rPr>
            </w:pPr>
            <w:r>
              <w:rPr>
                <w:rFonts w:eastAsiaTheme="minorEastAsia"/>
              </w:rPr>
              <w:t>Option 4</w:t>
            </w:r>
            <w:r w:rsidR="00853F6B">
              <w:rPr>
                <w:rFonts w:eastAsiaTheme="minorEastAsia"/>
              </w:rPr>
              <w:t>*</w:t>
            </w:r>
          </w:p>
        </w:tc>
        <w:tc>
          <w:tcPr>
            <w:tcW w:w="7745" w:type="dxa"/>
          </w:tcPr>
          <w:p w14:paraId="55BBC595" w14:textId="0CBDD280" w:rsidR="00714906" w:rsidRDefault="00025903" w:rsidP="008202AE">
            <w:pPr>
              <w:rPr>
                <w:rFonts w:eastAsiaTheme="minorEastAsia"/>
              </w:rPr>
            </w:pPr>
            <w:r w:rsidRPr="00556D7F">
              <w:rPr>
                <w:rFonts w:eastAsiaTheme="minorEastAsia"/>
              </w:rPr>
              <w:t>National licensing framework for PCBUs working with engineered stone</w:t>
            </w:r>
          </w:p>
        </w:tc>
      </w:tr>
      <w:tr w:rsidR="00714906" w14:paraId="29CE0FA0" w14:textId="77777777" w:rsidTr="00853F6B">
        <w:tc>
          <w:tcPr>
            <w:tcW w:w="1271" w:type="dxa"/>
          </w:tcPr>
          <w:p w14:paraId="1EB09D4C" w14:textId="6C95A14D" w:rsidR="00714906" w:rsidRDefault="00853F6B" w:rsidP="008202AE">
            <w:pPr>
              <w:rPr>
                <w:rFonts w:eastAsiaTheme="minorEastAsia"/>
              </w:rPr>
            </w:pPr>
            <w:r w:rsidRPr="00556D7F">
              <w:rPr>
                <w:rFonts w:eastAsiaTheme="minorEastAsia"/>
              </w:rPr>
              <w:t>Option 5a</w:t>
            </w:r>
          </w:p>
        </w:tc>
        <w:tc>
          <w:tcPr>
            <w:tcW w:w="7745" w:type="dxa"/>
          </w:tcPr>
          <w:p w14:paraId="788F3AC2" w14:textId="66FC68F2" w:rsidR="00714906" w:rsidRDefault="00853F6B" w:rsidP="008202AE">
            <w:pPr>
              <w:rPr>
                <w:rFonts w:eastAsiaTheme="minorEastAsia"/>
              </w:rPr>
            </w:pPr>
            <w:r w:rsidRPr="00556D7F">
              <w:rPr>
                <w:rFonts w:eastAsiaTheme="minorEastAsia"/>
              </w:rPr>
              <w:t>Regulation of high risk crystalline silica processes for all materials, including engineered stone</w:t>
            </w:r>
          </w:p>
        </w:tc>
      </w:tr>
      <w:tr w:rsidR="00714906" w14:paraId="550EADCD" w14:textId="77777777" w:rsidTr="00853F6B">
        <w:tc>
          <w:tcPr>
            <w:tcW w:w="1271" w:type="dxa"/>
          </w:tcPr>
          <w:p w14:paraId="613A3D5F" w14:textId="53D2BC04" w:rsidR="00714906" w:rsidRDefault="00853F6B" w:rsidP="008202AE">
            <w:pPr>
              <w:rPr>
                <w:rFonts w:eastAsiaTheme="minorEastAsia"/>
              </w:rPr>
            </w:pPr>
            <w:r w:rsidRPr="00556D7F">
              <w:rPr>
                <w:rFonts w:eastAsiaTheme="minorEastAsia"/>
              </w:rPr>
              <w:t>Option 5b:</w:t>
            </w:r>
          </w:p>
        </w:tc>
        <w:tc>
          <w:tcPr>
            <w:tcW w:w="7745" w:type="dxa"/>
          </w:tcPr>
          <w:p w14:paraId="125153F6" w14:textId="129A3BA2" w:rsidR="00714906" w:rsidRDefault="00853F6B" w:rsidP="008202AE">
            <w:pPr>
              <w:rPr>
                <w:rFonts w:eastAsiaTheme="minorEastAsia"/>
              </w:rPr>
            </w:pPr>
            <w:r w:rsidRPr="00556D7F">
              <w:rPr>
                <w:rFonts w:eastAsiaTheme="minorEastAsia"/>
              </w:rPr>
              <w:t>Regulation of high risk crystalline silica processes for all materials other than engineered stone</w:t>
            </w:r>
          </w:p>
        </w:tc>
      </w:tr>
      <w:tr w:rsidR="00714906" w14:paraId="6C2D97A5" w14:textId="77777777" w:rsidTr="00853F6B">
        <w:tc>
          <w:tcPr>
            <w:tcW w:w="1271" w:type="dxa"/>
          </w:tcPr>
          <w:p w14:paraId="2F2E7C79" w14:textId="3FE94489" w:rsidR="00714906" w:rsidRDefault="00853F6B" w:rsidP="008202AE">
            <w:pPr>
              <w:rPr>
                <w:rFonts w:eastAsiaTheme="minorEastAsia"/>
              </w:rPr>
            </w:pPr>
            <w:r w:rsidRPr="00556D7F">
              <w:rPr>
                <w:rFonts w:eastAsiaTheme="minorEastAsia"/>
              </w:rPr>
              <w:t>Option 6</w:t>
            </w:r>
          </w:p>
        </w:tc>
        <w:tc>
          <w:tcPr>
            <w:tcW w:w="7745" w:type="dxa"/>
          </w:tcPr>
          <w:p w14:paraId="2569F01F" w14:textId="4195ABD9" w:rsidR="00714906" w:rsidRDefault="00853F6B" w:rsidP="008202AE">
            <w:pPr>
              <w:rPr>
                <w:rFonts w:eastAsiaTheme="minorEastAsia"/>
              </w:rPr>
            </w:pPr>
            <w:r w:rsidRPr="00556D7F">
              <w:rPr>
                <w:rFonts w:eastAsiaTheme="minorEastAsia"/>
              </w:rPr>
              <w:t>Further analysis and consultation on the impacts of the prohibition of use of engineered stone should be undertaken</w:t>
            </w:r>
          </w:p>
        </w:tc>
      </w:tr>
    </w:tbl>
    <w:p w14:paraId="1ACC9B2E" w14:textId="77777777" w:rsidR="00436B50" w:rsidRDefault="00436B50" w:rsidP="008202AE">
      <w:pPr>
        <w:rPr>
          <w:rFonts w:eastAsiaTheme="minorEastAsia"/>
        </w:rPr>
      </w:pPr>
    </w:p>
    <w:p w14:paraId="25965709" w14:textId="54D7E24E" w:rsidR="00901266" w:rsidRDefault="00853F6B" w:rsidP="005429B1">
      <w:pPr>
        <w:pStyle w:val="ListBullet"/>
        <w:numPr>
          <w:ilvl w:val="0"/>
          <w:numId w:val="0"/>
        </w:numPr>
      </w:pPr>
      <w:r>
        <w:t>*</w:t>
      </w:r>
      <w:r w:rsidR="00901266">
        <w:t>Following feedback received from public consultation, Option 3</w:t>
      </w:r>
      <w:r w:rsidR="00AF6D4A">
        <w:t>, clarifying the existing requirements of the model WHS laws for high risk silica processes,</w:t>
      </w:r>
      <w:r w:rsidR="00901266">
        <w:t xml:space="preserve"> was removed and Option 5</w:t>
      </w:r>
      <w:r w:rsidR="007E4C5E">
        <w:t>a</w:t>
      </w:r>
      <w:r w:rsidR="00901266">
        <w:t xml:space="preserve"> was refined to include elements of Option 3, </w:t>
      </w:r>
      <w:r w:rsidR="00901266" w:rsidRPr="00901266">
        <w:t xml:space="preserve">which focused on clarifying the existing requirements </w:t>
      </w:r>
    </w:p>
    <w:p w14:paraId="7E7D6F32" w14:textId="09B8DBE3" w:rsidR="00901266" w:rsidRDefault="00901266" w:rsidP="00853F6B">
      <w:pPr>
        <w:pStyle w:val="ListBullet"/>
        <w:numPr>
          <w:ilvl w:val="0"/>
          <w:numId w:val="0"/>
        </w:numPr>
        <w:ind w:left="357" w:hanging="357"/>
      </w:pPr>
      <w:r>
        <w:t xml:space="preserve">under </w:t>
      </w:r>
      <w:r w:rsidRPr="00901266">
        <w:t>the model WHS laws.</w:t>
      </w:r>
    </w:p>
    <w:p w14:paraId="7050C936" w14:textId="77777777" w:rsidR="00901266" w:rsidRDefault="00901266" w:rsidP="00853F6B">
      <w:pPr>
        <w:pStyle w:val="ListBullet"/>
        <w:numPr>
          <w:ilvl w:val="0"/>
          <w:numId w:val="0"/>
        </w:numPr>
        <w:ind w:left="357" w:hanging="357"/>
      </w:pPr>
    </w:p>
    <w:p w14:paraId="3364400C" w14:textId="77777777" w:rsidR="00605E2A" w:rsidRDefault="00605E2A" w:rsidP="008202AE">
      <w:pPr>
        <w:rPr>
          <w:rFonts w:eastAsiaTheme="minorEastAsia"/>
        </w:rPr>
      </w:pPr>
    </w:p>
    <w:p w14:paraId="2D08E47C" w14:textId="77777777" w:rsidR="000B79B3" w:rsidRDefault="000B79B3" w:rsidP="008202AE">
      <w:pPr>
        <w:rPr>
          <w:rFonts w:eastAsiaTheme="minorEastAsia"/>
        </w:rPr>
      </w:pPr>
    </w:p>
    <w:p w14:paraId="379C943D" w14:textId="77777777" w:rsidR="00605E2A" w:rsidRDefault="00605E2A" w:rsidP="008202AE">
      <w:pPr>
        <w:rPr>
          <w:rFonts w:eastAsiaTheme="minorEastAsia"/>
        </w:rPr>
      </w:pPr>
    </w:p>
    <w:p w14:paraId="60F8B974" w14:textId="77777777" w:rsidR="00605E2A" w:rsidRDefault="00605E2A" w:rsidP="008202AE">
      <w:pPr>
        <w:rPr>
          <w:rFonts w:eastAsiaTheme="minorEastAsia"/>
        </w:rPr>
      </w:pPr>
    </w:p>
    <w:p w14:paraId="3CE51DD2" w14:textId="77777777" w:rsidR="00605E2A" w:rsidRDefault="00605E2A" w:rsidP="008202AE">
      <w:pPr>
        <w:rPr>
          <w:rFonts w:eastAsiaTheme="minorEastAsia"/>
        </w:rPr>
      </w:pPr>
    </w:p>
    <w:p w14:paraId="28620A20" w14:textId="77777777" w:rsidR="00605E2A" w:rsidRDefault="00605E2A" w:rsidP="008202AE">
      <w:pPr>
        <w:rPr>
          <w:rFonts w:eastAsiaTheme="minorEastAsia"/>
        </w:rPr>
      </w:pPr>
    </w:p>
    <w:p w14:paraId="1ACBF8A1" w14:textId="77777777" w:rsidR="00605E2A" w:rsidRDefault="00605E2A" w:rsidP="008202AE">
      <w:pPr>
        <w:rPr>
          <w:rFonts w:eastAsiaTheme="minorEastAsia"/>
        </w:rPr>
      </w:pPr>
    </w:p>
    <w:p w14:paraId="1A6F4E62" w14:textId="77777777" w:rsidR="00605E2A" w:rsidRDefault="00605E2A" w:rsidP="008202AE">
      <w:pPr>
        <w:rPr>
          <w:rFonts w:eastAsiaTheme="minorEastAsia"/>
        </w:rPr>
      </w:pPr>
    </w:p>
    <w:p w14:paraId="2704EB0A" w14:textId="77777777" w:rsidR="00605E2A" w:rsidRDefault="00605E2A" w:rsidP="008202AE">
      <w:pPr>
        <w:rPr>
          <w:rFonts w:eastAsiaTheme="minorEastAsia"/>
        </w:rPr>
      </w:pPr>
    </w:p>
    <w:p w14:paraId="1656FC9D" w14:textId="6C8F824F" w:rsidR="00605E2A" w:rsidRDefault="00605E2A" w:rsidP="008202AE">
      <w:pPr>
        <w:rPr>
          <w:rFonts w:eastAsiaTheme="minorEastAsia"/>
        </w:rPr>
      </w:pPr>
    </w:p>
    <w:p w14:paraId="4CBE125E" w14:textId="77777777" w:rsidR="00782E2D" w:rsidRPr="00782E2D" w:rsidRDefault="00782E2D" w:rsidP="00782E2D">
      <w:pPr>
        <w:rPr>
          <w:rFonts w:eastAsiaTheme="minorEastAsia"/>
        </w:rPr>
      </w:pPr>
    </w:p>
    <w:p w14:paraId="75EA715B" w14:textId="77777777" w:rsidR="00782E2D" w:rsidRPr="00782E2D" w:rsidRDefault="00782E2D" w:rsidP="00782E2D">
      <w:pPr>
        <w:rPr>
          <w:rFonts w:eastAsiaTheme="minorEastAsia"/>
        </w:rPr>
      </w:pPr>
    </w:p>
    <w:p w14:paraId="5F596466" w14:textId="77777777" w:rsidR="00782E2D" w:rsidRPr="00782E2D" w:rsidRDefault="00782E2D" w:rsidP="00782E2D">
      <w:pPr>
        <w:rPr>
          <w:rFonts w:eastAsiaTheme="minorEastAsia"/>
        </w:rPr>
      </w:pPr>
    </w:p>
    <w:p w14:paraId="1B9088AF" w14:textId="77777777" w:rsidR="00782E2D" w:rsidRPr="00782E2D" w:rsidRDefault="00782E2D" w:rsidP="00782E2D">
      <w:pPr>
        <w:rPr>
          <w:rFonts w:eastAsiaTheme="minorEastAsia"/>
        </w:rPr>
      </w:pPr>
    </w:p>
    <w:p w14:paraId="0FB10BFE" w14:textId="77777777" w:rsidR="00782E2D" w:rsidRPr="00782E2D" w:rsidRDefault="00782E2D" w:rsidP="00782E2D">
      <w:pPr>
        <w:rPr>
          <w:rFonts w:eastAsiaTheme="minorEastAsia"/>
        </w:rPr>
      </w:pPr>
    </w:p>
    <w:p w14:paraId="445C1283" w14:textId="77777777" w:rsidR="00782E2D" w:rsidRPr="00782E2D" w:rsidRDefault="00782E2D" w:rsidP="00782E2D">
      <w:pPr>
        <w:rPr>
          <w:rFonts w:eastAsiaTheme="minorEastAsia"/>
        </w:rPr>
      </w:pPr>
    </w:p>
    <w:p w14:paraId="5D8EE9CF" w14:textId="4EAC9EA3" w:rsidR="00782E2D" w:rsidRPr="00782E2D" w:rsidRDefault="00782E2D" w:rsidP="00782E2D">
      <w:pPr>
        <w:tabs>
          <w:tab w:val="left" w:pos="6225"/>
        </w:tabs>
        <w:rPr>
          <w:rFonts w:eastAsiaTheme="minorEastAsia"/>
        </w:rPr>
      </w:pPr>
      <w:r>
        <w:rPr>
          <w:rFonts w:eastAsiaTheme="minorEastAsia"/>
        </w:rPr>
        <w:tab/>
      </w:r>
    </w:p>
    <w:sectPr w:rsidR="00782E2D" w:rsidRPr="00782E2D" w:rsidSect="00883D8B">
      <w:headerReference w:type="even" r:id="rId20"/>
      <w:headerReference w:type="default" r:id="rId21"/>
      <w:footerReference w:type="even" r:id="rId22"/>
      <w:footerReference w:type="default" r:id="rId23"/>
      <w:headerReference w:type="first" r:id="rId24"/>
      <w:footerReference w:type="first" r:id="rId25"/>
      <w:type w:val="continuous"/>
      <w:pgSz w:w="11906" w:h="16838"/>
      <w:pgMar w:top="993" w:right="1440" w:bottom="1418" w:left="1440" w:header="708" w:footer="708"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AEB46" w14:textId="77777777" w:rsidR="006355AF" w:rsidRDefault="006355AF" w:rsidP="000D7E4C">
      <w:pPr>
        <w:spacing w:after="0" w:line="240" w:lineRule="auto"/>
      </w:pPr>
      <w:r>
        <w:separator/>
      </w:r>
    </w:p>
  </w:endnote>
  <w:endnote w:type="continuationSeparator" w:id="0">
    <w:p w14:paraId="690DF4C7" w14:textId="77777777" w:rsidR="006355AF" w:rsidRDefault="006355AF" w:rsidP="000D7E4C">
      <w:pPr>
        <w:spacing w:after="0" w:line="240" w:lineRule="auto"/>
      </w:pPr>
      <w:r>
        <w:continuationSeparator/>
      </w:r>
    </w:p>
  </w:endnote>
  <w:endnote w:type="continuationNotice" w:id="1">
    <w:p w14:paraId="25862AC4" w14:textId="77777777" w:rsidR="006355AF" w:rsidRDefault="00635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30DD" w14:textId="5859F7B3" w:rsidR="00DC5A8C" w:rsidRDefault="00DC5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277499"/>
      <w:docPartObj>
        <w:docPartGallery w:val="Page Numbers (Bottom of Page)"/>
        <w:docPartUnique/>
      </w:docPartObj>
    </w:sdtPr>
    <w:sdtEndPr/>
    <w:sdtContent>
      <w:sdt>
        <w:sdtPr>
          <w:id w:val="-1769616900"/>
          <w:docPartObj>
            <w:docPartGallery w:val="Page Numbers (Top of Page)"/>
            <w:docPartUnique/>
          </w:docPartObj>
        </w:sdtPr>
        <w:sdtEndPr/>
        <w:sdtContent>
          <w:p w14:paraId="5EB31707" w14:textId="20EA375F" w:rsidR="00F231E7" w:rsidRDefault="006355AF" w:rsidP="00917EFE">
            <w:pPr>
              <w:pStyle w:val="Footer"/>
              <w:jc w:val="center"/>
              <w:rPr>
                <w:color w:val="FF0000"/>
              </w:rPr>
            </w:pPr>
            <w:sdt>
              <w:sdtPr>
                <w:id w:val="84431663"/>
                <w:docPartObj>
                  <w:docPartGallery w:val="Page Numbers (Top of Page)"/>
                  <w:docPartUnique/>
                </w:docPartObj>
              </w:sdtPr>
              <w:sdtEndPr>
                <w:rPr>
                  <w:b/>
                  <w:bCs/>
                </w:rPr>
              </w:sdtEndPr>
              <w:sdtContent>
                <w:sdt>
                  <w:sdtPr>
                    <w:id w:val="-1255899236"/>
                    <w:docPartObj>
                      <w:docPartGallery w:val="Page Numbers (Top of Page)"/>
                      <w:docPartUnique/>
                    </w:docPartObj>
                  </w:sdtPr>
                  <w:sdtEndPr>
                    <w:rPr>
                      <w:b/>
                      <w:bCs/>
                    </w:rPr>
                  </w:sdtEndPr>
                  <w:sdtContent>
                    <w:r w:rsidR="00E62243">
                      <w:t xml:space="preserve">Page </w:t>
                    </w:r>
                    <w:r w:rsidR="00E62243" w:rsidRPr="00794C03">
                      <w:rPr>
                        <w:b/>
                      </w:rPr>
                      <w:fldChar w:fldCharType="begin"/>
                    </w:r>
                    <w:r w:rsidR="00E62243">
                      <w:rPr>
                        <w:b/>
                        <w:bCs/>
                      </w:rPr>
                      <w:instrText xml:space="preserve"> PAGE </w:instrText>
                    </w:r>
                    <w:r w:rsidR="00E62243" w:rsidRPr="00794C03">
                      <w:rPr>
                        <w:b/>
                      </w:rPr>
                      <w:fldChar w:fldCharType="separate"/>
                    </w:r>
                    <w:r w:rsidR="007A6331">
                      <w:rPr>
                        <w:b/>
                        <w:bCs/>
                        <w:noProof/>
                      </w:rPr>
                      <w:t>11</w:t>
                    </w:r>
                    <w:r w:rsidR="00E62243" w:rsidRPr="00794C03">
                      <w:rPr>
                        <w:b/>
                      </w:rPr>
                      <w:fldChar w:fldCharType="end"/>
                    </w:r>
                    <w:r w:rsidR="00794C03" w:rsidRPr="00794C03">
                      <w:t xml:space="preserve"> of </w:t>
                    </w:r>
                    <w:r w:rsidR="00782E2D">
                      <w:rPr>
                        <w:b/>
                        <w:bCs/>
                      </w:rPr>
                      <w:t>23</w:t>
                    </w:r>
                  </w:sdtContent>
                </w:sdt>
              </w:sdtContent>
            </w:sdt>
          </w:p>
          <w:p w14:paraId="1777202C" w14:textId="03F333AB" w:rsidR="00794C03" w:rsidRDefault="006355AF">
            <w:pPr>
              <w:pStyle w:val="Footer"/>
              <w:jc w:val="right"/>
            </w:pPr>
          </w:p>
        </w:sdtContent>
      </w:sdt>
    </w:sdtContent>
  </w:sdt>
  <w:p w14:paraId="0DCCBF79" w14:textId="2FD55C7D" w:rsidR="008A059F" w:rsidRPr="00DC5A8C" w:rsidRDefault="008A059F" w:rsidP="00C05914">
    <w:pPr>
      <w:spacing w:after="0"/>
      <w:rPr>
        <w:rFonts w:ascii="Arial" w:eastAsia="Arial" w:hAnsi="Arial" w:cs="Arial"/>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1D26B" w14:textId="2F9EB3DE" w:rsidR="00DC5A8C" w:rsidRPr="00DC5A8C" w:rsidRDefault="00DC5A8C" w:rsidP="009772C1">
    <w:pPr>
      <w:spacing w:after="0"/>
      <w:jc w:val="center"/>
      <w:rPr>
        <w:rFonts w:ascii="Arial" w:eastAsia="Arial" w:hAnsi="Arial" w:cs="Arial"/>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DB819" w14:textId="77777777" w:rsidR="006355AF" w:rsidRDefault="006355AF" w:rsidP="000D7E4C">
      <w:pPr>
        <w:spacing w:after="0" w:line="240" w:lineRule="auto"/>
      </w:pPr>
      <w:r>
        <w:separator/>
      </w:r>
    </w:p>
  </w:footnote>
  <w:footnote w:type="continuationSeparator" w:id="0">
    <w:p w14:paraId="22E0DF85" w14:textId="77777777" w:rsidR="006355AF" w:rsidRDefault="006355AF" w:rsidP="000D7E4C">
      <w:pPr>
        <w:spacing w:after="0" w:line="240" w:lineRule="auto"/>
      </w:pPr>
      <w:r>
        <w:continuationSeparator/>
      </w:r>
    </w:p>
  </w:footnote>
  <w:footnote w:type="continuationNotice" w:id="1">
    <w:p w14:paraId="1B6A9461" w14:textId="77777777" w:rsidR="006355AF" w:rsidRDefault="006355AF">
      <w:pPr>
        <w:spacing w:after="0" w:line="240" w:lineRule="auto"/>
      </w:pPr>
    </w:p>
  </w:footnote>
  <w:footnote w:id="2">
    <w:p w14:paraId="7B2C1605" w14:textId="278A5C2F" w:rsidR="00457E0D" w:rsidRPr="00364ED9" w:rsidRDefault="00457E0D">
      <w:pPr>
        <w:pStyle w:val="FootnoteText"/>
        <w:rPr>
          <w:sz w:val="18"/>
          <w:szCs w:val="18"/>
        </w:rPr>
      </w:pPr>
      <w:r w:rsidRPr="00364ED9">
        <w:rPr>
          <w:rStyle w:val="FootnoteReference"/>
          <w:sz w:val="18"/>
          <w:szCs w:val="18"/>
        </w:rPr>
        <w:footnoteRef/>
      </w:r>
      <w:r w:rsidRPr="00364ED9">
        <w:rPr>
          <w:sz w:val="18"/>
          <w:szCs w:val="18"/>
        </w:rPr>
        <w:t xml:space="preserve"> </w:t>
      </w:r>
      <w:r w:rsidRPr="00364ED9">
        <w:rPr>
          <w:rFonts w:asciiTheme="minorHAnsi" w:hAnsiTheme="minorHAnsi" w:cstheme="minorHAnsi"/>
          <w:sz w:val="16"/>
          <w:szCs w:val="16"/>
        </w:rPr>
        <w:t xml:space="preserve">The </w:t>
      </w:r>
      <w:r w:rsidR="002667F6" w:rsidRPr="00364ED9">
        <w:rPr>
          <w:rFonts w:asciiTheme="minorHAnsi" w:hAnsiTheme="minorHAnsi" w:cstheme="minorHAnsi"/>
          <w:sz w:val="16"/>
          <w:szCs w:val="16"/>
        </w:rPr>
        <w:t xml:space="preserve">WHS </w:t>
      </w:r>
      <w:r w:rsidRPr="00364ED9">
        <w:rPr>
          <w:rFonts w:asciiTheme="minorHAnsi" w:hAnsiTheme="minorHAnsi" w:cstheme="minorHAnsi"/>
          <w:sz w:val="16"/>
          <w:szCs w:val="16"/>
        </w:rPr>
        <w:t xml:space="preserve">model </w:t>
      </w:r>
      <w:r w:rsidR="002667F6" w:rsidRPr="00364ED9">
        <w:rPr>
          <w:rFonts w:asciiTheme="minorHAnsi" w:hAnsiTheme="minorHAnsi" w:cstheme="minorHAnsi"/>
          <w:sz w:val="16"/>
          <w:szCs w:val="16"/>
        </w:rPr>
        <w:t>laws</w:t>
      </w:r>
      <w:r w:rsidR="00136CC4" w:rsidRPr="00364ED9">
        <w:rPr>
          <w:rFonts w:asciiTheme="minorHAnsi" w:hAnsiTheme="minorHAnsi" w:cstheme="minorHAnsi"/>
          <w:sz w:val="16"/>
          <w:szCs w:val="16"/>
        </w:rPr>
        <w:t xml:space="preserve"> </w:t>
      </w:r>
      <w:r w:rsidR="00D11F0A" w:rsidRPr="00364ED9">
        <w:rPr>
          <w:rFonts w:asciiTheme="minorHAnsi" w:hAnsiTheme="minorHAnsi" w:cstheme="minorHAnsi"/>
          <w:sz w:val="16"/>
          <w:szCs w:val="16"/>
        </w:rPr>
        <w:t xml:space="preserve">consist of </w:t>
      </w:r>
      <w:r w:rsidR="000F2A03" w:rsidRPr="00364ED9">
        <w:rPr>
          <w:rFonts w:asciiTheme="minorHAnsi" w:hAnsiTheme="minorHAnsi" w:cstheme="minorHAnsi"/>
          <w:sz w:val="16"/>
          <w:szCs w:val="16"/>
        </w:rPr>
        <w:t xml:space="preserve">the </w:t>
      </w:r>
      <w:r w:rsidR="001C419D">
        <w:rPr>
          <w:rFonts w:asciiTheme="minorHAnsi" w:hAnsiTheme="minorHAnsi" w:cstheme="minorHAnsi"/>
          <w:sz w:val="16"/>
          <w:szCs w:val="16"/>
        </w:rPr>
        <w:t>m</w:t>
      </w:r>
      <w:r w:rsidR="000F2A03" w:rsidRPr="00364ED9">
        <w:rPr>
          <w:rFonts w:asciiTheme="minorHAnsi" w:hAnsiTheme="minorHAnsi" w:cstheme="minorHAnsi"/>
          <w:sz w:val="16"/>
          <w:szCs w:val="16"/>
        </w:rPr>
        <w:t xml:space="preserve">odel WHS Act, </w:t>
      </w:r>
      <w:r w:rsidR="001C419D">
        <w:rPr>
          <w:rFonts w:asciiTheme="minorHAnsi" w:hAnsiTheme="minorHAnsi" w:cstheme="minorHAnsi"/>
          <w:sz w:val="16"/>
          <w:szCs w:val="16"/>
        </w:rPr>
        <w:t>m</w:t>
      </w:r>
      <w:r w:rsidR="000F2A03" w:rsidRPr="00364ED9">
        <w:rPr>
          <w:rFonts w:asciiTheme="minorHAnsi" w:hAnsiTheme="minorHAnsi" w:cstheme="minorHAnsi"/>
          <w:sz w:val="16"/>
          <w:szCs w:val="16"/>
        </w:rPr>
        <w:t xml:space="preserve">odel WHS Regulations and </w:t>
      </w:r>
      <w:r w:rsidR="001C419D">
        <w:rPr>
          <w:rFonts w:asciiTheme="minorHAnsi" w:hAnsiTheme="minorHAnsi" w:cstheme="minorHAnsi"/>
          <w:sz w:val="16"/>
          <w:szCs w:val="16"/>
        </w:rPr>
        <w:t>m</w:t>
      </w:r>
      <w:r w:rsidR="00FC18F4" w:rsidRPr="00364ED9">
        <w:rPr>
          <w:rFonts w:asciiTheme="minorHAnsi" w:hAnsiTheme="minorHAnsi" w:cstheme="minorHAnsi"/>
          <w:sz w:val="16"/>
          <w:szCs w:val="16"/>
        </w:rPr>
        <w:t xml:space="preserve">odel Codes of Practice. </w:t>
      </w:r>
      <w:r w:rsidR="00D851B3" w:rsidRPr="00364ED9">
        <w:rPr>
          <w:rFonts w:asciiTheme="minorHAnsi" w:hAnsiTheme="minorHAnsi" w:cstheme="minorHAnsi"/>
          <w:sz w:val="16"/>
          <w:szCs w:val="16"/>
        </w:rPr>
        <w:t xml:space="preserve">To become legally binding the Commonwealth, states and territories must separately implement them as their own laws. </w:t>
      </w:r>
      <w:r w:rsidR="00E909D1" w:rsidRPr="00364ED9">
        <w:rPr>
          <w:rFonts w:asciiTheme="minorHAnsi" w:hAnsiTheme="minorHAnsi" w:cstheme="minorHAnsi"/>
          <w:sz w:val="16"/>
          <w:szCs w:val="16"/>
        </w:rPr>
        <w:t xml:space="preserve">The model laws have been implemented in all jurisdictions except Victoria. Some jurisdictions have made minor variations to make sure the legislation is consistent with their relevant drafting protocols and other laws and processes. </w:t>
      </w:r>
      <w:r w:rsidR="00CF1AA2" w:rsidRPr="00364ED9">
        <w:rPr>
          <w:rFonts w:asciiTheme="minorHAnsi" w:hAnsiTheme="minorHAnsi" w:cstheme="minorHAnsi"/>
          <w:sz w:val="16"/>
          <w:szCs w:val="16"/>
        </w:rPr>
        <w:t>&lt;</w:t>
      </w:r>
      <w:hyperlink r:id="rId1" w:history="1">
        <w:r w:rsidR="00CF1AA2" w:rsidRPr="00364ED9">
          <w:rPr>
            <w:rStyle w:val="Hyperlink"/>
            <w:rFonts w:asciiTheme="minorHAnsi" w:hAnsiTheme="minorHAnsi" w:cstheme="minorHAnsi"/>
            <w:sz w:val="16"/>
            <w:szCs w:val="16"/>
          </w:rPr>
          <w:t>https://www.safeworkaustralia.gov.au/law-and-regulation/model-whs-laws</w:t>
        </w:r>
      </w:hyperlink>
      <w:r w:rsidR="00CF1AA2" w:rsidRPr="00364ED9">
        <w:rPr>
          <w:rFonts w:asciiTheme="minorHAnsi" w:hAnsiTheme="minorHAnsi" w:cstheme="minorHAnsi"/>
          <w:sz w:val="16"/>
          <w:szCs w:val="16"/>
        </w:rPr>
        <w:t>&gt;</w:t>
      </w:r>
    </w:p>
  </w:footnote>
  <w:footnote w:id="3">
    <w:p w14:paraId="7C50DE57" w14:textId="2AA1C60B" w:rsidR="00E7290B" w:rsidRPr="00364ED9" w:rsidRDefault="00E7290B">
      <w:pPr>
        <w:pStyle w:val="FootnoteText"/>
        <w:rPr>
          <w:sz w:val="18"/>
          <w:szCs w:val="18"/>
        </w:rPr>
      </w:pPr>
      <w:r w:rsidRPr="00364ED9">
        <w:rPr>
          <w:rStyle w:val="FootnoteReference"/>
          <w:sz w:val="18"/>
          <w:szCs w:val="18"/>
        </w:rPr>
        <w:footnoteRef/>
      </w:r>
      <w:r w:rsidRPr="00364ED9">
        <w:rPr>
          <w:sz w:val="18"/>
          <w:szCs w:val="18"/>
        </w:rPr>
        <w:t xml:space="preserve"> </w:t>
      </w:r>
      <w:r w:rsidRPr="00364ED9">
        <w:rPr>
          <w:rFonts w:asciiTheme="minorHAnsi" w:hAnsiTheme="minorHAnsi" w:cstheme="minorHAnsi"/>
          <w:sz w:val="16"/>
          <w:szCs w:val="16"/>
        </w:rPr>
        <w:t xml:space="preserve">Department of Employment and Workplace Relations, </w:t>
      </w:r>
      <w:r w:rsidR="00963A17" w:rsidRPr="00364ED9">
        <w:rPr>
          <w:rFonts w:asciiTheme="minorHAnsi" w:hAnsiTheme="minorHAnsi" w:cstheme="minorHAnsi"/>
          <w:sz w:val="16"/>
          <w:szCs w:val="16"/>
        </w:rPr>
        <w:t xml:space="preserve">Communique – Work Health and Safety Ministers' Meeting – 28 February 2023, </w:t>
      </w:r>
      <w:hyperlink r:id="rId2" w:history="1">
        <w:r w:rsidR="00963A17" w:rsidRPr="00364ED9">
          <w:rPr>
            <w:rStyle w:val="Hyperlink"/>
            <w:rFonts w:asciiTheme="minorHAnsi" w:hAnsiTheme="minorHAnsi" w:cstheme="minorHAnsi"/>
            <w:sz w:val="16"/>
            <w:szCs w:val="16"/>
          </w:rPr>
          <w:t>https://www.dewr.gov.au/work-health-and-safety/resources/work-health-and-safety-ministers-meeting-28-february-2023</w:t>
        </w:r>
      </w:hyperlink>
      <w:r w:rsidR="005F25C6">
        <w:rPr>
          <w:rStyle w:val="Hyperlink"/>
          <w:rFonts w:asciiTheme="minorHAnsi" w:hAnsiTheme="minorHAnsi" w:cstheme="minorHAnsi"/>
          <w:sz w:val="16"/>
          <w:szCs w:val="16"/>
        </w:rPr>
        <w:t>.</w:t>
      </w:r>
    </w:p>
  </w:footnote>
  <w:footnote w:id="4">
    <w:p w14:paraId="19B362FB" w14:textId="1DB28D83" w:rsidR="00DB611C" w:rsidRPr="00E31036" w:rsidRDefault="00DB611C">
      <w:pPr>
        <w:pStyle w:val="FootnoteText"/>
        <w:rPr>
          <w:rFonts w:asciiTheme="minorHAnsi" w:hAnsiTheme="minorHAnsi" w:cstheme="minorHAnsi"/>
          <w:sz w:val="16"/>
          <w:szCs w:val="16"/>
          <w:u w:val="single"/>
        </w:rPr>
      </w:pPr>
      <w:r w:rsidRPr="00364ED9">
        <w:rPr>
          <w:rStyle w:val="FootnoteReference"/>
          <w:sz w:val="18"/>
          <w:szCs w:val="18"/>
        </w:rPr>
        <w:footnoteRef/>
      </w:r>
      <w:r w:rsidRPr="00364ED9">
        <w:rPr>
          <w:sz w:val="18"/>
          <w:szCs w:val="18"/>
        </w:rPr>
        <w:t xml:space="preserve"> </w:t>
      </w:r>
      <w:r w:rsidR="00A01566" w:rsidRPr="00E31036">
        <w:rPr>
          <w:rFonts w:asciiTheme="minorHAnsi" w:hAnsiTheme="minorHAnsi" w:cstheme="minorHAnsi"/>
          <w:sz w:val="16"/>
          <w:szCs w:val="16"/>
        </w:rPr>
        <w:t>Saf</w:t>
      </w:r>
      <w:r w:rsidR="00182F40" w:rsidRPr="00E31036">
        <w:rPr>
          <w:rFonts w:asciiTheme="minorHAnsi" w:hAnsiTheme="minorHAnsi" w:cstheme="minorHAnsi"/>
          <w:sz w:val="16"/>
          <w:szCs w:val="16"/>
        </w:rPr>
        <w:t>e Work Australia</w:t>
      </w:r>
      <w:r w:rsidR="00A31D6E" w:rsidRPr="00E31036">
        <w:rPr>
          <w:rFonts w:asciiTheme="minorHAnsi" w:hAnsiTheme="minorHAnsi" w:cstheme="minorHAnsi"/>
          <w:sz w:val="16"/>
          <w:szCs w:val="16"/>
        </w:rPr>
        <w:t xml:space="preserve"> Engage</w:t>
      </w:r>
      <w:r w:rsidR="00182F40" w:rsidRPr="00E31036">
        <w:rPr>
          <w:rFonts w:asciiTheme="minorHAnsi" w:hAnsiTheme="minorHAnsi" w:cstheme="minorHAnsi"/>
          <w:sz w:val="16"/>
          <w:szCs w:val="16"/>
        </w:rPr>
        <w:t xml:space="preserve">, </w:t>
      </w:r>
      <w:r w:rsidR="003840F6" w:rsidRPr="00E31036">
        <w:rPr>
          <w:rFonts w:asciiTheme="minorHAnsi" w:hAnsiTheme="minorHAnsi" w:cstheme="minorHAnsi"/>
          <w:sz w:val="16"/>
          <w:szCs w:val="16"/>
        </w:rPr>
        <w:t>Consultation Regulation Impact Statement - Managing the risks of respirable crystalline silica</w:t>
      </w:r>
      <w:r w:rsidR="003C32B7" w:rsidRPr="00E31036">
        <w:rPr>
          <w:rFonts w:asciiTheme="minorHAnsi" w:hAnsiTheme="minorHAnsi" w:cstheme="minorHAnsi"/>
          <w:sz w:val="16"/>
          <w:szCs w:val="16"/>
        </w:rPr>
        <w:t xml:space="preserve">, </w:t>
      </w:r>
      <w:hyperlink r:id="rId3" w:history="1">
        <w:r w:rsidR="00182F40" w:rsidRPr="00E31036">
          <w:rPr>
            <w:rStyle w:val="Hyperlink"/>
            <w:rFonts w:asciiTheme="minorHAnsi" w:hAnsiTheme="minorHAnsi" w:cstheme="minorHAnsi"/>
            <w:sz w:val="16"/>
            <w:szCs w:val="16"/>
          </w:rPr>
          <w:t>https://engage.swa.gov.au/cris-managing-the-risks-of-respirable-crystalline-silica</w:t>
        </w:r>
      </w:hyperlink>
      <w:r w:rsidR="00D1468C" w:rsidRPr="00E31036">
        <w:rPr>
          <w:rFonts w:asciiTheme="minorHAnsi" w:hAnsiTheme="minorHAnsi" w:cstheme="minorHAnsi"/>
          <w:sz w:val="16"/>
          <w:szCs w:val="16"/>
          <w:u w:val="single"/>
        </w:rPr>
        <w:t>;</w:t>
      </w:r>
    </w:p>
    <w:p w14:paraId="486C0D2D" w14:textId="2BD8540D" w:rsidR="00995EF4" w:rsidRPr="00364ED9" w:rsidRDefault="00610608">
      <w:pPr>
        <w:pStyle w:val="FootnoteText"/>
        <w:rPr>
          <w:sz w:val="18"/>
          <w:szCs w:val="18"/>
          <w:u w:val="single"/>
        </w:rPr>
      </w:pPr>
      <w:r w:rsidRPr="00E31036">
        <w:rPr>
          <w:rFonts w:asciiTheme="minorHAnsi" w:hAnsiTheme="minorHAnsi" w:cstheme="minorHAnsi"/>
          <w:sz w:val="16"/>
          <w:szCs w:val="16"/>
        </w:rPr>
        <w:t>Safe Work Australia Engage</w:t>
      </w:r>
      <w:r w:rsidR="00DF1042" w:rsidRPr="00E31036">
        <w:rPr>
          <w:rFonts w:asciiTheme="minorHAnsi" w:hAnsiTheme="minorHAnsi" w:cstheme="minorHAnsi"/>
          <w:sz w:val="16"/>
          <w:szCs w:val="16"/>
        </w:rPr>
        <w:t xml:space="preserve">, </w:t>
      </w:r>
      <w:r w:rsidR="00D1468C" w:rsidRPr="00E31036">
        <w:rPr>
          <w:rFonts w:asciiTheme="minorHAnsi" w:hAnsiTheme="minorHAnsi" w:cstheme="minorHAnsi"/>
          <w:sz w:val="16"/>
          <w:szCs w:val="16"/>
        </w:rPr>
        <w:t xml:space="preserve">Consultation Regulation Impact Statement - Prohibition on the use of engineered stone, </w:t>
      </w:r>
      <w:hyperlink r:id="rId4" w:history="1">
        <w:r w:rsidR="00DF1042" w:rsidRPr="00E31036">
          <w:rPr>
            <w:rStyle w:val="Hyperlink"/>
            <w:rFonts w:asciiTheme="minorHAnsi" w:hAnsiTheme="minorHAnsi" w:cstheme="minorHAnsi"/>
            <w:sz w:val="16"/>
            <w:szCs w:val="16"/>
          </w:rPr>
          <w:t>https://engage.swa.gov.au/prohibition-on-the-use-of-engineered-stone</w:t>
        </w:r>
      </w:hyperlink>
      <w:r w:rsidR="0014582F">
        <w:rPr>
          <w:rStyle w:val="Hyperlink"/>
          <w:rFonts w:asciiTheme="minorHAnsi" w:hAnsiTheme="minorHAnsi" w:cstheme="minorHAnsi"/>
          <w:sz w:val="16"/>
          <w:szCs w:val="16"/>
        </w:rPr>
        <w:t>.</w:t>
      </w:r>
    </w:p>
  </w:footnote>
  <w:footnote w:id="5">
    <w:p w14:paraId="3610B70A" w14:textId="272721EF" w:rsidR="00D1468C" w:rsidRPr="00364ED9" w:rsidRDefault="00D1468C" w:rsidP="00D1468C">
      <w:pPr>
        <w:pStyle w:val="FootnoteText"/>
        <w:rPr>
          <w:rFonts w:asciiTheme="minorHAnsi" w:hAnsiTheme="minorHAnsi" w:cstheme="minorHAnsi"/>
          <w:sz w:val="16"/>
          <w:szCs w:val="16"/>
        </w:rPr>
      </w:pPr>
      <w:r w:rsidRPr="00364ED9">
        <w:rPr>
          <w:rStyle w:val="FootnoteReference"/>
          <w:rFonts w:asciiTheme="minorHAnsi" w:hAnsiTheme="minorHAnsi" w:cstheme="minorHAnsi"/>
          <w:sz w:val="16"/>
          <w:szCs w:val="16"/>
        </w:rPr>
        <w:footnoteRef/>
      </w:r>
      <w:r w:rsidRPr="00364ED9">
        <w:rPr>
          <w:rFonts w:asciiTheme="minorHAnsi" w:hAnsiTheme="minorHAnsi" w:cstheme="minorHAnsi"/>
          <w:sz w:val="16"/>
          <w:szCs w:val="16"/>
        </w:rPr>
        <w:t xml:space="preserve"> The National Dust Disease Taskforce’s interim and final reports are available on the Department of Health and Aged </w:t>
      </w:r>
      <w:r w:rsidR="0014582F">
        <w:rPr>
          <w:rFonts w:asciiTheme="minorHAnsi" w:hAnsiTheme="minorHAnsi" w:cstheme="minorHAnsi"/>
          <w:sz w:val="16"/>
          <w:szCs w:val="16"/>
        </w:rPr>
        <w:t>C</w:t>
      </w:r>
      <w:r w:rsidRPr="00364ED9">
        <w:rPr>
          <w:rFonts w:asciiTheme="minorHAnsi" w:hAnsiTheme="minorHAnsi" w:cstheme="minorHAnsi"/>
          <w:sz w:val="16"/>
          <w:szCs w:val="16"/>
        </w:rPr>
        <w:t xml:space="preserve">are’s website at: </w:t>
      </w:r>
      <w:hyperlink r:id="rId5" w:anchor=":~:text=Findings%20and%20publications-,Role,risk%20from%20occupational%20dust%20disease" w:history="1">
        <w:r w:rsidRPr="00364ED9">
          <w:rPr>
            <w:rStyle w:val="Hyperlink"/>
            <w:rFonts w:asciiTheme="minorHAnsi" w:hAnsiTheme="minorHAnsi" w:cstheme="minorHAnsi"/>
            <w:sz w:val="16"/>
            <w:szCs w:val="16"/>
          </w:rPr>
          <w:t>https://www.health.gov.au/committees-and-groups/national-dust-disease-taskforce#:~:text=Findings%20and%20publications-,Role,risk%20from%20occupational%20dust%20disease</w:t>
        </w:r>
      </w:hyperlink>
      <w:r w:rsidRPr="00364ED9">
        <w:rPr>
          <w:rFonts w:asciiTheme="minorHAnsi" w:hAnsiTheme="minorHAnsi" w:cstheme="minorHAnsi"/>
          <w:sz w:val="16"/>
          <w:szCs w:val="16"/>
        </w:rPr>
        <w:t xml:space="preserve">.  </w:t>
      </w:r>
    </w:p>
  </w:footnote>
  <w:footnote w:id="6">
    <w:p w14:paraId="7B31EECD" w14:textId="77777777" w:rsidR="006533C0" w:rsidRDefault="000155BA">
      <w:pPr>
        <w:pStyle w:val="FootnoteText"/>
        <w:rPr>
          <w:rFonts w:asciiTheme="minorHAnsi" w:eastAsiaTheme="minorEastAsia" w:hAnsiTheme="minorHAnsi"/>
          <w:color w:val="252525"/>
          <w:sz w:val="16"/>
          <w:szCs w:val="16"/>
          <w:lang w:eastAsia="en-AU"/>
        </w:rPr>
      </w:pPr>
      <w:r w:rsidRPr="00364ED9">
        <w:rPr>
          <w:rStyle w:val="FootnoteReference"/>
          <w:sz w:val="18"/>
          <w:szCs w:val="18"/>
        </w:rPr>
        <w:footnoteRef/>
      </w:r>
      <w:r w:rsidRPr="00364ED9">
        <w:rPr>
          <w:sz w:val="18"/>
          <w:szCs w:val="18"/>
        </w:rPr>
        <w:t xml:space="preserve"> </w:t>
      </w:r>
      <w:r w:rsidR="00D36383" w:rsidRPr="00364ED9">
        <w:rPr>
          <w:rFonts w:asciiTheme="minorHAnsi" w:eastAsiaTheme="minorEastAsia" w:hAnsiTheme="minorHAnsi"/>
          <w:color w:val="252525"/>
          <w:sz w:val="16"/>
          <w:szCs w:val="16"/>
          <w:lang w:eastAsia="en-AU"/>
        </w:rPr>
        <w:t>Department of Health</w:t>
      </w:r>
      <w:r w:rsidR="003B6EF1">
        <w:rPr>
          <w:rFonts w:asciiTheme="minorHAnsi" w:eastAsiaTheme="minorEastAsia" w:hAnsiTheme="minorHAnsi"/>
          <w:color w:val="252525"/>
          <w:sz w:val="16"/>
          <w:szCs w:val="16"/>
          <w:lang w:eastAsia="en-AU"/>
        </w:rPr>
        <w:t xml:space="preserve"> and Aged Care</w:t>
      </w:r>
      <w:r w:rsidR="00D36383" w:rsidRPr="00364ED9">
        <w:rPr>
          <w:rFonts w:asciiTheme="minorHAnsi" w:eastAsiaTheme="minorEastAsia" w:hAnsiTheme="minorHAnsi"/>
          <w:color w:val="252525"/>
          <w:sz w:val="16"/>
          <w:szCs w:val="16"/>
          <w:lang w:eastAsia="en-AU"/>
        </w:rPr>
        <w:t xml:space="preserve">, National Dust Disease Taskforce – Final Report, 30 June 2021. </w:t>
      </w:r>
      <w:hyperlink r:id="rId6" w:history="1">
        <w:r w:rsidR="00D36383" w:rsidRPr="00364ED9">
          <w:rPr>
            <w:rStyle w:val="Hyperlink"/>
            <w:rFonts w:asciiTheme="minorHAnsi" w:eastAsiaTheme="minorEastAsia" w:hAnsiTheme="minorHAnsi"/>
            <w:sz w:val="16"/>
            <w:szCs w:val="16"/>
            <w:lang w:eastAsia="en-AU"/>
          </w:rPr>
          <w:t>https://www.health.gov.au/resources/publications/national-dust-disease-taskforce-final-report?language=en</w:t>
        </w:r>
      </w:hyperlink>
      <w:r w:rsidR="00D36383" w:rsidRPr="00364ED9">
        <w:rPr>
          <w:rFonts w:asciiTheme="minorHAnsi" w:eastAsiaTheme="minorEastAsia" w:hAnsiTheme="minorHAnsi"/>
          <w:color w:val="252525"/>
          <w:sz w:val="16"/>
          <w:szCs w:val="16"/>
          <w:lang w:eastAsia="en-AU"/>
        </w:rPr>
        <w:t xml:space="preserve">; </w:t>
      </w:r>
    </w:p>
    <w:p w14:paraId="618F3C40" w14:textId="20D19FA1" w:rsidR="000155BA" w:rsidRPr="00364ED9" w:rsidRDefault="00211BEF">
      <w:pPr>
        <w:pStyle w:val="FootnoteText"/>
        <w:rPr>
          <w:sz w:val="18"/>
          <w:szCs w:val="18"/>
        </w:rPr>
      </w:pPr>
      <w:r w:rsidRPr="00364ED9">
        <w:rPr>
          <w:rFonts w:asciiTheme="minorHAnsi" w:eastAsiaTheme="minorEastAsia" w:hAnsiTheme="minorHAnsi"/>
          <w:color w:val="252525"/>
          <w:sz w:val="16"/>
          <w:szCs w:val="16"/>
          <w:lang w:eastAsia="en-AU"/>
        </w:rPr>
        <w:t>NSW Parliament</w:t>
      </w:r>
      <w:r w:rsidR="006533C0">
        <w:rPr>
          <w:rFonts w:asciiTheme="minorHAnsi" w:eastAsiaTheme="minorEastAsia" w:hAnsiTheme="minorHAnsi"/>
          <w:color w:val="252525"/>
          <w:sz w:val="16"/>
          <w:szCs w:val="16"/>
          <w:lang w:eastAsia="en-AU"/>
        </w:rPr>
        <w:t>,</w:t>
      </w:r>
      <w:r w:rsidRPr="00364ED9">
        <w:rPr>
          <w:rFonts w:asciiTheme="minorHAnsi" w:eastAsiaTheme="minorEastAsia" w:hAnsiTheme="minorHAnsi"/>
          <w:color w:val="252525"/>
          <w:sz w:val="16"/>
          <w:szCs w:val="16"/>
          <w:lang w:eastAsia="en-AU"/>
        </w:rPr>
        <w:t xml:space="preserve"> “2021 Review of the Dust Disease Scheme.” Legislative </w:t>
      </w:r>
      <w:r w:rsidR="00BF5FB6">
        <w:rPr>
          <w:rFonts w:asciiTheme="minorHAnsi" w:eastAsiaTheme="minorEastAsia" w:hAnsiTheme="minorHAnsi"/>
          <w:color w:val="252525"/>
          <w:sz w:val="16"/>
          <w:szCs w:val="16"/>
          <w:lang w:eastAsia="en-AU"/>
        </w:rPr>
        <w:t>C</w:t>
      </w:r>
      <w:r w:rsidRPr="00364ED9">
        <w:rPr>
          <w:rFonts w:asciiTheme="minorHAnsi" w:eastAsiaTheme="minorEastAsia" w:hAnsiTheme="minorHAnsi"/>
          <w:color w:val="252525"/>
          <w:sz w:val="16"/>
          <w:szCs w:val="16"/>
          <w:lang w:eastAsia="en-AU"/>
        </w:rPr>
        <w:t>ouncil Standing Committee on Law and Justice</w:t>
      </w:r>
      <w:r w:rsidR="00BF5FB6">
        <w:rPr>
          <w:rFonts w:asciiTheme="minorHAnsi" w:eastAsiaTheme="minorEastAsia" w:hAnsiTheme="minorHAnsi"/>
          <w:color w:val="252525"/>
          <w:sz w:val="16"/>
          <w:szCs w:val="16"/>
          <w:lang w:eastAsia="en-AU"/>
        </w:rPr>
        <w:t>,</w:t>
      </w:r>
      <w:r w:rsidRPr="00364ED9">
        <w:rPr>
          <w:rFonts w:asciiTheme="minorHAnsi" w:eastAsiaTheme="minorEastAsia" w:hAnsiTheme="minorHAnsi"/>
          <w:color w:val="252525"/>
          <w:sz w:val="16"/>
          <w:szCs w:val="16"/>
          <w:lang w:eastAsia="en-AU"/>
        </w:rPr>
        <w:t xml:space="preserve"> June</w:t>
      </w:r>
      <w:r w:rsidR="00BF5FB6">
        <w:rPr>
          <w:rFonts w:asciiTheme="minorHAnsi" w:eastAsiaTheme="minorEastAsia" w:hAnsiTheme="minorHAnsi"/>
          <w:color w:val="252525"/>
          <w:sz w:val="16"/>
          <w:szCs w:val="16"/>
          <w:lang w:eastAsia="en-AU"/>
        </w:rPr>
        <w:t xml:space="preserve"> 2022</w:t>
      </w:r>
      <w:r w:rsidRPr="00364ED9">
        <w:rPr>
          <w:rFonts w:asciiTheme="minorHAnsi" w:eastAsiaTheme="minorEastAsia" w:hAnsiTheme="minorHAnsi"/>
          <w:color w:val="252525"/>
          <w:sz w:val="16"/>
          <w:szCs w:val="16"/>
          <w:lang w:eastAsia="en-AU"/>
        </w:rPr>
        <w:t xml:space="preserve">. </w:t>
      </w:r>
      <w:hyperlink r:id="rId7" w:history="1">
        <w:r w:rsidRPr="00364ED9">
          <w:rPr>
            <w:rStyle w:val="Hyperlink"/>
            <w:rFonts w:asciiTheme="minorHAnsi" w:eastAsiaTheme="minorEastAsia" w:hAnsiTheme="minorHAnsi"/>
            <w:sz w:val="16"/>
            <w:szCs w:val="16"/>
            <w:lang w:eastAsia="en-AU"/>
          </w:rPr>
          <w:t>https://www.parliament.nsw.gov.au/tp/files/82197/Report%20No.%2080%20-%202021%20Review%20of%20the%20Dust%20Diseases%20Scheme.pdf</w:t>
        </w:r>
      </w:hyperlink>
      <w:r w:rsidRPr="00364ED9">
        <w:rPr>
          <w:rFonts w:asciiTheme="minorHAnsi" w:eastAsiaTheme="minorEastAsia" w:hAnsiTheme="minorHAnsi"/>
          <w:color w:val="252525"/>
          <w:sz w:val="16"/>
          <w:szCs w:val="16"/>
          <w:lang w:eastAsia="en-AU"/>
        </w:rPr>
        <w:t>.</w:t>
      </w:r>
    </w:p>
  </w:footnote>
  <w:footnote w:id="7">
    <w:p w14:paraId="469E28D4" w14:textId="78CC3172" w:rsidR="004D672A" w:rsidRPr="00364ED9" w:rsidRDefault="004D672A">
      <w:pPr>
        <w:pStyle w:val="FootnoteText"/>
        <w:rPr>
          <w:sz w:val="18"/>
          <w:szCs w:val="18"/>
        </w:rPr>
      </w:pPr>
      <w:r w:rsidRPr="00364ED9">
        <w:rPr>
          <w:rStyle w:val="FootnoteReference"/>
          <w:sz w:val="18"/>
          <w:szCs w:val="18"/>
        </w:rPr>
        <w:footnoteRef/>
      </w:r>
      <w:r w:rsidRPr="00364ED9">
        <w:rPr>
          <w:sz w:val="18"/>
          <w:szCs w:val="18"/>
        </w:rPr>
        <w:t xml:space="preserve"> </w:t>
      </w:r>
      <w:r w:rsidRPr="00A611FF">
        <w:rPr>
          <w:rFonts w:asciiTheme="minorHAnsi" w:hAnsiTheme="minorHAnsi" w:cstheme="minorHAnsi"/>
          <w:sz w:val="16"/>
          <w:szCs w:val="16"/>
        </w:rPr>
        <w:t>Caesarstone submission to the Safe Work Australia Consultation Regulat</w:t>
      </w:r>
      <w:r w:rsidR="001E4108">
        <w:rPr>
          <w:rFonts w:asciiTheme="minorHAnsi" w:hAnsiTheme="minorHAnsi" w:cstheme="minorHAnsi"/>
          <w:sz w:val="16"/>
          <w:szCs w:val="16"/>
        </w:rPr>
        <w:t>ion</w:t>
      </w:r>
      <w:r w:rsidRPr="00A611FF">
        <w:rPr>
          <w:rFonts w:asciiTheme="minorHAnsi" w:hAnsiTheme="minorHAnsi" w:cstheme="minorHAnsi"/>
          <w:sz w:val="16"/>
          <w:szCs w:val="16"/>
        </w:rPr>
        <w:t xml:space="preserve"> Impact Analysis – Prohibition on the use of engineered stone</w:t>
      </w:r>
      <w:r w:rsidR="00535BD2">
        <w:rPr>
          <w:rFonts w:asciiTheme="minorHAnsi" w:hAnsiTheme="minorHAnsi" w:cstheme="minorHAnsi"/>
          <w:sz w:val="16"/>
          <w:szCs w:val="16"/>
        </w:rPr>
        <w:t>.</w:t>
      </w:r>
    </w:p>
  </w:footnote>
  <w:footnote w:id="8">
    <w:p w14:paraId="32754EBE" w14:textId="77777777" w:rsidR="00535BD2" w:rsidRDefault="00B97492">
      <w:pPr>
        <w:pStyle w:val="FootnoteText"/>
        <w:rPr>
          <w:rFonts w:asciiTheme="minorHAnsi" w:eastAsiaTheme="minorEastAsia" w:hAnsiTheme="minorHAnsi"/>
          <w:color w:val="252525"/>
          <w:sz w:val="16"/>
          <w:szCs w:val="16"/>
          <w:lang w:eastAsia="en-AU"/>
        </w:rPr>
      </w:pPr>
      <w:r w:rsidRPr="00364ED9">
        <w:rPr>
          <w:rStyle w:val="FootnoteReference"/>
          <w:sz w:val="18"/>
          <w:szCs w:val="18"/>
        </w:rPr>
        <w:footnoteRef/>
      </w:r>
      <w:r w:rsidRPr="00364ED9">
        <w:rPr>
          <w:sz w:val="18"/>
          <w:szCs w:val="18"/>
        </w:rPr>
        <w:t xml:space="preserve"> </w:t>
      </w:r>
      <w:r w:rsidR="00E85FD9" w:rsidRPr="00364ED9">
        <w:rPr>
          <w:rFonts w:asciiTheme="minorHAnsi" w:eastAsiaTheme="minorEastAsia" w:hAnsiTheme="minorHAnsi"/>
          <w:color w:val="252525"/>
          <w:sz w:val="16"/>
          <w:szCs w:val="16"/>
          <w:lang w:eastAsia="en-AU"/>
        </w:rPr>
        <w:t>Hargreaves, S, K Rustage, L B Nellums, et al. 2019. “Occupational health outcomes among international migrant workers: a systematic review and meta-analysis.” Lancet Glob Health 7:e872–82</w:t>
      </w:r>
      <w:r w:rsidR="00C76687" w:rsidRPr="00364ED9">
        <w:rPr>
          <w:rFonts w:asciiTheme="minorHAnsi" w:eastAsiaTheme="minorEastAsia" w:hAnsiTheme="minorHAnsi"/>
          <w:color w:val="252525"/>
          <w:sz w:val="16"/>
          <w:szCs w:val="16"/>
          <w:lang w:eastAsia="en-AU"/>
        </w:rPr>
        <w:t xml:space="preserve">; </w:t>
      </w:r>
    </w:p>
    <w:p w14:paraId="527D27D9" w14:textId="520BDBF2" w:rsidR="00A00A10" w:rsidRDefault="006C3984">
      <w:pPr>
        <w:pStyle w:val="FootnoteText"/>
        <w:rPr>
          <w:rFonts w:asciiTheme="minorHAnsi" w:eastAsiaTheme="minorEastAsia" w:hAnsiTheme="minorHAnsi"/>
          <w:color w:val="252525"/>
          <w:sz w:val="16"/>
          <w:szCs w:val="16"/>
          <w:lang w:eastAsia="en-AU"/>
        </w:rPr>
      </w:pPr>
      <w:r w:rsidRPr="00364ED9">
        <w:rPr>
          <w:rFonts w:asciiTheme="minorHAnsi" w:eastAsiaTheme="minorEastAsia" w:hAnsiTheme="minorHAnsi"/>
          <w:color w:val="252525"/>
          <w:sz w:val="16"/>
          <w:szCs w:val="16"/>
          <w:lang w:eastAsia="en-AU"/>
        </w:rPr>
        <w:t>Fazio, J C, S A Gandhi, and J Flattery. 2023. “Silicosis Among Immigrant Engineered Stone (Quartz) Countertop Fabrication Workers in California.” JAMA Internal Medicine</w:t>
      </w:r>
      <w:r w:rsidR="00064124">
        <w:rPr>
          <w:rFonts w:asciiTheme="minorHAnsi" w:eastAsiaTheme="minorEastAsia" w:hAnsiTheme="minorHAnsi"/>
          <w:color w:val="252525"/>
          <w:sz w:val="16"/>
          <w:szCs w:val="16"/>
          <w:lang w:eastAsia="en-AU"/>
        </w:rPr>
        <w:t>,</w:t>
      </w:r>
      <w:r w:rsidRPr="00364ED9">
        <w:rPr>
          <w:rFonts w:asciiTheme="minorHAnsi" w:eastAsiaTheme="minorEastAsia" w:hAnsiTheme="minorHAnsi"/>
          <w:color w:val="252525"/>
          <w:sz w:val="16"/>
          <w:szCs w:val="16"/>
          <w:lang w:eastAsia="en-AU"/>
        </w:rPr>
        <w:t xml:space="preserve"> Published online July 24, 2023. doi:10.1001/jamainternmed.2023.3295</w:t>
      </w:r>
      <w:r w:rsidR="006E40A8" w:rsidRPr="00364ED9">
        <w:rPr>
          <w:rFonts w:asciiTheme="minorHAnsi" w:eastAsiaTheme="minorEastAsia" w:hAnsiTheme="minorHAnsi"/>
          <w:color w:val="252525"/>
          <w:sz w:val="16"/>
          <w:szCs w:val="16"/>
          <w:lang w:eastAsia="en-AU"/>
        </w:rPr>
        <w:t xml:space="preserve">; </w:t>
      </w:r>
    </w:p>
    <w:p w14:paraId="046F2861" w14:textId="2C01AC28" w:rsidR="00B97492" w:rsidRPr="00364ED9" w:rsidRDefault="00EB3C96">
      <w:pPr>
        <w:pStyle w:val="FootnoteText"/>
        <w:rPr>
          <w:rFonts w:asciiTheme="minorHAnsi" w:eastAsiaTheme="minorEastAsia" w:hAnsiTheme="minorHAnsi"/>
          <w:color w:val="252525"/>
          <w:sz w:val="16"/>
          <w:szCs w:val="16"/>
          <w:lang w:eastAsia="en-AU"/>
        </w:rPr>
      </w:pPr>
      <w:r w:rsidRPr="00364ED9">
        <w:rPr>
          <w:rFonts w:asciiTheme="minorHAnsi" w:eastAsiaTheme="minorEastAsia" w:hAnsiTheme="minorHAnsi"/>
          <w:color w:val="252525"/>
          <w:sz w:val="16"/>
          <w:szCs w:val="16"/>
          <w:lang w:eastAsia="en-AU"/>
        </w:rPr>
        <w:t>Hua, J T, C S Rose, and C A Redlich. 2023. “Engineered Stone–Associated Silicosis - A Lethal Variant of an Ancient Disease.” JAMA Internal Medicine</w:t>
      </w:r>
      <w:r w:rsidR="00064124">
        <w:rPr>
          <w:rFonts w:asciiTheme="minorHAnsi" w:eastAsiaTheme="minorEastAsia" w:hAnsiTheme="minorHAnsi"/>
          <w:color w:val="252525"/>
          <w:sz w:val="16"/>
          <w:szCs w:val="16"/>
          <w:lang w:eastAsia="en-AU"/>
        </w:rPr>
        <w:t>,</w:t>
      </w:r>
      <w:r w:rsidRPr="00364ED9">
        <w:rPr>
          <w:rFonts w:asciiTheme="minorHAnsi" w:eastAsiaTheme="minorEastAsia" w:hAnsiTheme="minorHAnsi"/>
          <w:color w:val="252525"/>
          <w:sz w:val="16"/>
          <w:szCs w:val="16"/>
          <w:lang w:eastAsia="en-AU"/>
        </w:rPr>
        <w:t xml:space="preserve"> Published online July 24, 2023. doi:10.1001/jamainternmed.2023.3260.</w:t>
      </w:r>
    </w:p>
  </w:footnote>
  <w:footnote w:id="9">
    <w:p w14:paraId="3DA4FDA1" w14:textId="15CD4451" w:rsidR="00801FCF" w:rsidRPr="00364ED9" w:rsidRDefault="00801FCF">
      <w:pPr>
        <w:pStyle w:val="FootnoteText"/>
        <w:rPr>
          <w:sz w:val="18"/>
          <w:szCs w:val="18"/>
        </w:rPr>
      </w:pPr>
      <w:r w:rsidRPr="00364ED9">
        <w:rPr>
          <w:rStyle w:val="FootnoteReference"/>
          <w:sz w:val="18"/>
          <w:szCs w:val="18"/>
        </w:rPr>
        <w:footnoteRef/>
      </w:r>
      <w:r w:rsidRPr="00364ED9">
        <w:rPr>
          <w:sz w:val="18"/>
          <w:szCs w:val="18"/>
        </w:rPr>
        <w:t xml:space="preserve"> </w:t>
      </w:r>
      <w:r w:rsidRPr="00364ED9">
        <w:rPr>
          <w:rFonts w:asciiTheme="minorHAnsi" w:eastAsiaTheme="minorEastAsia" w:hAnsiTheme="minorHAnsi"/>
          <w:color w:val="252525"/>
          <w:sz w:val="16"/>
          <w:szCs w:val="16"/>
          <w:lang w:eastAsia="en-AU"/>
        </w:rPr>
        <w:t>Cole, K F, D J Yates, and M Davidson. 2023. “Are we underestimating the prevalence of silicosis in the stone benchtop industry in New South Wales, Australia? Response to Hoy et al.” Occupational and Environmental Medicine Rapid Response</w:t>
      </w:r>
      <w:r w:rsidR="00064124">
        <w:rPr>
          <w:rFonts w:asciiTheme="minorHAnsi" w:eastAsiaTheme="minorEastAsia" w:hAnsiTheme="minorHAnsi"/>
          <w:color w:val="252525"/>
          <w:sz w:val="16"/>
          <w:szCs w:val="16"/>
          <w:lang w:eastAsia="en-AU"/>
        </w:rPr>
        <w:t>,</w:t>
      </w:r>
      <w:r w:rsidRPr="00364ED9">
        <w:rPr>
          <w:rFonts w:asciiTheme="minorHAnsi" w:eastAsiaTheme="minorEastAsia" w:hAnsiTheme="minorHAnsi"/>
          <w:color w:val="252525"/>
          <w:sz w:val="16"/>
          <w:szCs w:val="16"/>
          <w:lang w:eastAsia="en-AU"/>
        </w:rPr>
        <w:t xml:space="preserve"> published 28 June 2023 doi: 10.1136/oemed-2023-108892.</w:t>
      </w:r>
    </w:p>
  </w:footnote>
  <w:footnote w:id="10">
    <w:p w14:paraId="391D9865" w14:textId="77777777" w:rsidR="0005063E" w:rsidRDefault="0005063E" w:rsidP="0005063E">
      <w:pPr>
        <w:pStyle w:val="FootnoteText"/>
      </w:pPr>
      <w:r>
        <w:rPr>
          <w:rStyle w:val="FootnoteReference"/>
        </w:rPr>
        <w:footnoteRef/>
      </w:r>
      <w:r>
        <w:t xml:space="preserve"> </w:t>
      </w:r>
      <w:r w:rsidRPr="00784A7D">
        <w:rPr>
          <w:rFonts w:asciiTheme="minorHAnsi" w:eastAsiaTheme="minorEastAsia" w:hAnsiTheme="minorHAnsi"/>
          <w:color w:val="252525"/>
          <w:sz w:val="16"/>
          <w:szCs w:val="16"/>
          <w:lang w:eastAsia="en-AU"/>
        </w:rPr>
        <w:t xml:space="preserve">These figures are the same as those provided in the SWA Decision RIS: </w:t>
      </w:r>
      <w:r w:rsidRPr="00DF4446">
        <w:rPr>
          <w:rFonts w:asciiTheme="minorHAnsi" w:eastAsiaTheme="minorEastAsia" w:hAnsiTheme="minorHAnsi"/>
          <w:i/>
          <w:color w:val="252525"/>
          <w:sz w:val="16"/>
          <w:szCs w:val="16"/>
          <w:lang w:eastAsia="en-AU"/>
        </w:rPr>
        <w:t>Prohibition on the use of engineered stone</w:t>
      </w:r>
      <w:r w:rsidRPr="00784A7D">
        <w:rPr>
          <w:rFonts w:asciiTheme="minorHAnsi" w:eastAsiaTheme="minorEastAsia" w:hAnsiTheme="minorHAnsi"/>
          <w:color w:val="252525"/>
          <w:sz w:val="16"/>
          <w:szCs w:val="16"/>
          <w:lang w:eastAsia="en-AU"/>
        </w:rPr>
        <w:t>. They are rounded to the nearest $0.1 million.</w:t>
      </w:r>
    </w:p>
  </w:footnote>
  <w:footnote w:id="11">
    <w:p w14:paraId="6EB57C4C" w14:textId="47DAB0D4" w:rsidR="009E4D54" w:rsidRPr="00183611" w:rsidRDefault="009E4D54">
      <w:pPr>
        <w:pStyle w:val="FootnoteText"/>
        <w:rPr>
          <w:sz w:val="18"/>
          <w:szCs w:val="18"/>
        </w:rPr>
      </w:pPr>
      <w:r w:rsidRPr="00183611">
        <w:rPr>
          <w:rStyle w:val="FootnoteReference"/>
          <w:sz w:val="18"/>
          <w:szCs w:val="18"/>
        </w:rPr>
        <w:footnoteRef/>
      </w:r>
      <w:r w:rsidRPr="00183611">
        <w:rPr>
          <w:sz w:val="18"/>
          <w:szCs w:val="18"/>
        </w:rPr>
        <w:t xml:space="preserve"> </w:t>
      </w:r>
      <w:r w:rsidRPr="00183611">
        <w:rPr>
          <w:rFonts w:asciiTheme="minorHAnsi" w:hAnsiTheme="minorHAnsi" w:cstheme="minorHAnsi"/>
          <w:sz w:val="16"/>
          <w:szCs w:val="16"/>
        </w:rPr>
        <w:t>Australian Engineered Stone Advisory Group 2019, Application for authorisation to the Australian Competition and Consumer Commission (ACCC), &lt;</w:t>
      </w:r>
      <w:hyperlink r:id="rId8" w:history="1">
        <w:r w:rsidRPr="00183611">
          <w:rPr>
            <w:rStyle w:val="Hyperlink"/>
            <w:rFonts w:asciiTheme="minorHAnsi" w:hAnsiTheme="minorHAnsi" w:cstheme="minorHAnsi"/>
            <w:sz w:val="16"/>
            <w:szCs w:val="16"/>
          </w:rPr>
          <w:t>https://www.accc.gov.au/system/files/public-registers/documents/Australian%20Engineered%20Stone%20Advisory%20Group%20%28AESAG%29%20-%20Application%20Received%20-%2029.11.19%20-%20PR%20VERSION.pdf</w:t>
        </w:r>
      </w:hyperlink>
      <w:r w:rsidRPr="00183611">
        <w:rPr>
          <w:rFonts w:asciiTheme="minorHAnsi" w:hAnsiTheme="minorHAnsi" w:cstheme="minorHAnsi"/>
          <w:sz w:val="16"/>
          <w:szCs w:val="16"/>
        </w:rPr>
        <w:t>&gt;</w:t>
      </w:r>
      <w:r w:rsidR="00A80D6A">
        <w:rPr>
          <w:rFonts w:asciiTheme="minorHAnsi" w:hAnsiTheme="minorHAnsi" w:cstheme="minorHAnsi"/>
          <w:sz w:val="16"/>
          <w:szCs w:val="16"/>
        </w:rPr>
        <w:t>.</w:t>
      </w:r>
    </w:p>
  </w:footnote>
  <w:footnote w:id="12">
    <w:p w14:paraId="0E93F4D0" w14:textId="1B6FD96B" w:rsidR="00F12F7B" w:rsidRPr="00183611" w:rsidRDefault="00F12F7B">
      <w:pPr>
        <w:pStyle w:val="FootnoteText"/>
        <w:rPr>
          <w:sz w:val="18"/>
          <w:szCs w:val="18"/>
        </w:rPr>
      </w:pPr>
      <w:r w:rsidRPr="00183611">
        <w:rPr>
          <w:rStyle w:val="FootnoteReference"/>
          <w:sz w:val="18"/>
          <w:szCs w:val="18"/>
        </w:rPr>
        <w:footnoteRef/>
      </w:r>
      <w:r w:rsidRPr="00183611">
        <w:rPr>
          <w:sz w:val="18"/>
          <w:szCs w:val="18"/>
        </w:rPr>
        <w:t xml:space="preserve"> </w:t>
      </w:r>
      <w:r w:rsidRPr="00183611">
        <w:rPr>
          <w:rFonts w:asciiTheme="minorHAnsi" w:hAnsiTheme="minorHAnsi" w:cstheme="minorHAnsi"/>
          <w:sz w:val="16"/>
          <w:szCs w:val="16"/>
        </w:rPr>
        <w:t>Caesar</w:t>
      </w:r>
      <w:r w:rsidR="0069653E" w:rsidRPr="00183611">
        <w:rPr>
          <w:rFonts w:asciiTheme="minorHAnsi" w:hAnsiTheme="minorHAnsi" w:cstheme="minorHAnsi"/>
          <w:sz w:val="16"/>
          <w:szCs w:val="16"/>
        </w:rPr>
        <w:t>stone submission to the Safe Work Australia Consultation Regulat</w:t>
      </w:r>
      <w:r w:rsidR="001E4108">
        <w:rPr>
          <w:rFonts w:asciiTheme="minorHAnsi" w:hAnsiTheme="minorHAnsi" w:cstheme="minorHAnsi"/>
          <w:sz w:val="16"/>
          <w:szCs w:val="16"/>
        </w:rPr>
        <w:t>ion</w:t>
      </w:r>
      <w:r w:rsidR="0069653E" w:rsidRPr="00183611">
        <w:rPr>
          <w:rFonts w:asciiTheme="minorHAnsi" w:hAnsiTheme="minorHAnsi" w:cstheme="minorHAnsi"/>
          <w:sz w:val="16"/>
          <w:szCs w:val="16"/>
        </w:rPr>
        <w:t xml:space="preserve"> Impact Analysis </w:t>
      </w:r>
      <w:r w:rsidR="00283489" w:rsidRPr="00183611">
        <w:rPr>
          <w:rFonts w:asciiTheme="minorHAnsi" w:hAnsiTheme="minorHAnsi" w:cstheme="minorHAnsi"/>
          <w:sz w:val="16"/>
          <w:szCs w:val="16"/>
        </w:rPr>
        <w:t>– Prohibition on the use of engineered stone</w:t>
      </w:r>
      <w:r w:rsidR="00B1525E">
        <w:rPr>
          <w:rFonts w:asciiTheme="minorHAnsi" w:hAnsiTheme="minorHAnsi" w:cstheme="minorHAnsi"/>
          <w:sz w:val="16"/>
          <w:szCs w:val="16"/>
        </w:rPr>
        <w:t>.</w:t>
      </w:r>
    </w:p>
  </w:footnote>
  <w:footnote w:id="13">
    <w:p w14:paraId="78A65D52" w14:textId="66B70E39" w:rsidR="000C7D74" w:rsidRDefault="000C7D74">
      <w:pPr>
        <w:pStyle w:val="FootnoteText"/>
      </w:pPr>
      <w:r>
        <w:rPr>
          <w:rStyle w:val="FootnoteReference"/>
        </w:rPr>
        <w:footnoteRef/>
      </w:r>
      <w:r>
        <w:t xml:space="preserve"> </w:t>
      </w:r>
      <w:r w:rsidRPr="00907593">
        <w:rPr>
          <w:rFonts w:asciiTheme="minorHAnsi" w:hAnsiTheme="minorHAnsi" w:cstheme="minorHAnsi"/>
          <w:sz w:val="16"/>
          <w:szCs w:val="16"/>
        </w:rPr>
        <w:t>A</w:t>
      </w:r>
      <w:r>
        <w:rPr>
          <w:rFonts w:asciiTheme="minorHAnsi" w:hAnsiTheme="minorHAnsi" w:cstheme="minorHAnsi"/>
          <w:sz w:val="16"/>
          <w:szCs w:val="16"/>
        </w:rPr>
        <w:t xml:space="preserve"> comprehensive analysis of these cohorts is set out in Appendix B.3 and B.4 of the Prohibition Decision RIS.</w:t>
      </w:r>
    </w:p>
  </w:footnote>
  <w:footnote w:id="14">
    <w:p w14:paraId="0177F37D" w14:textId="317D1AB9" w:rsidR="00F70CB8" w:rsidRPr="00364ED9" w:rsidRDefault="00F70CB8">
      <w:pPr>
        <w:pStyle w:val="FootnoteText"/>
        <w:rPr>
          <w:sz w:val="18"/>
          <w:szCs w:val="18"/>
        </w:rPr>
      </w:pPr>
      <w:r w:rsidRPr="00183611">
        <w:rPr>
          <w:rStyle w:val="FootnoteReference"/>
          <w:sz w:val="18"/>
          <w:szCs w:val="18"/>
        </w:rPr>
        <w:footnoteRef/>
      </w:r>
      <w:r w:rsidRPr="00183611">
        <w:rPr>
          <w:sz w:val="18"/>
          <w:szCs w:val="18"/>
        </w:rPr>
        <w:t xml:space="preserve"> </w:t>
      </w:r>
      <w:r w:rsidRPr="00183611">
        <w:rPr>
          <w:rFonts w:asciiTheme="minorHAnsi" w:hAnsiTheme="minorHAnsi" w:cstheme="minorHAnsi"/>
          <w:sz w:val="16"/>
          <w:szCs w:val="16"/>
        </w:rPr>
        <w:t>Safe Work Australia, Decision Regulat</w:t>
      </w:r>
      <w:r w:rsidR="001E4108">
        <w:rPr>
          <w:rFonts w:asciiTheme="minorHAnsi" w:hAnsiTheme="minorHAnsi" w:cstheme="minorHAnsi"/>
          <w:sz w:val="16"/>
          <w:szCs w:val="16"/>
        </w:rPr>
        <w:t>ion</w:t>
      </w:r>
      <w:r w:rsidRPr="00183611">
        <w:rPr>
          <w:rFonts w:asciiTheme="minorHAnsi" w:hAnsiTheme="minorHAnsi" w:cstheme="minorHAnsi"/>
          <w:sz w:val="16"/>
          <w:szCs w:val="16"/>
        </w:rPr>
        <w:t xml:space="preserve"> Impact Statement </w:t>
      </w:r>
      <w:r w:rsidR="000A688B" w:rsidRPr="00183611">
        <w:rPr>
          <w:rFonts w:asciiTheme="minorHAnsi" w:hAnsiTheme="minorHAnsi" w:cstheme="minorHAnsi"/>
          <w:sz w:val="16"/>
          <w:szCs w:val="16"/>
        </w:rPr>
        <w:t>–</w:t>
      </w:r>
      <w:r w:rsidRPr="00183611">
        <w:rPr>
          <w:rFonts w:asciiTheme="minorHAnsi" w:hAnsiTheme="minorHAnsi" w:cstheme="minorHAnsi"/>
          <w:sz w:val="16"/>
          <w:szCs w:val="16"/>
        </w:rPr>
        <w:t xml:space="preserve"> </w:t>
      </w:r>
      <w:r w:rsidR="000A688B" w:rsidRPr="00183611">
        <w:rPr>
          <w:rFonts w:asciiTheme="minorHAnsi" w:hAnsiTheme="minorHAnsi" w:cstheme="minorHAnsi"/>
          <w:sz w:val="16"/>
          <w:szCs w:val="16"/>
        </w:rPr>
        <w:t>Prohibition on the use of engineered stone, Table 21.</w:t>
      </w:r>
    </w:p>
  </w:footnote>
  <w:footnote w:id="15">
    <w:p w14:paraId="0FB710F2" w14:textId="5F2B5B75" w:rsidR="00F92BD2" w:rsidRPr="00364ED9" w:rsidRDefault="00F92BD2">
      <w:pPr>
        <w:pStyle w:val="FootnoteText"/>
        <w:rPr>
          <w:sz w:val="18"/>
          <w:szCs w:val="18"/>
        </w:rPr>
      </w:pPr>
      <w:r w:rsidRPr="00364ED9">
        <w:rPr>
          <w:rStyle w:val="FootnoteReference"/>
          <w:sz w:val="18"/>
          <w:szCs w:val="18"/>
        </w:rPr>
        <w:footnoteRef/>
      </w:r>
      <w:r w:rsidRPr="00364ED9">
        <w:rPr>
          <w:sz w:val="18"/>
          <w:szCs w:val="18"/>
        </w:rPr>
        <w:t xml:space="preserve"> </w:t>
      </w:r>
      <w:r w:rsidRPr="00364ED9">
        <w:rPr>
          <w:rFonts w:asciiTheme="minorHAnsi" w:eastAsiaTheme="minorEastAsia" w:hAnsiTheme="minorHAnsi"/>
          <w:i/>
          <w:color w:val="252525"/>
          <w:sz w:val="16"/>
          <w:szCs w:val="16"/>
          <w:lang w:eastAsia="en-AU"/>
        </w:rPr>
        <w:t>Model Work Health and Safety Regulations</w:t>
      </w:r>
      <w:r w:rsidRPr="00364ED9">
        <w:rPr>
          <w:rFonts w:asciiTheme="minorHAnsi" w:eastAsiaTheme="minorEastAsia" w:hAnsiTheme="minorHAnsi"/>
          <w:color w:val="252525"/>
          <w:sz w:val="16"/>
          <w:szCs w:val="16"/>
          <w:lang w:eastAsia="en-AU"/>
        </w:rPr>
        <w:t>, regulation 184A(3).</w:t>
      </w:r>
    </w:p>
  </w:footnote>
  <w:footnote w:id="16">
    <w:p w14:paraId="661C28CC" w14:textId="77777777" w:rsidR="005F596E" w:rsidRPr="00364ED9" w:rsidRDefault="005F596E" w:rsidP="005F596E">
      <w:pPr>
        <w:pStyle w:val="FootnoteText"/>
        <w:rPr>
          <w:sz w:val="18"/>
          <w:szCs w:val="18"/>
        </w:rPr>
      </w:pPr>
      <w:r w:rsidRPr="00364ED9">
        <w:rPr>
          <w:rStyle w:val="FootnoteReference"/>
          <w:sz w:val="18"/>
          <w:szCs w:val="18"/>
        </w:rPr>
        <w:footnoteRef/>
      </w:r>
      <w:r w:rsidRPr="00364ED9">
        <w:rPr>
          <w:sz w:val="18"/>
          <w:szCs w:val="18"/>
        </w:rPr>
        <w:t xml:space="preserve"> </w:t>
      </w:r>
      <w:r w:rsidRPr="00364ED9">
        <w:rPr>
          <w:rFonts w:asciiTheme="minorHAnsi" w:eastAsiaTheme="minorEastAsia" w:hAnsiTheme="minorHAnsi"/>
          <w:color w:val="252525"/>
          <w:sz w:val="16"/>
          <w:szCs w:val="16"/>
          <w:lang w:eastAsia="en-AU"/>
        </w:rPr>
        <w:t xml:space="preserve">Department of Health, National Dust Disease Taskforce – Interim Report, 20 December 2019. </w:t>
      </w:r>
      <w:hyperlink r:id="rId9" w:history="1">
        <w:r w:rsidRPr="00364ED9">
          <w:rPr>
            <w:rStyle w:val="Hyperlink"/>
            <w:rFonts w:asciiTheme="minorHAnsi" w:eastAsiaTheme="minorEastAsia" w:hAnsiTheme="minorHAnsi"/>
            <w:sz w:val="16"/>
            <w:szCs w:val="16"/>
            <w:lang w:eastAsia="en-AU"/>
          </w:rPr>
          <w:t>https://www.health.gov.au/resources/publications/national-dust-disease-taskforce-interim-advice-to-minister-for-health?language=en</w:t>
        </w:r>
      </w:hyperlink>
    </w:p>
  </w:footnote>
  <w:footnote w:id="17">
    <w:p w14:paraId="3D034BD3" w14:textId="177A4556" w:rsidR="002D7CB1" w:rsidRPr="00364ED9" w:rsidRDefault="002D7CB1">
      <w:pPr>
        <w:pStyle w:val="FootnoteText"/>
        <w:rPr>
          <w:sz w:val="18"/>
          <w:szCs w:val="18"/>
        </w:rPr>
      </w:pPr>
      <w:r w:rsidRPr="00364ED9">
        <w:rPr>
          <w:rStyle w:val="FootnoteReference"/>
          <w:sz w:val="18"/>
          <w:szCs w:val="18"/>
        </w:rPr>
        <w:footnoteRef/>
      </w:r>
      <w:r w:rsidRPr="00364ED9">
        <w:rPr>
          <w:sz w:val="18"/>
          <w:szCs w:val="18"/>
        </w:rPr>
        <w:t xml:space="preserve"> </w:t>
      </w:r>
      <w:r w:rsidRPr="00364ED9">
        <w:rPr>
          <w:rFonts w:asciiTheme="minorHAnsi" w:eastAsiaTheme="minorEastAsia" w:hAnsiTheme="minorHAnsi"/>
          <w:color w:val="252525"/>
          <w:sz w:val="16"/>
          <w:szCs w:val="16"/>
          <w:lang w:eastAsia="en-AU"/>
        </w:rPr>
        <w:t xml:space="preserve">Department of Health, National Dust Disease Taskforce – Final Report, </w:t>
      </w:r>
      <w:r w:rsidR="00527662" w:rsidRPr="00364ED9">
        <w:rPr>
          <w:rFonts w:asciiTheme="minorHAnsi" w:eastAsiaTheme="minorEastAsia" w:hAnsiTheme="minorHAnsi"/>
          <w:color w:val="252525"/>
          <w:sz w:val="16"/>
          <w:szCs w:val="16"/>
          <w:lang w:eastAsia="en-AU"/>
        </w:rPr>
        <w:t xml:space="preserve">30 June 2021. </w:t>
      </w:r>
      <w:hyperlink r:id="rId10" w:history="1">
        <w:r w:rsidR="00527662" w:rsidRPr="00364ED9">
          <w:rPr>
            <w:rStyle w:val="Hyperlink"/>
            <w:rFonts w:asciiTheme="minorHAnsi" w:eastAsiaTheme="minorEastAsia" w:hAnsiTheme="minorHAnsi"/>
            <w:sz w:val="16"/>
            <w:szCs w:val="16"/>
            <w:lang w:eastAsia="en-AU"/>
          </w:rPr>
          <w:t>https://www.health.gov.au/resources/publications/national-dust-disease-taskforce-final-report?language=en</w:t>
        </w:r>
      </w:hyperlink>
    </w:p>
  </w:footnote>
  <w:footnote w:id="18">
    <w:p w14:paraId="7FAEFC15" w14:textId="0DBFA206" w:rsidR="003D378D" w:rsidRPr="00364ED9" w:rsidRDefault="003D378D">
      <w:pPr>
        <w:pStyle w:val="FootnoteText"/>
        <w:rPr>
          <w:sz w:val="18"/>
          <w:szCs w:val="18"/>
        </w:rPr>
      </w:pPr>
      <w:r w:rsidRPr="00364ED9">
        <w:rPr>
          <w:rStyle w:val="FootnoteReference"/>
          <w:sz w:val="18"/>
          <w:szCs w:val="18"/>
        </w:rPr>
        <w:footnoteRef/>
      </w:r>
      <w:r w:rsidRPr="00364ED9">
        <w:rPr>
          <w:sz w:val="18"/>
          <w:szCs w:val="18"/>
        </w:rPr>
        <w:t xml:space="preserve"> </w:t>
      </w:r>
      <w:r w:rsidR="007905C1" w:rsidRPr="00364ED9">
        <w:rPr>
          <w:rFonts w:asciiTheme="minorHAnsi" w:eastAsiaTheme="minorEastAsia" w:hAnsiTheme="minorHAnsi"/>
          <w:color w:val="252525"/>
          <w:sz w:val="16"/>
          <w:szCs w:val="16"/>
          <w:lang w:eastAsia="en-AU"/>
        </w:rPr>
        <w:t xml:space="preserve">Department of Health, National Dust Disease Taskforce – Research Synthesis, </w:t>
      </w:r>
      <w:r w:rsidR="00C858BF" w:rsidRPr="00364ED9">
        <w:rPr>
          <w:rFonts w:asciiTheme="minorHAnsi" w:eastAsiaTheme="minorEastAsia" w:hAnsiTheme="minorHAnsi"/>
          <w:color w:val="252525"/>
          <w:sz w:val="16"/>
          <w:szCs w:val="16"/>
          <w:lang w:eastAsia="en-AU"/>
        </w:rPr>
        <w:t xml:space="preserve">21 February 2021. </w:t>
      </w:r>
      <w:hyperlink r:id="rId11" w:history="1">
        <w:r w:rsidR="00C858BF" w:rsidRPr="00364ED9">
          <w:rPr>
            <w:rStyle w:val="Hyperlink"/>
            <w:rFonts w:asciiTheme="minorHAnsi" w:eastAsiaTheme="minorEastAsia" w:hAnsiTheme="minorHAnsi"/>
            <w:sz w:val="16"/>
            <w:szCs w:val="16"/>
            <w:lang w:eastAsia="en-AU"/>
          </w:rPr>
          <w:t>https://www.health.gov.au/resources/publications/national-dust-disease-taskforce-consultation-synthesis?language=en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3AB6" w14:textId="4CC5B913" w:rsidR="00DC5A8C" w:rsidRDefault="00DC5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CFABC" w14:textId="2ABE7F7E" w:rsidR="008A059F" w:rsidRDefault="008A059F" w:rsidP="00917EF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0E200" w14:textId="11217D04" w:rsidR="00DC5A8C" w:rsidRDefault="00DC5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C917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6F6E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484C9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6B6C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5D0F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590982"/>
    <w:multiLevelType w:val="hybridMultilevel"/>
    <w:tmpl w:val="525AA006"/>
    <w:lvl w:ilvl="0" w:tplc="FFFFFFFF">
      <w:start w:val="62"/>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459739C"/>
    <w:multiLevelType w:val="hybridMultilevel"/>
    <w:tmpl w:val="FB4A0CBE"/>
    <w:lvl w:ilvl="0" w:tplc="0C090003">
      <w:start w:val="1"/>
      <w:numFmt w:val="bullet"/>
      <w:lvlText w:val="o"/>
      <w:lvlJc w:val="left"/>
      <w:pPr>
        <w:ind w:left="1353" w:hanging="360"/>
      </w:pPr>
      <w:rPr>
        <w:rFonts w:ascii="Courier New" w:hAnsi="Courier New" w:cs="Courier New"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7" w15:restartNumberingAfterBreak="0">
    <w:nsid w:val="05345836"/>
    <w:multiLevelType w:val="hybridMultilevel"/>
    <w:tmpl w:val="9FCE38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5339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196DEA"/>
    <w:multiLevelType w:val="hybridMultilevel"/>
    <w:tmpl w:val="BADE563E"/>
    <w:lvl w:ilvl="0" w:tplc="0C090017">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2784946"/>
    <w:multiLevelType w:val="hybridMultilevel"/>
    <w:tmpl w:val="7938D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1676A9"/>
    <w:multiLevelType w:val="hybridMultilevel"/>
    <w:tmpl w:val="144AB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86175A7"/>
    <w:multiLevelType w:val="hybridMultilevel"/>
    <w:tmpl w:val="EEE8BC2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926016C"/>
    <w:multiLevelType w:val="hybridMultilevel"/>
    <w:tmpl w:val="9600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D802E4"/>
    <w:multiLevelType w:val="hybridMultilevel"/>
    <w:tmpl w:val="35846204"/>
    <w:lvl w:ilvl="0" w:tplc="0C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1DA3162C"/>
    <w:multiLevelType w:val="hybridMultilevel"/>
    <w:tmpl w:val="FFFFFFFF"/>
    <w:lvl w:ilvl="0" w:tplc="FFFFFFFF">
      <w:start w:val="1"/>
      <w:numFmt w:val="bullet"/>
      <w:lvlText w:val="•"/>
      <w:lvlJc w:val="left"/>
    </w:lvl>
    <w:lvl w:ilvl="1" w:tplc="8F728B10">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FC050E7"/>
    <w:multiLevelType w:val="hybridMultilevel"/>
    <w:tmpl w:val="0D84D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2831AB"/>
    <w:multiLevelType w:val="multilevel"/>
    <w:tmpl w:val="B18E1B62"/>
    <w:lvl w:ilvl="0">
      <w:start w:val="1"/>
      <w:numFmt w:val="decimal"/>
      <w:lvlText w:val="%1."/>
      <w:lvlJc w:val="left"/>
      <w:pPr>
        <w:ind w:left="360" w:hanging="360"/>
      </w:pPr>
    </w:lvl>
    <w:lvl w:ilvl="1">
      <w:start w:val="1"/>
      <w:numFmt w:val="decimal"/>
      <w:lvlText w:val="%1."/>
      <w:lvlJc w:val="left"/>
      <w:pPr>
        <w:ind w:left="-15" w:hanging="360"/>
      </w:pPr>
    </w:lvl>
    <w:lvl w:ilvl="2">
      <w:start w:val="1"/>
      <w:numFmt w:val="bullet"/>
      <w:lvlText w:val=""/>
      <w:lvlJc w:val="left"/>
      <w:pPr>
        <w:ind w:left="360" w:hanging="360"/>
      </w:pPr>
      <w:rPr>
        <w:rFonts w:ascii="Symbol" w:hAnsi="Symbol" w:hint="default"/>
      </w:rPr>
    </w:lvl>
    <w:lvl w:ilvl="3">
      <w:start w:val="1"/>
      <w:numFmt w:val="decimal"/>
      <w:lvlText w:val="%4."/>
      <w:lvlJc w:val="left"/>
      <w:pPr>
        <w:ind w:left="1425" w:hanging="360"/>
      </w:pPr>
    </w:lvl>
    <w:lvl w:ilvl="4">
      <w:start w:val="1"/>
      <w:numFmt w:val="lowerLetter"/>
      <w:lvlText w:val="%5."/>
      <w:lvlJc w:val="left"/>
      <w:pPr>
        <w:ind w:left="2145" w:hanging="360"/>
      </w:pPr>
    </w:lvl>
    <w:lvl w:ilvl="5" w:tentative="1">
      <w:start w:val="1"/>
      <w:numFmt w:val="lowerRoman"/>
      <w:lvlText w:val="%6."/>
      <w:lvlJc w:val="right"/>
      <w:pPr>
        <w:ind w:left="2865" w:hanging="180"/>
      </w:pPr>
    </w:lvl>
    <w:lvl w:ilvl="6" w:tentative="1">
      <w:start w:val="1"/>
      <w:numFmt w:val="decimal"/>
      <w:lvlText w:val="%7."/>
      <w:lvlJc w:val="left"/>
      <w:pPr>
        <w:ind w:left="3585" w:hanging="360"/>
      </w:pPr>
    </w:lvl>
    <w:lvl w:ilvl="7" w:tentative="1">
      <w:start w:val="1"/>
      <w:numFmt w:val="lowerLetter"/>
      <w:lvlText w:val="%8."/>
      <w:lvlJc w:val="left"/>
      <w:pPr>
        <w:ind w:left="4305" w:hanging="360"/>
      </w:pPr>
    </w:lvl>
    <w:lvl w:ilvl="8" w:tentative="1">
      <w:start w:val="1"/>
      <w:numFmt w:val="lowerRoman"/>
      <w:lvlText w:val="%9."/>
      <w:lvlJc w:val="right"/>
      <w:pPr>
        <w:ind w:left="5025" w:hanging="180"/>
      </w:pPr>
    </w:lvl>
  </w:abstractNum>
  <w:abstractNum w:abstractNumId="20" w15:restartNumberingAfterBreak="0">
    <w:nsid w:val="2A3C1615"/>
    <w:multiLevelType w:val="hybridMultilevel"/>
    <w:tmpl w:val="FFFFFFFF"/>
    <w:lvl w:ilvl="0" w:tplc="BA26B33A">
      <w:start w:val="1"/>
      <w:numFmt w:val="bullet"/>
      <w:lvlText w:val=""/>
      <w:lvlJc w:val="left"/>
      <w:pPr>
        <w:ind w:left="720" w:hanging="360"/>
      </w:pPr>
      <w:rPr>
        <w:rFonts w:ascii="Symbol" w:hAnsi="Symbol" w:hint="default"/>
      </w:rPr>
    </w:lvl>
    <w:lvl w:ilvl="1" w:tplc="3DDEBC18">
      <w:start w:val="1"/>
      <w:numFmt w:val="bullet"/>
      <w:lvlText w:val=""/>
      <w:lvlJc w:val="left"/>
      <w:pPr>
        <w:ind w:left="1440" w:hanging="360"/>
      </w:pPr>
      <w:rPr>
        <w:rFonts w:ascii="Symbol" w:hAnsi="Symbol" w:hint="default"/>
      </w:rPr>
    </w:lvl>
    <w:lvl w:ilvl="2" w:tplc="890E5212">
      <w:start w:val="1"/>
      <w:numFmt w:val="bullet"/>
      <w:lvlText w:val=""/>
      <w:lvlJc w:val="left"/>
      <w:pPr>
        <w:ind w:left="2160" w:hanging="360"/>
      </w:pPr>
      <w:rPr>
        <w:rFonts w:ascii="Wingdings" w:hAnsi="Wingdings" w:hint="default"/>
      </w:rPr>
    </w:lvl>
    <w:lvl w:ilvl="3" w:tplc="D362D128">
      <w:start w:val="1"/>
      <w:numFmt w:val="bullet"/>
      <w:lvlText w:val=""/>
      <w:lvlJc w:val="left"/>
      <w:pPr>
        <w:ind w:left="2880" w:hanging="360"/>
      </w:pPr>
      <w:rPr>
        <w:rFonts w:ascii="Symbol" w:hAnsi="Symbol" w:hint="default"/>
      </w:rPr>
    </w:lvl>
    <w:lvl w:ilvl="4" w:tplc="7BE44C44">
      <w:start w:val="1"/>
      <w:numFmt w:val="bullet"/>
      <w:lvlText w:val="o"/>
      <w:lvlJc w:val="left"/>
      <w:pPr>
        <w:ind w:left="3600" w:hanging="360"/>
      </w:pPr>
      <w:rPr>
        <w:rFonts w:ascii="Courier New" w:hAnsi="Courier New" w:hint="default"/>
      </w:rPr>
    </w:lvl>
    <w:lvl w:ilvl="5" w:tplc="1C4010A4">
      <w:start w:val="1"/>
      <w:numFmt w:val="bullet"/>
      <w:lvlText w:val=""/>
      <w:lvlJc w:val="left"/>
      <w:pPr>
        <w:ind w:left="4320" w:hanging="360"/>
      </w:pPr>
      <w:rPr>
        <w:rFonts w:ascii="Wingdings" w:hAnsi="Wingdings" w:hint="default"/>
      </w:rPr>
    </w:lvl>
    <w:lvl w:ilvl="6" w:tplc="D4EA9500">
      <w:start w:val="1"/>
      <w:numFmt w:val="bullet"/>
      <w:lvlText w:val=""/>
      <w:lvlJc w:val="left"/>
      <w:pPr>
        <w:ind w:left="5040" w:hanging="360"/>
      </w:pPr>
      <w:rPr>
        <w:rFonts w:ascii="Symbol" w:hAnsi="Symbol" w:hint="default"/>
      </w:rPr>
    </w:lvl>
    <w:lvl w:ilvl="7" w:tplc="C6A66570">
      <w:start w:val="1"/>
      <w:numFmt w:val="bullet"/>
      <w:lvlText w:val="o"/>
      <w:lvlJc w:val="left"/>
      <w:pPr>
        <w:ind w:left="5760" w:hanging="360"/>
      </w:pPr>
      <w:rPr>
        <w:rFonts w:ascii="Courier New" w:hAnsi="Courier New" w:hint="default"/>
      </w:rPr>
    </w:lvl>
    <w:lvl w:ilvl="8" w:tplc="CFEC327A">
      <w:start w:val="1"/>
      <w:numFmt w:val="bullet"/>
      <w:lvlText w:val=""/>
      <w:lvlJc w:val="left"/>
      <w:pPr>
        <w:ind w:left="6480" w:hanging="360"/>
      </w:pPr>
      <w:rPr>
        <w:rFonts w:ascii="Wingdings" w:hAnsi="Wingdings" w:hint="default"/>
      </w:rPr>
    </w:lvl>
  </w:abstractNum>
  <w:abstractNum w:abstractNumId="21" w15:restartNumberingAfterBreak="0">
    <w:nsid w:val="2AD90ED6"/>
    <w:multiLevelType w:val="hybridMultilevel"/>
    <w:tmpl w:val="D166D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AE241E"/>
    <w:multiLevelType w:val="hybridMultilevel"/>
    <w:tmpl w:val="9322E20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0DE0454"/>
    <w:multiLevelType w:val="hybridMultilevel"/>
    <w:tmpl w:val="2E143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507046D"/>
    <w:multiLevelType w:val="hybridMultilevel"/>
    <w:tmpl w:val="AE14D4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833A39"/>
    <w:multiLevelType w:val="multilevel"/>
    <w:tmpl w:val="8ACC3DB8"/>
    <w:lvl w:ilvl="0">
      <w:start w:val="1"/>
      <w:numFmt w:val="decimal"/>
      <w:lvlText w:val="%1"/>
      <w:lvlJc w:val="left"/>
      <w:pPr>
        <w:ind w:left="3338" w:hanging="360"/>
      </w:pPr>
      <w:rPr>
        <w:rFonts w:hint="default"/>
        <w:sz w:val="28"/>
      </w:rPr>
    </w:lvl>
    <w:lvl w:ilvl="1">
      <w:start w:val="1"/>
      <w:numFmt w:val="decimal"/>
      <w:lvlText w:val="%1.%2"/>
      <w:lvlJc w:val="left"/>
      <w:pPr>
        <w:tabs>
          <w:tab w:val="num" w:pos="340"/>
        </w:tabs>
        <w:ind w:left="340" w:firstLine="0"/>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BBB4575"/>
    <w:multiLevelType w:val="multilevel"/>
    <w:tmpl w:val="1F38328A"/>
    <w:lvl w:ilvl="0">
      <w:start w:val="1"/>
      <w:numFmt w:val="decimal"/>
      <w:lvlText w:val="%1"/>
      <w:lvlJc w:val="left"/>
      <w:pPr>
        <w:ind w:left="3338" w:hanging="360"/>
      </w:pPr>
      <w:rPr>
        <w:rFonts w:hint="default"/>
        <w:sz w:val="28"/>
      </w:rPr>
    </w:lvl>
    <w:lvl w:ilvl="1">
      <w:start w:val="1"/>
      <w:numFmt w:val="decimal"/>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793C47"/>
    <w:multiLevelType w:val="hybridMultilevel"/>
    <w:tmpl w:val="650C0F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AA3EF8"/>
    <w:multiLevelType w:val="hybridMultilevel"/>
    <w:tmpl w:val="942496CC"/>
    <w:lvl w:ilvl="0" w:tplc="C9CE60F8">
      <w:start w:val="1"/>
      <w:numFmt w:val="decimal"/>
      <w:lvlText w:val="%1."/>
      <w:lvlJc w:val="left"/>
      <w:pPr>
        <w:ind w:left="720" w:hanging="67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31" w15:restartNumberingAfterBreak="0">
    <w:nsid w:val="6AA627D2"/>
    <w:multiLevelType w:val="hybridMultilevel"/>
    <w:tmpl w:val="BBB00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382FA5"/>
    <w:multiLevelType w:val="hybridMultilevel"/>
    <w:tmpl w:val="D6BC7EA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23"/>
  </w:num>
  <w:num w:numId="3">
    <w:abstractNumId w:val="2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4"/>
  </w:num>
  <w:num w:numId="7">
    <w:abstractNumId w:val="5"/>
  </w:num>
  <w:num w:numId="8">
    <w:abstractNumId w:val="22"/>
  </w:num>
  <w:num w:numId="9">
    <w:abstractNumId w:val="14"/>
  </w:num>
  <w:num w:numId="10">
    <w:abstractNumId w:val="16"/>
  </w:num>
  <w:num w:numId="11">
    <w:abstractNumId w:val="10"/>
  </w:num>
  <w:num w:numId="12">
    <w:abstractNumId w:val="6"/>
  </w:num>
  <w:num w:numId="13">
    <w:abstractNumId w:val="26"/>
  </w:num>
  <w:num w:numId="14">
    <w:abstractNumId w:val="31"/>
  </w:num>
  <w:num w:numId="15">
    <w:abstractNumId w:val="18"/>
  </w:num>
  <w:num w:numId="16">
    <w:abstractNumId w:val="21"/>
  </w:num>
  <w:num w:numId="17">
    <w:abstractNumId w:val="32"/>
  </w:num>
  <w:num w:numId="18">
    <w:abstractNumId w:val="7"/>
  </w:num>
  <w:num w:numId="19">
    <w:abstractNumId w:val="11"/>
  </w:num>
  <w:num w:numId="20">
    <w:abstractNumId w:val="29"/>
  </w:num>
  <w:num w:numId="21">
    <w:abstractNumId w:val="13"/>
  </w:num>
  <w:num w:numId="22">
    <w:abstractNumId w:val="15"/>
  </w:num>
  <w:num w:numId="23">
    <w:abstractNumId w:val="30"/>
  </w:num>
  <w:num w:numId="24">
    <w:abstractNumId w:val="19"/>
  </w:num>
  <w:num w:numId="25">
    <w:abstractNumId w:val="8"/>
  </w:num>
  <w:num w:numId="26">
    <w:abstractNumId w:val="2"/>
  </w:num>
  <w:num w:numId="27">
    <w:abstractNumId w:val="0"/>
  </w:num>
  <w:num w:numId="28">
    <w:abstractNumId w:val="1"/>
  </w:num>
  <w:num w:numId="29">
    <w:abstractNumId w:val="3"/>
  </w:num>
  <w:num w:numId="30">
    <w:abstractNumId w:val="4"/>
  </w:num>
  <w:num w:numId="31">
    <w:abstractNumId w:val="17"/>
  </w:num>
  <w:num w:numId="32">
    <w:abstractNumId w:val="28"/>
  </w:num>
  <w:num w:numId="33">
    <w:abstractNumId w:val="12"/>
  </w:num>
  <w:num w:numId="3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4EE094"/>
    <w:rsid w:val="00000130"/>
    <w:rsid w:val="0000028D"/>
    <w:rsid w:val="000004F2"/>
    <w:rsid w:val="00000688"/>
    <w:rsid w:val="00000C42"/>
    <w:rsid w:val="0000100E"/>
    <w:rsid w:val="00001E1D"/>
    <w:rsid w:val="00002345"/>
    <w:rsid w:val="000024EA"/>
    <w:rsid w:val="000028B8"/>
    <w:rsid w:val="00003956"/>
    <w:rsid w:val="0000408D"/>
    <w:rsid w:val="00004107"/>
    <w:rsid w:val="00004812"/>
    <w:rsid w:val="000053AB"/>
    <w:rsid w:val="000053AF"/>
    <w:rsid w:val="00005741"/>
    <w:rsid w:val="000058B1"/>
    <w:rsid w:val="000058FC"/>
    <w:rsid w:val="00005A64"/>
    <w:rsid w:val="00006571"/>
    <w:rsid w:val="000068BE"/>
    <w:rsid w:val="0000699F"/>
    <w:rsid w:val="00006A0B"/>
    <w:rsid w:val="00006CAB"/>
    <w:rsid w:val="00007C50"/>
    <w:rsid w:val="0001054F"/>
    <w:rsid w:val="000112E2"/>
    <w:rsid w:val="00011648"/>
    <w:rsid w:val="00011CBD"/>
    <w:rsid w:val="00011E63"/>
    <w:rsid w:val="000120D4"/>
    <w:rsid w:val="000128E9"/>
    <w:rsid w:val="00012902"/>
    <w:rsid w:val="00012F4A"/>
    <w:rsid w:val="000131BC"/>
    <w:rsid w:val="00014679"/>
    <w:rsid w:val="00014A25"/>
    <w:rsid w:val="00014D4A"/>
    <w:rsid w:val="0001552D"/>
    <w:rsid w:val="000155BA"/>
    <w:rsid w:val="0001567F"/>
    <w:rsid w:val="0001598C"/>
    <w:rsid w:val="00016321"/>
    <w:rsid w:val="00016986"/>
    <w:rsid w:val="000172C2"/>
    <w:rsid w:val="00017C24"/>
    <w:rsid w:val="00017FDF"/>
    <w:rsid w:val="0002007F"/>
    <w:rsid w:val="0002011E"/>
    <w:rsid w:val="00021E9B"/>
    <w:rsid w:val="000223D4"/>
    <w:rsid w:val="000223F9"/>
    <w:rsid w:val="00022406"/>
    <w:rsid w:val="00023181"/>
    <w:rsid w:val="00023818"/>
    <w:rsid w:val="00023CAB"/>
    <w:rsid w:val="000241C7"/>
    <w:rsid w:val="00024214"/>
    <w:rsid w:val="00024851"/>
    <w:rsid w:val="00024B40"/>
    <w:rsid w:val="00024FAF"/>
    <w:rsid w:val="000250A8"/>
    <w:rsid w:val="00025466"/>
    <w:rsid w:val="00025903"/>
    <w:rsid w:val="00025CE8"/>
    <w:rsid w:val="00025F21"/>
    <w:rsid w:val="00026A01"/>
    <w:rsid w:val="000270B0"/>
    <w:rsid w:val="00027448"/>
    <w:rsid w:val="000274CD"/>
    <w:rsid w:val="000275B2"/>
    <w:rsid w:val="000276F8"/>
    <w:rsid w:val="00027F93"/>
    <w:rsid w:val="0003032D"/>
    <w:rsid w:val="0003066B"/>
    <w:rsid w:val="00030A67"/>
    <w:rsid w:val="00030C01"/>
    <w:rsid w:val="0003138A"/>
    <w:rsid w:val="000313C8"/>
    <w:rsid w:val="00031D3D"/>
    <w:rsid w:val="00032388"/>
    <w:rsid w:val="0003258A"/>
    <w:rsid w:val="00032750"/>
    <w:rsid w:val="00032ED9"/>
    <w:rsid w:val="00032FD1"/>
    <w:rsid w:val="00033505"/>
    <w:rsid w:val="000336B4"/>
    <w:rsid w:val="00033841"/>
    <w:rsid w:val="000338C0"/>
    <w:rsid w:val="000339E0"/>
    <w:rsid w:val="00033BF7"/>
    <w:rsid w:val="00034027"/>
    <w:rsid w:val="0003477C"/>
    <w:rsid w:val="00034C35"/>
    <w:rsid w:val="00035AFB"/>
    <w:rsid w:val="00035CE0"/>
    <w:rsid w:val="0003636B"/>
    <w:rsid w:val="0003674F"/>
    <w:rsid w:val="00037826"/>
    <w:rsid w:val="00037FBB"/>
    <w:rsid w:val="000407BF"/>
    <w:rsid w:val="000408A0"/>
    <w:rsid w:val="00040B3B"/>
    <w:rsid w:val="00041015"/>
    <w:rsid w:val="0004144D"/>
    <w:rsid w:val="00041B2C"/>
    <w:rsid w:val="00041C6D"/>
    <w:rsid w:val="00042DA9"/>
    <w:rsid w:val="00042F20"/>
    <w:rsid w:val="00042FFF"/>
    <w:rsid w:val="00043951"/>
    <w:rsid w:val="00043975"/>
    <w:rsid w:val="000442B3"/>
    <w:rsid w:val="0004479C"/>
    <w:rsid w:val="00044CC4"/>
    <w:rsid w:val="000453FD"/>
    <w:rsid w:val="00045648"/>
    <w:rsid w:val="00045EA1"/>
    <w:rsid w:val="00047A71"/>
    <w:rsid w:val="00047B19"/>
    <w:rsid w:val="0005063E"/>
    <w:rsid w:val="000508FB"/>
    <w:rsid w:val="00050BF5"/>
    <w:rsid w:val="00050E01"/>
    <w:rsid w:val="00050E68"/>
    <w:rsid w:val="0005142C"/>
    <w:rsid w:val="000516CC"/>
    <w:rsid w:val="00051CFD"/>
    <w:rsid w:val="0005203E"/>
    <w:rsid w:val="00052229"/>
    <w:rsid w:val="00052A2A"/>
    <w:rsid w:val="00053011"/>
    <w:rsid w:val="000533F1"/>
    <w:rsid w:val="00053A3F"/>
    <w:rsid w:val="00053A64"/>
    <w:rsid w:val="00053BC8"/>
    <w:rsid w:val="00054095"/>
    <w:rsid w:val="00055A3B"/>
    <w:rsid w:val="00055A69"/>
    <w:rsid w:val="00055F94"/>
    <w:rsid w:val="00056B18"/>
    <w:rsid w:val="00056B77"/>
    <w:rsid w:val="00057170"/>
    <w:rsid w:val="00057386"/>
    <w:rsid w:val="00057AFA"/>
    <w:rsid w:val="00057DD2"/>
    <w:rsid w:val="00057FCD"/>
    <w:rsid w:val="000603C8"/>
    <w:rsid w:val="0006069A"/>
    <w:rsid w:val="00060905"/>
    <w:rsid w:val="00060A38"/>
    <w:rsid w:val="00060C24"/>
    <w:rsid w:val="000611F6"/>
    <w:rsid w:val="0006120B"/>
    <w:rsid w:val="0006150B"/>
    <w:rsid w:val="000616FE"/>
    <w:rsid w:val="00061A4B"/>
    <w:rsid w:val="00061C37"/>
    <w:rsid w:val="00061D1A"/>
    <w:rsid w:val="00061F99"/>
    <w:rsid w:val="0006252E"/>
    <w:rsid w:val="000629F8"/>
    <w:rsid w:val="00062A59"/>
    <w:rsid w:val="00062E40"/>
    <w:rsid w:val="00063151"/>
    <w:rsid w:val="0006362C"/>
    <w:rsid w:val="00064124"/>
    <w:rsid w:val="00064700"/>
    <w:rsid w:val="00064745"/>
    <w:rsid w:val="000647D7"/>
    <w:rsid w:val="00064851"/>
    <w:rsid w:val="000650B5"/>
    <w:rsid w:val="00065185"/>
    <w:rsid w:val="00065C0A"/>
    <w:rsid w:val="000662A5"/>
    <w:rsid w:val="0006678F"/>
    <w:rsid w:val="0006687A"/>
    <w:rsid w:val="00066AE8"/>
    <w:rsid w:val="00066C65"/>
    <w:rsid w:val="00067473"/>
    <w:rsid w:val="00067FE6"/>
    <w:rsid w:val="00070564"/>
    <w:rsid w:val="00070C7C"/>
    <w:rsid w:val="00070CBD"/>
    <w:rsid w:val="00070DBE"/>
    <w:rsid w:val="00070EF1"/>
    <w:rsid w:val="000711AA"/>
    <w:rsid w:val="00071615"/>
    <w:rsid w:val="000719EB"/>
    <w:rsid w:val="000729AF"/>
    <w:rsid w:val="000736AF"/>
    <w:rsid w:val="00074056"/>
    <w:rsid w:val="0007433D"/>
    <w:rsid w:val="00074DE9"/>
    <w:rsid w:val="00074EED"/>
    <w:rsid w:val="0007527E"/>
    <w:rsid w:val="00075587"/>
    <w:rsid w:val="00075ABC"/>
    <w:rsid w:val="0007600C"/>
    <w:rsid w:val="00076D65"/>
    <w:rsid w:val="00077142"/>
    <w:rsid w:val="00077525"/>
    <w:rsid w:val="000775F7"/>
    <w:rsid w:val="00077C91"/>
    <w:rsid w:val="0008008D"/>
    <w:rsid w:val="00080B04"/>
    <w:rsid w:val="00080C3A"/>
    <w:rsid w:val="00081105"/>
    <w:rsid w:val="00081181"/>
    <w:rsid w:val="00081305"/>
    <w:rsid w:val="000814B4"/>
    <w:rsid w:val="0008178B"/>
    <w:rsid w:val="00081D5F"/>
    <w:rsid w:val="00081E6F"/>
    <w:rsid w:val="000825B9"/>
    <w:rsid w:val="000833A3"/>
    <w:rsid w:val="00083411"/>
    <w:rsid w:val="000837A5"/>
    <w:rsid w:val="00083E71"/>
    <w:rsid w:val="00083F9E"/>
    <w:rsid w:val="000844F7"/>
    <w:rsid w:val="00084C7D"/>
    <w:rsid w:val="00085480"/>
    <w:rsid w:val="00085F6C"/>
    <w:rsid w:val="000862C5"/>
    <w:rsid w:val="000864DD"/>
    <w:rsid w:val="00086A5E"/>
    <w:rsid w:val="0008762C"/>
    <w:rsid w:val="000876AD"/>
    <w:rsid w:val="0008784D"/>
    <w:rsid w:val="00090284"/>
    <w:rsid w:val="00090801"/>
    <w:rsid w:val="00091067"/>
    <w:rsid w:val="00091C98"/>
    <w:rsid w:val="00091F01"/>
    <w:rsid w:val="00092278"/>
    <w:rsid w:val="00092382"/>
    <w:rsid w:val="00092B7C"/>
    <w:rsid w:val="00092E9E"/>
    <w:rsid w:val="00092F5F"/>
    <w:rsid w:val="00093299"/>
    <w:rsid w:val="00093A51"/>
    <w:rsid w:val="00093F9F"/>
    <w:rsid w:val="0009402F"/>
    <w:rsid w:val="0009410A"/>
    <w:rsid w:val="000949C2"/>
    <w:rsid w:val="00094CF9"/>
    <w:rsid w:val="0009508F"/>
    <w:rsid w:val="0009673F"/>
    <w:rsid w:val="000967C3"/>
    <w:rsid w:val="000967D3"/>
    <w:rsid w:val="0009748D"/>
    <w:rsid w:val="00097961"/>
    <w:rsid w:val="00097ABB"/>
    <w:rsid w:val="00097D40"/>
    <w:rsid w:val="000A0354"/>
    <w:rsid w:val="000A0A03"/>
    <w:rsid w:val="000A1435"/>
    <w:rsid w:val="000A1E5F"/>
    <w:rsid w:val="000A2340"/>
    <w:rsid w:val="000A2348"/>
    <w:rsid w:val="000A3C27"/>
    <w:rsid w:val="000A45E6"/>
    <w:rsid w:val="000A4A82"/>
    <w:rsid w:val="000A4D29"/>
    <w:rsid w:val="000A4FAD"/>
    <w:rsid w:val="000A55ED"/>
    <w:rsid w:val="000A5DA4"/>
    <w:rsid w:val="000A5F75"/>
    <w:rsid w:val="000A61EA"/>
    <w:rsid w:val="000A688B"/>
    <w:rsid w:val="000A69C6"/>
    <w:rsid w:val="000A6B69"/>
    <w:rsid w:val="000A6D24"/>
    <w:rsid w:val="000A7398"/>
    <w:rsid w:val="000A7FEE"/>
    <w:rsid w:val="000B0C59"/>
    <w:rsid w:val="000B1290"/>
    <w:rsid w:val="000B16C9"/>
    <w:rsid w:val="000B1BA2"/>
    <w:rsid w:val="000B1FF3"/>
    <w:rsid w:val="000B2670"/>
    <w:rsid w:val="000B2728"/>
    <w:rsid w:val="000B2A2F"/>
    <w:rsid w:val="000B2C7B"/>
    <w:rsid w:val="000B3666"/>
    <w:rsid w:val="000B44E1"/>
    <w:rsid w:val="000B4A23"/>
    <w:rsid w:val="000B5076"/>
    <w:rsid w:val="000B52B8"/>
    <w:rsid w:val="000B5ACA"/>
    <w:rsid w:val="000B6325"/>
    <w:rsid w:val="000B65F4"/>
    <w:rsid w:val="000B66C9"/>
    <w:rsid w:val="000B69E9"/>
    <w:rsid w:val="000B6D1B"/>
    <w:rsid w:val="000B6DC1"/>
    <w:rsid w:val="000B73D7"/>
    <w:rsid w:val="000B79B3"/>
    <w:rsid w:val="000B7C1F"/>
    <w:rsid w:val="000B7FCD"/>
    <w:rsid w:val="000C0C17"/>
    <w:rsid w:val="000C1359"/>
    <w:rsid w:val="000C1A7C"/>
    <w:rsid w:val="000C1E0D"/>
    <w:rsid w:val="000C1FD3"/>
    <w:rsid w:val="000C226C"/>
    <w:rsid w:val="000C2831"/>
    <w:rsid w:val="000C28A7"/>
    <w:rsid w:val="000C2D50"/>
    <w:rsid w:val="000C3A52"/>
    <w:rsid w:val="000C3ADC"/>
    <w:rsid w:val="000C3E07"/>
    <w:rsid w:val="000C4673"/>
    <w:rsid w:val="000C4B90"/>
    <w:rsid w:val="000C4D69"/>
    <w:rsid w:val="000C4E44"/>
    <w:rsid w:val="000C570F"/>
    <w:rsid w:val="000C64EF"/>
    <w:rsid w:val="000C7004"/>
    <w:rsid w:val="000C7D74"/>
    <w:rsid w:val="000D0010"/>
    <w:rsid w:val="000D00C9"/>
    <w:rsid w:val="000D042A"/>
    <w:rsid w:val="000D0D97"/>
    <w:rsid w:val="000D13E7"/>
    <w:rsid w:val="000D1987"/>
    <w:rsid w:val="000D1B16"/>
    <w:rsid w:val="000D1DB3"/>
    <w:rsid w:val="000D23E1"/>
    <w:rsid w:val="000D26C4"/>
    <w:rsid w:val="000D2B66"/>
    <w:rsid w:val="000D2B8A"/>
    <w:rsid w:val="000D327F"/>
    <w:rsid w:val="000D3893"/>
    <w:rsid w:val="000D4199"/>
    <w:rsid w:val="000D5022"/>
    <w:rsid w:val="000D617C"/>
    <w:rsid w:val="000D62C5"/>
    <w:rsid w:val="000D6557"/>
    <w:rsid w:val="000D661F"/>
    <w:rsid w:val="000D6D7B"/>
    <w:rsid w:val="000D6EBD"/>
    <w:rsid w:val="000D738A"/>
    <w:rsid w:val="000D7762"/>
    <w:rsid w:val="000D7B70"/>
    <w:rsid w:val="000D7E4C"/>
    <w:rsid w:val="000E0162"/>
    <w:rsid w:val="000E0435"/>
    <w:rsid w:val="000E06F7"/>
    <w:rsid w:val="000E08D2"/>
    <w:rsid w:val="000E0AB7"/>
    <w:rsid w:val="000E0B90"/>
    <w:rsid w:val="000E1589"/>
    <w:rsid w:val="000E15B4"/>
    <w:rsid w:val="000E1F86"/>
    <w:rsid w:val="000E20DB"/>
    <w:rsid w:val="000E24F4"/>
    <w:rsid w:val="000E2FCD"/>
    <w:rsid w:val="000E3F6D"/>
    <w:rsid w:val="000E4166"/>
    <w:rsid w:val="000E44C2"/>
    <w:rsid w:val="000E52D2"/>
    <w:rsid w:val="000E5F9C"/>
    <w:rsid w:val="000E6BF0"/>
    <w:rsid w:val="000E736F"/>
    <w:rsid w:val="000E758B"/>
    <w:rsid w:val="000E7899"/>
    <w:rsid w:val="000E7B1C"/>
    <w:rsid w:val="000F072D"/>
    <w:rsid w:val="000F0C5C"/>
    <w:rsid w:val="000F12FB"/>
    <w:rsid w:val="000F1AA2"/>
    <w:rsid w:val="000F1D2C"/>
    <w:rsid w:val="000F1E5E"/>
    <w:rsid w:val="000F21E7"/>
    <w:rsid w:val="000F2338"/>
    <w:rsid w:val="000F24FA"/>
    <w:rsid w:val="000F2541"/>
    <w:rsid w:val="000F27F2"/>
    <w:rsid w:val="000F2853"/>
    <w:rsid w:val="000F2A03"/>
    <w:rsid w:val="000F2C67"/>
    <w:rsid w:val="000F340F"/>
    <w:rsid w:val="000F388D"/>
    <w:rsid w:val="000F3A33"/>
    <w:rsid w:val="000F3DEA"/>
    <w:rsid w:val="000F4241"/>
    <w:rsid w:val="000F5086"/>
    <w:rsid w:val="000F6455"/>
    <w:rsid w:val="000F6ADE"/>
    <w:rsid w:val="000F6F6A"/>
    <w:rsid w:val="000F7220"/>
    <w:rsid w:val="00100728"/>
    <w:rsid w:val="0010074C"/>
    <w:rsid w:val="00100A6B"/>
    <w:rsid w:val="00100AF4"/>
    <w:rsid w:val="00100E42"/>
    <w:rsid w:val="00100F0C"/>
    <w:rsid w:val="00101056"/>
    <w:rsid w:val="00101279"/>
    <w:rsid w:val="001014DD"/>
    <w:rsid w:val="00101BDF"/>
    <w:rsid w:val="00101E1A"/>
    <w:rsid w:val="00101EB6"/>
    <w:rsid w:val="00102147"/>
    <w:rsid w:val="00102405"/>
    <w:rsid w:val="00102501"/>
    <w:rsid w:val="00102DF6"/>
    <w:rsid w:val="0010306A"/>
    <w:rsid w:val="001034F0"/>
    <w:rsid w:val="00104C0B"/>
    <w:rsid w:val="00104D43"/>
    <w:rsid w:val="0010504F"/>
    <w:rsid w:val="0010553A"/>
    <w:rsid w:val="001059C7"/>
    <w:rsid w:val="00105B6B"/>
    <w:rsid w:val="0010628E"/>
    <w:rsid w:val="00106461"/>
    <w:rsid w:val="001066C0"/>
    <w:rsid w:val="00106AED"/>
    <w:rsid w:val="001075FF"/>
    <w:rsid w:val="00107B81"/>
    <w:rsid w:val="00107E62"/>
    <w:rsid w:val="001103DE"/>
    <w:rsid w:val="001109E8"/>
    <w:rsid w:val="001113AF"/>
    <w:rsid w:val="001116B1"/>
    <w:rsid w:val="001117E1"/>
    <w:rsid w:val="00111E90"/>
    <w:rsid w:val="00111F79"/>
    <w:rsid w:val="001123EE"/>
    <w:rsid w:val="00112BB6"/>
    <w:rsid w:val="00112EAB"/>
    <w:rsid w:val="00112FFF"/>
    <w:rsid w:val="0011326E"/>
    <w:rsid w:val="001135B9"/>
    <w:rsid w:val="0011378B"/>
    <w:rsid w:val="001138FD"/>
    <w:rsid w:val="001139F3"/>
    <w:rsid w:val="00113A08"/>
    <w:rsid w:val="0011423C"/>
    <w:rsid w:val="00114296"/>
    <w:rsid w:val="001145DE"/>
    <w:rsid w:val="001146BB"/>
    <w:rsid w:val="00115223"/>
    <w:rsid w:val="001153C2"/>
    <w:rsid w:val="00115438"/>
    <w:rsid w:val="001156B6"/>
    <w:rsid w:val="00115D66"/>
    <w:rsid w:val="001161A1"/>
    <w:rsid w:val="001163B5"/>
    <w:rsid w:val="00116455"/>
    <w:rsid w:val="001169AD"/>
    <w:rsid w:val="00116B11"/>
    <w:rsid w:val="00116CBD"/>
    <w:rsid w:val="00117774"/>
    <w:rsid w:val="00117BF6"/>
    <w:rsid w:val="00117EC3"/>
    <w:rsid w:val="001205DE"/>
    <w:rsid w:val="00120D2A"/>
    <w:rsid w:val="00120E41"/>
    <w:rsid w:val="00121223"/>
    <w:rsid w:val="001212C6"/>
    <w:rsid w:val="00121461"/>
    <w:rsid w:val="001217B4"/>
    <w:rsid w:val="00121D18"/>
    <w:rsid w:val="001223D9"/>
    <w:rsid w:val="001225B6"/>
    <w:rsid w:val="00122C01"/>
    <w:rsid w:val="001234CE"/>
    <w:rsid w:val="00123844"/>
    <w:rsid w:val="00123E10"/>
    <w:rsid w:val="001246FA"/>
    <w:rsid w:val="00125591"/>
    <w:rsid w:val="001256BC"/>
    <w:rsid w:val="00126527"/>
    <w:rsid w:val="00126804"/>
    <w:rsid w:val="00126AAD"/>
    <w:rsid w:val="00126B26"/>
    <w:rsid w:val="00127878"/>
    <w:rsid w:val="00127886"/>
    <w:rsid w:val="00127E3B"/>
    <w:rsid w:val="00130169"/>
    <w:rsid w:val="00130359"/>
    <w:rsid w:val="00130738"/>
    <w:rsid w:val="001311B4"/>
    <w:rsid w:val="0013130B"/>
    <w:rsid w:val="00131A68"/>
    <w:rsid w:val="00131CDC"/>
    <w:rsid w:val="00131EAA"/>
    <w:rsid w:val="00132443"/>
    <w:rsid w:val="00132512"/>
    <w:rsid w:val="0013282D"/>
    <w:rsid w:val="00132936"/>
    <w:rsid w:val="00132E79"/>
    <w:rsid w:val="00132E8F"/>
    <w:rsid w:val="0013356C"/>
    <w:rsid w:val="00133FD6"/>
    <w:rsid w:val="00134733"/>
    <w:rsid w:val="001348A1"/>
    <w:rsid w:val="001349AF"/>
    <w:rsid w:val="001357AA"/>
    <w:rsid w:val="00135BBD"/>
    <w:rsid w:val="00136436"/>
    <w:rsid w:val="00136534"/>
    <w:rsid w:val="00136CC4"/>
    <w:rsid w:val="00136F29"/>
    <w:rsid w:val="00136FF7"/>
    <w:rsid w:val="0013708E"/>
    <w:rsid w:val="00137518"/>
    <w:rsid w:val="001376A1"/>
    <w:rsid w:val="0013785A"/>
    <w:rsid w:val="00137F79"/>
    <w:rsid w:val="0014064D"/>
    <w:rsid w:val="001406AA"/>
    <w:rsid w:val="001409EE"/>
    <w:rsid w:val="00140C34"/>
    <w:rsid w:val="0014121C"/>
    <w:rsid w:val="001415E8"/>
    <w:rsid w:val="0014198E"/>
    <w:rsid w:val="00141DB0"/>
    <w:rsid w:val="001420CE"/>
    <w:rsid w:val="001421CF"/>
    <w:rsid w:val="00142F40"/>
    <w:rsid w:val="00143718"/>
    <w:rsid w:val="0014372B"/>
    <w:rsid w:val="0014408F"/>
    <w:rsid w:val="00144471"/>
    <w:rsid w:val="001446B5"/>
    <w:rsid w:val="0014504F"/>
    <w:rsid w:val="0014580F"/>
    <w:rsid w:val="0014582F"/>
    <w:rsid w:val="0014622D"/>
    <w:rsid w:val="001462E1"/>
    <w:rsid w:val="00146401"/>
    <w:rsid w:val="00146437"/>
    <w:rsid w:val="00146715"/>
    <w:rsid w:val="0014681A"/>
    <w:rsid w:val="00146892"/>
    <w:rsid w:val="00146E28"/>
    <w:rsid w:val="0014755E"/>
    <w:rsid w:val="001506B4"/>
    <w:rsid w:val="00150794"/>
    <w:rsid w:val="00150BF2"/>
    <w:rsid w:val="00150CB9"/>
    <w:rsid w:val="00150DDC"/>
    <w:rsid w:val="00150F0A"/>
    <w:rsid w:val="00151032"/>
    <w:rsid w:val="0015191D"/>
    <w:rsid w:val="00151A20"/>
    <w:rsid w:val="00151C7C"/>
    <w:rsid w:val="0015220A"/>
    <w:rsid w:val="001528A2"/>
    <w:rsid w:val="001536B7"/>
    <w:rsid w:val="00153740"/>
    <w:rsid w:val="00153CE4"/>
    <w:rsid w:val="001545EA"/>
    <w:rsid w:val="00154784"/>
    <w:rsid w:val="00154A88"/>
    <w:rsid w:val="00154B8A"/>
    <w:rsid w:val="00154D4C"/>
    <w:rsid w:val="00155668"/>
    <w:rsid w:val="00155689"/>
    <w:rsid w:val="001558C1"/>
    <w:rsid w:val="00156922"/>
    <w:rsid w:val="00156D28"/>
    <w:rsid w:val="00157074"/>
    <w:rsid w:val="00157EBE"/>
    <w:rsid w:val="00160472"/>
    <w:rsid w:val="00160989"/>
    <w:rsid w:val="00160E2F"/>
    <w:rsid w:val="00161520"/>
    <w:rsid w:val="00161571"/>
    <w:rsid w:val="00161836"/>
    <w:rsid w:val="00161BFC"/>
    <w:rsid w:val="00161CB2"/>
    <w:rsid w:val="00161FBA"/>
    <w:rsid w:val="00162241"/>
    <w:rsid w:val="0016236F"/>
    <w:rsid w:val="00162508"/>
    <w:rsid w:val="00162CF9"/>
    <w:rsid w:val="00162DF6"/>
    <w:rsid w:val="001640E4"/>
    <w:rsid w:val="00164385"/>
    <w:rsid w:val="00164436"/>
    <w:rsid w:val="00165386"/>
    <w:rsid w:val="001659F0"/>
    <w:rsid w:val="00165A90"/>
    <w:rsid w:val="00165DAE"/>
    <w:rsid w:val="00166410"/>
    <w:rsid w:val="001668F1"/>
    <w:rsid w:val="00166F4D"/>
    <w:rsid w:val="00166FB7"/>
    <w:rsid w:val="001673F1"/>
    <w:rsid w:val="00167540"/>
    <w:rsid w:val="00167AFA"/>
    <w:rsid w:val="00167F66"/>
    <w:rsid w:val="00167F9F"/>
    <w:rsid w:val="00170402"/>
    <w:rsid w:val="00171C27"/>
    <w:rsid w:val="001721FC"/>
    <w:rsid w:val="00172C9B"/>
    <w:rsid w:val="00172FB7"/>
    <w:rsid w:val="001730E9"/>
    <w:rsid w:val="0017327B"/>
    <w:rsid w:val="001738B6"/>
    <w:rsid w:val="001746DF"/>
    <w:rsid w:val="00174D09"/>
    <w:rsid w:val="00174E97"/>
    <w:rsid w:val="001756C6"/>
    <w:rsid w:val="00175746"/>
    <w:rsid w:val="00175E3D"/>
    <w:rsid w:val="00176041"/>
    <w:rsid w:val="0017685F"/>
    <w:rsid w:val="00176BE3"/>
    <w:rsid w:val="001777CF"/>
    <w:rsid w:val="001800A7"/>
    <w:rsid w:val="00180240"/>
    <w:rsid w:val="00180388"/>
    <w:rsid w:val="00180CF0"/>
    <w:rsid w:val="00181425"/>
    <w:rsid w:val="00181540"/>
    <w:rsid w:val="00181C06"/>
    <w:rsid w:val="0018236F"/>
    <w:rsid w:val="00182F40"/>
    <w:rsid w:val="00182F9F"/>
    <w:rsid w:val="00183359"/>
    <w:rsid w:val="00183611"/>
    <w:rsid w:val="00184028"/>
    <w:rsid w:val="001845CF"/>
    <w:rsid w:val="00184AD5"/>
    <w:rsid w:val="00185167"/>
    <w:rsid w:val="00185A69"/>
    <w:rsid w:val="00185E49"/>
    <w:rsid w:val="00185EB7"/>
    <w:rsid w:val="001866DD"/>
    <w:rsid w:val="001873DF"/>
    <w:rsid w:val="00187656"/>
    <w:rsid w:val="001876C7"/>
    <w:rsid w:val="00187BC9"/>
    <w:rsid w:val="00190009"/>
    <w:rsid w:val="001900E0"/>
    <w:rsid w:val="0019096B"/>
    <w:rsid w:val="00191018"/>
    <w:rsid w:val="001924B7"/>
    <w:rsid w:val="001926C5"/>
    <w:rsid w:val="00192977"/>
    <w:rsid w:val="00193555"/>
    <w:rsid w:val="0019396D"/>
    <w:rsid w:val="0019414E"/>
    <w:rsid w:val="001943AD"/>
    <w:rsid w:val="00194511"/>
    <w:rsid w:val="00196352"/>
    <w:rsid w:val="001966C7"/>
    <w:rsid w:val="00197340"/>
    <w:rsid w:val="001976D8"/>
    <w:rsid w:val="00197C53"/>
    <w:rsid w:val="00197F2A"/>
    <w:rsid w:val="001A0293"/>
    <w:rsid w:val="001A03B6"/>
    <w:rsid w:val="001A148A"/>
    <w:rsid w:val="001A1AA7"/>
    <w:rsid w:val="001A1BC2"/>
    <w:rsid w:val="001A204A"/>
    <w:rsid w:val="001A235E"/>
    <w:rsid w:val="001A27B7"/>
    <w:rsid w:val="001A2810"/>
    <w:rsid w:val="001A2E5D"/>
    <w:rsid w:val="001A2F0E"/>
    <w:rsid w:val="001A3D8F"/>
    <w:rsid w:val="001A3F5A"/>
    <w:rsid w:val="001A4283"/>
    <w:rsid w:val="001A44DF"/>
    <w:rsid w:val="001A4D5B"/>
    <w:rsid w:val="001A514F"/>
    <w:rsid w:val="001A526E"/>
    <w:rsid w:val="001A571E"/>
    <w:rsid w:val="001A5E27"/>
    <w:rsid w:val="001A62CF"/>
    <w:rsid w:val="001A63AC"/>
    <w:rsid w:val="001B0387"/>
    <w:rsid w:val="001B095F"/>
    <w:rsid w:val="001B0B6C"/>
    <w:rsid w:val="001B1A54"/>
    <w:rsid w:val="001B1BC3"/>
    <w:rsid w:val="001B2098"/>
    <w:rsid w:val="001B225C"/>
    <w:rsid w:val="001B2811"/>
    <w:rsid w:val="001B3479"/>
    <w:rsid w:val="001B37C6"/>
    <w:rsid w:val="001B3BCC"/>
    <w:rsid w:val="001B3BE5"/>
    <w:rsid w:val="001B4160"/>
    <w:rsid w:val="001B4C21"/>
    <w:rsid w:val="001B4FA9"/>
    <w:rsid w:val="001B54E4"/>
    <w:rsid w:val="001B6255"/>
    <w:rsid w:val="001B651A"/>
    <w:rsid w:val="001B69EA"/>
    <w:rsid w:val="001B7609"/>
    <w:rsid w:val="001B7728"/>
    <w:rsid w:val="001B7AF4"/>
    <w:rsid w:val="001B7F0F"/>
    <w:rsid w:val="001C053B"/>
    <w:rsid w:val="001C060C"/>
    <w:rsid w:val="001C06EC"/>
    <w:rsid w:val="001C0A3D"/>
    <w:rsid w:val="001C0B25"/>
    <w:rsid w:val="001C0C0F"/>
    <w:rsid w:val="001C0C90"/>
    <w:rsid w:val="001C1A2B"/>
    <w:rsid w:val="001C1F87"/>
    <w:rsid w:val="001C2730"/>
    <w:rsid w:val="001C2746"/>
    <w:rsid w:val="001C2E23"/>
    <w:rsid w:val="001C2E69"/>
    <w:rsid w:val="001C3248"/>
    <w:rsid w:val="001C34A5"/>
    <w:rsid w:val="001C3BB8"/>
    <w:rsid w:val="001C3D81"/>
    <w:rsid w:val="001C419D"/>
    <w:rsid w:val="001C4C5C"/>
    <w:rsid w:val="001C4C7C"/>
    <w:rsid w:val="001C4EB9"/>
    <w:rsid w:val="001C4F1D"/>
    <w:rsid w:val="001C55F6"/>
    <w:rsid w:val="001C569D"/>
    <w:rsid w:val="001C5805"/>
    <w:rsid w:val="001C59FF"/>
    <w:rsid w:val="001C647C"/>
    <w:rsid w:val="001C69C3"/>
    <w:rsid w:val="001C76B3"/>
    <w:rsid w:val="001C7E88"/>
    <w:rsid w:val="001C7E9D"/>
    <w:rsid w:val="001D01B3"/>
    <w:rsid w:val="001D025F"/>
    <w:rsid w:val="001D0535"/>
    <w:rsid w:val="001D0DB7"/>
    <w:rsid w:val="001D1201"/>
    <w:rsid w:val="001D1503"/>
    <w:rsid w:val="001D19D9"/>
    <w:rsid w:val="001D1B09"/>
    <w:rsid w:val="001D1C0D"/>
    <w:rsid w:val="001D1D24"/>
    <w:rsid w:val="001D2185"/>
    <w:rsid w:val="001D23B3"/>
    <w:rsid w:val="001D2A3F"/>
    <w:rsid w:val="001D2E2F"/>
    <w:rsid w:val="001D31E9"/>
    <w:rsid w:val="001D383F"/>
    <w:rsid w:val="001D3C2C"/>
    <w:rsid w:val="001D4C85"/>
    <w:rsid w:val="001D4E3A"/>
    <w:rsid w:val="001D4F8B"/>
    <w:rsid w:val="001D4F9B"/>
    <w:rsid w:val="001D5862"/>
    <w:rsid w:val="001D5900"/>
    <w:rsid w:val="001D5B26"/>
    <w:rsid w:val="001D5DFD"/>
    <w:rsid w:val="001D5F4E"/>
    <w:rsid w:val="001D61F7"/>
    <w:rsid w:val="001D694F"/>
    <w:rsid w:val="001D75BB"/>
    <w:rsid w:val="001D76B4"/>
    <w:rsid w:val="001D7B24"/>
    <w:rsid w:val="001D7BE7"/>
    <w:rsid w:val="001D7DB1"/>
    <w:rsid w:val="001E0130"/>
    <w:rsid w:val="001E0323"/>
    <w:rsid w:val="001E0549"/>
    <w:rsid w:val="001E0D64"/>
    <w:rsid w:val="001E1189"/>
    <w:rsid w:val="001E1478"/>
    <w:rsid w:val="001E1975"/>
    <w:rsid w:val="001E22A7"/>
    <w:rsid w:val="001E2509"/>
    <w:rsid w:val="001E294E"/>
    <w:rsid w:val="001E2B74"/>
    <w:rsid w:val="001E2D4A"/>
    <w:rsid w:val="001E2DE4"/>
    <w:rsid w:val="001E3632"/>
    <w:rsid w:val="001E3D75"/>
    <w:rsid w:val="001E4108"/>
    <w:rsid w:val="001E47F7"/>
    <w:rsid w:val="001E5198"/>
    <w:rsid w:val="001E51CA"/>
    <w:rsid w:val="001E522A"/>
    <w:rsid w:val="001E5813"/>
    <w:rsid w:val="001E594A"/>
    <w:rsid w:val="001E5FB5"/>
    <w:rsid w:val="001E6DF4"/>
    <w:rsid w:val="001E6F0E"/>
    <w:rsid w:val="001E74CE"/>
    <w:rsid w:val="001E793C"/>
    <w:rsid w:val="001F0553"/>
    <w:rsid w:val="001F0B96"/>
    <w:rsid w:val="001F1046"/>
    <w:rsid w:val="001F134B"/>
    <w:rsid w:val="001F1C03"/>
    <w:rsid w:val="001F3764"/>
    <w:rsid w:val="001F3B26"/>
    <w:rsid w:val="001F4AA1"/>
    <w:rsid w:val="001F4B0A"/>
    <w:rsid w:val="001F4B4E"/>
    <w:rsid w:val="001F4FAE"/>
    <w:rsid w:val="001F54B8"/>
    <w:rsid w:val="001F56F2"/>
    <w:rsid w:val="001F5A23"/>
    <w:rsid w:val="001F5AD0"/>
    <w:rsid w:val="001F5CD7"/>
    <w:rsid w:val="001F60B5"/>
    <w:rsid w:val="001F6444"/>
    <w:rsid w:val="001F6612"/>
    <w:rsid w:val="001F685C"/>
    <w:rsid w:val="001F6DB8"/>
    <w:rsid w:val="001F6F25"/>
    <w:rsid w:val="001F6F66"/>
    <w:rsid w:val="001F6FF6"/>
    <w:rsid w:val="001F7195"/>
    <w:rsid w:val="001F7390"/>
    <w:rsid w:val="001F7553"/>
    <w:rsid w:val="001F7917"/>
    <w:rsid w:val="001F795C"/>
    <w:rsid w:val="001F7F1B"/>
    <w:rsid w:val="00200D90"/>
    <w:rsid w:val="002014B7"/>
    <w:rsid w:val="002020BC"/>
    <w:rsid w:val="0020244B"/>
    <w:rsid w:val="00202680"/>
    <w:rsid w:val="00202A70"/>
    <w:rsid w:val="00202AD6"/>
    <w:rsid w:val="00202F6D"/>
    <w:rsid w:val="002036EE"/>
    <w:rsid w:val="00203A9A"/>
    <w:rsid w:val="00203ACB"/>
    <w:rsid w:val="00204637"/>
    <w:rsid w:val="00204F31"/>
    <w:rsid w:val="002054F2"/>
    <w:rsid w:val="002054F9"/>
    <w:rsid w:val="002056B3"/>
    <w:rsid w:val="002062E6"/>
    <w:rsid w:val="002063CE"/>
    <w:rsid w:val="002065B7"/>
    <w:rsid w:val="002068B5"/>
    <w:rsid w:val="00207150"/>
    <w:rsid w:val="00207A3E"/>
    <w:rsid w:val="00207B56"/>
    <w:rsid w:val="00207BAB"/>
    <w:rsid w:val="00207F79"/>
    <w:rsid w:val="0021032B"/>
    <w:rsid w:val="0021051F"/>
    <w:rsid w:val="002105CB"/>
    <w:rsid w:val="00210932"/>
    <w:rsid w:val="00210C80"/>
    <w:rsid w:val="00210ECB"/>
    <w:rsid w:val="002115FF"/>
    <w:rsid w:val="002116B1"/>
    <w:rsid w:val="00211A97"/>
    <w:rsid w:val="00211BAA"/>
    <w:rsid w:val="00211BEF"/>
    <w:rsid w:val="00211C85"/>
    <w:rsid w:val="00212686"/>
    <w:rsid w:val="002126FD"/>
    <w:rsid w:val="00212A88"/>
    <w:rsid w:val="00212DDC"/>
    <w:rsid w:val="002132E7"/>
    <w:rsid w:val="00213389"/>
    <w:rsid w:val="002134C2"/>
    <w:rsid w:val="00213B0A"/>
    <w:rsid w:val="00214BCA"/>
    <w:rsid w:val="0021526F"/>
    <w:rsid w:val="00215D5B"/>
    <w:rsid w:val="00215E5F"/>
    <w:rsid w:val="0021639B"/>
    <w:rsid w:val="0021659D"/>
    <w:rsid w:val="00216E8B"/>
    <w:rsid w:val="00217447"/>
    <w:rsid w:val="0021745D"/>
    <w:rsid w:val="002177FB"/>
    <w:rsid w:val="0021796E"/>
    <w:rsid w:val="00220A59"/>
    <w:rsid w:val="00220DFF"/>
    <w:rsid w:val="00221135"/>
    <w:rsid w:val="00221160"/>
    <w:rsid w:val="002211DF"/>
    <w:rsid w:val="00221A86"/>
    <w:rsid w:val="00221B05"/>
    <w:rsid w:val="00221DFB"/>
    <w:rsid w:val="00222810"/>
    <w:rsid w:val="00222874"/>
    <w:rsid w:val="00222AD1"/>
    <w:rsid w:val="0022378C"/>
    <w:rsid w:val="00223BD1"/>
    <w:rsid w:val="002246E4"/>
    <w:rsid w:val="00224E51"/>
    <w:rsid w:val="00224FEA"/>
    <w:rsid w:val="00225084"/>
    <w:rsid w:val="0022562B"/>
    <w:rsid w:val="0022578F"/>
    <w:rsid w:val="00226599"/>
    <w:rsid w:val="0022667B"/>
    <w:rsid w:val="0022681E"/>
    <w:rsid w:val="002270A8"/>
    <w:rsid w:val="0022757B"/>
    <w:rsid w:val="002276AA"/>
    <w:rsid w:val="00227914"/>
    <w:rsid w:val="0023002C"/>
    <w:rsid w:val="002302DF"/>
    <w:rsid w:val="002305CC"/>
    <w:rsid w:val="00230963"/>
    <w:rsid w:val="00230DE7"/>
    <w:rsid w:val="002312A0"/>
    <w:rsid w:val="00231671"/>
    <w:rsid w:val="0023169B"/>
    <w:rsid w:val="00231C38"/>
    <w:rsid w:val="00231C7C"/>
    <w:rsid w:val="00231FBA"/>
    <w:rsid w:val="00234451"/>
    <w:rsid w:val="00234479"/>
    <w:rsid w:val="00234908"/>
    <w:rsid w:val="00234DE3"/>
    <w:rsid w:val="00234E7B"/>
    <w:rsid w:val="002354C8"/>
    <w:rsid w:val="00235D9B"/>
    <w:rsid w:val="002360F5"/>
    <w:rsid w:val="00236199"/>
    <w:rsid w:val="00236237"/>
    <w:rsid w:val="0023638D"/>
    <w:rsid w:val="00236714"/>
    <w:rsid w:val="00240C3A"/>
    <w:rsid w:val="00240DF1"/>
    <w:rsid w:val="002414E7"/>
    <w:rsid w:val="00241926"/>
    <w:rsid w:val="00241C1B"/>
    <w:rsid w:val="0024205B"/>
    <w:rsid w:val="002426FC"/>
    <w:rsid w:val="00242B0F"/>
    <w:rsid w:val="00242DAF"/>
    <w:rsid w:val="00242E79"/>
    <w:rsid w:val="00242EB8"/>
    <w:rsid w:val="00243816"/>
    <w:rsid w:val="00243C15"/>
    <w:rsid w:val="00244620"/>
    <w:rsid w:val="00244756"/>
    <w:rsid w:val="00244A4D"/>
    <w:rsid w:val="0024510A"/>
    <w:rsid w:val="002454C9"/>
    <w:rsid w:val="00245D92"/>
    <w:rsid w:val="00245EC6"/>
    <w:rsid w:val="00245ECC"/>
    <w:rsid w:val="002460FA"/>
    <w:rsid w:val="00246124"/>
    <w:rsid w:val="00246157"/>
    <w:rsid w:val="0024666B"/>
    <w:rsid w:val="00246E7A"/>
    <w:rsid w:val="00246E90"/>
    <w:rsid w:val="00246EB1"/>
    <w:rsid w:val="00246F24"/>
    <w:rsid w:val="00246FA1"/>
    <w:rsid w:val="0024701C"/>
    <w:rsid w:val="00247374"/>
    <w:rsid w:val="002475CD"/>
    <w:rsid w:val="00247C6C"/>
    <w:rsid w:val="00247FF6"/>
    <w:rsid w:val="00250456"/>
    <w:rsid w:val="002505DD"/>
    <w:rsid w:val="00251A28"/>
    <w:rsid w:val="002520D3"/>
    <w:rsid w:val="00252836"/>
    <w:rsid w:val="00252A61"/>
    <w:rsid w:val="00252B46"/>
    <w:rsid w:val="00252F3A"/>
    <w:rsid w:val="002535FC"/>
    <w:rsid w:val="0025383D"/>
    <w:rsid w:val="00254B07"/>
    <w:rsid w:val="00255AA2"/>
    <w:rsid w:val="0025672B"/>
    <w:rsid w:val="00256B02"/>
    <w:rsid w:val="002578E1"/>
    <w:rsid w:val="00257EF6"/>
    <w:rsid w:val="002606C6"/>
    <w:rsid w:val="00260F6C"/>
    <w:rsid w:val="00261258"/>
    <w:rsid w:val="00261809"/>
    <w:rsid w:val="00261A0A"/>
    <w:rsid w:val="00261BFC"/>
    <w:rsid w:val="00261EB8"/>
    <w:rsid w:val="00262755"/>
    <w:rsid w:val="0026284E"/>
    <w:rsid w:val="00263628"/>
    <w:rsid w:val="00263E86"/>
    <w:rsid w:val="0026449D"/>
    <w:rsid w:val="002646E3"/>
    <w:rsid w:val="00264ACC"/>
    <w:rsid w:val="00265033"/>
    <w:rsid w:val="00265546"/>
    <w:rsid w:val="0026574E"/>
    <w:rsid w:val="00265881"/>
    <w:rsid w:val="002658CD"/>
    <w:rsid w:val="00265AED"/>
    <w:rsid w:val="00265BC7"/>
    <w:rsid w:val="002667F6"/>
    <w:rsid w:val="00267B43"/>
    <w:rsid w:val="00270064"/>
    <w:rsid w:val="002702A1"/>
    <w:rsid w:val="0027042B"/>
    <w:rsid w:val="00270F82"/>
    <w:rsid w:val="0027296A"/>
    <w:rsid w:val="002730DB"/>
    <w:rsid w:val="00273B5E"/>
    <w:rsid w:val="00273CA4"/>
    <w:rsid w:val="002747AB"/>
    <w:rsid w:val="00274804"/>
    <w:rsid w:val="002754EC"/>
    <w:rsid w:val="00275703"/>
    <w:rsid w:val="00275865"/>
    <w:rsid w:val="00275B26"/>
    <w:rsid w:val="00275D4A"/>
    <w:rsid w:val="00276239"/>
    <w:rsid w:val="002771AD"/>
    <w:rsid w:val="002774F6"/>
    <w:rsid w:val="00280125"/>
    <w:rsid w:val="00280D80"/>
    <w:rsid w:val="00280D99"/>
    <w:rsid w:val="0028125E"/>
    <w:rsid w:val="002815DC"/>
    <w:rsid w:val="00281655"/>
    <w:rsid w:val="0028220B"/>
    <w:rsid w:val="00283001"/>
    <w:rsid w:val="0028339B"/>
    <w:rsid w:val="00283489"/>
    <w:rsid w:val="00283D24"/>
    <w:rsid w:val="00283E9A"/>
    <w:rsid w:val="00284695"/>
    <w:rsid w:val="002849E7"/>
    <w:rsid w:val="0028536D"/>
    <w:rsid w:val="0028539C"/>
    <w:rsid w:val="002853A1"/>
    <w:rsid w:val="00285791"/>
    <w:rsid w:val="00286886"/>
    <w:rsid w:val="002868CE"/>
    <w:rsid w:val="00286A0F"/>
    <w:rsid w:val="00287BD5"/>
    <w:rsid w:val="00287CD2"/>
    <w:rsid w:val="00287D89"/>
    <w:rsid w:val="00287DB7"/>
    <w:rsid w:val="00290004"/>
    <w:rsid w:val="0029092F"/>
    <w:rsid w:val="00290A8C"/>
    <w:rsid w:val="002913AB"/>
    <w:rsid w:val="00291690"/>
    <w:rsid w:val="00291785"/>
    <w:rsid w:val="00291CFB"/>
    <w:rsid w:val="00291EB9"/>
    <w:rsid w:val="002928F5"/>
    <w:rsid w:val="00292A11"/>
    <w:rsid w:val="00293900"/>
    <w:rsid w:val="002939C6"/>
    <w:rsid w:val="00293A44"/>
    <w:rsid w:val="002941D2"/>
    <w:rsid w:val="00294209"/>
    <w:rsid w:val="002942D9"/>
    <w:rsid w:val="00295186"/>
    <w:rsid w:val="00295855"/>
    <w:rsid w:val="00295E68"/>
    <w:rsid w:val="00295F2F"/>
    <w:rsid w:val="002960DC"/>
    <w:rsid w:val="0029699F"/>
    <w:rsid w:val="00296AD0"/>
    <w:rsid w:val="00296CC5"/>
    <w:rsid w:val="0029717C"/>
    <w:rsid w:val="00297BF9"/>
    <w:rsid w:val="00297C81"/>
    <w:rsid w:val="00297FCA"/>
    <w:rsid w:val="002A0016"/>
    <w:rsid w:val="002A0142"/>
    <w:rsid w:val="002A05E5"/>
    <w:rsid w:val="002A0F1D"/>
    <w:rsid w:val="002A0FE2"/>
    <w:rsid w:val="002A1019"/>
    <w:rsid w:val="002A123F"/>
    <w:rsid w:val="002A1261"/>
    <w:rsid w:val="002A1E0D"/>
    <w:rsid w:val="002A20B2"/>
    <w:rsid w:val="002A235B"/>
    <w:rsid w:val="002A23BC"/>
    <w:rsid w:val="002A29D3"/>
    <w:rsid w:val="002A3202"/>
    <w:rsid w:val="002A38B6"/>
    <w:rsid w:val="002A4502"/>
    <w:rsid w:val="002A4E2F"/>
    <w:rsid w:val="002A5942"/>
    <w:rsid w:val="002A5E77"/>
    <w:rsid w:val="002A63C4"/>
    <w:rsid w:val="002A6AF8"/>
    <w:rsid w:val="002A6F0B"/>
    <w:rsid w:val="002A76DE"/>
    <w:rsid w:val="002B00AE"/>
    <w:rsid w:val="002B033F"/>
    <w:rsid w:val="002B073E"/>
    <w:rsid w:val="002B10B2"/>
    <w:rsid w:val="002B2199"/>
    <w:rsid w:val="002B2469"/>
    <w:rsid w:val="002B2505"/>
    <w:rsid w:val="002B295A"/>
    <w:rsid w:val="002B2F7F"/>
    <w:rsid w:val="002B2FFC"/>
    <w:rsid w:val="002B3270"/>
    <w:rsid w:val="002B3F7E"/>
    <w:rsid w:val="002B4009"/>
    <w:rsid w:val="002B43C2"/>
    <w:rsid w:val="002B5907"/>
    <w:rsid w:val="002B6043"/>
    <w:rsid w:val="002B6437"/>
    <w:rsid w:val="002B6965"/>
    <w:rsid w:val="002B6B75"/>
    <w:rsid w:val="002B7313"/>
    <w:rsid w:val="002B735A"/>
    <w:rsid w:val="002B7AD1"/>
    <w:rsid w:val="002B7E0A"/>
    <w:rsid w:val="002C022E"/>
    <w:rsid w:val="002C0538"/>
    <w:rsid w:val="002C2108"/>
    <w:rsid w:val="002C23B2"/>
    <w:rsid w:val="002C2BF9"/>
    <w:rsid w:val="002C30FD"/>
    <w:rsid w:val="002C3692"/>
    <w:rsid w:val="002C386B"/>
    <w:rsid w:val="002C3C89"/>
    <w:rsid w:val="002C3D95"/>
    <w:rsid w:val="002C4018"/>
    <w:rsid w:val="002C42C6"/>
    <w:rsid w:val="002C49D6"/>
    <w:rsid w:val="002C4D13"/>
    <w:rsid w:val="002C4F3A"/>
    <w:rsid w:val="002C5139"/>
    <w:rsid w:val="002C53D7"/>
    <w:rsid w:val="002C58E7"/>
    <w:rsid w:val="002C5ACF"/>
    <w:rsid w:val="002C67B7"/>
    <w:rsid w:val="002C6BDB"/>
    <w:rsid w:val="002C6E0B"/>
    <w:rsid w:val="002C703E"/>
    <w:rsid w:val="002C764D"/>
    <w:rsid w:val="002D0200"/>
    <w:rsid w:val="002D025D"/>
    <w:rsid w:val="002D0272"/>
    <w:rsid w:val="002D053F"/>
    <w:rsid w:val="002D070B"/>
    <w:rsid w:val="002D0C7E"/>
    <w:rsid w:val="002D0E6C"/>
    <w:rsid w:val="002D1294"/>
    <w:rsid w:val="002D1650"/>
    <w:rsid w:val="002D179C"/>
    <w:rsid w:val="002D1894"/>
    <w:rsid w:val="002D25EF"/>
    <w:rsid w:val="002D28F4"/>
    <w:rsid w:val="002D2939"/>
    <w:rsid w:val="002D3820"/>
    <w:rsid w:val="002D383A"/>
    <w:rsid w:val="002D3D10"/>
    <w:rsid w:val="002D3D9F"/>
    <w:rsid w:val="002D47F8"/>
    <w:rsid w:val="002D4B5D"/>
    <w:rsid w:val="002D5448"/>
    <w:rsid w:val="002D5516"/>
    <w:rsid w:val="002D5E5B"/>
    <w:rsid w:val="002D62AA"/>
    <w:rsid w:val="002D6F4C"/>
    <w:rsid w:val="002D7513"/>
    <w:rsid w:val="002D75AA"/>
    <w:rsid w:val="002D7CB1"/>
    <w:rsid w:val="002D7D6B"/>
    <w:rsid w:val="002DD899"/>
    <w:rsid w:val="002E1001"/>
    <w:rsid w:val="002E1148"/>
    <w:rsid w:val="002E19D1"/>
    <w:rsid w:val="002E1C03"/>
    <w:rsid w:val="002E1D09"/>
    <w:rsid w:val="002E247F"/>
    <w:rsid w:val="002E3207"/>
    <w:rsid w:val="002E39B2"/>
    <w:rsid w:val="002E3A64"/>
    <w:rsid w:val="002E4339"/>
    <w:rsid w:val="002E486B"/>
    <w:rsid w:val="002E4A9D"/>
    <w:rsid w:val="002E54AD"/>
    <w:rsid w:val="002E57FC"/>
    <w:rsid w:val="002E585C"/>
    <w:rsid w:val="002E5B19"/>
    <w:rsid w:val="002E64F4"/>
    <w:rsid w:val="002E6604"/>
    <w:rsid w:val="002E691B"/>
    <w:rsid w:val="002E6B38"/>
    <w:rsid w:val="002E6DB7"/>
    <w:rsid w:val="002E6DE8"/>
    <w:rsid w:val="002E78E3"/>
    <w:rsid w:val="002E7C21"/>
    <w:rsid w:val="002F000D"/>
    <w:rsid w:val="002F09EF"/>
    <w:rsid w:val="002F0A40"/>
    <w:rsid w:val="002F0B3D"/>
    <w:rsid w:val="002F215F"/>
    <w:rsid w:val="002F2249"/>
    <w:rsid w:val="002F22C6"/>
    <w:rsid w:val="002F29F9"/>
    <w:rsid w:val="002F2A03"/>
    <w:rsid w:val="002F3644"/>
    <w:rsid w:val="002F449B"/>
    <w:rsid w:val="002F506F"/>
    <w:rsid w:val="002F5618"/>
    <w:rsid w:val="002F5B80"/>
    <w:rsid w:val="002F6D92"/>
    <w:rsid w:val="002F6DDE"/>
    <w:rsid w:val="002F6FD7"/>
    <w:rsid w:val="002F73D6"/>
    <w:rsid w:val="002F7682"/>
    <w:rsid w:val="002F7BB9"/>
    <w:rsid w:val="002F7FAF"/>
    <w:rsid w:val="00300060"/>
    <w:rsid w:val="003009EA"/>
    <w:rsid w:val="003015B7"/>
    <w:rsid w:val="003017F8"/>
    <w:rsid w:val="00301D65"/>
    <w:rsid w:val="00301D75"/>
    <w:rsid w:val="00302F30"/>
    <w:rsid w:val="003039CE"/>
    <w:rsid w:val="00303F22"/>
    <w:rsid w:val="003044BF"/>
    <w:rsid w:val="00304E2E"/>
    <w:rsid w:val="00304EEA"/>
    <w:rsid w:val="003054ED"/>
    <w:rsid w:val="003055B1"/>
    <w:rsid w:val="00305BF0"/>
    <w:rsid w:val="00305EAB"/>
    <w:rsid w:val="003065FF"/>
    <w:rsid w:val="00306E62"/>
    <w:rsid w:val="00306EE1"/>
    <w:rsid w:val="00306F97"/>
    <w:rsid w:val="00307037"/>
    <w:rsid w:val="00307793"/>
    <w:rsid w:val="003078CF"/>
    <w:rsid w:val="003103B7"/>
    <w:rsid w:val="003107B3"/>
    <w:rsid w:val="00310EB9"/>
    <w:rsid w:val="00310F27"/>
    <w:rsid w:val="003110DA"/>
    <w:rsid w:val="00311A9C"/>
    <w:rsid w:val="00312076"/>
    <w:rsid w:val="003127B3"/>
    <w:rsid w:val="00312B5A"/>
    <w:rsid w:val="00312BA9"/>
    <w:rsid w:val="00313952"/>
    <w:rsid w:val="003140C5"/>
    <w:rsid w:val="00314542"/>
    <w:rsid w:val="003148D6"/>
    <w:rsid w:val="0031571E"/>
    <w:rsid w:val="003157AF"/>
    <w:rsid w:val="00315DAC"/>
    <w:rsid w:val="0031608D"/>
    <w:rsid w:val="00316291"/>
    <w:rsid w:val="003165F0"/>
    <w:rsid w:val="003170F3"/>
    <w:rsid w:val="00317296"/>
    <w:rsid w:val="00317A12"/>
    <w:rsid w:val="003204E2"/>
    <w:rsid w:val="0032069E"/>
    <w:rsid w:val="003209CF"/>
    <w:rsid w:val="00320BD6"/>
    <w:rsid w:val="00320FF3"/>
    <w:rsid w:val="00321282"/>
    <w:rsid w:val="00321588"/>
    <w:rsid w:val="00321748"/>
    <w:rsid w:val="003219D9"/>
    <w:rsid w:val="00321AB3"/>
    <w:rsid w:val="0032218D"/>
    <w:rsid w:val="00322296"/>
    <w:rsid w:val="003223D4"/>
    <w:rsid w:val="0032328D"/>
    <w:rsid w:val="00323531"/>
    <w:rsid w:val="00323B26"/>
    <w:rsid w:val="00323B92"/>
    <w:rsid w:val="00324DD2"/>
    <w:rsid w:val="00325024"/>
    <w:rsid w:val="00325091"/>
    <w:rsid w:val="00325588"/>
    <w:rsid w:val="00325657"/>
    <w:rsid w:val="00325A01"/>
    <w:rsid w:val="00325AC1"/>
    <w:rsid w:val="00325B80"/>
    <w:rsid w:val="00326341"/>
    <w:rsid w:val="003264D8"/>
    <w:rsid w:val="0032684B"/>
    <w:rsid w:val="00326BA9"/>
    <w:rsid w:val="00326F90"/>
    <w:rsid w:val="003279A4"/>
    <w:rsid w:val="00327C93"/>
    <w:rsid w:val="00327EBC"/>
    <w:rsid w:val="003304D2"/>
    <w:rsid w:val="00330575"/>
    <w:rsid w:val="003305D5"/>
    <w:rsid w:val="00330A97"/>
    <w:rsid w:val="00330E88"/>
    <w:rsid w:val="0033108F"/>
    <w:rsid w:val="00331157"/>
    <w:rsid w:val="003311D9"/>
    <w:rsid w:val="003312E7"/>
    <w:rsid w:val="003321CF"/>
    <w:rsid w:val="0033290B"/>
    <w:rsid w:val="0033303C"/>
    <w:rsid w:val="0033327D"/>
    <w:rsid w:val="003333C5"/>
    <w:rsid w:val="0033516B"/>
    <w:rsid w:val="0033527C"/>
    <w:rsid w:val="0033529E"/>
    <w:rsid w:val="0033550C"/>
    <w:rsid w:val="003357FB"/>
    <w:rsid w:val="00335940"/>
    <w:rsid w:val="0033639A"/>
    <w:rsid w:val="00336494"/>
    <w:rsid w:val="0033678F"/>
    <w:rsid w:val="00336AF2"/>
    <w:rsid w:val="00336B93"/>
    <w:rsid w:val="00336D96"/>
    <w:rsid w:val="00336E7C"/>
    <w:rsid w:val="00337242"/>
    <w:rsid w:val="00337330"/>
    <w:rsid w:val="003376E9"/>
    <w:rsid w:val="003379D1"/>
    <w:rsid w:val="003400FF"/>
    <w:rsid w:val="00340781"/>
    <w:rsid w:val="003407A2"/>
    <w:rsid w:val="00341188"/>
    <w:rsid w:val="00341FD4"/>
    <w:rsid w:val="00342936"/>
    <w:rsid w:val="00342B34"/>
    <w:rsid w:val="003430E5"/>
    <w:rsid w:val="0034369F"/>
    <w:rsid w:val="003436EF"/>
    <w:rsid w:val="0034436E"/>
    <w:rsid w:val="003446EE"/>
    <w:rsid w:val="0034489F"/>
    <w:rsid w:val="00344FFF"/>
    <w:rsid w:val="0034501D"/>
    <w:rsid w:val="0034509A"/>
    <w:rsid w:val="00345405"/>
    <w:rsid w:val="00345579"/>
    <w:rsid w:val="00345FB8"/>
    <w:rsid w:val="00346136"/>
    <w:rsid w:val="00346607"/>
    <w:rsid w:val="003466CA"/>
    <w:rsid w:val="0034714A"/>
    <w:rsid w:val="003471D2"/>
    <w:rsid w:val="00347398"/>
    <w:rsid w:val="00347454"/>
    <w:rsid w:val="00347793"/>
    <w:rsid w:val="003505A3"/>
    <w:rsid w:val="00350BF7"/>
    <w:rsid w:val="00351683"/>
    <w:rsid w:val="003518E1"/>
    <w:rsid w:val="00351EC6"/>
    <w:rsid w:val="00352025"/>
    <w:rsid w:val="0035212C"/>
    <w:rsid w:val="003522D7"/>
    <w:rsid w:val="00352C8C"/>
    <w:rsid w:val="00352F9E"/>
    <w:rsid w:val="00353222"/>
    <w:rsid w:val="00353A69"/>
    <w:rsid w:val="00353BE9"/>
    <w:rsid w:val="0035418F"/>
    <w:rsid w:val="0035419A"/>
    <w:rsid w:val="00354781"/>
    <w:rsid w:val="00354937"/>
    <w:rsid w:val="00354D80"/>
    <w:rsid w:val="003550F6"/>
    <w:rsid w:val="00355E94"/>
    <w:rsid w:val="00355F6B"/>
    <w:rsid w:val="00356B51"/>
    <w:rsid w:val="00356C40"/>
    <w:rsid w:val="00356DDC"/>
    <w:rsid w:val="00356EDE"/>
    <w:rsid w:val="00357A43"/>
    <w:rsid w:val="00357C69"/>
    <w:rsid w:val="003600AB"/>
    <w:rsid w:val="0036088C"/>
    <w:rsid w:val="00360C53"/>
    <w:rsid w:val="00360EEC"/>
    <w:rsid w:val="0036139C"/>
    <w:rsid w:val="0036143B"/>
    <w:rsid w:val="00361587"/>
    <w:rsid w:val="003620F6"/>
    <w:rsid w:val="003621B8"/>
    <w:rsid w:val="00362281"/>
    <w:rsid w:val="003623D5"/>
    <w:rsid w:val="003626F3"/>
    <w:rsid w:val="003627A1"/>
    <w:rsid w:val="00362FD1"/>
    <w:rsid w:val="00363797"/>
    <w:rsid w:val="00363DD3"/>
    <w:rsid w:val="00364799"/>
    <w:rsid w:val="00364A1B"/>
    <w:rsid w:val="00364C18"/>
    <w:rsid w:val="00364C66"/>
    <w:rsid w:val="00364ED9"/>
    <w:rsid w:val="0036506D"/>
    <w:rsid w:val="00365479"/>
    <w:rsid w:val="00365523"/>
    <w:rsid w:val="00365744"/>
    <w:rsid w:val="00365D69"/>
    <w:rsid w:val="003667E7"/>
    <w:rsid w:val="00366A99"/>
    <w:rsid w:val="00367009"/>
    <w:rsid w:val="003671AA"/>
    <w:rsid w:val="0036738A"/>
    <w:rsid w:val="0036797E"/>
    <w:rsid w:val="00367E00"/>
    <w:rsid w:val="003700FE"/>
    <w:rsid w:val="0037018C"/>
    <w:rsid w:val="00370EED"/>
    <w:rsid w:val="00371C24"/>
    <w:rsid w:val="003722AD"/>
    <w:rsid w:val="00372791"/>
    <w:rsid w:val="00372C4C"/>
    <w:rsid w:val="00373A38"/>
    <w:rsid w:val="00373B0D"/>
    <w:rsid w:val="0037421E"/>
    <w:rsid w:val="0037448E"/>
    <w:rsid w:val="0037526D"/>
    <w:rsid w:val="0037540E"/>
    <w:rsid w:val="0037567B"/>
    <w:rsid w:val="00375B97"/>
    <w:rsid w:val="003769E2"/>
    <w:rsid w:val="00376A62"/>
    <w:rsid w:val="00376E39"/>
    <w:rsid w:val="0037703E"/>
    <w:rsid w:val="003777FE"/>
    <w:rsid w:val="00377ECF"/>
    <w:rsid w:val="00377FB7"/>
    <w:rsid w:val="00380E8D"/>
    <w:rsid w:val="0038132D"/>
    <w:rsid w:val="003813C9"/>
    <w:rsid w:val="0038219A"/>
    <w:rsid w:val="00382273"/>
    <w:rsid w:val="00382AC3"/>
    <w:rsid w:val="003838BD"/>
    <w:rsid w:val="00383CCA"/>
    <w:rsid w:val="00383F5F"/>
    <w:rsid w:val="003840F6"/>
    <w:rsid w:val="00384386"/>
    <w:rsid w:val="00384808"/>
    <w:rsid w:val="00384CA9"/>
    <w:rsid w:val="0038529B"/>
    <w:rsid w:val="0038532A"/>
    <w:rsid w:val="0038563F"/>
    <w:rsid w:val="0038569F"/>
    <w:rsid w:val="00385BB7"/>
    <w:rsid w:val="003864C7"/>
    <w:rsid w:val="003869BE"/>
    <w:rsid w:val="00386DF2"/>
    <w:rsid w:val="00387075"/>
    <w:rsid w:val="00387274"/>
    <w:rsid w:val="00387513"/>
    <w:rsid w:val="0038786E"/>
    <w:rsid w:val="00387C7F"/>
    <w:rsid w:val="00390231"/>
    <w:rsid w:val="00390464"/>
    <w:rsid w:val="00390D4A"/>
    <w:rsid w:val="00391F88"/>
    <w:rsid w:val="0039258F"/>
    <w:rsid w:val="0039290E"/>
    <w:rsid w:val="00392FF6"/>
    <w:rsid w:val="00393026"/>
    <w:rsid w:val="00393037"/>
    <w:rsid w:val="00393729"/>
    <w:rsid w:val="00393D65"/>
    <w:rsid w:val="00393F28"/>
    <w:rsid w:val="00394395"/>
    <w:rsid w:val="00394CC6"/>
    <w:rsid w:val="00394EF0"/>
    <w:rsid w:val="00395868"/>
    <w:rsid w:val="00395A94"/>
    <w:rsid w:val="00396034"/>
    <w:rsid w:val="00396BC6"/>
    <w:rsid w:val="00397101"/>
    <w:rsid w:val="003972DB"/>
    <w:rsid w:val="003972E0"/>
    <w:rsid w:val="003974E8"/>
    <w:rsid w:val="003977DF"/>
    <w:rsid w:val="003979E0"/>
    <w:rsid w:val="00397AC0"/>
    <w:rsid w:val="003A05AF"/>
    <w:rsid w:val="003A087B"/>
    <w:rsid w:val="003A0AA3"/>
    <w:rsid w:val="003A15A5"/>
    <w:rsid w:val="003A15E4"/>
    <w:rsid w:val="003A1C0D"/>
    <w:rsid w:val="003A1DC3"/>
    <w:rsid w:val="003A1E9B"/>
    <w:rsid w:val="003A27FF"/>
    <w:rsid w:val="003A2D8A"/>
    <w:rsid w:val="003A386E"/>
    <w:rsid w:val="003A3DFF"/>
    <w:rsid w:val="003A4977"/>
    <w:rsid w:val="003A4B3E"/>
    <w:rsid w:val="003A4B93"/>
    <w:rsid w:val="003A4ED0"/>
    <w:rsid w:val="003A571E"/>
    <w:rsid w:val="003A5B49"/>
    <w:rsid w:val="003A5E77"/>
    <w:rsid w:val="003A5FD1"/>
    <w:rsid w:val="003A645A"/>
    <w:rsid w:val="003A67BF"/>
    <w:rsid w:val="003A6AC7"/>
    <w:rsid w:val="003A6B70"/>
    <w:rsid w:val="003A7010"/>
    <w:rsid w:val="003A7042"/>
    <w:rsid w:val="003A7744"/>
    <w:rsid w:val="003A7F05"/>
    <w:rsid w:val="003B048B"/>
    <w:rsid w:val="003B0712"/>
    <w:rsid w:val="003B087B"/>
    <w:rsid w:val="003B0DFA"/>
    <w:rsid w:val="003B1107"/>
    <w:rsid w:val="003B1325"/>
    <w:rsid w:val="003B22C9"/>
    <w:rsid w:val="003B2A3E"/>
    <w:rsid w:val="003B2AA1"/>
    <w:rsid w:val="003B2F86"/>
    <w:rsid w:val="003B2F8C"/>
    <w:rsid w:val="003B31F8"/>
    <w:rsid w:val="003B327E"/>
    <w:rsid w:val="003B354E"/>
    <w:rsid w:val="003B3B95"/>
    <w:rsid w:val="003B3E9B"/>
    <w:rsid w:val="003B3F4E"/>
    <w:rsid w:val="003B3FDC"/>
    <w:rsid w:val="003B419D"/>
    <w:rsid w:val="003B51AE"/>
    <w:rsid w:val="003B591A"/>
    <w:rsid w:val="003B5F98"/>
    <w:rsid w:val="003B6C2A"/>
    <w:rsid w:val="003B6EF1"/>
    <w:rsid w:val="003B7087"/>
    <w:rsid w:val="003B7172"/>
    <w:rsid w:val="003B78C8"/>
    <w:rsid w:val="003B7BF1"/>
    <w:rsid w:val="003C02E2"/>
    <w:rsid w:val="003C0332"/>
    <w:rsid w:val="003C08E6"/>
    <w:rsid w:val="003C10A1"/>
    <w:rsid w:val="003C1397"/>
    <w:rsid w:val="003C22C1"/>
    <w:rsid w:val="003C2442"/>
    <w:rsid w:val="003C28EF"/>
    <w:rsid w:val="003C32B7"/>
    <w:rsid w:val="003C33C8"/>
    <w:rsid w:val="003C3742"/>
    <w:rsid w:val="003C3A9D"/>
    <w:rsid w:val="003C4273"/>
    <w:rsid w:val="003C4AC1"/>
    <w:rsid w:val="003C5D38"/>
    <w:rsid w:val="003C60AD"/>
    <w:rsid w:val="003C644D"/>
    <w:rsid w:val="003C64C4"/>
    <w:rsid w:val="003C64F8"/>
    <w:rsid w:val="003C67C2"/>
    <w:rsid w:val="003C67F6"/>
    <w:rsid w:val="003C6C77"/>
    <w:rsid w:val="003C6F62"/>
    <w:rsid w:val="003C7832"/>
    <w:rsid w:val="003C7D29"/>
    <w:rsid w:val="003D02E2"/>
    <w:rsid w:val="003D1248"/>
    <w:rsid w:val="003D14A6"/>
    <w:rsid w:val="003D18E9"/>
    <w:rsid w:val="003D1947"/>
    <w:rsid w:val="003D1ABF"/>
    <w:rsid w:val="003D1EC7"/>
    <w:rsid w:val="003D215F"/>
    <w:rsid w:val="003D378D"/>
    <w:rsid w:val="003D3B78"/>
    <w:rsid w:val="003D3C3D"/>
    <w:rsid w:val="003D3FA7"/>
    <w:rsid w:val="003D45D7"/>
    <w:rsid w:val="003D493F"/>
    <w:rsid w:val="003D4A37"/>
    <w:rsid w:val="003D4ADA"/>
    <w:rsid w:val="003D4B23"/>
    <w:rsid w:val="003D4B98"/>
    <w:rsid w:val="003D4D32"/>
    <w:rsid w:val="003D52BF"/>
    <w:rsid w:val="003D6963"/>
    <w:rsid w:val="003D7133"/>
    <w:rsid w:val="003D73AF"/>
    <w:rsid w:val="003D7CC5"/>
    <w:rsid w:val="003D7E49"/>
    <w:rsid w:val="003E0450"/>
    <w:rsid w:val="003E0C4D"/>
    <w:rsid w:val="003E20A4"/>
    <w:rsid w:val="003E210A"/>
    <w:rsid w:val="003E29BE"/>
    <w:rsid w:val="003E2B39"/>
    <w:rsid w:val="003E322B"/>
    <w:rsid w:val="003E3B49"/>
    <w:rsid w:val="003E3D8E"/>
    <w:rsid w:val="003E426E"/>
    <w:rsid w:val="003E4DA9"/>
    <w:rsid w:val="003E4DB2"/>
    <w:rsid w:val="003E4E02"/>
    <w:rsid w:val="003E4F5A"/>
    <w:rsid w:val="003E5942"/>
    <w:rsid w:val="003E677D"/>
    <w:rsid w:val="003E6B07"/>
    <w:rsid w:val="003E6C55"/>
    <w:rsid w:val="003E6ED1"/>
    <w:rsid w:val="003E7071"/>
    <w:rsid w:val="003E79A8"/>
    <w:rsid w:val="003E7E93"/>
    <w:rsid w:val="003E7EF3"/>
    <w:rsid w:val="003F0782"/>
    <w:rsid w:val="003F0F81"/>
    <w:rsid w:val="003F14F9"/>
    <w:rsid w:val="003F1834"/>
    <w:rsid w:val="003F18A9"/>
    <w:rsid w:val="003F1EEB"/>
    <w:rsid w:val="003F29BD"/>
    <w:rsid w:val="003F3E4D"/>
    <w:rsid w:val="003F4294"/>
    <w:rsid w:val="003F44EE"/>
    <w:rsid w:val="003F53A6"/>
    <w:rsid w:val="003F53CB"/>
    <w:rsid w:val="003F53F1"/>
    <w:rsid w:val="003F5698"/>
    <w:rsid w:val="003F59CA"/>
    <w:rsid w:val="003F6017"/>
    <w:rsid w:val="003F6360"/>
    <w:rsid w:val="003F675A"/>
    <w:rsid w:val="003F6C94"/>
    <w:rsid w:val="003F745E"/>
    <w:rsid w:val="003F75C6"/>
    <w:rsid w:val="003F76B5"/>
    <w:rsid w:val="003F79BC"/>
    <w:rsid w:val="00400652"/>
    <w:rsid w:val="00400831"/>
    <w:rsid w:val="004008C7"/>
    <w:rsid w:val="00400C2F"/>
    <w:rsid w:val="00400CD7"/>
    <w:rsid w:val="00400D22"/>
    <w:rsid w:val="0040105F"/>
    <w:rsid w:val="00401184"/>
    <w:rsid w:val="00401484"/>
    <w:rsid w:val="0040181B"/>
    <w:rsid w:val="004018DB"/>
    <w:rsid w:val="00401BDF"/>
    <w:rsid w:val="004029B9"/>
    <w:rsid w:val="00402B2D"/>
    <w:rsid w:val="00402CA6"/>
    <w:rsid w:val="00402D86"/>
    <w:rsid w:val="00403116"/>
    <w:rsid w:val="004034F4"/>
    <w:rsid w:val="00403603"/>
    <w:rsid w:val="00403993"/>
    <w:rsid w:val="00403C51"/>
    <w:rsid w:val="0040454D"/>
    <w:rsid w:val="004048AF"/>
    <w:rsid w:val="00404C75"/>
    <w:rsid w:val="004062C3"/>
    <w:rsid w:val="004064A8"/>
    <w:rsid w:val="004065A0"/>
    <w:rsid w:val="0040696C"/>
    <w:rsid w:val="004074CB"/>
    <w:rsid w:val="00407741"/>
    <w:rsid w:val="0041017C"/>
    <w:rsid w:val="0041026D"/>
    <w:rsid w:val="0041093D"/>
    <w:rsid w:val="00410BA2"/>
    <w:rsid w:val="004114E7"/>
    <w:rsid w:val="004121B5"/>
    <w:rsid w:val="004123CB"/>
    <w:rsid w:val="004126F5"/>
    <w:rsid w:val="0041282A"/>
    <w:rsid w:val="00412DA5"/>
    <w:rsid w:val="00412DD5"/>
    <w:rsid w:val="00413061"/>
    <w:rsid w:val="004134C9"/>
    <w:rsid w:val="00413645"/>
    <w:rsid w:val="0041369C"/>
    <w:rsid w:val="004137B4"/>
    <w:rsid w:val="00413AE2"/>
    <w:rsid w:val="00413F53"/>
    <w:rsid w:val="00413F89"/>
    <w:rsid w:val="004143DB"/>
    <w:rsid w:val="004146C1"/>
    <w:rsid w:val="0041498F"/>
    <w:rsid w:val="00414B87"/>
    <w:rsid w:val="00415AF2"/>
    <w:rsid w:val="00416B31"/>
    <w:rsid w:val="00416FAC"/>
    <w:rsid w:val="0041740C"/>
    <w:rsid w:val="00417788"/>
    <w:rsid w:val="00417FE8"/>
    <w:rsid w:val="0042021C"/>
    <w:rsid w:val="00420B96"/>
    <w:rsid w:val="00420F30"/>
    <w:rsid w:val="004210F1"/>
    <w:rsid w:val="0042150C"/>
    <w:rsid w:val="00421D73"/>
    <w:rsid w:val="00421EC1"/>
    <w:rsid w:val="00422100"/>
    <w:rsid w:val="0042228C"/>
    <w:rsid w:val="0042250A"/>
    <w:rsid w:val="00422A1A"/>
    <w:rsid w:val="00422CB0"/>
    <w:rsid w:val="00422D5A"/>
    <w:rsid w:val="00422E15"/>
    <w:rsid w:val="0042318C"/>
    <w:rsid w:val="004232EC"/>
    <w:rsid w:val="0042450B"/>
    <w:rsid w:val="00424536"/>
    <w:rsid w:val="004247C2"/>
    <w:rsid w:val="00425376"/>
    <w:rsid w:val="00425D5D"/>
    <w:rsid w:val="00426202"/>
    <w:rsid w:val="004265E5"/>
    <w:rsid w:val="004266AB"/>
    <w:rsid w:val="0042711E"/>
    <w:rsid w:val="00430968"/>
    <w:rsid w:val="00430C1E"/>
    <w:rsid w:val="00430EE0"/>
    <w:rsid w:val="00431BE1"/>
    <w:rsid w:val="004327A6"/>
    <w:rsid w:val="0043293E"/>
    <w:rsid w:val="00432B6C"/>
    <w:rsid w:val="004330CB"/>
    <w:rsid w:val="00433414"/>
    <w:rsid w:val="00433C2A"/>
    <w:rsid w:val="00434616"/>
    <w:rsid w:val="00434633"/>
    <w:rsid w:val="00435076"/>
    <w:rsid w:val="004355C0"/>
    <w:rsid w:val="00435928"/>
    <w:rsid w:val="004361A8"/>
    <w:rsid w:val="0043644D"/>
    <w:rsid w:val="00436AB8"/>
    <w:rsid w:val="00436B50"/>
    <w:rsid w:val="00436D9D"/>
    <w:rsid w:val="00436E66"/>
    <w:rsid w:val="004374E0"/>
    <w:rsid w:val="00437DD1"/>
    <w:rsid w:val="00437E6E"/>
    <w:rsid w:val="00437E84"/>
    <w:rsid w:val="0044055E"/>
    <w:rsid w:val="004406E9"/>
    <w:rsid w:val="00440FE1"/>
    <w:rsid w:val="0044123F"/>
    <w:rsid w:val="00441530"/>
    <w:rsid w:val="00441778"/>
    <w:rsid w:val="00441FE9"/>
    <w:rsid w:val="00442481"/>
    <w:rsid w:val="00442923"/>
    <w:rsid w:val="00442C3D"/>
    <w:rsid w:val="0044355A"/>
    <w:rsid w:val="00443E0A"/>
    <w:rsid w:val="00443EAF"/>
    <w:rsid w:val="00444353"/>
    <w:rsid w:val="0044439E"/>
    <w:rsid w:val="0044452A"/>
    <w:rsid w:val="004449A4"/>
    <w:rsid w:val="00444C97"/>
    <w:rsid w:val="00444EC3"/>
    <w:rsid w:val="00445AC9"/>
    <w:rsid w:val="00445D91"/>
    <w:rsid w:val="00445F79"/>
    <w:rsid w:val="004460C2"/>
    <w:rsid w:val="0044640D"/>
    <w:rsid w:val="004466AA"/>
    <w:rsid w:val="00446FDB"/>
    <w:rsid w:val="004471E9"/>
    <w:rsid w:val="0044748F"/>
    <w:rsid w:val="00447D53"/>
    <w:rsid w:val="004505C5"/>
    <w:rsid w:val="00450AD2"/>
    <w:rsid w:val="00450FBC"/>
    <w:rsid w:val="00450FD5"/>
    <w:rsid w:val="00451488"/>
    <w:rsid w:val="00452868"/>
    <w:rsid w:val="00452900"/>
    <w:rsid w:val="00452DB1"/>
    <w:rsid w:val="00452FA1"/>
    <w:rsid w:val="004532D0"/>
    <w:rsid w:val="004536FB"/>
    <w:rsid w:val="00454518"/>
    <w:rsid w:val="00454864"/>
    <w:rsid w:val="00454975"/>
    <w:rsid w:val="004557B1"/>
    <w:rsid w:val="00456289"/>
    <w:rsid w:val="004565AA"/>
    <w:rsid w:val="00457599"/>
    <w:rsid w:val="00457E0D"/>
    <w:rsid w:val="004604BD"/>
    <w:rsid w:val="004608B4"/>
    <w:rsid w:val="00460FB4"/>
    <w:rsid w:val="0046140A"/>
    <w:rsid w:val="00461864"/>
    <w:rsid w:val="0046191F"/>
    <w:rsid w:val="00461F0C"/>
    <w:rsid w:val="00463086"/>
    <w:rsid w:val="00463240"/>
    <w:rsid w:val="00463691"/>
    <w:rsid w:val="00463CA7"/>
    <w:rsid w:val="00463FEC"/>
    <w:rsid w:val="00464210"/>
    <w:rsid w:val="0046437A"/>
    <w:rsid w:val="004645E3"/>
    <w:rsid w:val="004646FF"/>
    <w:rsid w:val="004647C2"/>
    <w:rsid w:val="00464BE6"/>
    <w:rsid w:val="0046536E"/>
    <w:rsid w:val="00465CF0"/>
    <w:rsid w:val="0046606C"/>
    <w:rsid w:val="0046612B"/>
    <w:rsid w:val="004668AA"/>
    <w:rsid w:val="00466B56"/>
    <w:rsid w:val="00467069"/>
    <w:rsid w:val="00467E28"/>
    <w:rsid w:val="00470383"/>
    <w:rsid w:val="00470427"/>
    <w:rsid w:val="004706D1"/>
    <w:rsid w:val="004707BC"/>
    <w:rsid w:val="00470CB0"/>
    <w:rsid w:val="00470EC4"/>
    <w:rsid w:val="004718B9"/>
    <w:rsid w:val="004718D0"/>
    <w:rsid w:val="00471B3C"/>
    <w:rsid w:val="004720F2"/>
    <w:rsid w:val="00472602"/>
    <w:rsid w:val="004727E6"/>
    <w:rsid w:val="00472F3C"/>
    <w:rsid w:val="00473985"/>
    <w:rsid w:val="00473997"/>
    <w:rsid w:val="00473DBD"/>
    <w:rsid w:val="004740A1"/>
    <w:rsid w:val="004743D9"/>
    <w:rsid w:val="00474B16"/>
    <w:rsid w:val="00474CFA"/>
    <w:rsid w:val="00474D00"/>
    <w:rsid w:val="0047541C"/>
    <w:rsid w:val="00475498"/>
    <w:rsid w:val="00475787"/>
    <w:rsid w:val="00475DCC"/>
    <w:rsid w:val="00476FD4"/>
    <w:rsid w:val="0047702A"/>
    <w:rsid w:val="00477C07"/>
    <w:rsid w:val="00480764"/>
    <w:rsid w:val="0048090F"/>
    <w:rsid w:val="00480A66"/>
    <w:rsid w:val="00481357"/>
    <w:rsid w:val="00481ECF"/>
    <w:rsid w:val="00482391"/>
    <w:rsid w:val="0048319D"/>
    <w:rsid w:val="004833B8"/>
    <w:rsid w:val="00483CED"/>
    <w:rsid w:val="004840ED"/>
    <w:rsid w:val="0048502C"/>
    <w:rsid w:val="004857CA"/>
    <w:rsid w:val="00485BD9"/>
    <w:rsid w:val="00485C82"/>
    <w:rsid w:val="0048614E"/>
    <w:rsid w:val="0048622B"/>
    <w:rsid w:val="00486530"/>
    <w:rsid w:val="004869E9"/>
    <w:rsid w:val="004871A1"/>
    <w:rsid w:val="004879E8"/>
    <w:rsid w:val="004879EE"/>
    <w:rsid w:val="00487D91"/>
    <w:rsid w:val="0049073E"/>
    <w:rsid w:val="00490CE3"/>
    <w:rsid w:val="004910FF"/>
    <w:rsid w:val="004916A9"/>
    <w:rsid w:val="00491EFA"/>
    <w:rsid w:val="00492716"/>
    <w:rsid w:val="00492A9B"/>
    <w:rsid w:val="0049316D"/>
    <w:rsid w:val="00493359"/>
    <w:rsid w:val="00493D88"/>
    <w:rsid w:val="00493E72"/>
    <w:rsid w:val="004943FB"/>
    <w:rsid w:val="0049454D"/>
    <w:rsid w:val="00494995"/>
    <w:rsid w:val="00494AC0"/>
    <w:rsid w:val="00494E11"/>
    <w:rsid w:val="00495635"/>
    <w:rsid w:val="004957A8"/>
    <w:rsid w:val="0049596B"/>
    <w:rsid w:val="00495DBC"/>
    <w:rsid w:val="004967DD"/>
    <w:rsid w:val="004968FC"/>
    <w:rsid w:val="00496D1E"/>
    <w:rsid w:val="00496E5C"/>
    <w:rsid w:val="00497189"/>
    <w:rsid w:val="00497562"/>
    <w:rsid w:val="00497614"/>
    <w:rsid w:val="00497760"/>
    <w:rsid w:val="00497A69"/>
    <w:rsid w:val="00497BC4"/>
    <w:rsid w:val="00497BCC"/>
    <w:rsid w:val="00497D25"/>
    <w:rsid w:val="004A008B"/>
    <w:rsid w:val="004A074E"/>
    <w:rsid w:val="004A13FE"/>
    <w:rsid w:val="004A149B"/>
    <w:rsid w:val="004A1756"/>
    <w:rsid w:val="004A1857"/>
    <w:rsid w:val="004A1DCE"/>
    <w:rsid w:val="004A1F56"/>
    <w:rsid w:val="004A211D"/>
    <w:rsid w:val="004A29B0"/>
    <w:rsid w:val="004A2AFF"/>
    <w:rsid w:val="004A2BFC"/>
    <w:rsid w:val="004A388F"/>
    <w:rsid w:val="004A39AA"/>
    <w:rsid w:val="004A39DB"/>
    <w:rsid w:val="004A4497"/>
    <w:rsid w:val="004A4930"/>
    <w:rsid w:val="004A4A85"/>
    <w:rsid w:val="004A4D91"/>
    <w:rsid w:val="004A5438"/>
    <w:rsid w:val="004A5750"/>
    <w:rsid w:val="004A57AB"/>
    <w:rsid w:val="004A59E1"/>
    <w:rsid w:val="004A6152"/>
    <w:rsid w:val="004A6419"/>
    <w:rsid w:val="004A6481"/>
    <w:rsid w:val="004A6EB1"/>
    <w:rsid w:val="004A7907"/>
    <w:rsid w:val="004A7D89"/>
    <w:rsid w:val="004A7F12"/>
    <w:rsid w:val="004B09C4"/>
    <w:rsid w:val="004B1543"/>
    <w:rsid w:val="004B17CC"/>
    <w:rsid w:val="004B18BE"/>
    <w:rsid w:val="004B1E81"/>
    <w:rsid w:val="004B1EBA"/>
    <w:rsid w:val="004B2B59"/>
    <w:rsid w:val="004B2DBD"/>
    <w:rsid w:val="004B31ED"/>
    <w:rsid w:val="004B35D1"/>
    <w:rsid w:val="004B35E2"/>
    <w:rsid w:val="004B381A"/>
    <w:rsid w:val="004B3D08"/>
    <w:rsid w:val="004B3F6A"/>
    <w:rsid w:val="004B4512"/>
    <w:rsid w:val="004B47B9"/>
    <w:rsid w:val="004B4EFB"/>
    <w:rsid w:val="004B4F49"/>
    <w:rsid w:val="004B5146"/>
    <w:rsid w:val="004B6249"/>
    <w:rsid w:val="004B698F"/>
    <w:rsid w:val="004B6FB1"/>
    <w:rsid w:val="004B7A54"/>
    <w:rsid w:val="004B7BA7"/>
    <w:rsid w:val="004C0382"/>
    <w:rsid w:val="004C0535"/>
    <w:rsid w:val="004C06B3"/>
    <w:rsid w:val="004C0778"/>
    <w:rsid w:val="004C0DBD"/>
    <w:rsid w:val="004C0DF1"/>
    <w:rsid w:val="004C1AF5"/>
    <w:rsid w:val="004C1BF6"/>
    <w:rsid w:val="004C1FA0"/>
    <w:rsid w:val="004C20ED"/>
    <w:rsid w:val="004C254D"/>
    <w:rsid w:val="004C2674"/>
    <w:rsid w:val="004C2750"/>
    <w:rsid w:val="004C2854"/>
    <w:rsid w:val="004C2A7A"/>
    <w:rsid w:val="004C47D8"/>
    <w:rsid w:val="004C4B9C"/>
    <w:rsid w:val="004C63F2"/>
    <w:rsid w:val="004C6562"/>
    <w:rsid w:val="004C65D3"/>
    <w:rsid w:val="004C6628"/>
    <w:rsid w:val="004C6E56"/>
    <w:rsid w:val="004C6E5D"/>
    <w:rsid w:val="004C7631"/>
    <w:rsid w:val="004C7BDA"/>
    <w:rsid w:val="004C7F3D"/>
    <w:rsid w:val="004D08C6"/>
    <w:rsid w:val="004D18B7"/>
    <w:rsid w:val="004D1BD1"/>
    <w:rsid w:val="004D2C22"/>
    <w:rsid w:val="004D2DF6"/>
    <w:rsid w:val="004D34D8"/>
    <w:rsid w:val="004D364B"/>
    <w:rsid w:val="004D3949"/>
    <w:rsid w:val="004D3AFB"/>
    <w:rsid w:val="004D3BC2"/>
    <w:rsid w:val="004D3BF6"/>
    <w:rsid w:val="004D3C35"/>
    <w:rsid w:val="004D4A0B"/>
    <w:rsid w:val="004D4A8D"/>
    <w:rsid w:val="004D4D44"/>
    <w:rsid w:val="004D4FBF"/>
    <w:rsid w:val="004D508C"/>
    <w:rsid w:val="004D5907"/>
    <w:rsid w:val="004D59D7"/>
    <w:rsid w:val="004D672A"/>
    <w:rsid w:val="004D6AAF"/>
    <w:rsid w:val="004D7EAC"/>
    <w:rsid w:val="004E0255"/>
    <w:rsid w:val="004E02F9"/>
    <w:rsid w:val="004E0CA2"/>
    <w:rsid w:val="004E14D3"/>
    <w:rsid w:val="004E285A"/>
    <w:rsid w:val="004E28FB"/>
    <w:rsid w:val="004E2E9E"/>
    <w:rsid w:val="004E3872"/>
    <w:rsid w:val="004E3ABE"/>
    <w:rsid w:val="004E3E69"/>
    <w:rsid w:val="004E40B3"/>
    <w:rsid w:val="004E46FD"/>
    <w:rsid w:val="004E4C1C"/>
    <w:rsid w:val="004E4CB7"/>
    <w:rsid w:val="004E4D79"/>
    <w:rsid w:val="004E5037"/>
    <w:rsid w:val="004E50F9"/>
    <w:rsid w:val="004E5304"/>
    <w:rsid w:val="004E565A"/>
    <w:rsid w:val="004E5DD1"/>
    <w:rsid w:val="004E60D9"/>
    <w:rsid w:val="004E635D"/>
    <w:rsid w:val="004E64A4"/>
    <w:rsid w:val="004E6922"/>
    <w:rsid w:val="004E734F"/>
    <w:rsid w:val="004E78CF"/>
    <w:rsid w:val="004F0274"/>
    <w:rsid w:val="004F1188"/>
    <w:rsid w:val="004F12CB"/>
    <w:rsid w:val="004F2177"/>
    <w:rsid w:val="004F227D"/>
    <w:rsid w:val="004F246E"/>
    <w:rsid w:val="004F25AE"/>
    <w:rsid w:val="004F29C1"/>
    <w:rsid w:val="004F2E50"/>
    <w:rsid w:val="004F301A"/>
    <w:rsid w:val="004F327F"/>
    <w:rsid w:val="004F3C72"/>
    <w:rsid w:val="004F3F60"/>
    <w:rsid w:val="004F4064"/>
    <w:rsid w:val="004F4343"/>
    <w:rsid w:val="004F43C8"/>
    <w:rsid w:val="004F4522"/>
    <w:rsid w:val="004F47FB"/>
    <w:rsid w:val="004F4910"/>
    <w:rsid w:val="004F564B"/>
    <w:rsid w:val="004F57C7"/>
    <w:rsid w:val="004F6A92"/>
    <w:rsid w:val="004F6AF9"/>
    <w:rsid w:val="004F6BFA"/>
    <w:rsid w:val="004F7BFF"/>
    <w:rsid w:val="004F7D65"/>
    <w:rsid w:val="0050038A"/>
    <w:rsid w:val="00500A7A"/>
    <w:rsid w:val="00500F83"/>
    <w:rsid w:val="00501031"/>
    <w:rsid w:val="0050143E"/>
    <w:rsid w:val="00501CBF"/>
    <w:rsid w:val="00501ECD"/>
    <w:rsid w:val="0050248C"/>
    <w:rsid w:val="00502513"/>
    <w:rsid w:val="00502D18"/>
    <w:rsid w:val="00502D93"/>
    <w:rsid w:val="005031A8"/>
    <w:rsid w:val="005031FF"/>
    <w:rsid w:val="00503362"/>
    <w:rsid w:val="00503757"/>
    <w:rsid w:val="00505AB0"/>
    <w:rsid w:val="00505D34"/>
    <w:rsid w:val="00506280"/>
    <w:rsid w:val="005062A4"/>
    <w:rsid w:val="00506659"/>
    <w:rsid w:val="00506774"/>
    <w:rsid w:val="00507F13"/>
    <w:rsid w:val="0051044F"/>
    <w:rsid w:val="00510E77"/>
    <w:rsid w:val="005114AE"/>
    <w:rsid w:val="00511A45"/>
    <w:rsid w:val="00512B21"/>
    <w:rsid w:val="00512D61"/>
    <w:rsid w:val="005133F4"/>
    <w:rsid w:val="00513E32"/>
    <w:rsid w:val="005144CA"/>
    <w:rsid w:val="0051582C"/>
    <w:rsid w:val="005159E3"/>
    <w:rsid w:val="00515E15"/>
    <w:rsid w:val="005164AD"/>
    <w:rsid w:val="005165F5"/>
    <w:rsid w:val="00516790"/>
    <w:rsid w:val="00516A8D"/>
    <w:rsid w:val="00516F8B"/>
    <w:rsid w:val="005177C1"/>
    <w:rsid w:val="005178C5"/>
    <w:rsid w:val="00520361"/>
    <w:rsid w:val="005204E8"/>
    <w:rsid w:val="00520659"/>
    <w:rsid w:val="00520C50"/>
    <w:rsid w:val="00521735"/>
    <w:rsid w:val="005218D6"/>
    <w:rsid w:val="00521A16"/>
    <w:rsid w:val="00521AD5"/>
    <w:rsid w:val="00521BEC"/>
    <w:rsid w:val="00521DF6"/>
    <w:rsid w:val="005221B5"/>
    <w:rsid w:val="005227D5"/>
    <w:rsid w:val="00523167"/>
    <w:rsid w:val="005235E2"/>
    <w:rsid w:val="005238DD"/>
    <w:rsid w:val="00523CB3"/>
    <w:rsid w:val="00523E25"/>
    <w:rsid w:val="00523ECF"/>
    <w:rsid w:val="00523EF6"/>
    <w:rsid w:val="00523FFF"/>
    <w:rsid w:val="0052520A"/>
    <w:rsid w:val="00525C38"/>
    <w:rsid w:val="00526179"/>
    <w:rsid w:val="005270C7"/>
    <w:rsid w:val="00527662"/>
    <w:rsid w:val="005302A2"/>
    <w:rsid w:val="005302CE"/>
    <w:rsid w:val="00530F09"/>
    <w:rsid w:val="005312C4"/>
    <w:rsid w:val="0053179D"/>
    <w:rsid w:val="00531B89"/>
    <w:rsid w:val="00531C51"/>
    <w:rsid w:val="00531D23"/>
    <w:rsid w:val="005325D8"/>
    <w:rsid w:val="00533368"/>
    <w:rsid w:val="005335C9"/>
    <w:rsid w:val="0053378F"/>
    <w:rsid w:val="005343C6"/>
    <w:rsid w:val="0053497E"/>
    <w:rsid w:val="00534B2C"/>
    <w:rsid w:val="00535BD2"/>
    <w:rsid w:val="0053622F"/>
    <w:rsid w:val="0053638A"/>
    <w:rsid w:val="0053694D"/>
    <w:rsid w:val="00536B07"/>
    <w:rsid w:val="00536ECD"/>
    <w:rsid w:val="00537671"/>
    <w:rsid w:val="005404CF"/>
    <w:rsid w:val="00540E77"/>
    <w:rsid w:val="0054205E"/>
    <w:rsid w:val="005429B1"/>
    <w:rsid w:val="00542C2C"/>
    <w:rsid w:val="00542D58"/>
    <w:rsid w:val="00544408"/>
    <w:rsid w:val="0054492C"/>
    <w:rsid w:val="00544E74"/>
    <w:rsid w:val="00544F00"/>
    <w:rsid w:val="00545145"/>
    <w:rsid w:val="00545156"/>
    <w:rsid w:val="00545E14"/>
    <w:rsid w:val="00546216"/>
    <w:rsid w:val="00546816"/>
    <w:rsid w:val="0054685C"/>
    <w:rsid w:val="00546926"/>
    <w:rsid w:val="00547611"/>
    <w:rsid w:val="005477C5"/>
    <w:rsid w:val="00547ADD"/>
    <w:rsid w:val="00550272"/>
    <w:rsid w:val="005502FF"/>
    <w:rsid w:val="00550FC0"/>
    <w:rsid w:val="00551E54"/>
    <w:rsid w:val="0055226D"/>
    <w:rsid w:val="0055292F"/>
    <w:rsid w:val="00552E94"/>
    <w:rsid w:val="00553060"/>
    <w:rsid w:val="005533CF"/>
    <w:rsid w:val="00553500"/>
    <w:rsid w:val="0055415F"/>
    <w:rsid w:val="005544CE"/>
    <w:rsid w:val="005545D8"/>
    <w:rsid w:val="005545FC"/>
    <w:rsid w:val="00554BC4"/>
    <w:rsid w:val="00554E2D"/>
    <w:rsid w:val="00555799"/>
    <w:rsid w:val="005557E9"/>
    <w:rsid w:val="00555B56"/>
    <w:rsid w:val="00556350"/>
    <w:rsid w:val="0055635C"/>
    <w:rsid w:val="0055637F"/>
    <w:rsid w:val="0055698E"/>
    <w:rsid w:val="005569E8"/>
    <w:rsid w:val="00556A4F"/>
    <w:rsid w:val="00556D60"/>
    <w:rsid w:val="00556D7F"/>
    <w:rsid w:val="0056020D"/>
    <w:rsid w:val="00560558"/>
    <w:rsid w:val="00560693"/>
    <w:rsid w:val="00561324"/>
    <w:rsid w:val="00561E3D"/>
    <w:rsid w:val="00562579"/>
    <w:rsid w:val="00562DE8"/>
    <w:rsid w:val="00562F3B"/>
    <w:rsid w:val="00562FC7"/>
    <w:rsid w:val="00563D70"/>
    <w:rsid w:val="00564635"/>
    <w:rsid w:val="00564BDD"/>
    <w:rsid w:val="00564E64"/>
    <w:rsid w:val="00564FE0"/>
    <w:rsid w:val="00565557"/>
    <w:rsid w:val="00565C31"/>
    <w:rsid w:val="00565EEA"/>
    <w:rsid w:val="00565FB9"/>
    <w:rsid w:val="005661F9"/>
    <w:rsid w:val="005665D6"/>
    <w:rsid w:val="00566788"/>
    <w:rsid w:val="00566E77"/>
    <w:rsid w:val="00567A89"/>
    <w:rsid w:val="00567C5A"/>
    <w:rsid w:val="00567D7F"/>
    <w:rsid w:val="00567F69"/>
    <w:rsid w:val="0057035C"/>
    <w:rsid w:val="005704D0"/>
    <w:rsid w:val="00570E49"/>
    <w:rsid w:val="00571603"/>
    <w:rsid w:val="0057172B"/>
    <w:rsid w:val="00572D94"/>
    <w:rsid w:val="00572EAF"/>
    <w:rsid w:val="00573589"/>
    <w:rsid w:val="00573FF3"/>
    <w:rsid w:val="00574157"/>
    <w:rsid w:val="0057416F"/>
    <w:rsid w:val="00574228"/>
    <w:rsid w:val="00574690"/>
    <w:rsid w:val="00574882"/>
    <w:rsid w:val="00574CD1"/>
    <w:rsid w:val="00575004"/>
    <w:rsid w:val="00575035"/>
    <w:rsid w:val="005760D0"/>
    <w:rsid w:val="005763CF"/>
    <w:rsid w:val="00576D66"/>
    <w:rsid w:val="00576F26"/>
    <w:rsid w:val="00577478"/>
    <w:rsid w:val="00577F93"/>
    <w:rsid w:val="0058022C"/>
    <w:rsid w:val="00580B05"/>
    <w:rsid w:val="00580F0A"/>
    <w:rsid w:val="005813A6"/>
    <w:rsid w:val="005813AE"/>
    <w:rsid w:val="005827B6"/>
    <w:rsid w:val="005829DD"/>
    <w:rsid w:val="005838B7"/>
    <w:rsid w:val="00583E38"/>
    <w:rsid w:val="0058437D"/>
    <w:rsid w:val="00584A82"/>
    <w:rsid w:val="005851B4"/>
    <w:rsid w:val="005853F8"/>
    <w:rsid w:val="00586117"/>
    <w:rsid w:val="00586894"/>
    <w:rsid w:val="00586A85"/>
    <w:rsid w:val="00586CA7"/>
    <w:rsid w:val="00586E4C"/>
    <w:rsid w:val="005873F2"/>
    <w:rsid w:val="0058771D"/>
    <w:rsid w:val="0059090E"/>
    <w:rsid w:val="0059106C"/>
    <w:rsid w:val="005912B3"/>
    <w:rsid w:val="00591A1F"/>
    <w:rsid w:val="00592CBA"/>
    <w:rsid w:val="005932C9"/>
    <w:rsid w:val="00593ED5"/>
    <w:rsid w:val="00594800"/>
    <w:rsid w:val="00594B65"/>
    <w:rsid w:val="00594DCF"/>
    <w:rsid w:val="00595D20"/>
    <w:rsid w:val="00595D6A"/>
    <w:rsid w:val="00596506"/>
    <w:rsid w:val="005965B6"/>
    <w:rsid w:val="00596A2C"/>
    <w:rsid w:val="00597498"/>
    <w:rsid w:val="005A0A28"/>
    <w:rsid w:val="005A0BF9"/>
    <w:rsid w:val="005A0CA4"/>
    <w:rsid w:val="005A1184"/>
    <w:rsid w:val="005A126C"/>
    <w:rsid w:val="005A1544"/>
    <w:rsid w:val="005A1AA7"/>
    <w:rsid w:val="005A1B51"/>
    <w:rsid w:val="005A1F5E"/>
    <w:rsid w:val="005A203C"/>
    <w:rsid w:val="005A2718"/>
    <w:rsid w:val="005A2C28"/>
    <w:rsid w:val="005A2C4B"/>
    <w:rsid w:val="005A2F20"/>
    <w:rsid w:val="005A339B"/>
    <w:rsid w:val="005A3F0D"/>
    <w:rsid w:val="005A4101"/>
    <w:rsid w:val="005A493B"/>
    <w:rsid w:val="005A50A0"/>
    <w:rsid w:val="005A68C0"/>
    <w:rsid w:val="005A692D"/>
    <w:rsid w:val="005A6B5B"/>
    <w:rsid w:val="005A6BE9"/>
    <w:rsid w:val="005A6E98"/>
    <w:rsid w:val="005A72CC"/>
    <w:rsid w:val="005A7B63"/>
    <w:rsid w:val="005B010C"/>
    <w:rsid w:val="005B16EE"/>
    <w:rsid w:val="005B2099"/>
    <w:rsid w:val="005B247E"/>
    <w:rsid w:val="005B2498"/>
    <w:rsid w:val="005B3008"/>
    <w:rsid w:val="005B39BA"/>
    <w:rsid w:val="005B40CC"/>
    <w:rsid w:val="005B4152"/>
    <w:rsid w:val="005B43D7"/>
    <w:rsid w:val="005B4F11"/>
    <w:rsid w:val="005B5138"/>
    <w:rsid w:val="005B5461"/>
    <w:rsid w:val="005B57F0"/>
    <w:rsid w:val="005B594B"/>
    <w:rsid w:val="005B5CEA"/>
    <w:rsid w:val="005B74FC"/>
    <w:rsid w:val="005B7577"/>
    <w:rsid w:val="005B7BD8"/>
    <w:rsid w:val="005B7D44"/>
    <w:rsid w:val="005B7F27"/>
    <w:rsid w:val="005C025E"/>
    <w:rsid w:val="005C0CAE"/>
    <w:rsid w:val="005C1003"/>
    <w:rsid w:val="005C141E"/>
    <w:rsid w:val="005C16A6"/>
    <w:rsid w:val="005C21BC"/>
    <w:rsid w:val="005C2510"/>
    <w:rsid w:val="005C2B8B"/>
    <w:rsid w:val="005C329A"/>
    <w:rsid w:val="005C4554"/>
    <w:rsid w:val="005C501E"/>
    <w:rsid w:val="005C5278"/>
    <w:rsid w:val="005C6194"/>
    <w:rsid w:val="005C70D3"/>
    <w:rsid w:val="005D0423"/>
    <w:rsid w:val="005D0853"/>
    <w:rsid w:val="005D0DE0"/>
    <w:rsid w:val="005D0FD2"/>
    <w:rsid w:val="005D101C"/>
    <w:rsid w:val="005D196D"/>
    <w:rsid w:val="005D1981"/>
    <w:rsid w:val="005D199F"/>
    <w:rsid w:val="005D1CC1"/>
    <w:rsid w:val="005D1F8C"/>
    <w:rsid w:val="005D229E"/>
    <w:rsid w:val="005D22D1"/>
    <w:rsid w:val="005D2882"/>
    <w:rsid w:val="005D2CAC"/>
    <w:rsid w:val="005D2DD1"/>
    <w:rsid w:val="005D2E96"/>
    <w:rsid w:val="005D3246"/>
    <w:rsid w:val="005D3804"/>
    <w:rsid w:val="005D4214"/>
    <w:rsid w:val="005D43DC"/>
    <w:rsid w:val="005D47FB"/>
    <w:rsid w:val="005D4D3B"/>
    <w:rsid w:val="005D5882"/>
    <w:rsid w:val="005D6E7C"/>
    <w:rsid w:val="005D7586"/>
    <w:rsid w:val="005D784E"/>
    <w:rsid w:val="005D7B77"/>
    <w:rsid w:val="005E069F"/>
    <w:rsid w:val="005E0C14"/>
    <w:rsid w:val="005E10A4"/>
    <w:rsid w:val="005E18BA"/>
    <w:rsid w:val="005E217A"/>
    <w:rsid w:val="005E24E7"/>
    <w:rsid w:val="005E2666"/>
    <w:rsid w:val="005E2A39"/>
    <w:rsid w:val="005E2A77"/>
    <w:rsid w:val="005E31E1"/>
    <w:rsid w:val="005E3521"/>
    <w:rsid w:val="005E3A94"/>
    <w:rsid w:val="005E3CA0"/>
    <w:rsid w:val="005E42A3"/>
    <w:rsid w:val="005E454A"/>
    <w:rsid w:val="005E488C"/>
    <w:rsid w:val="005E4B40"/>
    <w:rsid w:val="005E4D3C"/>
    <w:rsid w:val="005E4FA0"/>
    <w:rsid w:val="005E54FF"/>
    <w:rsid w:val="005E5662"/>
    <w:rsid w:val="005E5ABF"/>
    <w:rsid w:val="005E5CBC"/>
    <w:rsid w:val="005E5FF4"/>
    <w:rsid w:val="005E61D9"/>
    <w:rsid w:val="005E65B3"/>
    <w:rsid w:val="005E7060"/>
    <w:rsid w:val="005E7475"/>
    <w:rsid w:val="005E77D2"/>
    <w:rsid w:val="005E7E37"/>
    <w:rsid w:val="005E7F25"/>
    <w:rsid w:val="005F1C81"/>
    <w:rsid w:val="005F25C6"/>
    <w:rsid w:val="005F26C6"/>
    <w:rsid w:val="005F356A"/>
    <w:rsid w:val="005F3CB9"/>
    <w:rsid w:val="005F47EE"/>
    <w:rsid w:val="005F4853"/>
    <w:rsid w:val="005F596E"/>
    <w:rsid w:val="005F5B41"/>
    <w:rsid w:val="005F69B1"/>
    <w:rsid w:val="005F7370"/>
    <w:rsid w:val="00600C43"/>
    <w:rsid w:val="00600FC1"/>
    <w:rsid w:val="0060129B"/>
    <w:rsid w:val="00601D5A"/>
    <w:rsid w:val="00601D8F"/>
    <w:rsid w:val="006024F8"/>
    <w:rsid w:val="0060259D"/>
    <w:rsid w:val="0060306B"/>
    <w:rsid w:val="00603120"/>
    <w:rsid w:val="006035F3"/>
    <w:rsid w:val="00603914"/>
    <w:rsid w:val="00603DBE"/>
    <w:rsid w:val="0060444C"/>
    <w:rsid w:val="00604732"/>
    <w:rsid w:val="006047C0"/>
    <w:rsid w:val="00604A37"/>
    <w:rsid w:val="00604B03"/>
    <w:rsid w:val="00604D07"/>
    <w:rsid w:val="00605839"/>
    <w:rsid w:val="00605CDC"/>
    <w:rsid w:val="00605E2A"/>
    <w:rsid w:val="006063D8"/>
    <w:rsid w:val="006067EE"/>
    <w:rsid w:val="006069BA"/>
    <w:rsid w:val="00606A67"/>
    <w:rsid w:val="00606C10"/>
    <w:rsid w:val="00607589"/>
    <w:rsid w:val="00607A74"/>
    <w:rsid w:val="00607C15"/>
    <w:rsid w:val="00610222"/>
    <w:rsid w:val="00610608"/>
    <w:rsid w:val="0061094C"/>
    <w:rsid w:val="0061098D"/>
    <w:rsid w:val="00610AF9"/>
    <w:rsid w:val="0061292D"/>
    <w:rsid w:val="006129D7"/>
    <w:rsid w:val="00612B9A"/>
    <w:rsid w:val="00613792"/>
    <w:rsid w:val="00613AF5"/>
    <w:rsid w:val="006140ED"/>
    <w:rsid w:val="00614864"/>
    <w:rsid w:val="006148E8"/>
    <w:rsid w:val="00615962"/>
    <w:rsid w:val="00615C50"/>
    <w:rsid w:val="006165C2"/>
    <w:rsid w:val="006167AC"/>
    <w:rsid w:val="00616CD1"/>
    <w:rsid w:val="00617258"/>
    <w:rsid w:val="006172EC"/>
    <w:rsid w:val="006178D9"/>
    <w:rsid w:val="006202CE"/>
    <w:rsid w:val="00620677"/>
    <w:rsid w:val="00620A08"/>
    <w:rsid w:val="006214A5"/>
    <w:rsid w:val="00621961"/>
    <w:rsid w:val="0062234D"/>
    <w:rsid w:val="00622409"/>
    <w:rsid w:val="0062265A"/>
    <w:rsid w:val="00622715"/>
    <w:rsid w:val="00622CF9"/>
    <w:rsid w:val="00622EEC"/>
    <w:rsid w:val="00623ED9"/>
    <w:rsid w:val="00624172"/>
    <w:rsid w:val="006245D4"/>
    <w:rsid w:val="006247FB"/>
    <w:rsid w:val="00625665"/>
    <w:rsid w:val="006260A8"/>
    <w:rsid w:val="00626138"/>
    <w:rsid w:val="00626781"/>
    <w:rsid w:val="006269B1"/>
    <w:rsid w:val="006279BE"/>
    <w:rsid w:val="00630078"/>
    <w:rsid w:val="00630EC8"/>
    <w:rsid w:val="006314A8"/>
    <w:rsid w:val="006316DF"/>
    <w:rsid w:val="00632FD5"/>
    <w:rsid w:val="006339D9"/>
    <w:rsid w:val="00633E7B"/>
    <w:rsid w:val="00634120"/>
    <w:rsid w:val="006348C2"/>
    <w:rsid w:val="006350E2"/>
    <w:rsid w:val="006352F1"/>
    <w:rsid w:val="006353C2"/>
    <w:rsid w:val="006355AF"/>
    <w:rsid w:val="006355D5"/>
    <w:rsid w:val="006357E8"/>
    <w:rsid w:val="0063589A"/>
    <w:rsid w:val="00636192"/>
    <w:rsid w:val="00636625"/>
    <w:rsid w:val="00636BFB"/>
    <w:rsid w:val="00637222"/>
    <w:rsid w:val="006373C9"/>
    <w:rsid w:val="00637517"/>
    <w:rsid w:val="006379BB"/>
    <w:rsid w:val="00640207"/>
    <w:rsid w:val="00640219"/>
    <w:rsid w:val="006404AF"/>
    <w:rsid w:val="00640563"/>
    <w:rsid w:val="00640993"/>
    <w:rsid w:val="006415E1"/>
    <w:rsid w:val="00641C9F"/>
    <w:rsid w:val="00641CF6"/>
    <w:rsid w:val="00641DEC"/>
    <w:rsid w:val="00642515"/>
    <w:rsid w:val="00642526"/>
    <w:rsid w:val="006429EA"/>
    <w:rsid w:val="00642C28"/>
    <w:rsid w:val="00642F83"/>
    <w:rsid w:val="00642F88"/>
    <w:rsid w:val="0064315E"/>
    <w:rsid w:val="0064337D"/>
    <w:rsid w:val="0064361C"/>
    <w:rsid w:val="0064366F"/>
    <w:rsid w:val="00643A69"/>
    <w:rsid w:val="00644022"/>
    <w:rsid w:val="006440E7"/>
    <w:rsid w:val="006440E8"/>
    <w:rsid w:val="006444DA"/>
    <w:rsid w:val="0064495C"/>
    <w:rsid w:val="00644C55"/>
    <w:rsid w:val="00644E2A"/>
    <w:rsid w:val="006455F0"/>
    <w:rsid w:val="00645647"/>
    <w:rsid w:val="00645B50"/>
    <w:rsid w:val="00645B58"/>
    <w:rsid w:val="00645F73"/>
    <w:rsid w:val="00646F18"/>
    <w:rsid w:val="00647081"/>
    <w:rsid w:val="006476E9"/>
    <w:rsid w:val="00647828"/>
    <w:rsid w:val="00647A4A"/>
    <w:rsid w:val="00647B5D"/>
    <w:rsid w:val="006507D9"/>
    <w:rsid w:val="00650E4A"/>
    <w:rsid w:val="0065137A"/>
    <w:rsid w:val="0065139D"/>
    <w:rsid w:val="00651E06"/>
    <w:rsid w:val="00652773"/>
    <w:rsid w:val="00652B0A"/>
    <w:rsid w:val="00652B50"/>
    <w:rsid w:val="00652C8E"/>
    <w:rsid w:val="006530C8"/>
    <w:rsid w:val="00653170"/>
    <w:rsid w:val="006533C0"/>
    <w:rsid w:val="00653882"/>
    <w:rsid w:val="00654086"/>
    <w:rsid w:val="006541A3"/>
    <w:rsid w:val="006547B7"/>
    <w:rsid w:val="0065497C"/>
    <w:rsid w:val="00654B26"/>
    <w:rsid w:val="00655975"/>
    <w:rsid w:val="00655BB9"/>
    <w:rsid w:val="006561CF"/>
    <w:rsid w:val="00656908"/>
    <w:rsid w:val="00657534"/>
    <w:rsid w:val="006579F0"/>
    <w:rsid w:val="00657E97"/>
    <w:rsid w:val="00657F9F"/>
    <w:rsid w:val="00660121"/>
    <w:rsid w:val="0066052C"/>
    <w:rsid w:val="00660CBF"/>
    <w:rsid w:val="0066116C"/>
    <w:rsid w:val="00661190"/>
    <w:rsid w:val="00662157"/>
    <w:rsid w:val="006623F9"/>
    <w:rsid w:val="00662574"/>
    <w:rsid w:val="00663602"/>
    <w:rsid w:val="00663B34"/>
    <w:rsid w:val="00663B70"/>
    <w:rsid w:val="00663D24"/>
    <w:rsid w:val="00663F2F"/>
    <w:rsid w:val="00663F58"/>
    <w:rsid w:val="006646EB"/>
    <w:rsid w:val="00665201"/>
    <w:rsid w:val="00665668"/>
    <w:rsid w:val="0066566F"/>
    <w:rsid w:val="00665CF0"/>
    <w:rsid w:val="0066607A"/>
    <w:rsid w:val="00666339"/>
    <w:rsid w:val="00666486"/>
    <w:rsid w:val="0066664A"/>
    <w:rsid w:val="00666716"/>
    <w:rsid w:val="0066698F"/>
    <w:rsid w:val="0066714B"/>
    <w:rsid w:val="00667592"/>
    <w:rsid w:val="0066785F"/>
    <w:rsid w:val="006678AC"/>
    <w:rsid w:val="006679CF"/>
    <w:rsid w:val="006705A1"/>
    <w:rsid w:val="006706E2"/>
    <w:rsid w:val="00670731"/>
    <w:rsid w:val="006710BE"/>
    <w:rsid w:val="00671859"/>
    <w:rsid w:val="00671DDE"/>
    <w:rsid w:val="00672D6B"/>
    <w:rsid w:val="0067399B"/>
    <w:rsid w:val="00673DA2"/>
    <w:rsid w:val="00674263"/>
    <w:rsid w:val="0067433F"/>
    <w:rsid w:val="006749CA"/>
    <w:rsid w:val="00674D11"/>
    <w:rsid w:val="00674E2C"/>
    <w:rsid w:val="006752D8"/>
    <w:rsid w:val="00675703"/>
    <w:rsid w:val="00675ABD"/>
    <w:rsid w:val="00675C67"/>
    <w:rsid w:val="0067610B"/>
    <w:rsid w:val="00676592"/>
    <w:rsid w:val="006766D2"/>
    <w:rsid w:val="006768E2"/>
    <w:rsid w:val="006769C4"/>
    <w:rsid w:val="00677047"/>
    <w:rsid w:val="00677168"/>
    <w:rsid w:val="006771B3"/>
    <w:rsid w:val="00677688"/>
    <w:rsid w:val="006778DD"/>
    <w:rsid w:val="00677AD8"/>
    <w:rsid w:val="00677CD3"/>
    <w:rsid w:val="006801A3"/>
    <w:rsid w:val="00680203"/>
    <w:rsid w:val="00680588"/>
    <w:rsid w:val="00680874"/>
    <w:rsid w:val="00680E9C"/>
    <w:rsid w:val="006814A2"/>
    <w:rsid w:val="00681826"/>
    <w:rsid w:val="00681B55"/>
    <w:rsid w:val="00681D6B"/>
    <w:rsid w:val="00681EB9"/>
    <w:rsid w:val="00682070"/>
    <w:rsid w:val="006821A9"/>
    <w:rsid w:val="0068220A"/>
    <w:rsid w:val="00682924"/>
    <w:rsid w:val="00682C6C"/>
    <w:rsid w:val="00682C9F"/>
    <w:rsid w:val="00682D64"/>
    <w:rsid w:val="00682E29"/>
    <w:rsid w:val="00682E4E"/>
    <w:rsid w:val="00683163"/>
    <w:rsid w:val="0068323F"/>
    <w:rsid w:val="00683991"/>
    <w:rsid w:val="006839C0"/>
    <w:rsid w:val="00683FC3"/>
    <w:rsid w:val="006840BB"/>
    <w:rsid w:val="006842D2"/>
    <w:rsid w:val="00684789"/>
    <w:rsid w:val="006849AB"/>
    <w:rsid w:val="0068578C"/>
    <w:rsid w:val="006858DE"/>
    <w:rsid w:val="00685D3A"/>
    <w:rsid w:val="00685ED0"/>
    <w:rsid w:val="006860B6"/>
    <w:rsid w:val="00686171"/>
    <w:rsid w:val="006863DC"/>
    <w:rsid w:val="006868F5"/>
    <w:rsid w:val="00686BD0"/>
    <w:rsid w:val="0068765E"/>
    <w:rsid w:val="00687D5D"/>
    <w:rsid w:val="006901E4"/>
    <w:rsid w:val="006907A6"/>
    <w:rsid w:val="00690A61"/>
    <w:rsid w:val="00691428"/>
    <w:rsid w:val="006916E9"/>
    <w:rsid w:val="00691F56"/>
    <w:rsid w:val="006935BC"/>
    <w:rsid w:val="00693790"/>
    <w:rsid w:val="00693C87"/>
    <w:rsid w:val="00694665"/>
    <w:rsid w:val="00694A0C"/>
    <w:rsid w:val="00694CEE"/>
    <w:rsid w:val="00694F3B"/>
    <w:rsid w:val="0069544E"/>
    <w:rsid w:val="006954A6"/>
    <w:rsid w:val="00695A42"/>
    <w:rsid w:val="00695A7E"/>
    <w:rsid w:val="00695D36"/>
    <w:rsid w:val="0069653E"/>
    <w:rsid w:val="00696857"/>
    <w:rsid w:val="0069687A"/>
    <w:rsid w:val="0069713F"/>
    <w:rsid w:val="006971A5"/>
    <w:rsid w:val="00697687"/>
    <w:rsid w:val="00697C64"/>
    <w:rsid w:val="006A088A"/>
    <w:rsid w:val="006A0A56"/>
    <w:rsid w:val="006A0AC0"/>
    <w:rsid w:val="006A0C74"/>
    <w:rsid w:val="006A130B"/>
    <w:rsid w:val="006A1619"/>
    <w:rsid w:val="006A193A"/>
    <w:rsid w:val="006A1B5D"/>
    <w:rsid w:val="006A23FB"/>
    <w:rsid w:val="006A26F0"/>
    <w:rsid w:val="006A2720"/>
    <w:rsid w:val="006A276D"/>
    <w:rsid w:val="006A27CD"/>
    <w:rsid w:val="006A2DC2"/>
    <w:rsid w:val="006A2F59"/>
    <w:rsid w:val="006A3FB3"/>
    <w:rsid w:val="006A4102"/>
    <w:rsid w:val="006A4251"/>
    <w:rsid w:val="006A47F7"/>
    <w:rsid w:val="006A48D1"/>
    <w:rsid w:val="006A498E"/>
    <w:rsid w:val="006A4CF6"/>
    <w:rsid w:val="006A554E"/>
    <w:rsid w:val="006A57CE"/>
    <w:rsid w:val="006A5A1B"/>
    <w:rsid w:val="006A5EC4"/>
    <w:rsid w:val="006A5FA1"/>
    <w:rsid w:val="006A65F0"/>
    <w:rsid w:val="006A6776"/>
    <w:rsid w:val="006A6D00"/>
    <w:rsid w:val="006A6D29"/>
    <w:rsid w:val="006A6FA0"/>
    <w:rsid w:val="006A720F"/>
    <w:rsid w:val="006A798C"/>
    <w:rsid w:val="006A7AA0"/>
    <w:rsid w:val="006AB664"/>
    <w:rsid w:val="006B00BA"/>
    <w:rsid w:val="006B0AD8"/>
    <w:rsid w:val="006B184C"/>
    <w:rsid w:val="006B19FA"/>
    <w:rsid w:val="006B1FD9"/>
    <w:rsid w:val="006B2099"/>
    <w:rsid w:val="006B2AA7"/>
    <w:rsid w:val="006B2FBD"/>
    <w:rsid w:val="006B312F"/>
    <w:rsid w:val="006B3BD4"/>
    <w:rsid w:val="006B3BF2"/>
    <w:rsid w:val="006B3CD4"/>
    <w:rsid w:val="006B3CF3"/>
    <w:rsid w:val="006B3ECF"/>
    <w:rsid w:val="006B403E"/>
    <w:rsid w:val="006B4371"/>
    <w:rsid w:val="006B43EC"/>
    <w:rsid w:val="006B49F2"/>
    <w:rsid w:val="006B4A68"/>
    <w:rsid w:val="006B4B9B"/>
    <w:rsid w:val="006B4C88"/>
    <w:rsid w:val="006B4FDC"/>
    <w:rsid w:val="006B57D9"/>
    <w:rsid w:val="006B6385"/>
    <w:rsid w:val="006B66CD"/>
    <w:rsid w:val="006B70DC"/>
    <w:rsid w:val="006B7329"/>
    <w:rsid w:val="006B7940"/>
    <w:rsid w:val="006B7F6C"/>
    <w:rsid w:val="006C01A4"/>
    <w:rsid w:val="006C074B"/>
    <w:rsid w:val="006C0A6C"/>
    <w:rsid w:val="006C0B35"/>
    <w:rsid w:val="006C0E9F"/>
    <w:rsid w:val="006C1770"/>
    <w:rsid w:val="006C1EEB"/>
    <w:rsid w:val="006C2420"/>
    <w:rsid w:val="006C263A"/>
    <w:rsid w:val="006C2FB1"/>
    <w:rsid w:val="006C2FE7"/>
    <w:rsid w:val="006C3187"/>
    <w:rsid w:val="006C3718"/>
    <w:rsid w:val="006C3984"/>
    <w:rsid w:val="006C3F07"/>
    <w:rsid w:val="006C44D1"/>
    <w:rsid w:val="006C475F"/>
    <w:rsid w:val="006C5528"/>
    <w:rsid w:val="006C592E"/>
    <w:rsid w:val="006C5BB5"/>
    <w:rsid w:val="006C5FA4"/>
    <w:rsid w:val="006C60D3"/>
    <w:rsid w:val="006C69EC"/>
    <w:rsid w:val="006C6C46"/>
    <w:rsid w:val="006C7058"/>
    <w:rsid w:val="006D02FB"/>
    <w:rsid w:val="006D0BA4"/>
    <w:rsid w:val="006D0C22"/>
    <w:rsid w:val="006D0E8C"/>
    <w:rsid w:val="006D208E"/>
    <w:rsid w:val="006D22CD"/>
    <w:rsid w:val="006D29AA"/>
    <w:rsid w:val="006D2C4C"/>
    <w:rsid w:val="006D334E"/>
    <w:rsid w:val="006D34F7"/>
    <w:rsid w:val="006D431A"/>
    <w:rsid w:val="006D436D"/>
    <w:rsid w:val="006D5201"/>
    <w:rsid w:val="006D52B4"/>
    <w:rsid w:val="006D557C"/>
    <w:rsid w:val="006D56F2"/>
    <w:rsid w:val="006D58DA"/>
    <w:rsid w:val="006D61B5"/>
    <w:rsid w:val="006D61CE"/>
    <w:rsid w:val="006D643D"/>
    <w:rsid w:val="006D6B0C"/>
    <w:rsid w:val="006D6E88"/>
    <w:rsid w:val="006D6E97"/>
    <w:rsid w:val="006D73E3"/>
    <w:rsid w:val="006D76F4"/>
    <w:rsid w:val="006E09B0"/>
    <w:rsid w:val="006E117E"/>
    <w:rsid w:val="006E12C0"/>
    <w:rsid w:val="006E134D"/>
    <w:rsid w:val="006E1B89"/>
    <w:rsid w:val="006E1DAF"/>
    <w:rsid w:val="006E21DD"/>
    <w:rsid w:val="006E291C"/>
    <w:rsid w:val="006E2A98"/>
    <w:rsid w:val="006E30DA"/>
    <w:rsid w:val="006E3338"/>
    <w:rsid w:val="006E3879"/>
    <w:rsid w:val="006E40A8"/>
    <w:rsid w:val="006E464D"/>
    <w:rsid w:val="006E4891"/>
    <w:rsid w:val="006E50D7"/>
    <w:rsid w:val="006E5418"/>
    <w:rsid w:val="006E600B"/>
    <w:rsid w:val="006E622A"/>
    <w:rsid w:val="006E624D"/>
    <w:rsid w:val="006E64B5"/>
    <w:rsid w:val="006E687F"/>
    <w:rsid w:val="006E68D8"/>
    <w:rsid w:val="006E740B"/>
    <w:rsid w:val="006E7857"/>
    <w:rsid w:val="006E7AD1"/>
    <w:rsid w:val="006E7CDE"/>
    <w:rsid w:val="006E7DFE"/>
    <w:rsid w:val="006F074C"/>
    <w:rsid w:val="006F0A58"/>
    <w:rsid w:val="006F11D0"/>
    <w:rsid w:val="006F1401"/>
    <w:rsid w:val="006F22EC"/>
    <w:rsid w:val="006F255E"/>
    <w:rsid w:val="006F349A"/>
    <w:rsid w:val="006F38AB"/>
    <w:rsid w:val="006F3F2B"/>
    <w:rsid w:val="006F4294"/>
    <w:rsid w:val="006F49A4"/>
    <w:rsid w:val="006F4BF1"/>
    <w:rsid w:val="006F50D8"/>
    <w:rsid w:val="006F5853"/>
    <w:rsid w:val="006F59BA"/>
    <w:rsid w:val="006F5C44"/>
    <w:rsid w:val="006F6422"/>
    <w:rsid w:val="006F655B"/>
    <w:rsid w:val="006F6838"/>
    <w:rsid w:val="006F6D4B"/>
    <w:rsid w:val="006F77AB"/>
    <w:rsid w:val="006F7998"/>
    <w:rsid w:val="00700041"/>
    <w:rsid w:val="00700B83"/>
    <w:rsid w:val="00700F22"/>
    <w:rsid w:val="00701336"/>
    <w:rsid w:val="00701719"/>
    <w:rsid w:val="00701BB8"/>
    <w:rsid w:val="00701E90"/>
    <w:rsid w:val="00702A80"/>
    <w:rsid w:val="00703079"/>
    <w:rsid w:val="007030F5"/>
    <w:rsid w:val="007033B1"/>
    <w:rsid w:val="007034BB"/>
    <w:rsid w:val="00703562"/>
    <w:rsid w:val="007040DA"/>
    <w:rsid w:val="00704881"/>
    <w:rsid w:val="0070496D"/>
    <w:rsid w:val="00704CAC"/>
    <w:rsid w:val="007053F0"/>
    <w:rsid w:val="007054AF"/>
    <w:rsid w:val="00705BBB"/>
    <w:rsid w:val="0070611D"/>
    <w:rsid w:val="00706184"/>
    <w:rsid w:val="0070628C"/>
    <w:rsid w:val="00706C81"/>
    <w:rsid w:val="00706FE8"/>
    <w:rsid w:val="0070722B"/>
    <w:rsid w:val="007073DD"/>
    <w:rsid w:val="0071013C"/>
    <w:rsid w:val="007102C9"/>
    <w:rsid w:val="00710F8D"/>
    <w:rsid w:val="007111ED"/>
    <w:rsid w:val="0071298C"/>
    <w:rsid w:val="00712E4F"/>
    <w:rsid w:val="00713026"/>
    <w:rsid w:val="00713C7B"/>
    <w:rsid w:val="00713FBA"/>
    <w:rsid w:val="0071487A"/>
    <w:rsid w:val="007148B2"/>
    <w:rsid w:val="00714906"/>
    <w:rsid w:val="00714B83"/>
    <w:rsid w:val="0071501D"/>
    <w:rsid w:val="007156F4"/>
    <w:rsid w:val="00715748"/>
    <w:rsid w:val="00715861"/>
    <w:rsid w:val="00716365"/>
    <w:rsid w:val="00716617"/>
    <w:rsid w:val="00716B60"/>
    <w:rsid w:val="00716CD2"/>
    <w:rsid w:val="00716FB6"/>
    <w:rsid w:val="00717396"/>
    <w:rsid w:val="007174FF"/>
    <w:rsid w:val="007175F8"/>
    <w:rsid w:val="0071796D"/>
    <w:rsid w:val="00717E1F"/>
    <w:rsid w:val="00717F9D"/>
    <w:rsid w:val="0072011F"/>
    <w:rsid w:val="00720126"/>
    <w:rsid w:val="0072093C"/>
    <w:rsid w:val="00720C87"/>
    <w:rsid w:val="00720F3F"/>
    <w:rsid w:val="007213F2"/>
    <w:rsid w:val="00721447"/>
    <w:rsid w:val="00721A37"/>
    <w:rsid w:val="00721F33"/>
    <w:rsid w:val="00722614"/>
    <w:rsid w:val="00722B5B"/>
    <w:rsid w:val="007235E5"/>
    <w:rsid w:val="00723894"/>
    <w:rsid w:val="00723A2D"/>
    <w:rsid w:val="00723BE3"/>
    <w:rsid w:val="00723F56"/>
    <w:rsid w:val="007241BE"/>
    <w:rsid w:val="007248AF"/>
    <w:rsid w:val="00724B1B"/>
    <w:rsid w:val="007251BD"/>
    <w:rsid w:val="007252DD"/>
    <w:rsid w:val="0072565F"/>
    <w:rsid w:val="00725697"/>
    <w:rsid w:val="00725B7E"/>
    <w:rsid w:val="00726AB7"/>
    <w:rsid w:val="00727514"/>
    <w:rsid w:val="007301B2"/>
    <w:rsid w:val="00730762"/>
    <w:rsid w:val="00730938"/>
    <w:rsid w:val="00730FEF"/>
    <w:rsid w:val="007312B2"/>
    <w:rsid w:val="007316BF"/>
    <w:rsid w:val="007319C3"/>
    <w:rsid w:val="00731CEE"/>
    <w:rsid w:val="00731E09"/>
    <w:rsid w:val="00731EA4"/>
    <w:rsid w:val="00731F9E"/>
    <w:rsid w:val="0073262E"/>
    <w:rsid w:val="00732A07"/>
    <w:rsid w:val="00733084"/>
    <w:rsid w:val="007332E8"/>
    <w:rsid w:val="007339B3"/>
    <w:rsid w:val="00733C25"/>
    <w:rsid w:val="00733D75"/>
    <w:rsid w:val="00734630"/>
    <w:rsid w:val="00734A1C"/>
    <w:rsid w:val="007352E3"/>
    <w:rsid w:val="007355CB"/>
    <w:rsid w:val="00735931"/>
    <w:rsid w:val="00735B45"/>
    <w:rsid w:val="00735CAD"/>
    <w:rsid w:val="007363ED"/>
    <w:rsid w:val="00736A20"/>
    <w:rsid w:val="00736D0E"/>
    <w:rsid w:val="00736E33"/>
    <w:rsid w:val="0073732C"/>
    <w:rsid w:val="00737571"/>
    <w:rsid w:val="0074072E"/>
    <w:rsid w:val="00740EEF"/>
    <w:rsid w:val="00741884"/>
    <w:rsid w:val="007418B7"/>
    <w:rsid w:val="00741FF2"/>
    <w:rsid w:val="00742937"/>
    <w:rsid w:val="00742A32"/>
    <w:rsid w:val="00744078"/>
    <w:rsid w:val="00744334"/>
    <w:rsid w:val="00744819"/>
    <w:rsid w:val="00744E98"/>
    <w:rsid w:val="00745068"/>
    <w:rsid w:val="007450F8"/>
    <w:rsid w:val="0074583B"/>
    <w:rsid w:val="00745AE0"/>
    <w:rsid w:val="00745CF2"/>
    <w:rsid w:val="00746ACE"/>
    <w:rsid w:val="00746B19"/>
    <w:rsid w:val="0074718C"/>
    <w:rsid w:val="0074791B"/>
    <w:rsid w:val="00747948"/>
    <w:rsid w:val="007505A2"/>
    <w:rsid w:val="00750BF6"/>
    <w:rsid w:val="0075126C"/>
    <w:rsid w:val="007513FF"/>
    <w:rsid w:val="00751BA7"/>
    <w:rsid w:val="00752D08"/>
    <w:rsid w:val="00753194"/>
    <w:rsid w:val="007539FB"/>
    <w:rsid w:val="00753BC2"/>
    <w:rsid w:val="00753BCE"/>
    <w:rsid w:val="00753CBE"/>
    <w:rsid w:val="00754458"/>
    <w:rsid w:val="00754885"/>
    <w:rsid w:val="00754BA6"/>
    <w:rsid w:val="00754BB5"/>
    <w:rsid w:val="007553E6"/>
    <w:rsid w:val="00755B56"/>
    <w:rsid w:val="00755BCA"/>
    <w:rsid w:val="00755D37"/>
    <w:rsid w:val="00755D75"/>
    <w:rsid w:val="00756FD2"/>
    <w:rsid w:val="00757311"/>
    <w:rsid w:val="00757D4D"/>
    <w:rsid w:val="00757D87"/>
    <w:rsid w:val="00757E5D"/>
    <w:rsid w:val="0076074F"/>
    <w:rsid w:val="0076166E"/>
    <w:rsid w:val="00761DB5"/>
    <w:rsid w:val="007626B3"/>
    <w:rsid w:val="00762E6B"/>
    <w:rsid w:val="00763EAE"/>
    <w:rsid w:val="007640E0"/>
    <w:rsid w:val="0076447D"/>
    <w:rsid w:val="00764889"/>
    <w:rsid w:val="00765B06"/>
    <w:rsid w:val="00766DB2"/>
    <w:rsid w:val="00767842"/>
    <w:rsid w:val="00767A7E"/>
    <w:rsid w:val="00767B8B"/>
    <w:rsid w:val="00767F68"/>
    <w:rsid w:val="00770018"/>
    <w:rsid w:val="007701F2"/>
    <w:rsid w:val="007705D0"/>
    <w:rsid w:val="00771128"/>
    <w:rsid w:val="007711DA"/>
    <w:rsid w:val="007720F6"/>
    <w:rsid w:val="00772729"/>
    <w:rsid w:val="00772DBD"/>
    <w:rsid w:val="00773009"/>
    <w:rsid w:val="007739CA"/>
    <w:rsid w:val="00773FE1"/>
    <w:rsid w:val="00774780"/>
    <w:rsid w:val="00775016"/>
    <w:rsid w:val="0077526C"/>
    <w:rsid w:val="007754B7"/>
    <w:rsid w:val="00775544"/>
    <w:rsid w:val="007763CD"/>
    <w:rsid w:val="00776633"/>
    <w:rsid w:val="007768F2"/>
    <w:rsid w:val="0077729A"/>
    <w:rsid w:val="00777882"/>
    <w:rsid w:val="00777884"/>
    <w:rsid w:val="00777D48"/>
    <w:rsid w:val="00777DA0"/>
    <w:rsid w:val="00777DFC"/>
    <w:rsid w:val="007804EF"/>
    <w:rsid w:val="00781006"/>
    <w:rsid w:val="007811DF"/>
    <w:rsid w:val="007812D6"/>
    <w:rsid w:val="00781302"/>
    <w:rsid w:val="00781A44"/>
    <w:rsid w:val="00782483"/>
    <w:rsid w:val="007825EE"/>
    <w:rsid w:val="0078260D"/>
    <w:rsid w:val="00782A55"/>
    <w:rsid w:val="00782CD1"/>
    <w:rsid w:val="00782CDF"/>
    <w:rsid w:val="00782E2D"/>
    <w:rsid w:val="0078333F"/>
    <w:rsid w:val="0078336C"/>
    <w:rsid w:val="0078362A"/>
    <w:rsid w:val="00784A7D"/>
    <w:rsid w:val="00784C3E"/>
    <w:rsid w:val="0078555C"/>
    <w:rsid w:val="00785E1D"/>
    <w:rsid w:val="00786CCC"/>
    <w:rsid w:val="007875F0"/>
    <w:rsid w:val="0078786B"/>
    <w:rsid w:val="00787955"/>
    <w:rsid w:val="00787BFD"/>
    <w:rsid w:val="00787D20"/>
    <w:rsid w:val="00787F5F"/>
    <w:rsid w:val="007905C1"/>
    <w:rsid w:val="00790AFF"/>
    <w:rsid w:val="00791F01"/>
    <w:rsid w:val="00792835"/>
    <w:rsid w:val="00792AB6"/>
    <w:rsid w:val="00792E70"/>
    <w:rsid w:val="007934DE"/>
    <w:rsid w:val="0079358A"/>
    <w:rsid w:val="00793596"/>
    <w:rsid w:val="00793E07"/>
    <w:rsid w:val="00794729"/>
    <w:rsid w:val="00794C03"/>
    <w:rsid w:val="00794FDA"/>
    <w:rsid w:val="00795B3F"/>
    <w:rsid w:val="00795B6F"/>
    <w:rsid w:val="00796064"/>
    <w:rsid w:val="0079615E"/>
    <w:rsid w:val="0079642B"/>
    <w:rsid w:val="0079675F"/>
    <w:rsid w:val="0079721D"/>
    <w:rsid w:val="0079725E"/>
    <w:rsid w:val="00797260"/>
    <w:rsid w:val="007978E0"/>
    <w:rsid w:val="00797D23"/>
    <w:rsid w:val="007A026C"/>
    <w:rsid w:val="007A0830"/>
    <w:rsid w:val="007A0954"/>
    <w:rsid w:val="007A0FB1"/>
    <w:rsid w:val="007A1F5B"/>
    <w:rsid w:val="007A232D"/>
    <w:rsid w:val="007A2588"/>
    <w:rsid w:val="007A2825"/>
    <w:rsid w:val="007A2A42"/>
    <w:rsid w:val="007A2DD1"/>
    <w:rsid w:val="007A3149"/>
    <w:rsid w:val="007A3565"/>
    <w:rsid w:val="007A478F"/>
    <w:rsid w:val="007A4C9D"/>
    <w:rsid w:val="007A5543"/>
    <w:rsid w:val="007A5688"/>
    <w:rsid w:val="007A56CB"/>
    <w:rsid w:val="007A6331"/>
    <w:rsid w:val="007A635D"/>
    <w:rsid w:val="007A6376"/>
    <w:rsid w:val="007A6B95"/>
    <w:rsid w:val="007A6D01"/>
    <w:rsid w:val="007A72E0"/>
    <w:rsid w:val="007A75DF"/>
    <w:rsid w:val="007A7D2E"/>
    <w:rsid w:val="007A7DA7"/>
    <w:rsid w:val="007B12CA"/>
    <w:rsid w:val="007B145B"/>
    <w:rsid w:val="007B1639"/>
    <w:rsid w:val="007B1642"/>
    <w:rsid w:val="007B1B0A"/>
    <w:rsid w:val="007B1C59"/>
    <w:rsid w:val="007B2382"/>
    <w:rsid w:val="007B2503"/>
    <w:rsid w:val="007B2C7B"/>
    <w:rsid w:val="007B2DB9"/>
    <w:rsid w:val="007B3115"/>
    <w:rsid w:val="007B360A"/>
    <w:rsid w:val="007B385A"/>
    <w:rsid w:val="007B38CF"/>
    <w:rsid w:val="007B39D2"/>
    <w:rsid w:val="007B3F59"/>
    <w:rsid w:val="007B468A"/>
    <w:rsid w:val="007B4904"/>
    <w:rsid w:val="007B4A86"/>
    <w:rsid w:val="007B4BDE"/>
    <w:rsid w:val="007B4CC4"/>
    <w:rsid w:val="007B5124"/>
    <w:rsid w:val="007B5580"/>
    <w:rsid w:val="007B69E5"/>
    <w:rsid w:val="007B6BA8"/>
    <w:rsid w:val="007B6BCC"/>
    <w:rsid w:val="007B6F7A"/>
    <w:rsid w:val="007B7315"/>
    <w:rsid w:val="007B7A6F"/>
    <w:rsid w:val="007B7EBE"/>
    <w:rsid w:val="007C0048"/>
    <w:rsid w:val="007C0563"/>
    <w:rsid w:val="007C0D19"/>
    <w:rsid w:val="007C10BD"/>
    <w:rsid w:val="007C1D2D"/>
    <w:rsid w:val="007C20E2"/>
    <w:rsid w:val="007C277D"/>
    <w:rsid w:val="007C2F3B"/>
    <w:rsid w:val="007C31DA"/>
    <w:rsid w:val="007C40E1"/>
    <w:rsid w:val="007C43B2"/>
    <w:rsid w:val="007C44E1"/>
    <w:rsid w:val="007C47A3"/>
    <w:rsid w:val="007C47EA"/>
    <w:rsid w:val="007C4B9F"/>
    <w:rsid w:val="007C4D83"/>
    <w:rsid w:val="007C542F"/>
    <w:rsid w:val="007C573A"/>
    <w:rsid w:val="007C5938"/>
    <w:rsid w:val="007C5DD1"/>
    <w:rsid w:val="007C75A1"/>
    <w:rsid w:val="007C7E63"/>
    <w:rsid w:val="007D05E0"/>
    <w:rsid w:val="007D0772"/>
    <w:rsid w:val="007D0B16"/>
    <w:rsid w:val="007D191B"/>
    <w:rsid w:val="007D1998"/>
    <w:rsid w:val="007D1A8A"/>
    <w:rsid w:val="007D20FF"/>
    <w:rsid w:val="007D22F0"/>
    <w:rsid w:val="007D243D"/>
    <w:rsid w:val="007D2758"/>
    <w:rsid w:val="007D285D"/>
    <w:rsid w:val="007D2C92"/>
    <w:rsid w:val="007D371B"/>
    <w:rsid w:val="007D4809"/>
    <w:rsid w:val="007D4BF4"/>
    <w:rsid w:val="007D4E8B"/>
    <w:rsid w:val="007D4FAE"/>
    <w:rsid w:val="007D52C6"/>
    <w:rsid w:val="007D53B1"/>
    <w:rsid w:val="007D56B9"/>
    <w:rsid w:val="007D574B"/>
    <w:rsid w:val="007D5D70"/>
    <w:rsid w:val="007D6962"/>
    <w:rsid w:val="007D7459"/>
    <w:rsid w:val="007D782D"/>
    <w:rsid w:val="007D7D40"/>
    <w:rsid w:val="007E032B"/>
    <w:rsid w:val="007E0828"/>
    <w:rsid w:val="007E0C13"/>
    <w:rsid w:val="007E1456"/>
    <w:rsid w:val="007E1A83"/>
    <w:rsid w:val="007E2118"/>
    <w:rsid w:val="007E268B"/>
    <w:rsid w:val="007E3338"/>
    <w:rsid w:val="007E34BF"/>
    <w:rsid w:val="007E35DA"/>
    <w:rsid w:val="007E484D"/>
    <w:rsid w:val="007E4C5E"/>
    <w:rsid w:val="007E4CCF"/>
    <w:rsid w:val="007E52D0"/>
    <w:rsid w:val="007E5390"/>
    <w:rsid w:val="007E543B"/>
    <w:rsid w:val="007E567E"/>
    <w:rsid w:val="007E5D3C"/>
    <w:rsid w:val="007E67D1"/>
    <w:rsid w:val="007E67D3"/>
    <w:rsid w:val="007E6F2A"/>
    <w:rsid w:val="007E7C7B"/>
    <w:rsid w:val="007F1A78"/>
    <w:rsid w:val="007F235F"/>
    <w:rsid w:val="007F256A"/>
    <w:rsid w:val="007F3317"/>
    <w:rsid w:val="007F351C"/>
    <w:rsid w:val="007F356A"/>
    <w:rsid w:val="007F360F"/>
    <w:rsid w:val="007F389B"/>
    <w:rsid w:val="007F39E5"/>
    <w:rsid w:val="007F46F0"/>
    <w:rsid w:val="007F561F"/>
    <w:rsid w:val="007F5CBF"/>
    <w:rsid w:val="007F5DA4"/>
    <w:rsid w:val="007F6519"/>
    <w:rsid w:val="007F6D18"/>
    <w:rsid w:val="007F6E83"/>
    <w:rsid w:val="007F72B1"/>
    <w:rsid w:val="007F73D4"/>
    <w:rsid w:val="007F76EF"/>
    <w:rsid w:val="007F7799"/>
    <w:rsid w:val="007F7D9D"/>
    <w:rsid w:val="007F7FB6"/>
    <w:rsid w:val="008002B7"/>
    <w:rsid w:val="008015F7"/>
    <w:rsid w:val="00801FC8"/>
    <w:rsid w:val="00801FCF"/>
    <w:rsid w:val="00802925"/>
    <w:rsid w:val="00802E03"/>
    <w:rsid w:val="00803676"/>
    <w:rsid w:val="00803715"/>
    <w:rsid w:val="00803FDC"/>
    <w:rsid w:val="0080449B"/>
    <w:rsid w:val="0080450B"/>
    <w:rsid w:val="00804525"/>
    <w:rsid w:val="00805203"/>
    <w:rsid w:val="00805862"/>
    <w:rsid w:val="00805AD8"/>
    <w:rsid w:val="00805D72"/>
    <w:rsid w:val="00805FB0"/>
    <w:rsid w:val="00806578"/>
    <w:rsid w:val="00806852"/>
    <w:rsid w:val="00806B54"/>
    <w:rsid w:val="00806C7C"/>
    <w:rsid w:val="00806EFB"/>
    <w:rsid w:val="00807CE2"/>
    <w:rsid w:val="0081046C"/>
    <w:rsid w:val="00810786"/>
    <w:rsid w:val="0081190D"/>
    <w:rsid w:val="00812101"/>
    <w:rsid w:val="00812548"/>
    <w:rsid w:val="00812CA7"/>
    <w:rsid w:val="0081304A"/>
    <w:rsid w:val="00813EE2"/>
    <w:rsid w:val="00813F92"/>
    <w:rsid w:val="00814588"/>
    <w:rsid w:val="0081549C"/>
    <w:rsid w:val="00815A94"/>
    <w:rsid w:val="00815AD9"/>
    <w:rsid w:val="00815E68"/>
    <w:rsid w:val="0081747C"/>
    <w:rsid w:val="008175F7"/>
    <w:rsid w:val="00817B0C"/>
    <w:rsid w:val="00820030"/>
    <w:rsid w:val="008202AE"/>
    <w:rsid w:val="00821352"/>
    <w:rsid w:val="00821468"/>
    <w:rsid w:val="00821559"/>
    <w:rsid w:val="008222FD"/>
    <w:rsid w:val="00822614"/>
    <w:rsid w:val="00822B39"/>
    <w:rsid w:val="008235E3"/>
    <w:rsid w:val="00824DB1"/>
    <w:rsid w:val="00824F56"/>
    <w:rsid w:val="008251B9"/>
    <w:rsid w:val="00825880"/>
    <w:rsid w:val="00825965"/>
    <w:rsid w:val="00825A14"/>
    <w:rsid w:val="008260E9"/>
    <w:rsid w:val="008268E6"/>
    <w:rsid w:val="00826ABB"/>
    <w:rsid w:val="00826D27"/>
    <w:rsid w:val="00826F45"/>
    <w:rsid w:val="008272BB"/>
    <w:rsid w:val="00827D06"/>
    <w:rsid w:val="00827FD8"/>
    <w:rsid w:val="00830244"/>
    <w:rsid w:val="00830620"/>
    <w:rsid w:val="008308D3"/>
    <w:rsid w:val="008309D4"/>
    <w:rsid w:val="008316A5"/>
    <w:rsid w:val="00831C0D"/>
    <w:rsid w:val="0083219B"/>
    <w:rsid w:val="0083234A"/>
    <w:rsid w:val="0083245E"/>
    <w:rsid w:val="008329E1"/>
    <w:rsid w:val="00832B90"/>
    <w:rsid w:val="00833908"/>
    <w:rsid w:val="00833D5A"/>
    <w:rsid w:val="008354AC"/>
    <w:rsid w:val="00835593"/>
    <w:rsid w:val="00835D32"/>
    <w:rsid w:val="0083671C"/>
    <w:rsid w:val="0083704B"/>
    <w:rsid w:val="00837453"/>
    <w:rsid w:val="0083759A"/>
    <w:rsid w:val="00837F55"/>
    <w:rsid w:val="008400EE"/>
    <w:rsid w:val="00840564"/>
    <w:rsid w:val="00840717"/>
    <w:rsid w:val="008409D5"/>
    <w:rsid w:val="008413CD"/>
    <w:rsid w:val="00842CAC"/>
    <w:rsid w:val="00843948"/>
    <w:rsid w:val="0084428B"/>
    <w:rsid w:val="00844422"/>
    <w:rsid w:val="008446A6"/>
    <w:rsid w:val="00845B23"/>
    <w:rsid w:val="00846D88"/>
    <w:rsid w:val="00846E2A"/>
    <w:rsid w:val="0084780E"/>
    <w:rsid w:val="00847B26"/>
    <w:rsid w:val="008500A1"/>
    <w:rsid w:val="00850B9B"/>
    <w:rsid w:val="0085101F"/>
    <w:rsid w:val="0085114A"/>
    <w:rsid w:val="0085140C"/>
    <w:rsid w:val="00851BDF"/>
    <w:rsid w:val="00851BF7"/>
    <w:rsid w:val="00851E57"/>
    <w:rsid w:val="00852801"/>
    <w:rsid w:val="00852C49"/>
    <w:rsid w:val="0085320D"/>
    <w:rsid w:val="00853223"/>
    <w:rsid w:val="008537AC"/>
    <w:rsid w:val="00853F6B"/>
    <w:rsid w:val="00854111"/>
    <w:rsid w:val="008541CC"/>
    <w:rsid w:val="00854271"/>
    <w:rsid w:val="00854338"/>
    <w:rsid w:val="00854932"/>
    <w:rsid w:val="00855FD6"/>
    <w:rsid w:val="00856328"/>
    <w:rsid w:val="008564B2"/>
    <w:rsid w:val="008570A1"/>
    <w:rsid w:val="008603CC"/>
    <w:rsid w:val="0086040A"/>
    <w:rsid w:val="00860663"/>
    <w:rsid w:val="00860783"/>
    <w:rsid w:val="00860B90"/>
    <w:rsid w:val="008610BF"/>
    <w:rsid w:val="00861101"/>
    <w:rsid w:val="00861802"/>
    <w:rsid w:val="0086180E"/>
    <w:rsid w:val="00861C6F"/>
    <w:rsid w:val="00861E5E"/>
    <w:rsid w:val="00861FC4"/>
    <w:rsid w:val="00862E91"/>
    <w:rsid w:val="00863683"/>
    <w:rsid w:val="0086389E"/>
    <w:rsid w:val="00863901"/>
    <w:rsid w:val="00863DD8"/>
    <w:rsid w:val="008644B9"/>
    <w:rsid w:val="008645C1"/>
    <w:rsid w:val="0086491D"/>
    <w:rsid w:val="00865A55"/>
    <w:rsid w:val="00865B24"/>
    <w:rsid w:val="00866026"/>
    <w:rsid w:val="00866447"/>
    <w:rsid w:val="008664E1"/>
    <w:rsid w:val="008667CD"/>
    <w:rsid w:val="00866961"/>
    <w:rsid w:val="00866C40"/>
    <w:rsid w:val="00866E12"/>
    <w:rsid w:val="0086701A"/>
    <w:rsid w:val="008673D7"/>
    <w:rsid w:val="00867446"/>
    <w:rsid w:val="00867830"/>
    <w:rsid w:val="00867DEF"/>
    <w:rsid w:val="00867E97"/>
    <w:rsid w:val="00867F6F"/>
    <w:rsid w:val="0087032D"/>
    <w:rsid w:val="0087063F"/>
    <w:rsid w:val="008707A7"/>
    <w:rsid w:val="00870944"/>
    <w:rsid w:val="00870959"/>
    <w:rsid w:val="00870DEF"/>
    <w:rsid w:val="008711F5"/>
    <w:rsid w:val="008718C0"/>
    <w:rsid w:val="00871EDD"/>
    <w:rsid w:val="00871FDF"/>
    <w:rsid w:val="00872368"/>
    <w:rsid w:val="00872505"/>
    <w:rsid w:val="0087296F"/>
    <w:rsid w:val="00872FA9"/>
    <w:rsid w:val="00873289"/>
    <w:rsid w:val="0087339E"/>
    <w:rsid w:val="00873526"/>
    <w:rsid w:val="008747EB"/>
    <w:rsid w:val="00874BB5"/>
    <w:rsid w:val="00875004"/>
    <w:rsid w:val="00875629"/>
    <w:rsid w:val="00875B42"/>
    <w:rsid w:val="00876864"/>
    <w:rsid w:val="00876FF0"/>
    <w:rsid w:val="0087700D"/>
    <w:rsid w:val="008775EA"/>
    <w:rsid w:val="008801EB"/>
    <w:rsid w:val="00880397"/>
    <w:rsid w:val="0088048B"/>
    <w:rsid w:val="00880516"/>
    <w:rsid w:val="008806F2"/>
    <w:rsid w:val="00880E70"/>
    <w:rsid w:val="00880EF2"/>
    <w:rsid w:val="00880F29"/>
    <w:rsid w:val="00881683"/>
    <w:rsid w:val="00881B8D"/>
    <w:rsid w:val="008821CA"/>
    <w:rsid w:val="00882214"/>
    <w:rsid w:val="008827F2"/>
    <w:rsid w:val="00882BE9"/>
    <w:rsid w:val="00882CA8"/>
    <w:rsid w:val="00883007"/>
    <w:rsid w:val="008832ED"/>
    <w:rsid w:val="0088389F"/>
    <w:rsid w:val="00883ACB"/>
    <w:rsid w:val="00883D8B"/>
    <w:rsid w:val="00885A59"/>
    <w:rsid w:val="00885FA6"/>
    <w:rsid w:val="0088600F"/>
    <w:rsid w:val="00886496"/>
    <w:rsid w:val="008864A0"/>
    <w:rsid w:val="0088743F"/>
    <w:rsid w:val="0088764A"/>
    <w:rsid w:val="00887B47"/>
    <w:rsid w:val="00890201"/>
    <w:rsid w:val="008902A6"/>
    <w:rsid w:val="0089214D"/>
    <w:rsid w:val="00893A30"/>
    <w:rsid w:val="00893A6F"/>
    <w:rsid w:val="00894811"/>
    <w:rsid w:val="0089493A"/>
    <w:rsid w:val="0089522C"/>
    <w:rsid w:val="00895408"/>
    <w:rsid w:val="00895E18"/>
    <w:rsid w:val="008961A9"/>
    <w:rsid w:val="00896450"/>
    <w:rsid w:val="00896494"/>
    <w:rsid w:val="00896784"/>
    <w:rsid w:val="00896ACD"/>
    <w:rsid w:val="00896B2F"/>
    <w:rsid w:val="00896BB2"/>
    <w:rsid w:val="00896EB4"/>
    <w:rsid w:val="00897AE2"/>
    <w:rsid w:val="00897EAC"/>
    <w:rsid w:val="00897EB6"/>
    <w:rsid w:val="008A007B"/>
    <w:rsid w:val="008A0257"/>
    <w:rsid w:val="008A059F"/>
    <w:rsid w:val="008A0CE0"/>
    <w:rsid w:val="008A121D"/>
    <w:rsid w:val="008A1DAE"/>
    <w:rsid w:val="008A200B"/>
    <w:rsid w:val="008A21EA"/>
    <w:rsid w:val="008A2657"/>
    <w:rsid w:val="008A3769"/>
    <w:rsid w:val="008A39D0"/>
    <w:rsid w:val="008A3BB0"/>
    <w:rsid w:val="008A4202"/>
    <w:rsid w:val="008A4A59"/>
    <w:rsid w:val="008A4BD7"/>
    <w:rsid w:val="008A5219"/>
    <w:rsid w:val="008A525F"/>
    <w:rsid w:val="008A539C"/>
    <w:rsid w:val="008A54B3"/>
    <w:rsid w:val="008A5FD7"/>
    <w:rsid w:val="008A6613"/>
    <w:rsid w:val="008A6ACF"/>
    <w:rsid w:val="008A6DC3"/>
    <w:rsid w:val="008A70FA"/>
    <w:rsid w:val="008A7281"/>
    <w:rsid w:val="008A73AA"/>
    <w:rsid w:val="008A7511"/>
    <w:rsid w:val="008A7E8A"/>
    <w:rsid w:val="008B10C5"/>
    <w:rsid w:val="008B13CE"/>
    <w:rsid w:val="008B1584"/>
    <w:rsid w:val="008B1A3B"/>
    <w:rsid w:val="008B1E04"/>
    <w:rsid w:val="008B1F37"/>
    <w:rsid w:val="008B1FA4"/>
    <w:rsid w:val="008B32EE"/>
    <w:rsid w:val="008B3B51"/>
    <w:rsid w:val="008B3CBD"/>
    <w:rsid w:val="008B3F02"/>
    <w:rsid w:val="008B421A"/>
    <w:rsid w:val="008B4393"/>
    <w:rsid w:val="008B5417"/>
    <w:rsid w:val="008B568F"/>
    <w:rsid w:val="008B5CE0"/>
    <w:rsid w:val="008B5DB3"/>
    <w:rsid w:val="008B5E31"/>
    <w:rsid w:val="008B5F21"/>
    <w:rsid w:val="008B67EB"/>
    <w:rsid w:val="008B6E18"/>
    <w:rsid w:val="008B750C"/>
    <w:rsid w:val="008B7DDB"/>
    <w:rsid w:val="008C0F5D"/>
    <w:rsid w:val="008C12B5"/>
    <w:rsid w:val="008C1456"/>
    <w:rsid w:val="008C158C"/>
    <w:rsid w:val="008C178F"/>
    <w:rsid w:val="008C1EA5"/>
    <w:rsid w:val="008C2C7D"/>
    <w:rsid w:val="008C3000"/>
    <w:rsid w:val="008C38CE"/>
    <w:rsid w:val="008C396B"/>
    <w:rsid w:val="008C3B0B"/>
    <w:rsid w:val="008C43BD"/>
    <w:rsid w:val="008C4628"/>
    <w:rsid w:val="008C468A"/>
    <w:rsid w:val="008C4850"/>
    <w:rsid w:val="008C4989"/>
    <w:rsid w:val="008C4F39"/>
    <w:rsid w:val="008C4FD4"/>
    <w:rsid w:val="008C57AF"/>
    <w:rsid w:val="008C5E6A"/>
    <w:rsid w:val="008C633E"/>
    <w:rsid w:val="008C665B"/>
    <w:rsid w:val="008C66A9"/>
    <w:rsid w:val="008C6B7F"/>
    <w:rsid w:val="008C76C4"/>
    <w:rsid w:val="008C7D75"/>
    <w:rsid w:val="008D01A8"/>
    <w:rsid w:val="008D065B"/>
    <w:rsid w:val="008D0A5D"/>
    <w:rsid w:val="008D1131"/>
    <w:rsid w:val="008D135A"/>
    <w:rsid w:val="008D18BF"/>
    <w:rsid w:val="008D2311"/>
    <w:rsid w:val="008D341C"/>
    <w:rsid w:val="008D3EB2"/>
    <w:rsid w:val="008D418A"/>
    <w:rsid w:val="008D41A8"/>
    <w:rsid w:val="008D5187"/>
    <w:rsid w:val="008D51CA"/>
    <w:rsid w:val="008D55EC"/>
    <w:rsid w:val="008D78AA"/>
    <w:rsid w:val="008E10B4"/>
    <w:rsid w:val="008E132B"/>
    <w:rsid w:val="008E14B8"/>
    <w:rsid w:val="008E1994"/>
    <w:rsid w:val="008E23E8"/>
    <w:rsid w:val="008E31B4"/>
    <w:rsid w:val="008E3250"/>
    <w:rsid w:val="008E3559"/>
    <w:rsid w:val="008E368A"/>
    <w:rsid w:val="008E37F6"/>
    <w:rsid w:val="008E3C99"/>
    <w:rsid w:val="008E3CFF"/>
    <w:rsid w:val="008E42EC"/>
    <w:rsid w:val="008E45ED"/>
    <w:rsid w:val="008E4EDF"/>
    <w:rsid w:val="008E572E"/>
    <w:rsid w:val="008E5E8D"/>
    <w:rsid w:val="008E605D"/>
    <w:rsid w:val="008E6225"/>
    <w:rsid w:val="008E62BD"/>
    <w:rsid w:val="008E66C1"/>
    <w:rsid w:val="008F0571"/>
    <w:rsid w:val="008F0E89"/>
    <w:rsid w:val="008F1066"/>
    <w:rsid w:val="008F139A"/>
    <w:rsid w:val="008F14FC"/>
    <w:rsid w:val="008F1BC3"/>
    <w:rsid w:val="008F1D0A"/>
    <w:rsid w:val="008F2045"/>
    <w:rsid w:val="008F257A"/>
    <w:rsid w:val="008F257C"/>
    <w:rsid w:val="008F2B15"/>
    <w:rsid w:val="008F35D4"/>
    <w:rsid w:val="008F3661"/>
    <w:rsid w:val="008F3B79"/>
    <w:rsid w:val="008F3CEC"/>
    <w:rsid w:val="008F3E4C"/>
    <w:rsid w:val="008F435B"/>
    <w:rsid w:val="008F439E"/>
    <w:rsid w:val="008F4D56"/>
    <w:rsid w:val="008F542C"/>
    <w:rsid w:val="008F5718"/>
    <w:rsid w:val="008F5754"/>
    <w:rsid w:val="008F57F3"/>
    <w:rsid w:val="008F5AEE"/>
    <w:rsid w:val="008F670C"/>
    <w:rsid w:val="008F6781"/>
    <w:rsid w:val="008F6CEE"/>
    <w:rsid w:val="008F7379"/>
    <w:rsid w:val="008F7494"/>
    <w:rsid w:val="008F7AA8"/>
    <w:rsid w:val="0090011B"/>
    <w:rsid w:val="0090030B"/>
    <w:rsid w:val="00900D52"/>
    <w:rsid w:val="00900DF8"/>
    <w:rsid w:val="00901266"/>
    <w:rsid w:val="00901738"/>
    <w:rsid w:val="00901BDA"/>
    <w:rsid w:val="00901E16"/>
    <w:rsid w:val="00902C45"/>
    <w:rsid w:val="00902C85"/>
    <w:rsid w:val="00903128"/>
    <w:rsid w:val="009038A3"/>
    <w:rsid w:val="00903C68"/>
    <w:rsid w:val="0090424E"/>
    <w:rsid w:val="0090458B"/>
    <w:rsid w:val="00904D75"/>
    <w:rsid w:val="009051BA"/>
    <w:rsid w:val="0090529D"/>
    <w:rsid w:val="00905781"/>
    <w:rsid w:val="00905A32"/>
    <w:rsid w:val="0090621E"/>
    <w:rsid w:val="00906B44"/>
    <w:rsid w:val="00907453"/>
    <w:rsid w:val="00907593"/>
    <w:rsid w:val="009075BE"/>
    <w:rsid w:val="00907A49"/>
    <w:rsid w:val="00907A9B"/>
    <w:rsid w:val="00907FD2"/>
    <w:rsid w:val="0091033B"/>
    <w:rsid w:val="00911D0A"/>
    <w:rsid w:val="009121E4"/>
    <w:rsid w:val="0091240B"/>
    <w:rsid w:val="009133EB"/>
    <w:rsid w:val="009137C8"/>
    <w:rsid w:val="009139BB"/>
    <w:rsid w:val="00913F62"/>
    <w:rsid w:val="009142ED"/>
    <w:rsid w:val="0091483A"/>
    <w:rsid w:val="00914903"/>
    <w:rsid w:val="00915594"/>
    <w:rsid w:val="009158F4"/>
    <w:rsid w:val="00915BAF"/>
    <w:rsid w:val="00916201"/>
    <w:rsid w:val="00916561"/>
    <w:rsid w:val="00916C44"/>
    <w:rsid w:val="00917266"/>
    <w:rsid w:val="00917415"/>
    <w:rsid w:val="00917423"/>
    <w:rsid w:val="00917BE4"/>
    <w:rsid w:val="00917C48"/>
    <w:rsid w:val="00917EFE"/>
    <w:rsid w:val="00920814"/>
    <w:rsid w:val="00920904"/>
    <w:rsid w:val="00920C90"/>
    <w:rsid w:val="00921832"/>
    <w:rsid w:val="00921AFF"/>
    <w:rsid w:val="00921F82"/>
    <w:rsid w:val="0092212A"/>
    <w:rsid w:val="00922259"/>
    <w:rsid w:val="00922502"/>
    <w:rsid w:val="00922702"/>
    <w:rsid w:val="00922839"/>
    <w:rsid w:val="00922FC5"/>
    <w:rsid w:val="0092308D"/>
    <w:rsid w:val="00923106"/>
    <w:rsid w:val="00923158"/>
    <w:rsid w:val="009235B1"/>
    <w:rsid w:val="0092377B"/>
    <w:rsid w:val="009243A7"/>
    <w:rsid w:val="00924673"/>
    <w:rsid w:val="00924866"/>
    <w:rsid w:val="009248A3"/>
    <w:rsid w:val="00924BB1"/>
    <w:rsid w:val="00925088"/>
    <w:rsid w:val="009254BB"/>
    <w:rsid w:val="00925A59"/>
    <w:rsid w:val="00925A8F"/>
    <w:rsid w:val="00925E64"/>
    <w:rsid w:val="0092699D"/>
    <w:rsid w:val="00926B5D"/>
    <w:rsid w:val="00927010"/>
    <w:rsid w:val="009274D8"/>
    <w:rsid w:val="00927A5B"/>
    <w:rsid w:val="00927E6F"/>
    <w:rsid w:val="00930846"/>
    <w:rsid w:val="00930BF8"/>
    <w:rsid w:val="00931AE3"/>
    <w:rsid w:val="00931C36"/>
    <w:rsid w:val="00931E63"/>
    <w:rsid w:val="00932A18"/>
    <w:rsid w:val="0093329B"/>
    <w:rsid w:val="009338B2"/>
    <w:rsid w:val="00933A52"/>
    <w:rsid w:val="00933C0E"/>
    <w:rsid w:val="00934419"/>
    <w:rsid w:val="00935876"/>
    <w:rsid w:val="0093628A"/>
    <w:rsid w:val="0093651B"/>
    <w:rsid w:val="00937168"/>
    <w:rsid w:val="009371DE"/>
    <w:rsid w:val="009374DC"/>
    <w:rsid w:val="00937E00"/>
    <w:rsid w:val="00940673"/>
    <w:rsid w:val="009407A8"/>
    <w:rsid w:val="00940CC6"/>
    <w:rsid w:val="00940E97"/>
    <w:rsid w:val="009413E4"/>
    <w:rsid w:val="009417C4"/>
    <w:rsid w:val="00942DB8"/>
    <w:rsid w:val="00942E74"/>
    <w:rsid w:val="0094341A"/>
    <w:rsid w:val="009436EB"/>
    <w:rsid w:val="00943E8C"/>
    <w:rsid w:val="00944065"/>
    <w:rsid w:val="00944781"/>
    <w:rsid w:val="0094483F"/>
    <w:rsid w:val="00944A16"/>
    <w:rsid w:val="00945401"/>
    <w:rsid w:val="00945406"/>
    <w:rsid w:val="009455ED"/>
    <w:rsid w:val="00945A3B"/>
    <w:rsid w:val="00945F0D"/>
    <w:rsid w:val="00946339"/>
    <w:rsid w:val="009465EC"/>
    <w:rsid w:val="009466D7"/>
    <w:rsid w:val="00946E16"/>
    <w:rsid w:val="00946EA2"/>
    <w:rsid w:val="00946F42"/>
    <w:rsid w:val="009471AD"/>
    <w:rsid w:val="009505D1"/>
    <w:rsid w:val="00951414"/>
    <w:rsid w:val="009519DF"/>
    <w:rsid w:val="00951C6D"/>
    <w:rsid w:val="00952511"/>
    <w:rsid w:val="00952D5A"/>
    <w:rsid w:val="00953BF9"/>
    <w:rsid w:val="00953F9B"/>
    <w:rsid w:val="0095480B"/>
    <w:rsid w:val="00954AB8"/>
    <w:rsid w:val="00954E5B"/>
    <w:rsid w:val="00955718"/>
    <w:rsid w:val="00955BF6"/>
    <w:rsid w:val="00955FBA"/>
    <w:rsid w:val="00956344"/>
    <w:rsid w:val="00956AC0"/>
    <w:rsid w:val="00956B0B"/>
    <w:rsid w:val="009574E8"/>
    <w:rsid w:val="009577C8"/>
    <w:rsid w:val="00957832"/>
    <w:rsid w:val="00957A80"/>
    <w:rsid w:val="00957AD5"/>
    <w:rsid w:val="0096061A"/>
    <w:rsid w:val="0096277E"/>
    <w:rsid w:val="00962F03"/>
    <w:rsid w:val="00962F13"/>
    <w:rsid w:val="00962FE4"/>
    <w:rsid w:val="0096310B"/>
    <w:rsid w:val="00963A17"/>
    <w:rsid w:val="00963AD3"/>
    <w:rsid w:val="00963C4B"/>
    <w:rsid w:val="0096462E"/>
    <w:rsid w:val="0096484E"/>
    <w:rsid w:val="00964E49"/>
    <w:rsid w:val="00964F75"/>
    <w:rsid w:val="009656F8"/>
    <w:rsid w:val="00966E56"/>
    <w:rsid w:val="0096724A"/>
    <w:rsid w:val="009673A3"/>
    <w:rsid w:val="009679DB"/>
    <w:rsid w:val="00967AE7"/>
    <w:rsid w:val="00967D1D"/>
    <w:rsid w:val="00967EFF"/>
    <w:rsid w:val="00970486"/>
    <w:rsid w:val="0097070C"/>
    <w:rsid w:val="00970A1C"/>
    <w:rsid w:val="00971560"/>
    <w:rsid w:val="009719C3"/>
    <w:rsid w:val="00971F5F"/>
    <w:rsid w:val="00971F62"/>
    <w:rsid w:val="0097257C"/>
    <w:rsid w:val="0097275C"/>
    <w:rsid w:val="00972AE8"/>
    <w:rsid w:val="00972C62"/>
    <w:rsid w:val="009737CF"/>
    <w:rsid w:val="00974479"/>
    <w:rsid w:val="0097464B"/>
    <w:rsid w:val="00974B9A"/>
    <w:rsid w:val="00975114"/>
    <w:rsid w:val="00975A52"/>
    <w:rsid w:val="00975C6D"/>
    <w:rsid w:val="009760FF"/>
    <w:rsid w:val="009763A0"/>
    <w:rsid w:val="009764E9"/>
    <w:rsid w:val="00976578"/>
    <w:rsid w:val="00976637"/>
    <w:rsid w:val="00976F79"/>
    <w:rsid w:val="0097713A"/>
    <w:rsid w:val="009772C1"/>
    <w:rsid w:val="00977867"/>
    <w:rsid w:val="009779B8"/>
    <w:rsid w:val="00977ABD"/>
    <w:rsid w:val="009801E0"/>
    <w:rsid w:val="00980940"/>
    <w:rsid w:val="00980ADE"/>
    <w:rsid w:val="00980FC8"/>
    <w:rsid w:val="009810BA"/>
    <w:rsid w:val="009812A1"/>
    <w:rsid w:val="009815B6"/>
    <w:rsid w:val="00981C98"/>
    <w:rsid w:val="00981D0F"/>
    <w:rsid w:val="009824B4"/>
    <w:rsid w:val="009826CF"/>
    <w:rsid w:val="0098294E"/>
    <w:rsid w:val="00982DDC"/>
    <w:rsid w:val="00982E2F"/>
    <w:rsid w:val="00982F62"/>
    <w:rsid w:val="00983247"/>
    <w:rsid w:val="0098339E"/>
    <w:rsid w:val="00983668"/>
    <w:rsid w:val="009839DE"/>
    <w:rsid w:val="00983D65"/>
    <w:rsid w:val="009847FF"/>
    <w:rsid w:val="00985285"/>
    <w:rsid w:val="00985827"/>
    <w:rsid w:val="00985A11"/>
    <w:rsid w:val="00985BA9"/>
    <w:rsid w:val="00985F9B"/>
    <w:rsid w:val="00986917"/>
    <w:rsid w:val="009869E5"/>
    <w:rsid w:val="009869EC"/>
    <w:rsid w:val="00986B16"/>
    <w:rsid w:val="009873B7"/>
    <w:rsid w:val="00987ACA"/>
    <w:rsid w:val="009909E1"/>
    <w:rsid w:val="00991070"/>
    <w:rsid w:val="00991221"/>
    <w:rsid w:val="0099127E"/>
    <w:rsid w:val="009915E3"/>
    <w:rsid w:val="00991AB7"/>
    <w:rsid w:val="009931A0"/>
    <w:rsid w:val="00993946"/>
    <w:rsid w:val="00993A75"/>
    <w:rsid w:val="009945EA"/>
    <w:rsid w:val="0099472A"/>
    <w:rsid w:val="00994794"/>
    <w:rsid w:val="009949CE"/>
    <w:rsid w:val="00994A40"/>
    <w:rsid w:val="00995384"/>
    <w:rsid w:val="009957D2"/>
    <w:rsid w:val="00995CD7"/>
    <w:rsid w:val="00995EF4"/>
    <w:rsid w:val="00996A37"/>
    <w:rsid w:val="009974AB"/>
    <w:rsid w:val="00997E0D"/>
    <w:rsid w:val="00997FA0"/>
    <w:rsid w:val="009A0533"/>
    <w:rsid w:val="009A0B4F"/>
    <w:rsid w:val="009A0BEC"/>
    <w:rsid w:val="009A0C27"/>
    <w:rsid w:val="009A195E"/>
    <w:rsid w:val="009A1EB3"/>
    <w:rsid w:val="009A2164"/>
    <w:rsid w:val="009A28E1"/>
    <w:rsid w:val="009A2987"/>
    <w:rsid w:val="009A300B"/>
    <w:rsid w:val="009A3216"/>
    <w:rsid w:val="009A3708"/>
    <w:rsid w:val="009A415D"/>
    <w:rsid w:val="009A4398"/>
    <w:rsid w:val="009A43CE"/>
    <w:rsid w:val="009A4DCD"/>
    <w:rsid w:val="009A51E0"/>
    <w:rsid w:val="009A5483"/>
    <w:rsid w:val="009A54F2"/>
    <w:rsid w:val="009A5690"/>
    <w:rsid w:val="009A5AA2"/>
    <w:rsid w:val="009A62A5"/>
    <w:rsid w:val="009A6641"/>
    <w:rsid w:val="009A7018"/>
    <w:rsid w:val="009A7428"/>
    <w:rsid w:val="009A751B"/>
    <w:rsid w:val="009A7A41"/>
    <w:rsid w:val="009A7F06"/>
    <w:rsid w:val="009B0300"/>
    <w:rsid w:val="009B0651"/>
    <w:rsid w:val="009B0838"/>
    <w:rsid w:val="009B08B2"/>
    <w:rsid w:val="009B0943"/>
    <w:rsid w:val="009B0A72"/>
    <w:rsid w:val="009B0E0E"/>
    <w:rsid w:val="009B1C7D"/>
    <w:rsid w:val="009B1F2A"/>
    <w:rsid w:val="009B21C5"/>
    <w:rsid w:val="009B23E6"/>
    <w:rsid w:val="009B2C86"/>
    <w:rsid w:val="009B321D"/>
    <w:rsid w:val="009B4B89"/>
    <w:rsid w:val="009B524E"/>
    <w:rsid w:val="009B5C4D"/>
    <w:rsid w:val="009B5D2B"/>
    <w:rsid w:val="009B5E2A"/>
    <w:rsid w:val="009B627E"/>
    <w:rsid w:val="009B67BC"/>
    <w:rsid w:val="009B6FBD"/>
    <w:rsid w:val="009B7006"/>
    <w:rsid w:val="009B76A7"/>
    <w:rsid w:val="009B7911"/>
    <w:rsid w:val="009B7EF7"/>
    <w:rsid w:val="009C0AF6"/>
    <w:rsid w:val="009C1000"/>
    <w:rsid w:val="009C1262"/>
    <w:rsid w:val="009C1963"/>
    <w:rsid w:val="009C1C6D"/>
    <w:rsid w:val="009C1E25"/>
    <w:rsid w:val="009C1EB9"/>
    <w:rsid w:val="009C1F48"/>
    <w:rsid w:val="009C2500"/>
    <w:rsid w:val="009C2749"/>
    <w:rsid w:val="009C369D"/>
    <w:rsid w:val="009C3BF4"/>
    <w:rsid w:val="009C3CF1"/>
    <w:rsid w:val="009C3DAE"/>
    <w:rsid w:val="009C3F3B"/>
    <w:rsid w:val="009C4B53"/>
    <w:rsid w:val="009C552B"/>
    <w:rsid w:val="009C58F6"/>
    <w:rsid w:val="009C70C1"/>
    <w:rsid w:val="009C710B"/>
    <w:rsid w:val="009C7C06"/>
    <w:rsid w:val="009C7E43"/>
    <w:rsid w:val="009D06C2"/>
    <w:rsid w:val="009D0993"/>
    <w:rsid w:val="009D0AEA"/>
    <w:rsid w:val="009D0C68"/>
    <w:rsid w:val="009D0D7D"/>
    <w:rsid w:val="009D13F2"/>
    <w:rsid w:val="009D198C"/>
    <w:rsid w:val="009D24C2"/>
    <w:rsid w:val="009D2F80"/>
    <w:rsid w:val="009D31DC"/>
    <w:rsid w:val="009D3720"/>
    <w:rsid w:val="009D44FD"/>
    <w:rsid w:val="009D4578"/>
    <w:rsid w:val="009D4630"/>
    <w:rsid w:val="009D56C5"/>
    <w:rsid w:val="009D590B"/>
    <w:rsid w:val="009D64A2"/>
    <w:rsid w:val="009D6E1F"/>
    <w:rsid w:val="009D6FBE"/>
    <w:rsid w:val="009D79D9"/>
    <w:rsid w:val="009E08E1"/>
    <w:rsid w:val="009E0991"/>
    <w:rsid w:val="009E0A46"/>
    <w:rsid w:val="009E0D92"/>
    <w:rsid w:val="009E1286"/>
    <w:rsid w:val="009E1B69"/>
    <w:rsid w:val="009E21C2"/>
    <w:rsid w:val="009E2AAE"/>
    <w:rsid w:val="009E2BF8"/>
    <w:rsid w:val="009E2C9C"/>
    <w:rsid w:val="009E3BCF"/>
    <w:rsid w:val="009E3D11"/>
    <w:rsid w:val="009E4751"/>
    <w:rsid w:val="009E4757"/>
    <w:rsid w:val="009E4D54"/>
    <w:rsid w:val="009E4FEB"/>
    <w:rsid w:val="009E501B"/>
    <w:rsid w:val="009E5B72"/>
    <w:rsid w:val="009E5FA2"/>
    <w:rsid w:val="009E6A79"/>
    <w:rsid w:val="009E700C"/>
    <w:rsid w:val="009E701E"/>
    <w:rsid w:val="009E71E1"/>
    <w:rsid w:val="009E74C4"/>
    <w:rsid w:val="009E7DCF"/>
    <w:rsid w:val="009E7DEA"/>
    <w:rsid w:val="009E7F71"/>
    <w:rsid w:val="009F0035"/>
    <w:rsid w:val="009F0899"/>
    <w:rsid w:val="009F0B6A"/>
    <w:rsid w:val="009F1C1C"/>
    <w:rsid w:val="009F1C69"/>
    <w:rsid w:val="009F218D"/>
    <w:rsid w:val="009F2D8B"/>
    <w:rsid w:val="009F32C9"/>
    <w:rsid w:val="009F336C"/>
    <w:rsid w:val="009F33AE"/>
    <w:rsid w:val="009F4711"/>
    <w:rsid w:val="009F47C3"/>
    <w:rsid w:val="009F4918"/>
    <w:rsid w:val="009F4B79"/>
    <w:rsid w:val="009F574F"/>
    <w:rsid w:val="009F6110"/>
    <w:rsid w:val="009F6B39"/>
    <w:rsid w:val="009F7AF7"/>
    <w:rsid w:val="00A00803"/>
    <w:rsid w:val="00A00880"/>
    <w:rsid w:val="00A00A10"/>
    <w:rsid w:val="00A00BD4"/>
    <w:rsid w:val="00A00D10"/>
    <w:rsid w:val="00A0105D"/>
    <w:rsid w:val="00A01566"/>
    <w:rsid w:val="00A01C4D"/>
    <w:rsid w:val="00A028D3"/>
    <w:rsid w:val="00A02963"/>
    <w:rsid w:val="00A02C45"/>
    <w:rsid w:val="00A02C6E"/>
    <w:rsid w:val="00A030A7"/>
    <w:rsid w:val="00A0317E"/>
    <w:rsid w:val="00A03817"/>
    <w:rsid w:val="00A03E1D"/>
    <w:rsid w:val="00A03EC1"/>
    <w:rsid w:val="00A044E1"/>
    <w:rsid w:val="00A046CA"/>
    <w:rsid w:val="00A04F59"/>
    <w:rsid w:val="00A051AA"/>
    <w:rsid w:val="00A0611F"/>
    <w:rsid w:val="00A061F2"/>
    <w:rsid w:val="00A06563"/>
    <w:rsid w:val="00A0672B"/>
    <w:rsid w:val="00A067E1"/>
    <w:rsid w:val="00A07061"/>
    <w:rsid w:val="00A07FD4"/>
    <w:rsid w:val="00A1008C"/>
    <w:rsid w:val="00A1058C"/>
    <w:rsid w:val="00A1069D"/>
    <w:rsid w:val="00A1098F"/>
    <w:rsid w:val="00A10AC0"/>
    <w:rsid w:val="00A117AA"/>
    <w:rsid w:val="00A117CF"/>
    <w:rsid w:val="00A11E71"/>
    <w:rsid w:val="00A1256C"/>
    <w:rsid w:val="00A12736"/>
    <w:rsid w:val="00A12EA4"/>
    <w:rsid w:val="00A12FA0"/>
    <w:rsid w:val="00A13E54"/>
    <w:rsid w:val="00A1413A"/>
    <w:rsid w:val="00A143D7"/>
    <w:rsid w:val="00A14613"/>
    <w:rsid w:val="00A1477E"/>
    <w:rsid w:val="00A1512E"/>
    <w:rsid w:val="00A156F1"/>
    <w:rsid w:val="00A15EE7"/>
    <w:rsid w:val="00A16535"/>
    <w:rsid w:val="00A16C62"/>
    <w:rsid w:val="00A179FF"/>
    <w:rsid w:val="00A17B17"/>
    <w:rsid w:val="00A20B30"/>
    <w:rsid w:val="00A20D38"/>
    <w:rsid w:val="00A21434"/>
    <w:rsid w:val="00A226FD"/>
    <w:rsid w:val="00A22AB0"/>
    <w:rsid w:val="00A22B91"/>
    <w:rsid w:val="00A22B96"/>
    <w:rsid w:val="00A22F69"/>
    <w:rsid w:val="00A2304F"/>
    <w:rsid w:val="00A23068"/>
    <w:rsid w:val="00A23EBD"/>
    <w:rsid w:val="00A24763"/>
    <w:rsid w:val="00A250A7"/>
    <w:rsid w:val="00A254F7"/>
    <w:rsid w:val="00A25D19"/>
    <w:rsid w:val="00A25E48"/>
    <w:rsid w:val="00A26115"/>
    <w:rsid w:val="00A267F9"/>
    <w:rsid w:val="00A26958"/>
    <w:rsid w:val="00A26A98"/>
    <w:rsid w:val="00A26BAD"/>
    <w:rsid w:val="00A26DA8"/>
    <w:rsid w:val="00A26ED1"/>
    <w:rsid w:val="00A26F1D"/>
    <w:rsid w:val="00A279DF"/>
    <w:rsid w:val="00A27B55"/>
    <w:rsid w:val="00A30257"/>
    <w:rsid w:val="00A30FE9"/>
    <w:rsid w:val="00A31D6E"/>
    <w:rsid w:val="00A32049"/>
    <w:rsid w:val="00A32712"/>
    <w:rsid w:val="00A3283A"/>
    <w:rsid w:val="00A3325C"/>
    <w:rsid w:val="00A3354B"/>
    <w:rsid w:val="00A33ABF"/>
    <w:rsid w:val="00A34563"/>
    <w:rsid w:val="00A3473C"/>
    <w:rsid w:val="00A34FD6"/>
    <w:rsid w:val="00A35A59"/>
    <w:rsid w:val="00A35ABA"/>
    <w:rsid w:val="00A35FEC"/>
    <w:rsid w:val="00A36077"/>
    <w:rsid w:val="00A3612C"/>
    <w:rsid w:val="00A36819"/>
    <w:rsid w:val="00A36928"/>
    <w:rsid w:val="00A36AB4"/>
    <w:rsid w:val="00A3710B"/>
    <w:rsid w:val="00A37A21"/>
    <w:rsid w:val="00A37AD8"/>
    <w:rsid w:val="00A37E15"/>
    <w:rsid w:val="00A37FF9"/>
    <w:rsid w:val="00A409BD"/>
    <w:rsid w:val="00A40D26"/>
    <w:rsid w:val="00A40DA0"/>
    <w:rsid w:val="00A40F9C"/>
    <w:rsid w:val="00A4120E"/>
    <w:rsid w:val="00A414E2"/>
    <w:rsid w:val="00A42EBE"/>
    <w:rsid w:val="00A43030"/>
    <w:rsid w:val="00A43268"/>
    <w:rsid w:val="00A432EC"/>
    <w:rsid w:val="00A434CC"/>
    <w:rsid w:val="00A4356E"/>
    <w:rsid w:val="00A44472"/>
    <w:rsid w:val="00A4476D"/>
    <w:rsid w:val="00A45376"/>
    <w:rsid w:val="00A45722"/>
    <w:rsid w:val="00A45B18"/>
    <w:rsid w:val="00A45B9A"/>
    <w:rsid w:val="00A465CA"/>
    <w:rsid w:val="00A47178"/>
    <w:rsid w:val="00A47195"/>
    <w:rsid w:val="00A47467"/>
    <w:rsid w:val="00A478E0"/>
    <w:rsid w:val="00A47CBC"/>
    <w:rsid w:val="00A47E8C"/>
    <w:rsid w:val="00A508A4"/>
    <w:rsid w:val="00A51494"/>
    <w:rsid w:val="00A5185D"/>
    <w:rsid w:val="00A518DD"/>
    <w:rsid w:val="00A52F70"/>
    <w:rsid w:val="00A535BF"/>
    <w:rsid w:val="00A54DFD"/>
    <w:rsid w:val="00A54F33"/>
    <w:rsid w:val="00A551B1"/>
    <w:rsid w:val="00A55820"/>
    <w:rsid w:val="00A55D87"/>
    <w:rsid w:val="00A55FFE"/>
    <w:rsid w:val="00A5604A"/>
    <w:rsid w:val="00A56345"/>
    <w:rsid w:val="00A566ED"/>
    <w:rsid w:val="00A5707B"/>
    <w:rsid w:val="00A571C3"/>
    <w:rsid w:val="00A57305"/>
    <w:rsid w:val="00A5783D"/>
    <w:rsid w:val="00A57ACD"/>
    <w:rsid w:val="00A60EEF"/>
    <w:rsid w:val="00A611FF"/>
    <w:rsid w:val="00A61B4E"/>
    <w:rsid w:val="00A61C2D"/>
    <w:rsid w:val="00A61C9C"/>
    <w:rsid w:val="00A624EF"/>
    <w:rsid w:val="00A6253F"/>
    <w:rsid w:val="00A6278F"/>
    <w:rsid w:val="00A627E0"/>
    <w:rsid w:val="00A6292D"/>
    <w:rsid w:val="00A629D8"/>
    <w:rsid w:val="00A62E60"/>
    <w:rsid w:val="00A638BC"/>
    <w:rsid w:val="00A6441D"/>
    <w:rsid w:val="00A6463B"/>
    <w:rsid w:val="00A646EC"/>
    <w:rsid w:val="00A64DAA"/>
    <w:rsid w:val="00A654D2"/>
    <w:rsid w:val="00A65FA3"/>
    <w:rsid w:val="00A665C5"/>
    <w:rsid w:val="00A66949"/>
    <w:rsid w:val="00A66ABC"/>
    <w:rsid w:val="00A67046"/>
    <w:rsid w:val="00A6772B"/>
    <w:rsid w:val="00A67BB2"/>
    <w:rsid w:val="00A67CD1"/>
    <w:rsid w:val="00A70382"/>
    <w:rsid w:val="00A70562"/>
    <w:rsid w:val="00A70EE2"/>
    <w:rsid w:val="00A71E94"/>
    <w:rsid w:val="00A72491"/>
    <w:rsid w:val="00A734C9"/>
    <w:rsid w:val="00A7397B"/>
    <w:rsid w:val="00A73C30"/>
    <w:rsid w:val="00A74482"/>
    <w:rsid w:val="00A748EB"/>
    <w:rsid w:val="00A75113"/>
    <w:rsid w:val="00A753A0"/>
    <w:rsid w:val="00A7596E"/>
    <w:rsid w:val="00A75CAD"/>
    <w:rsid w:val="00A75D7F"/>
    <w:rsid w:val="00A765B0"/>
    <w:rsid w:val="00A7707E"/>
    <w:rsid w:val="00A804BE"/>
    <w:rsid w:val="00A80BCF"/>
    <w:rsid w:val="00A80D6A"/>
    <w:rsid w:val="00A818C3"/>
    <w:rsid w:val="00A81903"/>
    <w:rsid w:val="00A824D4"/>
    <w:rsid w:val="00A83616"/>
    <w:rsid w:val="00A838CE"/>
    <w:rsid w:val="00A8425B"/>
    <w:rsid w:val="00A845BE"/>
    <w:rsid w:val="00A84F01"/>
    <w:rsid w:val="00A84F49"/>
    <w:rsid w:val="00A868CE"/>
    <w:rsid w:val="00A86E9E"/>
    <w:rsid w:val="00A86FBB"/>
    <w:rsid w:val="00A87297"/>
    <w:rsid w:val="00A872B9"/>
    <w:rsid w:val="00A87303"/>
    <w:rsid w:val="00A87CC7"/>
    <w:rsid w:val="00A9088E"/>
    <w:rsid w:val="00A90951"/>
    <w:rsid w:val="00A9099A"/>
    <w:rsid w:val="00A90DB7"/>
    <w:rsid w:val="00A91612"/>
    <w:rsid w:val="00A92739"/>
    <w:rsid w:val="00A92F0B"/>
    <w:rsid w:val="00A92F11"/>
    <w:rsid w:val="00A92F2B"/>
    <w:rsid w:val="00A935A6"/>
    <w:rsid w:val="00A93926"/>
    <w:rsid w:val="00A93AE5"/>
    <w:rsid w:val="00A93F8E"/>
    <w:rsid w:val="00A94112"/>
    <w:rsid w:val="00A950CC"/>
    <w:rsid w:val="00A95977"/>
    <w:rsid w:val="00A95B7F"/>
    <w:rsid w:val="00A95FA8"/>
    <w:rsid w:val="00A9606D"/>
    <w:rsid w:val="00A961D4"/>
    <w:rsid w:val="00A961DA"/>
    <w:rsid w:val="00A965E2"/>
    <w:rsid w:val="00A96E34"/>
    <w:rsid w:val="00A979BA"/>
    <w:rsid w:val="00A97F9F"/>
    <w:rsid w:val="00AA0372"/>
    <w:rsid w:val="00AA07B0"/>
    <w:rsid w:val="00AA08B1"/>
    <w:rsid w:val="00AA095A"/>
    <w:rsid w:val="00AA0D04"/>
    <w:rsid w:val="00AA1C77"/>
    <w:rsid w:val="00AA2410"/>
    <w:rsid w:val="00AA26A7"/>
    <w:rsid w:val="00AA26E4"/>
    <w:rsid w:val="00AA2B7A"/>
    <w:rsid w:val="00AA2EE5"/>
    <w:rsid w:val="00AA387A"/>
    <w:rsid w:val="00AA3C24"/>
    <w:rsid w:val="00AA3CE0"/>
    <w:rsid w:val="00AA44FC"/>
    <w:rsid w:val="00AA4622"/>
    <w:rsid w:val="00AA463C"/>
    <w:rsid w:val="00AA512F"/>
    <w:rsid w:val="00AA572E"/>
    <w:rsid w:val="00AA5AEE"/>
    <w:rsid w:val="00AA5F18"/>
    <w:rsid w:val="00AA6259"/>
    <w:rsid w:val="00AA64DE"/>
    <w:rsid w:val="00AA667B"/>
    <w:rsid w:val="00AA6DAF"/>
    <w:rsid w:val="00AA773D"/>
    <w:rsid w:val="00AA797A"/>
    <w:rsid w:val="00AB04C9"/>
    <w:rsid w:val="00AB0818"/>
    <w:rsid w:val="00AB15A6"/>
    <w:rsid w:val="00AB1695"/>
    <w:rsid w:val="00AB181F"/>
    <w:rsid w:val="00AB1D6C"/>
    <w:rsid w:val="00AB1D7E"/>
    <w:rsid w:val="00AB202E"/>
    <w:rsid w:val="00AB25C0"/>
    <w:rsid w:val="00AB2FBC"/>
    <w:rsid w:val="00AB3010"/>
    <w:rsid w:val="00AB3633"/>
    <w:rsid w:val="00AB3E49"/>
    <w:rsid w:val="00AB4372"/>
    <w:rsid w:val="00AB439E"/>
    <w:rsid w:val="00AB4793"/>
    <w:rsid w:val="00AB47AE"/>
    <w:rsid w:val="00AB4810"/>
    <w:rsid w:val="00AB4F0D"/>
    <w:rsid w:val="00AB5B56"/>
    <w:rsid w:val="00AB6019"/>
    <w:rsid w:val="00AB62A7"/>
    <w:rsid w:val="00AB6961"/>
    <w:rsid w:val="00AB74EB"/>
    <w:rsid w:val="00AB785C"/>
    <w:rsid w:val="00AB7BFC"/>
    <w:rsid w:val="00AC10CE"/>
    <w:rsid w:val="00AC15BB"/>
    <w:rsid w:val="00AC176A"/>
    <w:rsid w:val="00AC222F"/>
    <w:rsid w:val="00AC2320"/>
    <w:rsid w:val="00AC2C09"/>
    <w:rsid w:val="00AC31DD"/>
    <w:rsid w:val="00AC33D4"/>
    <w:rsid w:val="00AC48A2"/>
    <w:rsid w:val="00AC504C"/>
    <w:rsid w:val="00AC564A"/>
    <w:rsid w:val="00AC5A12"/>
    <w:rsid w:val="00AC5C6D"/>
    <w:rsid w:val="00AC5DFA"/>
    <w:rsid w:val="00AC6C1B"/>
    <w:rsid w:val="00AC6E42"/>
    <w:rsid w:val="00AC7322"/>
    <w:rsid w:val="00AC7E6D"/>
    <w:rsid w:val="00AC7FF8"/>
    <w:rsid w:val="00AD0217"/>
    <w:rsid w:val="00AD0353"/>
    <w:rsid w:val="00AD060A"/>
    <w:rsid w:val="00AD081B"/>
    <w:rsid w:val="00AD2BC9"/>
    <w:rsid w:val="00AD2CC9"/>
    <w:rsid w:val="00AD35B2"/>
    <w:rsid w:val="00AD3658"/>
    <w:rsid w:val="00AD3743"/>
    <w:rsid w:val="00AD41A3"/>
    <w:rsid w:val="00AD4F3E"/>
    <w:rsid w:val="00AD51BA"/>
    <w:rsid w:val="00AD5DFB"/>
    <w:rsid w:val="00AD5F39"/>
    <w:rsid w:val="00AD647C"/>
    <w:rsid w:val="00AD739C"/>
    <w:rsid w:val="00AE020B"/>
    <w:rsid w:val="00AE0321"/>
    <w:rsid w:val="00AE035B"/>
    <w:rsid w:val="00AE03B1"/>
    <w:rsid w:val="00AE0740"/>
    <w:rsid w:val="00AE0F92"/>
    <w:rsid w:val="00AE133A"/>
    <w:rsid w:val="00AE1473"/>
    <w:rsid w:val="00AE18FD"/>
    <w:rsid w:val="00AE1AF3"/>
    <w:rsid w:val="00AE1CD0"/>
    <w:rsid w:val="00AE225B"/>
    <w:rsid w:val="00AE3810"/>
    <w:rsid w:val="00AE3CB3"/>
    <w:rsid w:val="00AE3CE9"/>
    <w:rsid w:val="00AE3DE1"/>
    <w:rsid w:val="00AE45EE"/>
    <w:rsid w:val="00AE4AED"/>
    <w:rsid w:val="00AE4FD0"/>
    <w:rsid w:val="00AE5B25"/>
    <w:rsid w:val="00AE5B8C"/>
    <w:rsid w:val="00AE63AC"/>
    <w:rsid w:val="00AE6A97"/>
    <w:rsid w:val="00AE76D4"/>
    <w:rsid w:val="00AF01C8"/>
    <w:rsid w:val="00AF0B77"/>
    <w:rsid w:val="00AF0E59"/>
    <w:rsid w:val="00AF1952"/>
    <w:rsid w:val="00AF1FAC"/>
    <w:rsid w:val="00AF23E0"/>
    <w:rsid w:val="00AF27B3"/>
    <w:rsid w:val="00AF30A6"/>
    <w:rsid w:val="00AF30D0"/>
    <w:rsid w:val="00AF3156"/>
    <w:rsid w:val="00AF317A"/>
    <w:rsid w:val="00AF31CF"/>
    <w:rsid w:val="00AF3471"/>
    <w:rsid w:val="00AF3775"/>
    <w:rsid w:val="00AF42EA"/>
    <w:rsid w:val="00AF44AE"/>
    <w:rsid w:val="00AF4B24"/>
    <w:rsid w:val="00AF668F"/>
    <w:rsid w:val="00AF6CE5"/>
    <w:rsid w:val="00AF6D4A"/>
    <w:rsid w:val="00AF74A2"/>
    <w:rsid w:val="00AF778C"/>
    <w:rsid w:val="00AF77D6"/>
    <w:rsid w:val="00AF7923"/>
    <w:rsid w:val="00AF7FFA"/>
    <w:rsid w:val="00B009F3"/>
    <w:rsid w:val="00B013C6"/>
    <w:rsid w:val="00B01B08"/>
    <w:rsid w:val="00B01E99"/>
    <w:rsid w:val="00B02169"/>
    <w:rsid w:val="00B02264"/>
    <w:rsid w:val="00B026EC"/>
    <w:rsid w:val="00B02858"/>
    <w:rsid w:val="00B02874"/>
    <w:rsid w:val="00B039DF"/>
    <w:rsid w:val="00B03C8F"/>
    <w:rsid w:val="00B04E73"/>
    <w:rsid w:val="00B055E9"/>
    <w:rsid w:val="00B06B36"/>
    <w:rsid w:val="00B07726"/>
    <w:rsid w:val="00B104DE"/>
    <w:rsid w:val="00B1093A"/>
    <w:rsid w:val="00B10AC2"/>
    <w:rsid w:val="00B114D0"/>
    <w:rsid w:val="00B1171B"/>
    <w:rsid w:val="00B119C6"/>
    <w:rsid w:val="00B11D7D"/>
    <w:rsid w:val="00B1252A"/>
    <w:rsid w:val="00B12896"/>
    <w:rsid w:val="00B12D44"/>
    <w:rsid w:val="00B12DAD"/>
    <w:rsid w:val="00B13248"/>
    <w:rsid w:val="00B13C77"/>
    <w:rsid w:val="00B1414C"/>
    <w:rsid w:val="00B14496"/>
    <w:rsid w:val="00B14B67"/>
    <w:rsid w:val="00B14F8F"/>
    <w:rsid w:val="00B1525E"/>
    <w:rsid w:val="00B153D1"/>
    <w:rsid w:val="00B1547F"/>
    <w:rsid w:val="00B1550E"/>
    <w:rsid w:val="00B1599A"/>
    <w:rsid w:val="00B1645B"/>
    <w:rsid w:val="00B175FA"/>
    <w:rsid w:val="00B176B7"/>
    <w:rsid w:val="00B17899"/>
    <w:rsid w:val="00B17AB0"/>
    <w:rsid w:val="00B17C57"/>
    <w:rsid w:val="00B20060"/>
    <w:rsid w:val="00B205D9"/>
    <w:rsid w:val="00B223AB"/>
    <w:rsid w:val="00B223D4"/>
    <w:rsid w:val="00B22EC5"/>
    <w:rsid w:val="00B235BE"/>
    <w:rsid w:val="00B23665"/>
    <w:rsid w:val="00B2440A"/>
    <w:rsid w:val="00B24AF4"/>
    <w:rsid w:val="00B24E84"/>
    <w:rsid w:val="00B24FBB"/>
    <w:rsid w:val="00B25119"/>
    <w:rsid w:val="00B257F3"/>
    <w:rsid w:val="00B25A15"/>
    <w:rsid w:val="00B25FB3"/>
    <w:rsid w:val="00B26403"/>
    <w:rsid w:val="00B265A1"/>
    <w:rsid w:val="00B27035"/>
    <w:rsid w:val="00B2773B"/>
    <w:rsid w:val="00B2784D"/>
    <w:rsid w:val="00B31160"/>
    <w:rsid w:val="00B3147C"/>
    <w:rsid w:val="00B31825"/>
    <w:rsid w:val="00B31979"/>
    <w:rsid w:val="00B322E1"/>
    <w:rsid w:val="00B32BD1"/>
    <w:rsid w:val="00B32D69"/>
    <w:rsid w:val="00B331A0"/>
    <w:rsid w:val="00B34308"/>
    <w:rsid w:val="00B34CA8"/>
    <w:rsid w:val="00B34CCD"/>
    <w:rsid w:val="00B35176"/>
    <w:rsid w:val="00B353EE"/>
    <w:rsid w:val="00B35B54"/>
    <w:rsid w:val="00B35C38"/>
    <w:rsid w:val="00B363D2"/>
    <w:rsid w:val="00B36AD5"/>
    <w:rsid w:val="00B36B44"/>
    <w:rsid w:val="00B36F08"/>
    <w:rsid w:val="00B36F0E"/>
    <w:rsid w:val="00B3707D"/>
    <w:rsid w:val="00B373CD"/>
    <w:rsid w:val="00B37789"/>
    <w:rsid w:val="00B37E9B"/>
    <w:rsid w:val="00B400F6"/>
    <w:rsid w:val="00B40176"/>
    <w:rsid w:val="00B40B2E"/>
    <w:rsid w:val="00B40C06"/>
    <w:rsid w:val="00B40DB6"/>
    <w:rsid w:val="00B41007"/>
    <w:rsid w:val="00B414F4"/>
    <w:rsid w:val="00B41C13"/>
    <w:rsid w:val="00B41CE3"/>
    <w:rsid w:val="00B4251C"/>
    <w:rsid w:val="00B42B38"/>
    <w:rsid w:val="00B42BF3"/>
    <w:rsid w:val="00B430DC"/>
    <w:rsid w:val="00B43972"/>
    <w:rsid w:val="00B43DCB"/>
    <w:rsid w:val="00B4407A"/>
    <w:rsid w:val="00B441B0"/>
    <w:rsid w:val="00B44AF6"/>
    <w:rsid w:val="00B44B52"/>
    <w:rsid w:val="00B44D8F"/>
    <w:rsid w:val="00B456E6"/>
    <w:rsid w:val="00B4591E"/>
    <w:rsid w:val="00B46056"/>
    <w:rsid w:val="00B468D4"/>
    <w:rsid w:val="00B473E2"/>
    <w:rsid w:val="00B47B13"/>
    <w:rsid w:val="00B47BE8"/>
    <w:rsid w:val="00B47F57"/>
    <w:rsid w:val="00B504B1"/>
    <w:rsid w:val="00B50739"/>
    <w:rsid w:val="00B50B2A"/>
    <w:rsid w:val="00B50F4A"/>
    <w:rsid w:val="00B516ED"/>
    <w:rsid w:val="00B51B5E"/>
    <w:rsid w:val="00B52366"/>
    <w:rsid w:val="00B53491"/>
    <w:rsid w:val="00B538BF"/>
    <w:rsid w:val="00B54582"/>
    <w:rsid w:val="00B54D82"/>
    <w:rsid w:val="00B5597A"/>
    <w:rsid w:val="00B5623A"/>
    <w:rsid w:val="00B56B5A"/>
    <w:rsid w:val="00B57534"/>
    <w:rsid w:val="00B60AD9"/>
    <w:rsid w:val="00B60D36"/>
    <w:rsid w:val="00B6100F"/>
    <w:rsid w:val="00B618C3"/>
    <w:rsid w:val="00B62228"/>
    <w:rsid w:val="00B6224D"/>
    <w:rsid w:val="00B62AEA"/>
    <w:rsid w:val="00B62D41"/>
    <w:rsid w:val="00B6454F"/>
    <w:rsid w:val="00B64620"/>
    <w:rsid w:val="00B64D0B"/>
    <w:rsid w:val="00B65195"/>
    <w:rsid w:val="00B655EA"/>
    <w:rsid w:val="00B65656"/>
    <w:rsid w:val="00B65B3A"/>
    <w:rsid w:val="00B66333"/>
    <w:rsid w:val="00B66669"/>
    <w:rsid w:val="00B667C1"/>
    <w:rsid w:val="00B6687A"/>
    <w:rsid w:val="00B6767B"/>
    <w:rsid w:val="00B70186"/>
    <w:rsid w:val="00B71108"/>
    <w:rsid w:val="00B722C5"/>
    <w:rsid w:val="00B72570"/>
    <w:rsid w:val="00B72FA4"/>
    <w:rsid w:val="00B733D1"/>
    <w:rsid w:val="00B733DB"/>
    <w:rsid w:val="00B73456"/>
    <w:rsid w:val="00B7389C"/>
    <w:rsid w:val="00B73CF4"/>
    <w:rsid w:val="00B74169"/>
    <w:rsid w:val="00B75813"/>
    <w:rsid w:val="00B75EBF"/>
    <w:rsid w:val="00B7677D"/>
    <w:rsid w:val="00B7679F"/>
    <w:rsid w:val="00B771A4"/>
    <w:rsid w:val="00B77470"/>
    <w:rsid w:val="00B77BCF"/>
    <w:rsid w:val="00B81304"/>
    <w:rsid w:val="00B813A4"/>
    <w:rsid w:val="00B81A14"/>
    <w:rsid w:val="00B81C67"/>
    <w:rsid w:val="00B8282D"/>
    <w:rsid w:val="00B82A49"/>
    <w:rsid w:val="00B82DF5"/>
    <w:rsid w:val="00B83C18"/>
    <w:rsid w:val="00B83D15"/>
    <w:rsid w:val="00B84106"/>
    <w:rsid w:val="00B84325"/>
    <w:rsid w:val="00B846F1"/>
    <w:rsid w:val="00B8499C"/>
    <w:rsid w:val="00B84A34"/>
    <w:rsid w:val="00B84C31"/>
    <w:rsid w:val="00B862FC"/>
    <w:rsid w:val="00B86311"/>
    <w:rsid w:val="00B8650A"/>
    <w:rsid w:val="00B86883"/>
    <w:rsid w:val="00B86951"/>
    <w:rsid w:val="00B86A66"/>
    <w:rsid w:val="00B86DEC"/>
    <w:rsid w:val="00B86E36"/>
    <w:rsid w:val="00B86E55"/>
    <w:rsid w:val="00B86FF5"/>
    <w:rsid w:val="00B872E4"/>
    <w:rsid w:val="00B87393"/>
    <w:rsid w:val="00B87B19"/>
    <w:rsid w:val="00B9055C"/>
    <w:rsid w:val="00B90BA9"/>
    <w:rsid w:val="00B917D1"/>
    <w:rsid w:val="00B9200E"/>
    <w:rsid w:val="00B92233"/>
    <w:rsid w:val="00B925EB"/>
    <w:rsid w:val="00B92892"/>
    <w:rsid w:val="00B929D3"/>
    <w:rsid w:val="00B92B41"/>
    <w:rsid w:val="00B93166"/>
    <w:rsid w:val="00B934CF"/>
    <w:rsid w:val="00B935A4"/>
    <w:rsid w:val="00B949FF"/>
    <w:rsid w:val="00B94D24"/>
    <w:rsid w:val="00B95323"/>
    <w:rsid w:val="00B95F5F"/>
    <w:rsid w:val="00B96BB1"/>
    <w:rsid w:val="00B96EEC"/>
    <w:rsid w:val="00B973A9"/>
    <w:rsid w:val="00B97492"/>
    <w:rsid w:val="00B974AC"/>
    <w:rsid w:val="00BA0734"/>
    <w:rsid w:val="00BA0AEE"/>
    <w:rsid w:val="00BA0CF6"/>
    <w:rsid w:val="00BA0D6B"/>
    <w:rsid w:val="00BA16AF"/>
    <w:rsid w:val="00BA1C0F"/>
    <w:rsid w:val="00BA2538"/>
    <w:rsid w:val="00BA3670"/>
    <w:rsid w:val="00BA3F96"/>
    <w:rsid w:val="00BA42B8"/>
    <w:rsid w:val="00BA45AF"/>
    <w:rsid w:val="00BA4B08"/>
    <w:rsid w:val="00BA4B76"/>
    <w:rsid w:val="00BA4FFE"/>
    <w:rsid w:val="00BA64BC"/>
    <w:rsid w:val="00BA662C"/>
    <w:rsid w:val="00BA6C12"/>
    <w:rsid w:val="00BA7220"/>
    <w:rsid w:val="00BA7318"/>
    <w:rsid w:val="00BA7432"/>
    <w:rsid w:val="00BA79AB"/>
    <w:rsid w:val="00BA7C09"/>
    <w:rsid w:val="00BA7D3B"/>
    <w:rsid w:val="00BB0065"/>
    <w:rsid w:val="00BB0099"/>
    <w:rsid w:val="00BB060F"/>
    <w:rsid w:val="00BB14E6"/>
    <w:rsid w:val="00BB160F"/>
    <w:rsid w:val="00BB224A"/>
    <w:rsid w:val="00BB2829"/>
    <w:rsid w:val="00BB335E"/>
    <w:rsid w:val="00BB3DE4"/>
    <w:rsid w:val="00BB3EDC"/>
    <w:rsid w:val="00BB3EF5"/>
    <w:rsid w:val="00BB528F"/>
    <w:rsid w:val="00BB5336"/>
    <w:rsid w:val="00BB5807"/>
    <w:rsid w:val="00BB5E52"/>
    <w:rsid w:val="00BB60B7"/>
    <w:rsid w:val="00BB684B"/>
    <w:rsid w:val="00BB68DC"/>
    <w:rsid w:val="00BB69C2"/>
    <w:rsid w:val="00BB6E7E"/>
    <w:rsid w:val="00BB75F9"/>
    <w:rsid w:val="00BB763A"/>
    <w:rsid w:val="00BB7C0D"/>
    <w:rsid w:val="00BC0628"/>
    <w:rsid w:val="00BC082C"/>
    <w:rsid w:val="00BC0A15"/>
    <w:rsid w:val="00BC0B4F"/>
    <w:rsid w:val="00BC0CBB"/>
    <w:rsid w:val="00BC0DAD"/>
    <w:rsid w:val="00BC0DE4"/>
    <w:rsid w:val="00BC12EB"/>
    <w:rsid w:val="00BC15CB"/>
    <w:rsid w:val="00BC1643"/>
    <w:rsid w:val="00BC17DC"/>
    <w:rsid w:val="00BC1849"/>
    <w:rsid w:val="00BC1BBE"/>
    <w:rsid w:val="00BC21BF"/>
    <w:rsid w:val="00BC240D"/>
    <w:rsid w:val="00BC2D64"/>
    <w:rsid w:val="00BC3095"/>
    <w:rsid w:val="00BC33E5"/>
    <w:rsid w:val="00BC4C9B"/>
    <w:rsid w:val="00BC5132"/>
    <w:rsid w:val="00BC6F33"/>
    <w:rsid w:val="00BC7190"/>
    <w:rsid w:val="00BC7A34"/>
    <w:rsid w:val="00BC7F7B"/>
    <w:rsid w:val="00BD0B25"/>
    <w:rsid w:val="00BD1459"/>
    <w:rsid w:val="00BD146A"/>
    <w:rsid w:val="00BD1BE9"/>
    <w:rsid w:val="00BD24E2"/>
    <w:rsid w:val="00BD25B6"/>
    <w:rsid w:val="00BD25EB"/>
    <w:rsid w:val="00BD29DE"/>
    <w:rsid w:val="00BD2A55"/>
    <w:rsid w:val="00BD42B9"/>
    <w:rsid w:val="00BD4A5E"/>
    <w:rsid w:val="00BD59A2"/>
    <w:rsid w:val="00BD633B"/>
    <w:rsid w:val="00BD667D"/>
    <w:rsid w:val="00BD69E4"/>
    <w:rsid w:val="00BD6BF2"/>
    <w:rsid w:val="00BE0037"/>
    <w:rsid w:val="00BE0A18"/>
    <w:rsid w:val="00BE0ABA"/>
    <w:rsid w:val="00BE0C48"/>
    <w:rsid w:val="00BE120E"/>
    <w:rsid w:val="00BE19F3"/>
    <w:rsid w:val="00BE2396"/>
    <w:rsid w:val="00BE2601"/>
    <w:rsid w:val="00BE2A0E"/>
    <w:rsid w:val="00BE34F1"/>
    <w:rsid w:val="00BE368C"/>
    <w:rsid w:val="00BE40E9"/>
    <w:rsid w:val="00BE4D6A"/>
    <w:rsid w:val="00BE5075"/>
    <w:rsid w:val="00BE5A8F"/>
    <w:rsid w:val="00BE5B27"/>
    <w:rsid w:val="00BE5F42"/>
    <w:rsid w:val="00BE6114"/>
    <w:rsid w:val="00BE63A5"/>
    <w:rsid w:val="00BE67C3"/>
    <w:rsid w:val="00BE71BB"/>
    <w:rsid w:val="00BE731D"/>
    <w:rsid w:val="00BE73CD"/>
    <w:rsid w:val="00BE7F8D"/>
    <w:rsid w:val="00BF034C"/>
    <w:rsid w:val="00BF05E8"/>
    <w:rsid w:val="00BF09BC"/>
    <w:rsid w:val="00BF1523"/>
    <w:rsid w:val="00BF1827"/>
    <w:rsid w:val="00BF22F1"/>
    <w:rsid w:val="00BF2D33"/>
    <w:rsid w:val="00BF2D7C"/>
    <w:rsid w:val="00BF3071"/>
    <w:rsid w:val="00BF3352"/>
    <w:rsid w:val="00BF36BA"/>
    <w:rsid w:val="00BF39A6"/>
    <w:rsid w:val="00BF45E5"/>
    <w:rsid w:val="00BF45FC"/>
    <w:rsid w:val="00BF470A"/>
    <w:rsid w:val="00BF4841"/>
    <w:rsid w:val="00BF48B3"/>
    <w:rsid w:val="00BF4AE0"/>
    <w:rsid w:val="00BF4B23"/>
    <w:rsid w:val="00BF54B2"/>
    <w:rsid w:val="00BF5DFA"/>
    <w:rsid w:val="00BF5FB6"/>
    <w:rsid w:val="00BF637A"/>
    <w:rsid w:val="00BF662B"/>
    <w:rsid w:val="00BF67CA"/>
    <w:rsid w:val="00BF6C2E"/>
    <w:rsid w:val="00BF7837"/>
    <w:rsid w:val="00BF7921"/>
    <w:rsid w:val="00BF7E79"/>
    <w:rsid w:val="00BF7EFD"/>
    <w:rsid w:val="00C0019E"/>
    <w:rsid w:val="00C00B66"/>
    <w:rsid w:val="00C01185"/>
    <w:rsid w:val="00C01AC1"/>
    <w:rsid w:val="00C01C4B"/>
    <w:rsid w:val="00C024A2"/>
    <w:rsid w:val="00C02AB2"/>
    <w:rsid w:val="00C02EED"/>
    <w:rsid w:val="00C03037"/>
    <w:rsid w:val="00C03366"/>
    <w:rsid w:val="00C03769"/>
    <w:rsid w:val="00C03C4D"/>
    <w:rsid w:val="00C0403E"/>
    <w:rsid w:val="00C04219"/>
    <w:rsid w:val="00C042A0"/>
    <w:rsid w:val="00C051D4"/>
    <w:rsid w:val="00C05914"/>
    <w:rsid w:val="00C0595A"/>
    <w:rsid w:val="00C065A6"/>
    <w:rsid w:val="00C070A7"/>
    <w:rsid w:val="00C07123"/>
    <w:rsid w:val="00C0717D"/>
    <w:rsid w:val="00C0761B"/>
    <w:rsid w:val="00C0775B"/>
    <w:rsid w:val="00C07D2B"/>
    <w:rsid w:val="00C104EA"/>
    <w:rsid w:val="00C10DE7"/>
    <w:rsid w:val="00C11177"/>
    <w:rsid w:val="00C11F53"/>
    <w:rsid w:val="00C120A1"/>
    <w:rsid w:val="00C12114"/>
    <w:rsid w:val="00C123C8"/>
    <w:rsid w:val="00C129EE"/>
    <w:rsid w:val="00C13D44"/>
    <w:rsid w:val="00C1501F"/>
    <w:rsid w:val="00C153D9"/>
    <w:rsid w:val="00C15606"/>
    <w:rsid w:val="00C156F6"/>
    <w:rsid w:val="00C159E4"/>
    <w:rsid w:val="00C15A25"/>
    <w:rsid w:val="00C15EDE"/>
    <w:rsid w:val="00C1642B"/>
    <w:rsid w:val="00C16736"/>
    <w:rsid w:val="00C16AAE"/>
    <w:rsid w:val="00C17BBB"/>
    <w:rsid w:val="00C200C0"/>
    <w:rsid w:val="00C20432"/>
    <w:rsid w:val="00C20D78"/>
    <w:rsid w:val="00C218FF"/>
    <w:rsid w:val="00C21C9C"/>
    <w:rsid w:val="00C21EE1"/>
    <w:rsid w:val="00C2200B"/>
    <w:rsid w:val="00C22038"/>
    <w:rsid w:val="00C22C06"/>
    <w:rsid w:val="00C23784"/>
    <w:rsid w:val="00C23969"/>
    <w:rsid w:val="00C23D09"/>
    <w:rsid w:val="00C2439E"/>
    <w:rsid w:val="00C24417"/>
    <w:rsid w:val="00C24A18"/>
    <w:rsid w:val="00C24E84"/>
    <w:rsid w:val="00C24FC7"/>
    <w:rsid w:val="00C25A07"/>
    <w:rsid w:val="00C25C7F"/>
    <w:rsid w:val="00C267C7"/>
    <w:rsid w:val="00C2688F"/>
    <w:rsid w:val="00C26A95"/>
    <w:rsid w:val="00C278E5"/>
    <w:rsid w:val="00C27BF5"/>
    <w:rsid w:val="00C30877"/>
    <w:rsid w:val="00C30946"/>
    <w:rsid w:val="00C30B0D"/>
    <w:rsid w:val="00C30D41"/>
    <w:rsid w:val="00C30EF5"/>
    <w:rsid w:val="00C3135F"/>
    <w:rsid w:val="00C31E2F"/>
    <w:rsid w:val="00C3205A"/>
    <w:rsid w:val="00C32447"/>
    <w:rsid w:val="00C32797"/>
    <w:rsid w:val="00C32FA5"/>
    <w:rsid w:val="00C3343C"/>
    <w:rsid w:val="00C33B7E"/>
    <w:rsid w:val="00C33D77"/>
    <w:rsid w:val="00C34015"/>
    <w:rsid w:val="00C34142"/>
    <w:rsid w:val="00C344D4"/>
    <w:rsid w:val="00C34593"/>
    <w:rsid w:val="00C34C41"/>
    <w:rsid w:val="00C34DD9"/>
    <w:rsid w:val="00C35425"/>
    <w:rsid w:val="00C35C44"/>
    <w:rsid w:val="00C35F62"/>
    <w:rsid w:val="00C36234"/>
    <w:rsid w:val="00C365E5"/>
    <w:rsid w:val="00C3685C"/>
    <w:rsid w:val="00C37224"/>
    <w:rsid w:val="00C3739E"/>
    <w:rsid w:val="00C404A1"/>
    <w:rsid w:val="00C40934"/>
    <w:rsid w:val="00C40A67"/>
    <w:rsid w:val="00C411DC"/>
    <w:rsid w:val="00C4137D"/>
    <w:rsid w:val="00C416EC"/>
    <w:rsid w:val="00C4170A"/>
    <w:rsid w:val="00C41DD5"/>
    <w:rsid w:val="00C4222E"/>
    <w:rsid w:val="00C4243B"/>
    <w:rsid w:val="00C4267F"/>
    <w:rsid w:val="00C4271B"/>
    <w:rsid w:val="00C432C2"/>
    <w:rsid w:val="00C434D3"/>
    <w:rsid w:val="00C439DB"/>
    <w:rsid w:val="00C43A73"/>
    <w:rsid w:val="00C43D17"/>
    <w:rsid w:val="00C43DD6"/>
    <w:rsid w:val="00C441E7"/>
    <w:rsid w:val="00C44A1F"/>
    <w:rsid w:val="00C452B3"/>
    <w:rsid w:val="00C456C4"/>
    <w:rsid w:val="00C45865"/>
    <w:rsid w:val="00C459F2"/>
    <w:rsid w:val="00C45F1F"/>
    <w:rsid w:val="00C463C6"/>
    <w:rsid w:val="00C46565"/>
    <w:rsid w:val="00C46940"/>
    <w:rsid w:val="00C46E7E"/>
    <w:rsid w:val="00C5092B"/>
    <w:rsid w:val="00C516FC"/>
    <w:rsid w:val="00C5190B"/>
    <w:rsid w:val="00C527F7"/>
    <w:rsid w:val="00C529F8"/>
    <w:rsid w:val="00C52DDB"/>
    <w:rsid w:val="00C52DEE"/>
    <w:rsid w:val="00C536D0"/>
    <w:rsid w:val="00C5382F"/>
    <w:rsid w:val="00C53ADD"/>
    <w:rsid w:val="00C53BFC"/>
    <w:rsid w:val="00C53E5B"/>
    <w:rsid w:val="00C552F6"/>
    <w:rsid w:val="00C55318"/>
    <w:rsid w:val="00C55510"/>
    <w:rsid w:val="00C5597E"/>
    <w:rsid w:val="00C56843"/>
    <w:rsid w:val="00C56B18"/>
    <w:rsid w:val="00C577D6"/>
    <w:rsid w:val="00C57837"/>
    <w:rsid w:val="00C578CB"/>
    <w:rsid w:val="00C57985"/>
    <w:rsid w:val="00C57B48"/>
    <w:rsid w:val="00C6026D"/>
    <w:rsid w:val="00C60498"/>
    <w:rsid w:val="00C60A77"/>
    <w:rsid w:val="00C61A8E"/>
    <w:rsid w:val="00C61A96"/>
    <w:rsid w:val="00C61B04"/>
    <w:rsid w:val="00C61F9E"/>
    <w:rsid w:val="00C61FC7"/>
    <w:rsid w:val="00C6240C"/>
    <w:rsid w:val="00C62624"/>
    <w:rsid w:val="00C6291B"/>
    <w:rsid w:val="00C62A6D"/>
    <w:rsid w:val="00C630DA"/>
    <w:rsid w:val="00C6403D"/>
    <w:rsid w:val="00C64822"/>
    <w:rsid w:val="00C64DE9"/>
    <w:rsid w:val="00C65502"/>
    <w:rsid w:val="00C6600A"/>
    <w:rsid w:val="00C662CA"/>
    <w:rsid w:val="00C66798"/>
    <w:rsid w:val="00C667BA"/>
    <w:rsid w:val="00C668C1"/>
    <w:rsid w:val="00C66D90"/>
    <w:rsid w:val="00C66F2D"/>
    <w:rsid w:val="00C67321"/>
    <w:rsid w:val="00C675B3"/>
    <w:rsid w:val="00C703E5"/>
    <w:rsid w:val="00C7093C"/>
    <w:rsid w:val="00C709A6"/>
    <w:rsid w:val="00C70C7D"/>
    <w:rsid w:val="00C70CF8"/>
    <w:rsid w:val="00C70E1A"/>
    <w:rsid w:val="00C70E3B"/>
    <w:rsid w:val="00C70EE4"/>
    <w:rsid w:val="00C71802"/>
    <w:rsid w:val="00C71A73"/>
    <w:rsid w:val="00C71C21"/>
    <w:rsid w:val="00C71C5A"/>
    <w:rsid w:val="00C727B2"/>
    <w:rsid w:val="00C72B4A"/>
    <w:rsid w:val="00C72FB9"/>
    <w:rsid w:val="00C7301A"/>
    <w:rsid w:val="00C735A8"/>
    <w:rsid w:val="00C7372A"/>
    <w:rsid w:val="00C73D68"/>
    <w:rsid w:val="00C73DE0"/>
    <w:rsid w:val="00C74119"/>
    <w:rsid w:val="00C7536B"/>
    <w:rsid w:val="00C754DE"/>
    <w:rsid w:val="00C76306"/>
    <w:rsid w:val="00C76687"/>
    <w:rsid w:val="00C76BCA"/>
    <w:rsid w:val="00C76EB1"/>
    <w:rsid w:val="00C77D3F"/>
    <w:rsid w:val="00C77F7D"/>
    <w:rsid w:val="00C804C1"/>
    <w:rsid w:val="00C81709"/>
    <w:rsid w:val="00C81C88"/>
    <w:rsid w:val="00C81D56"/>
    <w:rsid w:val="00C81FE1"/>
    <w:rsid w:val="00C8268D"/>
    <w:rsid w:val="00C82C0E"/>
    <w:rsid w:val="00C84471"/>
    <w:rsid w:val="00C846C3"/>
    <w:rsid w:val="00C858BF"/>
    <w:rsid w:val="00C85A76"/>
    <w:rsid w:val="00C8648B"/>
    <w:rsid w:val="00C8695E"/>
    <w:rsid w:val="00C86E97"/>
    <w:rsid w:val="00C86F87"/>
    <w:rsid w:val="00C87E2F"/>
    <w:rsid w:val="00C90142"/>
    <w:rsid w:val="00C90166"/>
    <w:rsid w:val="00C906C0"/>
    <w:rsid w:val="00C90B3C"/>
    <w:rsid w:val="00C91EEF"/>
    <w:rsid w:val="00C92138"/>
    <w:rsid w:val="00C92320"/>
    <w:rsid w:val="00C93575"/>
    <w:rsid w:val="00C93A25"/>
    <w:rsid w:val="00C949C2"/>
    <w:rsid w:val="00C94F27"/>
    <w:rsid w:val="00C959CA"/>
    <w:rsid w:val="00C96C6A"/>
    <w:rsid w:val="00C97485"/>
    <w:rsid w:val="00C97499"/>
    <w:rsid w:val="00C97504"/>
    <w:rsid w:val="00C9762D"/>
    <w:rsid w:val="00CA018A"/>
    <w:rsid w:val="00CA0255"/>
    <w:rsid w:val="00CA04DB"/>
    <w:rsid w:val="00CA0AE5"/>
    <w:rsid w:val="00CA0F13"/>
    <w:rsid w:val="00CA1239"/>
    <w:rsid w:val="00CA1A7D"/>
    <w:rsid w:val="00CA223D"/>
    <w:rsid w:val="00CA244B"/>
    <w:rsid w:val="00CA2A68"/>
    <w:rsid w:val="00CA2E97"/>
    <w:rsid w:val="00CA3721"/>
    <w:rsid w:val="00CA4003"/>
    <w:rsid w:val="00CA409C"/>
    <w:rsid w:val="00CA473F"/>
    <w:rsid w:val="00CA5BEA"/>
    <w:rsid w:val="00CA5D18"/>
    <w:rsid w:val="00CA5FB6"/>
    <w:rsid w:val="00CA6277"/>
    <w:rsid w:val="00CA6393"/>
    <w:rsid w:val="00CA6609"/>
    <w:rsid w:val="00CA6FB3"/>
    <w:rsid w:val="00CA7127"/>
    <w:rsid w:val="00CA7296"/>
    <w:rsid w:val="00CA73AE"/>
    <w:rsid w:val="00CA7566"/>
    <w:rsid w:val="00CA7C44"/>
    <w:rsid w:val="00CB02F5"/>
    <w:rsid w:val="00CB0631"/>
    <w:rsid w:val="00CB071C"/>
    <w:rsid w:val="00CB0C2A"/>
    <w:rsid w:val="00CB1AE6"/>
    <w:rsid w:val="00CB1E49"/>
    <w:rsid w:val="00CB1F02"/>
    <w:rsid w:val="00CB2B38"/>
    <w:rsid w:val="00CB2E82"/>
    <w:rsid w:val="00CB3523"/>
    <w:rsid w:val="00CB4128"/>
    <w:rsid w:val="00CB493D"/>
    <w:rsid w:val="00CB5F09"/>
    <w:rsid w:val="00CB6390"/>
    <w:rsid w:val="00CB74DB"/>
    <w:rsid w:val="00CB7669"/>
    <w:rsid w:val="00CB7C6A"/>
    <w:rsid w:val="00CB7E67"/>
    <w:rsid w:val="00CC001D"/>
    <w:rsid w:val="00CC030F"/>
    <w:rsid w:val="00CC0369"/>
    <w:rsid w:val="00CC0610"/>
    <w:rsid w:val="00CC0C4D"/>
    <w:rsid w:val="00CC1093"/>
    <w:rsid w:val="00CC1479"/>
    <w:rsid w:val="00CC2193"/>
    <w:rsid w:val="00CC2782"/>
    <w:rsid w:val="00CC3268"/>
    <w:rsid w:val="00CC35D2"/>
    <w:rsid w:val="00CC366F"/>
    <w:rsid w:val="00CC395C"/>
    <w:rsid w:val="00CC4F15"/>
    <w:rsid w:val="00CC51D4"/>
    <w:rsid w:val="00CC5E12"/>
    <w:rsid w:val="00CC61BB"/>
    <w:rsid w:val="00CC6343"/>
    <w:rsid w:val="00CC6904"/>
    <w:rsid w:val="00CC7260"/>
    <w:rsid w:val="00CC7D12"/>
    <w:rsid w:val="00CD0899"/>
    <w:rsid w:val="00CD2576"/>
    <w:rsid w:val="00CD2723"/>
    <w:rsid w:val="00CD2EC7"/>
    <w:rsid w:val="00CD2F9D"/>
    <w:rsid w:val="00CD34CD"/>
    <w:rsid w:val="00CD3634"/>
    <w:rsid w:val="00CD400C"/>
    <w:rsid w:val="00CD4E97"/>
    <w:rsid w:val="00CD4EB6"/>
    <w:rsid w:val="00CD62B7"/>
    <w:rsid w:val="00CD64FB"/>
    <w:rsid w:val="00CD66CD"/>
    <w:rsid w:val="00CD6B0D"/>
    <w:rsid w:val="00CD6BF9"/>
    <w:rsid w:val="00CD6C5A"/>
    <w:rsid w:val="00CD739E"/>
    <w:rsid w:val="00CD75DE"/>
    <w:rsid w:val="00CD7769"/>
    <w:rsid w:val="00CE0113"/>
    <w:rsid w:val="00CE1004"/>
    <w:rsid w:val="00CE1483"/>
    <w:rsid w:val="00CE24BE"/>
    <w:rsid w:val="00CE2A13"/>
    <w:rsid w:val="00CE37BD"/>
    <w:rsid w:val="00CE381D"/>
    <w:rsid w:val="00CE3871"/>
    <w:rsid w:val="00CE42E0"/>
    <w:rsid w:val="00CE4384"/>
    <w:rsid w:val="00CE4824"/>
    <w:rsid w:val="00CE4851"/>
    <w:rsid w:val="00CE494A"/>
    <w:rsid w:val="00CE495C"/>
    <w:rsid w:val="00CE535F"/>
    <w:rsid w:val="00CE589A"/>
    <w:rsid w:val="00CE5AD0"/>
    <w:rsid w:val="00CE5CAB"/>
    <w:rsid w:val="00CE5EDF"/>
    <w:rsid w:val="00CE665D"/>
    <w:rsid w:val="00CE709F"/>
    <w:rsid w:val="00CE70BF"/>
    <w:rsid w:val="00CE74B5"/>
    <w:rsid w:val="00CE7BF1"/>
    <w:rsid w:val="00CE7CEE"/>
    <w:rsid w:val="00CF08D1"/>
    <w:rsid w:val="00CF096C"/>
    <w:rsid w:val="00CF0C78"/>
    <w:rsid w:val="00CF0F21"/>
    <w:rsid w:val="00CF1AA2"/>
    <w:rsid w:val="00CF1C2B"/>
    <w:rsid w:val="00CF290F"/>
    <w:rsid w:val="00CF3B32"/>
    <w:rsid w:val="00CF3D46"/>
    <w:rsid w:val="00CF4BA3"/>
    <w:rsid w:val="00CF525D"/>
    <w:rsid w:val="00CF563E"/>
    <w:rsid w:val="00CF63C0"/>
    <w:rsid w:val="00CF6409"/>
    <w:rsid w:val="00CF6630"/>
    <w:rsid w:val="00CF6C26"/>
    <w:rsid w:val="00CF7788"/>
    <w:rsid w:val="00CF78A1"/>
    <w:rsid w:val="00CF79D8"/>
    <w:rsid w:val="00CF7B95"/>
    <w:rsid w:val="00D00025"/>
    <w:rsid w:val="00D004D5"/>
    <w:rsid w:val="00D0083B"/>
    <w:rsid w:val="00D00913"/>
    <w:rsid w:val="00D0098E"/>
    <w:rsid w:val="00D00CEE"/>
    <w:rsid w:val="00D01001"/>
    <w:rsid w:val="00D01195"/>
    <w:rsid w:val="00D01238"/>
    <w:rsid w:val="00D012F2"/>
    <w:rsid w:val="00D0198B"/>
    <w:rsid w:val="00D02054"/>
    <w:rsid w:val="00D023DE"/>
    <w:rsid w:val="00D02508"/>
    <w:rsid w:val="00D0254C"/>
    <w:rsid w:val="00D0274D"/>
    <w:rsid w:val="00D027E6"/>
    <w:rsid w:val="00D02D37"/>
    <w:rsid w:val="00D039C2"/>
    <w:rsid w:val="00D03F9E"/>
    <w:rsid w:val="00D04036"/>
    <w:rsid w:val="00D04102"/>
    <w:rsid w:val="00D04CDF"/>
    <w:rsid w:val="00D04E25"/>
    <w:rsid w:val="00D05112"/>
    <w:rsid w:val="00D051EB"/>
    <w:rsid w:val="00D05933"/>
    <w:rsid w:val="00D0608D"/>
    <w:rsid w:val="00D07337"/>
    <w:rsid w:val="00D07ADA"/>
    <w:rsid w:val="00D07D85"/>
    <w:rsid w:val="00D10188"/>
    <w:rsid w:val="00D1020E"/>
    <w:rsid w:val="00D10347"/>
    <w:rsid w:val="00D10447"/>
    <w:rsid w:val="00D10D80"/>
    <w:rsid w:val="00D10FD8"/>
    <w:rsid w:val="00D11104"/>
    <w:rsid w:val="00D1121B"/>
    <w:rsid w:val="00D11245"/>
    <w:rsid w:val="00D11341"/>
    <w:rsid w:val="00D11999"/>
    <w:rsid w:val="00D11BA0"/>
    <w:rsid w:val="00D11F0A"/>
    <w:rsid w:val="00D129D9"/>
    <w:rsid w:val="00D12AB1"/>
    <w:rsid w:val="00D12C78"/>
    <w:rsid w:val="00D12D4C"/>
    <w:rsid w:val="00D12E19"/>
    <w:rsid w:val="00D134F6"/>
    <w:rsid w:val="00D137CE"/>
    <w:rsid w:val="00D138B2"/>
    <w:rsid w:val="00D13C9C"/>
    <w:rsid w:val="00D1468C"/>
    <w:rsid w:val="00D14AC9"/>
    <w:rsid w:val="00D14EEC"/>
    <w:rsid w:val="00D15973"/>
    <w:rsid w:val="00D15FF3"/>
    <w:rsid w:val="00D1632A"/>
    <w:rsid w:val="00D166DE"/>
    <w:rsid w:val="00D16CC2"/>
    <w:rsid w:val="00D16DF5"/>
    <w:rsid w:val="00D1718B"/>
    <w:rsid w:val="00D1767C"/>
    <w:rsid w:val="00D17781"/>
    <w:rsid w:val="00D177B7"/>
    <w:rsid w:val="00D17D0B"/>
    <w:rsid w:val="00D203ED"/>
    <w:rsid w:val="00D2065B"/>
    <w:rsid w:val="00D21DA1"/>
    <w:rsid w:val="00D220B0"/>
    <w:rsid w:val="00D2271A"/>
    <w:rsid w:val="00D2277D"/>
    <w:rsid w:val="00D22A09"/>
    <w:rsid w:val="00D22CB1"/>
    <w:rsid w:val="00D22EBF"/>
    <w:rsid w:val="00D23190"/>
    <w:rsid w:val="00D238EA"/>
    <w:rsid w:val="00D239DA"/>
    <w:rsid w:val="00D23E77"/>
    <w:rsid w:val="00D244FE"/>
    <w:rsid w:val="00D24ADE"/>
    <w:rsid w:val="00D25528"/>
    <w:rsid w:val="00D2587A"/>
    <w:rsid w:val="00D26077"/>
    <w:rsid w:val="00D265B4"/>
    <w:rsid w:val="00D26A91"/>
    <w:rsid w:val="00D26B7E"/>
    <w:rsid w:val="00D307B4"/>
    <w:rsid w:val="00D30915"/>
    <w:rsid w:val="00D31685"/>
    <w:rsid w:val="00D32209"/>
    <w:rsid w:val="00D322AD"/>
    <w:rsid w:val="00D3235C"/>
    <w:rsid w:val="00D33E66"/>
    <w:rsid w:val="00D34727"/>
    <w:rsid w:val="00D34984"/>
    <w:rsid w:val="00D35806"/>
    <w:rsid w:val="00D36168"/>
    <w:rsid w:val="00D36383"/>
    <w:rsid w:val="00D36425"/>
    <w:rsid w:val="00D366A5"/>
    <w:rsid w:val="00D36A65"/>
    <w:rsid w:val="00D36E71"/>
    <w:rsid w:val="00D3778F"/>
    <w:rsid w:val="00D37D6C"/>
    <w:rsid w:val="00D4046A"/>
    <w:rsid w:val="00D404E7"/>
    <w:rsid w:val="00D408A3"/>
    <w:rsid w:val="00D40914"/>
    <w:rsid w:val="00D40D6B"/>
    <w:rsid w:val="00D41475"/>
    <w:rsid w:val="00D41D11"/>
    <w:rsid w:val="00D41E4C"/>
    <w:rsid w:val="00D42936"/>
    <w:rsid w:val="00D42C22"/>
    <w:rsid w:val="00D42DB4"/>
    <w:rsid w:val="00D43039"/>
    <w:rsid w:val="00D430CD"/>
    <w:rsid w:val="00D4316C"/>
    <w:rsid w:val="00D433C1"/>
    <w:rsid w:val="00D434F5"/>
    <w:rsid w:val="00D43AE9"/>
    <w:rsid w:val="00D43EED"/>
    <w:rsid w:val="00D4412E"/>
    <w:rsid w:val="00D44455"/>
    <w:rsid w:val="00D4470C"/>
    <w:rsid w:val="00D44A68"/>
    <w:rsid w:val="00D45E3B"/>
    <w:rsid w:val="00D461B2"/>
    <w:rsid w:val="00D46269"/>
    <w:rsid w:val="00D4690A"/>
    <w:rsid w:val="00D469CF"/>
    <w:rsid w:val="00D46F2F"/>
    <w:rsid w:val="00D478F9"/>
    <w:rsid w:val="00D47ADB"/>
    <w:rsid w:val="00D47D58"/>
    <w:rsid w:val="00D503DF"/>
    <w:rsid w:val="00D50E51"/>
    <w:rsid w:val="00D51065"/>
    <w:rsid w:val="00D5162C"/>
    <w:rsid w:val="00D51AD2"/>
    <w:rsid w:val="00D521FC"/>
    <w:rsid w:val="00D5348C"/>
    <w:rsid w:val="00D53D61"/>
    <w:rsid w:val="00D54B07"/>
    <w:rsid w:val="00D54CF8"/>
    <w:rsid w:val="00D54D5D"/>
    <w:rsid w:val="00D54FCA"/>
    <w:rsid w:val="00D55A08"/>
    <w:rsid w:val="00D5609A"/>
    <w:rsid w:val="00D56347"/>
    <w:rsid w:val="00D56384"/>
    <w:rsid w:val="00D563EC"/>
    <w:rsid w:val="00D57C79"/>
    <w:rsid w:val="00D57D84"/>
    <w:rsid w:val="00D6071B"/>
    <w:rsid w:val="00D61139"/>
    <w:rsid w:val="00D612C8"/>
    <w:rsid w:val="00D61622"/>
    <w:rsid w:val="00D61A7C"/>
    <w:rsid w:val="00D61E4E"/>
    <w:rsid w:val="00D652DC"/>
    <w:rsid w:val="00D655C8"/>
    <w:rsid w:val="00D65A27"/>
    <w:rsid w:val="00D65D9F"/>
    <w:rsid w:val="00D67794"/>
    <w:rsid w:val="00D67AB5"/>
    <w:rsid w:val="00D705C5"/>
    <w:rsid w:val="00D70AA6"/>
    <w:rsid w:val="00D70C27"/>
    <w:rsid w:val="00D710ED"/>
    <w:rsid w:val="00D713C6"/>
    <w:rsid w:val="00D714FB"/>
    <w:rsid w:val="00D7184C"/>
    <w:rsid w:val="00D71E6A"/>
    <w:rsid w:val="00D73110"/>
    <w:rsid w:val="00D73542"/>
    <w:rsid w:val="00D7480B"/>
    <w:rsid w:val="00D748AB"/>
    <w:rsid w:val="00D74919"/>
    <w:rsid w:val="00D74EC7"/>
    <w:rsid w:val="00D75027"/>
    <w:rsid w:val="00D75310"/>
    <w:rsid w:val="00D75CFD"/>
    <w:rsid w:val="00D76EA0"/>
    <w:rsid w:val="00D7709D"/>
    <w:rsid w:val="00D7724E"/>
    <w:rsid w:val="00D8028B"/>
    <w:rsid w:val="00D803D8"/>
    <w:rsid w:val="00D80586"/>
    <w:rsid w:val="00D805D6"/>
    <w:rsid w:val="00D80979"/>
    <w:rsid w:val="00D8160C"/>
    <w:rsid w:val="00D816B2"/>
    <w:rsid w:val="00D8278A"/>
    <w:rsid w:val="00D82CB1"/>
    <w:rsid w:val="00D832F1"/>
    <w:rsid w:val="00D8362C"/>
    <w:rsid w:val="00D8364B"/>
    <w:rsid w:val="00D837D6"/>
    <w:rsid w:val="00D83E50"/>
    <w:rsid w:val="00D84DE0"/>
    <w:rsid w:val="00D84EB0"/>
    <w:rsid w:val="00D851B3"/>
    <w:rsid w:val="00D86207"/>
    <w:rsid w:val="00D8647E"/>
    <w:rsid w:val="00D8713B"/>
    <w:rsid w:val="00D87232"/>
    <w:rsid w:val="00D87E14"/>
    <w:rsid w:val="00D90F6F"/>
    <w:rsid w:val="00D90FF2"/>
    <w:rsid w:val="00D91574"/>
    <w:rsid w:val="00D91697"/>
    <w:rsid w:val="00D9170B"/>
    <w:rsid w:val="00D91A1F"/>
    <w:rsid w:val="00D91DA1"/>
    <w:rsid w:val="00D92222"/>
    <w:rsid w:val="00D92397"/>
    <w:rsid w:val="00D923B8"/>
    <w:rsid w:val="00D923BC"/>
    <w:rsid w:val="00D92A6B"/>
    <w:rsid w:val="00D92AF6"/>
    <w:rsid w:val="00D92EA4"/>
    <w:rsid w:val="00D931A5"/>
    <w:rsid w:val="00D944E5"/>
    <w:rsid w:val="00D9458D"/>
    <w:rsid w:val="00D952DC"/>
    <w:rsid w:val="00D963AA"/>
    <w:rsid w:val="00D964FD"/>
    <w:rsid w:val="00D976C2"/>
    <w:rsid w:val="00D9774A"/>
    <w:rsid w:val="00D97968"/>
    <w:rsid w:val="00D979BD"/>
    <w:rsid w:val="00D97F69"/>
    <w:rsid w:val="00DA0073"/>
    <w:rsid w:val="00DA0173"/>
    <w:rsid w:val="00DA0CC7"/>
    <w:rsid w:val="00DA1549"/>
    <w:rsid w:val="00DA1D7E"/>
    <w:rsid w:val="00DA20A2"/>
    <w:rsid w:val="00DA2282"/>
    <w:rsid w:val="00DA3670"/>
    <w:rsid w:val="00DA38F6"/>
    <w:rsid w:val="00DA3C36"/>
    <w:rsid w:val="00DA45A9"/>
    <w:rsid w:val="00DA495C"/>
    <w:rsid w:val="00DA4AB3"/>
    <w:rsid w:val="00DA5176"/>
    <w:rsid w:val="00DA532F"/>
    <w:rsid w:val="00DA564F"/>
    <w:rsid w:val="00DA5997"/>
    <w:rsid w:val="00DA5E9B"/>
    <w:rsid w:val="00DA5F44"/>
    <w:rsid w:val="00DA6030"/>
    <w:rsid w:val="00DA609B"/>
    <w:rsid w:val="00DA622A"/>
    <w:rsid w:val="00DA638E"/>
    <w:rsid w:val="00DA7493"/>
    <w:rsid w:val="00DA7769"/>
    <w:rsid w:val="00DA79A1"/>
    <w:rsid w:val="00DA7A53"/>
    <w:rsid w:val="00DB0AE2"/>
    <w:rsid w:val="00DB0DA9"/>
    <w:rsid w:val="00DB0F09"/>
    <w:rsid w:val="00DB1285"/>
    <w:rsid w:val="00DB1379"/>
    <w:rsid w:val="00DB156D"/>
    <w:rsid w:val="00DB1584"/>
    <w:rsid w:val="00DB2A6E"/>
    <w:rsid w:val="00DB2C1A"/>
    <w:rsid w:val="00DB2F30"/>
    <w:rsid w:val="00DB3F28"/>
    <w:rsid w:val="00DB3F7E"/>
    <w:rsid w:val="00DB40ED"/>
    <w:rsid w:val="00DB524A"/>
    <w:rsid w:val="00DB5A6B"/>
    <w:rsid w:val="00DB611C"/>
    <w:rsid w:val="00DB6434"/>
    <w:rsid w:val="00DB64E1"/>
    <w:rsid w:val="00DC0009"/>
    <w:rsid w:val="00DC0B50"/>
    <w:rsid w:val="00DC0CB0"/>
    <w:rsid w:val="00DC13ED"/>
    <w:rsid w:val="00DC1639"/>
    <w:rsid w:val="00DC19B6"/>
    <w:rsid w:val="00DC1E68"/>
    <w:rsid w:val="00DC2045"/>
    <w:rsid w:val="00DC2161"/>
    <w:rsid w:val="00DC264A"/>
    <w:rsid w:val="00DC2EC3"/>
    <w:rsid w:val="00DC33BC"/>
    <w:rsid w:val="00DC36E8"/>
    <w:rsid w:val="00DC49A8"/>
    <w:rsid w:val="00DC4C0C"/>
    <w:rsid w:val="00DC4CB9"/>
    <w:rsid w:val="00DC4F8A"/>
    <w:rsid w:val="00DC5A8C"/>
    <w:rsid w:val="00DC67B4"/>
    <w:rsid w:val="00DC7067"/>
    <w:rsid w:val="00DC7DAD"/>
    <w:rsid w:val="00DD0093"/>
    <w:rsid w:val="00DD02C3"/>
    <w:rsid w:val="00DD06BC"/>
    <w:rsid w:val="00DD0700"/>
    <w:rsid w:val="00DD072D"/>
    <w:rsid w:val="00DD07D4"/>
    <w:rsid w:val="00DD08C6"/>
    <w:rsid w:val="00DD0A79"/>
    <w:rsid w:val="00DD0DC1"/>
    <w:rsid w:val="00DD0F9F"/>
    <w:rsid w:val="00DD11A5"/>
    <w:rsid w:val="00DD1D3B"/>
    <w:rsid w:val="00DD25B1"/>
    <w:rsid w:val="00DD308F"/>
    <w:rsid w:val="00DD355E"/>
    <w:rsid w:val="00DD3D02"/>
    <w:rsid w:val="00DD411A"/>
    <w:rsid w:val="00DD4654"/>
    <w:rsid w:val="00DD512C"/>
    <w:rsid w:val="00DD51FE"/>
    <w:rsid w:val="00DD5288"/>
    <w:rsid w:val="00DD5482"/>
    <w:rsid w:val="00DD63EB"/>
    <w:rsid w:val="00DD6814"/>
    <w:rsid w:val="00DD6CBB"/>
    <w:rsid w:val="00DD6DBC"/>
    <w:rsid w:val="00DD6F65"/>
    <w:rsid w:val="00DD7E15"/>
    <w:rsid w:val="00DE0234"/>
    <w:rsid w:val="00DE03FA"/>
    <w:rsid w:val="00DE09B5"/>
    <w:rsid w:val="00DE0D12"/>
    <w:rsid w:val="00DE150C"/>
    <w:rsid w:val="00DE1564"/>
    <w:rsid w:val="00DE15BE"/>
    <w:rsid w:val="00DE1BF3"/>
    <w:rsid w:val="00DE1D20"/>
    <w:rsid w:val="00DE26EF"/>
    <w:rsid w:val="00DE29FF"/>
    <w:rsid w:val="00DE2F43"/>
    <w:rsid w:val="00DE320F"/>
    <w:rsid w:val="00DE358C"/>
    <w:rsid w:val="00DE3649"/>
    <w:rsid w:val="00DE364A"/>
    <w:rsid w:val="00DE4445"/>
    <w:rsid w:val="00DE50CC"/>
    <w:rsid w:val="00DE6304"/>
    <w:rsid w:val="00DE6536"/>
    <w:rsid w:val="00DE6AB0"/>
    <w:rsid w:val="00DE6BBE"/>
    <w:rsid w:val="00DE6DFF"/>
    <w:rsid w:val="00DF0721"/>
    <w:rsid w:val="00DF0C54"/>
    <w:rsid w:val="00DF0D8A"/>
    <w:rsid w:val="00DF0D95"/>
    <w:rsid w:val="00DF1042"/>
    <w:rsid w:val="00DF1370"/>
    <w:rsid w:val="00DF19B0"/>
    <w:rsid w:val="00DF296F"/>
    <w:rsid w:val="00DF2A97"/>
    <w:rsid w:val="00DF3A35"/>
    <w:rsid w:val="00DF4446"/>
    <w:rsid w:val="00DF4700"/>
    <w:rsid w:val="00DF499E"/>
    <w:rsid w:val="00DF4BD4"/>
    <w:rsid w:val="00DF4F54"/>
    <w:rsid w:val="00DF5936"/>
    <w:rsid w:val="00DF7026"/>
    <w:rsid w:val="00DF70CF"/>
    <w:rsid w:val="00DF7D45"/>
    <w:rsid w:val="00DF7E4C"/>
    <w:rsid w:val="00E00523"/>
    <w:rsid w:val="00E006AE"/>
    <w:rsid w:val="00E00CA5"/>
    <w:rsid w:val="00E01CAD"/>
    <w:rsid w:val="00E03D06"/>
    <w:rsid w:val="00E041E2"/>
    <w:rsid w:val="00E0459C"/>
    <w:rsid w:val="00E04651"/>
    <w:rsid w:val="00E0472B"/>
    <w:rsid w:val="00E047D1"/>
    <w:rsid w:val="00E051DC"/>
    <w:rsid w:val="00E06C82"/>
    <w:rsid w:val="00E06FF1"/>
    <w:rsid w:val="00E07084"/>
    <w:rsid w:val="00E0749E"/>
    <w:rsid w:val="00E074D5"/>
    <w:rsid w:val="00E075F6"/>
    <w:rsid w:val="00E10011"/>
    <w:rsid w:val="00E10493"/>
    <w:rsid w:val="00E11076"/>
    <w:rsid w:val="00E11491"/>
    <w:rsid w:val="00E12360"/>
    <w:rsid w:val="00E12F70"/>
    <w:rsid w:val="00E132FC"/>
    <w:rsid w:val="00E133F8"/>
    <w:rsid w:val="00E13877"/>
    <w:rsid w:val="00E13A1A"/>
    <w:rsid w:val="00E13A57"/>
    <w:rsid w:val="00E14189"/>
    <w:rsid w:val="00E15011"/>
    <w:rsid w:val="00E15550"/>
    <w:rsid w:val="00E15727"/>
    <w:rsid w:val="00E158CC"/>
    <w:rsid w:val="00E15A3F"/>
    <w:rsid w:val="00E15FBE"/>
    <w:rsid w:val="00E16715"/>
    <w:rsid w:val="00E169B8"/>
    <w:rsid w:val="00E16B09"/>
    <w:rsid w:val="00E16C8C"/>
    <w:rsid w:val="00E170CF"/>
    <w:rsid w:val="00E173BA"/>
    <w:rsid w:val="00E17436"/>
    <w:rsid w:val="00E1773D"/>
    <w:rsid w:val="00E17EB3"/>
    <w:rsid w:val="00E203DF"/>
    <w:rsid w:val="00E20498"/>
    <w:rsid w:val="00E20E19"/>
    <w:rsid w:val="00E20F2E"/>
    <w:rsid w:val="00E21627"/>
    <w:rsid w:val="00E21FC3"/>
    <w:rsid w:val="00E2217A"/>
    <w:rsid w:val="00E22310"/>
    <w:rsid w:val="00E22849"/>
    <w:rsid w:val="00E23325"/>
    <w:rsid w:val="00E24632"/>
    <w:rsid w:val="00E24794"/>
    <w:rsid w:val="00E249C3"/>
    <w:rsid w:val="00E254B6"/>
    <w:rsid w:val="00E25623"/>
    <w:rsid w:val="00E259AF"/>
    <w:rsid w:val="00E25B7B"/>
    <w:rsid w:val="00E25FF0"/>
    <w:rsid w:val="00E263E7"/>
    <w:rsid w:val="00E2641F"/>
    <w:rsid w:val="00E26DB7"/>
    <w:rsid w:val="00E26DC2"/>
    <w:rsid w:val="00E271E3"/>
    <w:rsid w:val="00E27DC4"/>
    <w:rsid w:val="00E3064B"/>
    <w:rsid w:val="00E30826"/>
    <w:rsid w:val="00E31036"/>
    <w:rsid w:val="00E3104B"/>
    <w:rsid w:val="00E31577"/>
    <w:rsid w:val="00E31A01"/>
    <w:rsid w:val="00E3273F"/>
    <w:rsid w:val="00E3277E"/>
    <w:rsid w:val="00E32A61"/>
    <w:rsid w:val="00E32F3E"/>
    <w:rsid w:val="00E330E4"/>
    <w:rsid w:val="00E331F5"/>
    <w:rsid w:val="00E333CA"/>
    <w:rsid w:val="00E33E7C"/>
    <w:rsid w:val="00E34523"/>
    <w:rsid w:val="00E34A3F"/>
    <w:rsid w:val="00E34C01"/>
    <w:rsid w:val="00E3534A"/>
    <w:rsid w:val="00E35A7E"/>
    <w:rsid w:val="00E35FC9"/>
    <w:rsid w:val="00E36105"/>
    <w:rsid w:val="00E365F2"/>
    <w:rsid w:val="00E36756"/>
    <w:rsid w:val="00E36815"/>
    <w:rsid w:val="00E36F6D"/>
    <w:rsid w:val="00E376FB"/>
    <w:rsid w:val="00E41B65"/>
    <w:rsid w:val="00E41E9C"/>
    <w:rsid w:val="00E433D2"/>
    <w:rsid w:val="00E43767"/>
    <w:rsid w:val="00E4482E"/>
    <w:rsid w:val="00E44DF8"/>
    <w:rsid w:val="00E44F71"/>
    <w:rsid w:val="00E45488"/>
    <w:rsid w:val="00E45F1F"/>
    <w:rsid w:val="00E467DA"/>
    <w:rsid w:val="00E46A6A"/>
    <w:rsid w:val="00E474EE"/>
    <w:rsid w:val="00E47A85"/>
    <w:rsid w:val="00E47C8A"/>
    <w:rsid w:val="00E50171"/>
    <w:rsid w:val="00E50EDD"/>
    <w:rsid w:val="00E526A5"/>
    <w:rsid w:val="00E533B5"/>
    <w:rsid w:val="00E538BE"/>
    <w:rsid w:val="00E5399C"/>
    <w:rsid w:val="00E53BB7"/>
    <w:rsid w:val="00E541D1"/>
    <w:rsid w:val="00E54243"/>
    <w:rsid w:val="00E546A1"/>
    <w:rsid w:val="00E5531C"/>
    <w:rsid w:val="00E5541E"/>
    <w:rsid w:val="00E556AE"/>
    <w:rsid w:val="00E5605C"/>
    <w:rsid w:val="00E56401"/>
    <w:rsid w:val="00E564E0"/>
    <w:rsid w:val="00E56515"/>
    <w:rsid w:val="00E56719"/>
    <w:rsid w:val="00E56B54"/>
    <w:rsid w:val="00E570A9"/>
    <w:rsid w:val="00E5715C"/>
    <w:rsid w:val="00E57AE8"/>
    <w:rsid w:val="00E605B1"/>
    <w:rsid w:val="00E6079C"/>
    <w:rsid w:val="00E6115C"/>
    <w:rsid w:val="00E61388"/>
    <w:rsid w:val="00E616A5"/>
    <w:rsid w:val="00E620CD"/>
    <w:rsid w:val="00E62243"/>
    <w:rsid w:val="00E62751"/>
    <w:rsid w:val="00E631BA"/>
    <w:rsid w:val="00E6321A"/>
    <w:rsid w:val="00E634D0"/>
    <w:rsid w:val="00E63795"/>
    <w:rsid w:val="00E63E31"/>
    <w:rsid w:val="00E64975"/>
    <w:rsid w:val="00E64BA6"/>
    <w:rsid w:val="00E65B38"/>
    <w:rsid w:val="00E65DF2"/>
    <w:rsid w:val="00E662A7"/>
    <w:rsid w:val="00E66778"/>
    <w:rsid w:val="00E66904"/>
    <w:rsid w:val="00E66B70"/>
    <w:rsid w:val="00E66BAA"/>
    <w:rsid w:val="00E66F07"/>
    <w:rsid w:val="00E67AB8"/>
    <w:rsid w:val="00E67B86"/>
    <w:rsid w:val="00E67EC3"/>
    <w:rsid w:val="00E709B1"/>
    <w:rsid w:val="00E714F6"/>
    <w:rsid w:val="00E7290B"/>
    <w:rsid w:val="00E7295B"/>
    <w:rsid w:val="00E72FDE"/>
    <w:rsid w:val="00E733D1"/>
    <w:rsid w:val="00E73E1E"/>
    <w:rsid w:val="00E73EAE"/>
    <w:rsid w:val="00E73F44"/>
    <w:rsid w:val="00E74070"/>
    <w:rsid w:val="00E7414F"/>
    <w:rsid w:val="00E74373"/>
    <w:rsid w:val="00E74489"/>
    <w:rsid w:val="00E7453A"/>
    <w:rsid w:val="00E746E9"/>
    <w:rsid w:val="00E74951"/>
    <w:rsid w:val="00E753C1"/>
    <w:rsid w:val="00E75748"/>
    <w:rsid w:val="00E757F5"/>
    <w:rsid w:val="00E75EEE"/>
    <w:rsid w:val="00E762CC"/>
    <w:rsid w:val="00E76402"/>
    <w:rsid w:val="00E76B21"/>
    <w:rsid w:val="00E7730D"/>
    <w:rsid w:val="00E77401"/>
    <w:rsid w:val="00E774FB"/>
    <w:rsid w:val="00E77705"/>
    <w:rsid w:val="00E77D31"/>
    <w:rsid w:val="00E80602"/>
    <w:rsid w:val="00E80FCC"/>
    <w:rsid w:val="00E8103C"/>
    <w:rsid w:val="00E8107A"/>
    <w:rsid w:val="00E81D16"/>
    <w:rsid w:val="00E8279F"/>
    <w:rsid w:val="00E827D9"/>
    <w:rsid w:val="00E82A3E"/>
    <w:rsid w:val="00E830E1"/>
    <w:rsid w:val="00E83FBD"/>
    <w:rsid w:val="00E8488A"/>
    <w:rsid w:val="00E84E6E"/>
    <w:rsid w:val="00E8510F"/>
    <w:rsid w:val="00E85627"/>
    <w:rsid w:val="00E856CA"/>
    <w:rsid w:val="00E8599B"/>
    <w:rsid w:val="00E85CD9"/>
    <w:rsid w:val="00E85EE0"/>
    <w:rsid w:val="00E85FD9"/>
    <w:rsid w:val="00E86D33"/>
    <w:rsid w:val="00E86F05"/>
    <w:rsid w:val="00E87883"/>
    <w:rsid w:val="00E904D0"/>
    <w:rsid w:val="00E90691"/>
    <w:rsid w:val="00E90759"/>
    <w:rsid w:val="00E909D1"/>
    <w:rsid w:val="00E90C58"/>
    <w:rsid w:val="00E90D7F"/>
    <w:rsid w:val="00E90F28"/>
    <w:rsid w:val="00E90F3F"/>
    <w:rsid w:val="00E9102A"/>
    <w:rsid w:val="00E9104E"/>
    <w:rsid w:val="00E91264"/>
    <w:rsid w:val="00E914EC"/>
    <w:rsid w:val="00E91651"/>
    <w:rsid w:val="00E92A11"/>
    <w:rsid w:val="00E92D97"/>
    <w:rsid w:val="00E9353B"/>
    <w:rsid w:val="00E937F1"/>
    <w:rsid w:val="00E93A94"/>
    <w:rsid w:val="00E93A98"/>
    <w:rsid w:val="00E94316"/>
    <w:rsid w:val="00E9465F"/>
    <w:rsid w:val="00E94F49"/>
    <w:rsid w:val="00E95298"/>
    <w:rsid w:val="00E9546B"/>
    <w:rsid w:val="00E95648"/>
    <w:rsid w:val="00E9598E"/>
    <w:rsid w:val="00E95B26"/>
    <w:rsid w:val="00E95BC4"/>
    <w:rsid w:val="00E95DD2"/>
    <w:rsid w:val="00E95F5E"/>
    <w:rsid w:val="00E95FE1"/>
    <w:rsid w:val="00E9623F"/>
    <w:rsid w:val="00E9649E"/>
    <w:rsid w:val="00E969F8"/>
    <w:rsid w:val="00E96F50"/>
    <w:rsid w:val="00E96FF8"/>
    <w:rsid w:val="00E972BA"/>
    <w:rsid w:val="00E97517"/>
    <w:rsid w:val="00E97877"/>
    <w:rsid w:val="00EA0278"/>
    <w:rsid w:val="00EA04B0"/>
    <w:rsid w:val="00EA07D5"/>
    <w:rsid w:val="00EA0845"/>
    <w:rsid w:val="00EA0AB5"/>
    <w:rsid w:val="00EA0F0E"/>
    <w:rsid w:val="00EA1F7B"/>
    <w:rsid w:val="00EA2094"/>
    <w:rsid w:val="00EA220E"/>
    <w:rsid w:val="00EA230D"/>
    <w:rsid w:val="00EA2E1F"/>
    <w:rsid w:val="00EA359D"/>
    <w:rsid w:val="00EA3A2A"/>
    <w:rsid w:val="00EA446F"/>
    <w:rsid w:val="00EA470B"/>
    <w:rsid w:val="00EA4846"/>
    <w:rsid w:val="00EA4B4E"/>
    <w:rsid w:val="00EA4C57"/>
    <w:rsid w:val="00EA5249"/>
    <w:rsid w:val="00EA5B10"/>
    <w:rsid w:val="00EA5D97"/>
    <w:rsid w:val="00EA6C38"/>
    <w:rsid w:val="00EA6FA0"/>
    <w:rsid w:val="00EA7284"/>
    <w:rsid w:val="00EA73DD"/>
    <w:rsid w:val="00EA74A3"/>
    <w:rsid w:val="00EA7573"/>
    <w:rsid w:val="00EA7AD5"/>
    <w:rsid w:val="00EA7D16"/>
    <w:rsid w:val="00EB0AF1"/>
    <w:rsid w:val="00EB15B9"/>
    <w:rsid w:val="00EB1777"/>
    <w:rsid w:val="00EB1C97"/>
    <w:rsid w:val="00EB221E"/>
    <w:rsid w:val="00EB233F"/>
    <w:rsid w:val="00EB28A2"/>
    <w:rsid w:val="00EB2A26"/>
    <w:rsid w:val="00EB341F"/>
    <w:rsid w:val="00EB380D"/>
    <w:rsid w:val="00EB3C96"/>
    <w:rsid w:val="00EB3D5D"/>
    <w:rsid w:val="00EB4003"/>
    <w:rsid w:val="00EB4286"/>
    <w:rsid w:val="00EB42D5"/>
    <w:rsid w:val="00EB466E"/>
    <w:rsid w:val="00EB49D6"/>
    <w:rsid w:val="00EB4CEE"/>
    <w:rsid w:val="00EB51F1"/>
    <w:rsid w:val="00EB548B"/>
    <w:rsid w:val="00EB588F"/>
    <w:rsid w:val="00EB5FA4"/>
    <w:rsid w:val="00EB6516"/>
    <w:rsid w:val="00EB670D"/>
    <w:rsid w:val="00EB68DD"/>
    <w:rsid w:val="00EB6961"/>
    <w:rsid w:val="00EB6B0F"/>
    <w:rsid w:val="00EB6D5A"/>
    <w:rsid w:val="00EB78FA"/>
    <w:rsid w:val="00EC0676"/>
    <w:rsid w:val="00EC0F97"/>
    <w:rsid w:val="00EC1732"/>
    <w:rsid w:val="00EC19EB"/>
    <w:rsid w:val="00EC1C31"/>
    <w:rsid w:val="00EC2505"/>
    <w:rsid w:val="00EC2697"/>
    <w:rsid w:val="00EC2FD3"/>
    <w:rsid w:val="00EC3398"/>
    <w:rsid w:val="00EC37BC"/>
    <w:rsid w:val="00EC3A4D"/>
    <w:rsid w:val="00EC4037"/>
    <w:rsid w:val="00EC4303"/>
    <w:rsid w:val="00EC4486"/>
    <w:rsid w:val="00EC4570"/>
    <w:rsid w:val="00EC474E"/>
    <w:rsid w:val="00EC4A49"/>
    <w:rsid w:val="00EC54A6"/>
    <w:rsid w:val="00EC5880"/>
    <w:rsid w:val="00EC5B52"/>
    <w:rsid w:val="00EC6057"/>
    <w:rsid w:val="00EC649A"/>
    <w:rsid w:val="00EC670E"/>
    <w:rsid w:val="00EC6EF3"/>
    <w:rsid w:val="00EC6FF8"/>
    <w:rsid w:val="00EC711A"/>
    <w:rsid w:val="00EC7150"/>
    <w:rsid w:val="00EC766F"/>
    <w:rsid w:val="00EC77AE"/>
    <w:rsid w:val="00EC790E"/>
    <w:rsid w:val="00EC79A3"/>
    <w:rsid w:val="00EC7CAB"/>
    <w:rsid w:val="00EC7F07"/>
    <w:rsid w:val="00ED0FA7"/>
    <w:rsid w:val="00ED1663"/>
    <w:rsid w:val="00ED203C"/>
    <w:rsid w:val="00ED21F3"/>
    <w:rsid w:val="00ED247E"/>
    <w:rsid w:val="00ED2F2D"/>
    <w:rsid w:val="00ED3195"/>
    <w:rsid w:val="00ED3299"/>
    <w:rsid w:val="00ED3A9D"/>
    <w:rsid w:val="00ED4975"/>
    <w:rsid w:val="00ED4C13"/>
    <w:rsid w:val="00ED65A5"/>
    <w:rsid w:val="00ED6ABF"/>
    <w:rsid w:val="00ED7537"/>
    <w:rsid w:val="00ED7C90"/>
    <w:rsid w:val="00EE000E"/>
    <w:rsid w:val="00EE0042"/>
    <w:rsid w:val="00EE0AD0"/>
    <w:rsid w:val="00EE0CD4"/>
    <w:rsid w:val="00EE0D2E"/>
    <w:rsid w:val="00EE1227"/>
    <w:rsid w:val="00EE2530"/>
    <w:rsid w:val="00EE309B"/>
    <w:rsid w:val="00EE3923"/>
    <w:rsid w:val="00EE3DF4"/>
    <w:rsid w:val="00EE3F29"/>
    <w:rsid w:val="00EE46B5"/>
    <w:rsid w:val="00EE486A"/>
    <w:rsid w:val="00EE58C8"/>
    <w:rsid w:val="00EE5E7D"/>
    <w:rsid w:val="00EE626A"/>
    <w:rsid w:val="00EE6A50"/>
    <w:rsid w:val="00EE6A5B"/>
    <w:rsid w:val="00EE6BA0"/>
    <w:rsid w:val="00EE6C7A"/>
    <w:rsid w:val="00EE6FB4"/>
    <w:rsid w:val="00EE77AB"/>
    <w:rsid w:val="00EE77EE"/>
    <w:rsid w:val="00EE79E0"/>
    <w:rsid w:val="00EE7CC4"/>
    <w:rsid w:val="00EF00DB"/>
    <w:rsid w:val="00EF01F9"/>
    <w:rsid w:val="00EF10D0"/>
    <w:rsid w:val="00EF1985"/>
    <w:rsid w:val="00EF1B01"/>
    <w:rsid w:val="00EF1C72"/>
    <w:rsid w:val="00EF1E22"/>
    <w:rsid w:val="00EF2D59"/>
    <w:rsid w:val="00EF3962"/>
    <w:rsid w:val="00EF3C95"/>
    <w:rsid w:val="00EF4B61"/>
    <w:rsid w:val="00EF54AC"/>
    <w:rsid w:val="00EF56E2"/>
    <w:rsid w:val="00EF58B2"/>
    <w:rsid w:val="00EF60C9"/>
    <w:rsid w:val="00EF6A6A"/>
    <w:rsid w:val="00EF71F0"/>
    <w:rsid w:val="00EF7721"/>
    <w:rsid w:val="00EF79D8"/>
    <w:rsid w:val="00F00115"/>
    <w:rsid w:val="00F00156"/>
    <w:rsid w:val="00F00616"/>
    <w:rsid w:val="00F00E08"/>
    <w:rsid w:val="00F011B1"/>
    <w:rsid w:val="00F01455"/>
    <w:rsid w:val="00F01B9F"/>
    <w:rsid w:val="00F024E1"/>
    <w:rsid w:val="00F02593"/>
    <w:rsid w:val="00F026F8"/>
    <w:rsid w:val="00F02F30"/>
    <w:rsid w:val="00F0325D"/>
    <w:rsid w:val="00F03440"/>
    <w:rsid w:val="00F03914"/>
    <w:rsid w:val="00F04ECC"/>
    <w:rsid w:val="00F06F1D"/>
    <w:rsid w:val="00F074A7"/>
    <w:rsid w:val="00F0756B"/>
    <w:rsid w:val="00F100EF"/>
    <w:rsid w:val="00F102EB"/>
    <w:rsid w:val="00F102EE"/>
    <w:rsid w:val="00F10409"/>
    <w:rsid w:val="00F10411"/>
    <w:rsid w:val="00F1070C"/>
    <w:rsid w:val="00F10DC6"/>
    <w:rsid w:val="00F12142"/>
    <w:rsid w:val="00F123BD"/>
    <w:rsid w:val="00F12718"/>
    <w:rsid w:val="00F12F7B"/>
    <w:rsid w:val="00F12F87"/>
    <w:rsid w:val="00F12FB3"/>
    <w:rsid w:val="00F14860"/>
    <w:rsid w:val="00F14900"/>
    <w:rsid w:val="00F14A4E"/>
    <w:rsid w:val="00F14CE5"/>
    <w:rsid w:val="00F14D72"/>
    <w:rsid w:val="00F154DD"/>
    <w:rsid w:val="00F15844"/>
    <w:rsid w:val="00F161AB"/>
    <w:rsid w:val="00F1636B"/>
    <w:rsid w:val="00F168CC"/>
    <w:rsid w:val="00F16E7B"/>
    <w:rsid w:val="00F16E99"/>
    <w:rsid w:val="00F16FD2"/>
    <w:rsid w:val="00F1796B"/>
    <w:rsid w:val="00F206F4"/>
    <w:rsid w:val="00F21ACF"/>
    <w:rsid w:val="00F22444"/>
    <w:rsid w:val="00F22549"/>
    <w:rsid w:val="00F22952"/>
    <w:rsid w:val="00F22E7F"/>
    <w:rsid w:val="00F231E7"/>
    <w:rsid w:val="00F23362"/>
    <w:rsid w:val="00F234C3"/>
    <w:rsid w:val="00F23519"/>
    <w:rsid w:val="00F23F56"/>
    <w:rsid w:val="00F24570"/>
    <w:rsid w:val="00F24571"/>
    <w:rsid w:val="00F2485D"/>
    <w:rsid w:val="00F255B8"/>
    <w:rsid w:val="00F25B73"/>
    <w:rsid w:val="00F26CD3"/>
    <w:rsid w:val="00F27418"/>
    <w:rsid w:val="00F277FF"/>
    <w:rsid w:val="00F3058A"/>
    <w:rsid w:val="00F3062C"/>
    <w:rsid w:val="00F31131"/>
    <w:rsid w:val="00F315A6"/>
    <w:rsid w:val="00F31638"/>
    <w:rsid w:val="00F316BE"/>
    <w:rsid w:val="00F31C51"/>
    <w:rsid w:val="00F31E80"/>
    <w:rsid w:val="00F3233B"/>
    <w:rsid w:val="00F329C6"/>
    <w:rsid w:val="00F32CC4"/>
    <w:rsid w:val="00F33E40"/>
    <w:rsid w:val="00F33EAB"/>
    <w:rsid w:val="00F340EC"/>
    <w:rsid w:val="00F346CB"/>
    <w:rsid w:val="00F3487D"/>
    <w:rsid w:val="00F354CA"/>
    <w:rsid w:val="00F3572B"/>
    <w:rsid w:val="00F364C3"/>
    <w:rsid w:val="00F364D8"/>
    <w:rsid w:val="00F36C04"/>
    <w:rsid w:val="00F37AF9"/>
    <w:rsid w:val="00F37BD2"/>
    <w:rsid w:val="00F40A09"/>
    <w:rsid w:val="00F40A14"/>
    <w:rsid w:val="00F413B6"/>
    <w:rsid w:val="00F41CEB"/>
    <w:rsid w:val="00F42076"/>
    <w:rsid w:val="00F42F2C"/>
    <w:rsid w:val="00F435B8"/>
    <w:rsid w:val="00F44BD9"/>
    <w:rsid w:val="00F45124"/>
    <w:rsid w:val="00F45ECD"/>
    <w:rsid w:val="00F45FF7"/>
    <w:rsid w:val="00F46196"/>
    <w:rsid w:val="00F461CA"/>
    <w:rsid w:val="00F46298"/>
    <w:rsid w:val="00F46925"/>
    <w:rsid w:val="00F46DA4"/>
    <w:rsid w:val="00F47313"/>
    <w:rsid w:val="00F479BD"/>
    <w:rsid w:val="00F510A3"/>
    <w:rsid w:val="00F5158D"/>
    <w:rsid w:val="00F51D2E"/>
    <w:rsid w:val="00F51F3A"/>
    <w:rsid w:val="00F5232F"/>
    <w:rsid w:val="00F52AD0"/>
    <w:rsid w:val="00F52C04"/>
    <w:rsid w:val="00F53E47"/>
    <w:rsid w:val="00F55116"/>
    <w:rsid w:val="00F552F1"/>
    <w:rsid w:val="00F55406"/>
    <w:rsid w:val="00F55412"/>
    <w:rsid w:val="00F558AD"/>
    <w:rsid w:val="00F5591D"/>
    <w:rsid w:val="00F56681"/>
    <w:rsid w:val="00F56F55"/>
    <w:rsid w:val="00F571D4"/>
    <w:rsid w:val="00F575D2"/>
    <w:rsid w:val="00F607A1"/>
    <w:rsid w:val="00F60B6C"/>
    <w:rsid w:val="00F6149B"/>
    <w:rsid w:val="00F614B2"/>
    <w:rsid w:val="00F6173B"/>
    <w:rsid w:val="00F64014"/>
    <w:rsid w:val="00F64589"/>
    <w:rsid w:val="00F64AF0"/>
    <w:rsid w:val="00F64B68"/>
    <w:rsid w:val="00F64F7A"/>
    <w:rsid w:val="00F65D20"/>
    <w:rsid w:val="00F665B5"/>
    <w:rsid w:val="00F669A4"/>
    <w:rsid w:val="00F66BD8"/>
    <w:rsid w:val="00F66D7B"/>
    <w:rsid w:val="00F70059"/>
    <w:rsid w:val="00F707AD"/>
    <w:rsid w:val="00F70CB8"/>
    <w:rsid w:val="00F70D2D"/>
    <w:rsid w:val="00F70E40"/>
    <w:rsid w:val="00F71069"/>
    <w:rsid w:val="00F711EB"/>
    <w:rsid w:val="00F7180D"/>
    <w:rsid w:val="00F71F83"/>
    <w:rsid w:val="00F722F1"/>
    <w:rsid w:val="00F7353A"/>
    <w:rsid w:val="00F7385D"/>
    <w:rsid w:val="00F74350"/>
    <w:rsid w:val="00F74581"/>
    <w:rsid w:val="00F7465C"/>
    <w:rsid w:val="00F74E69"/>
    <w:rsid w:val="00F74FC2"/>
    <w:rsid w:val="00F7519A"/>
    <w:rsid w:val="00F75258"/>
    <w:rsid w:val="00F75301"/>
    <w:rsid w:val="00F75460"/>
    <w:rsid w:val="00F75BD1"/>
    <w:rsid w:val="00F75D17"/>
    <w:rsid w:val="00F75EBE"/>
    <w:rsid w:val="00F76035"/>
    <w:rsid w:val="00F766CB"/>
    <w:rsid w:val="00F76BE8"/>
    <w:rsid w:val="00F76E21"/>
    <w:rsid w:val="00F773B4"/>
    <w:rsid w:val="00F77974"/>
    <w:rsid w:val="00F80401"/>
    <w:rsid w:val="00F804C8"/>
    <w:rsid w:val="00F80BF5"/>
    <w:rsid w:val="00F818DA"/>
    <w:rsid w:val="00F81E6C"/>
    <w:rsid w:val="00F82183"/>
    <w:rsid w:val="00F82EFD"/>
    <w:rsid w:val="00F830BC"/>
    <w:rsid w:val="00F8338C"/>
    <w:rsid w:val="00F83868"/>
    <w:rsid w:val="00F83A79"/>
    <w:rsid w:val="00F8410C"/>
    <w:rsid w:val="00F8446D"/>
    <w:rsid w:val="00F84545"/>
    <w:rsid w:val="00F855A9"/>
    <w:rsid w:val="00F85DE9"/>
    <w:rsid w:val="00F86844"/>
    <w:rsid w:val="00F86F38"/>
    <w:rsid w:val="00F8747A"/>
    <w:rsid w:val="00F876EC"/>
    <w:rsid w:val="00F9025A"/>
    <w:rsid w:val="00F9034B"/>
    <w:rsid w:val="00F9039A"/>
    <w:rsid w:val="00F90409"/>
    <w:rsid w:val="00F91082"/>
    <w:rsid w:val="00F9118E"/>
    <w:rsid w:val="00F912BB"/>
    <w:rsid w:val="00F91399"/>
    <w:rsid w:val="00F92413"/>
    <w:rsid w:val="00F92609"/>
    <w:rsid w:val="00F92BC6"/>
    <w:rsid w:val="00F92BD2"/>
    <w:rsid w:val="00F92C02"/>
    <w:rsid w:val="00F93311"/>
    <w:rsid w:val="00F9445F"/>
    <w:rsid w:val="00F94D3C"/>
    <w:rsid w:val="00F95BC3"/>
    <w:rsid w:val="00F95D1F"/>
    <w:rsid w:val="00F95DA7"/>
    <w:rsid w:val="00F96379"/>
    <w:rsid w:val="00F966BB"/>
    <w:rsid w:val="00F969CD"/>
    <w:rsid w:val="00F97195"/>
    <w:rsid w:val="00F97843"/>
    <w:rsid w:val="00F97CC1"/>
    <w:rsid w:val="00F97FC3"/>
    <w:rsid w:val="00FA1671"/>
    <w:rsid w:val="00FA1684"/>
    <w:rsid w:val="00FA1718"/>
    <w:rsid w:val="00FA1A4F"/>
    <w:rsid w:val="00FA1DFD"/>
    <w:rsid w:val="00FA1F7B"/>
    <w:rsid w:val="00FA212C"/>
    <w:rsid w:val="00FA29F2"/>
    <w:rsid w:val="00FA2A97"/>
    <w:rsid w:val="00FA2B11"/>
    <w:rsid w:val="00FA2DC7"/>
    <w:rsid w:val="00FA2FF5"/>
    <w:rsid w:val="00FA31CA"/>
    <w:rsid w:val="00FA36AB"/>
    <w:rsid w:val="00FA37D2"/>
    <w:rsid w:val="00FA47C7"/>
    <w:rsid w:val="00FA4833"/>
    <w:rsid w:val="00FA4B37"/>
    <w:rsid w:val="00FA4D8D"/>
    <w:rsid w:val="00FA4D9D"/>
    <w:rsid w:val="00FA51B0"/>
    <w:rsid w:val="00FA574D"/>
    <w:rsid w:val="00FA69DC"/>
    <w:rsid w:val="00FA6A48"/>
    <w:rsid w:val="00FA6F94"/>
    <w:rsid w:val="00FA6FE7"/>
    <w:rsid w:val="00FA7259"/>
    <w:rsid w:val="00FA7343"/>
    <w:rsid w:val="00FA7F1D"/>
    <w:rsid w:val="00FB09D1"/>
    <w:rsid w:val="00FB0CCC"/>
    <w:rsid w:val="00FB101F"/>
    <w:rsid w:val="00FB106C"/>
    <w:rsid w:val="00FB1761"/>
    <w:rsid w:val="00FB1876"/>
    <w:rsid w:val="00FB1D92"/>
    <w:rsid w:val="00FB284B"/>
    <w:rsid w:val="00FB44D1"/>
    <w:rsid w:val="00FB49A0"/>
    <w:rsid w:val="00FB4B4B"/>
    <w:rsid w:val="00FB4BE5"/>
    <w:rsid w:val="00FB50C5"/>
    <w:rsid w:val="00FB5D93"/>
    <w:rsid w:val="00FB5EAE"/>
    <w:rsid w:val="00FB64FD"/>
    <w:rsid w:val="00FB6607"/>
    <w:rsid w:val="00FB6669"/>
    <w:rsid w:val="00FB6957"/>
    <w:rsid w:val="00FB6CBF"/>
    <w:rsid w:val="00FB6F08"/>
    <w:rsid w:val="00FB71B7"/>
    <w:rsid w:val="00FB740E"/>
    <w:rsid w:val="00FC0378"/>
    <w:rsid w:val="00FC1087"/>
    <w:rsid w:val="00FC18AA"/>
    <w:rsid w:val="00FC18F4"/>
    <w:rsid w:val="00FC29CD"/>
    <w:rsid w:val="00FC2EAF"/>
    <w:rsid w:val="00FC320E"/>
    <w:rsid w:val="00FC3788"/>
    <w:rsid w:val="00FC37CA"/>
    <w:rsid w:val="00FC39E6"/>
    <w:rsid w:val="00FC3BF5"/>
    <w:rsid w:val="00FC3C5B"/>
    <w:rsid w:val="00FC4209"/>
    <w:rsid w:val="00FC4298"/>
    <w:rsid w:val="00FC5022"/>
    <w:rsid w:val="00FC50DA"/>
    <w:rsid w:val="00FC57A3"/>
    <w:rsid w:val="00FC5925"/>
    <w:rsid w:val="00FC6CB3"/>
    <w:rsid w:val="00FC6D58"/>
    <w:rsid w:val="00FC6DEC"/>
    <w:rsid w:val="00FC72A4"/>
    <w:rsid w:val="00FC7B51"/>
    <w:rsid w:val="00FC7F4C"/>
    <w:rsid w:val="00FD0028"/>
    <w:rsid w:val="00FD005A"/>
    <w:rsid w:val="00FD091C"/>
    <w:rsid w:val="00FD0CBE"/>
    <w:rsid w:val="00FD126C"/>
    <w:rsid w:val="00FD1658"/>
    <w:rsid w:val="00FD1DDB"/>
    <w:rsid w:val="00FD2D9F"/>
    <w:rsid w:val="00FD3CAF"/>
    <w:rsid w:val="00FD4797"/>
    <w:rsid w:val="00FD4823"/>
    <w:rsid w:val="00FD489C"/>
    <w:rsid w:val="00FD4D41"/>
    <w:rsid w:val="00FD4F44"/>
    <w:rsid w:val="00FD63DA"/>
    <w:rsid w:val="00FD645B"/>
    <w:rsid w:val="00FD66F9"/>
    <w:rsid w:val="00FD6D65"/>
    <w:rsid w:val="00FD6E1D"/>
    <w:rsid w:val="00FD6ED7"/>
    <w:rsid w:val="00FD7E16"/>
    <w:rsid w:val="00FE0372"/>
    <w:rsid w:val="00FE04D9"/>
    <w:rsid w:val="00FE0BC6"/>
    <w:rsid w:val="00FE0CD1"/>
    <w:rsid w:val="00FE14E5"/>
    <w:rsid w:val="00FE1817"/>
    <w:rsid w:val="00FE193D"/>
    <w:rsid w:val="00FE1AA3"/>
    <w:rsid w:val="00FE28E7"/>
    <w:rsid w:val="00FE32D0"/>
    <w:rsid w:val="00FE35C4"/>
    <w:rsid w:val="00FE3B8A"/>
    <w:rsid w:val="00FE40C4"/>
    <w:rsid w:val="00FE44FE"/>
    <w:rsid w:val="00FE48CF"/>
    <w:rsid w:val="00FE4DAE"/>
    <w:rsid w:val="00FE5B44"/>
    <w:rsid w:val="00FE61FA"/>
    <w:rsid w:val="00FE661B"/>
    <w:rsid w:val="00FE684C"/>
    <w:rsid w:val="00FE6A8F"/>
    <w:rsid w:val="00FE7332"/>
    <w:rsid w:val="00FE7736"/>
    <w:rsid w:val="00FE7A66"/>
    <w:rsid w:val="00FF034A"/>
    <w:rsid w:val="00FF0930"/>
    <w:rsid w:val="00FF14EF"/>
    <w:rsid w:val="00FF20F4"/>
    <w:rsid w:val="00FF2624"/>
    <w:rsid w:val="00FF2E53"/>
    <w:rsid w:val="00FF35CA"/>
    <w:rsid w:val="00FF43F4"/>
    <w:rsid w:val="00FF4407"/>
    <w:rsid w:val="00FF4B4F"/>
    <w:rsid w:val="00FF4E96"/>
    <w:rsid w:val="00FF614B"/>
    <w:rsid w:val="00FF64F3"/>
    <w:rsid w:val="00FF654A"/>
    <w:rsid w:val="00FF65A6"/>
    <w:rsid w:val="00FF68F7"/>
    <w:rsid w:val="00FF6A9C"/>
    <w:rsid w:val="00FF6D4F"/>
    <w:rsid w:val="00FF6F3D"/>
    <w:rsid w:val="00FF793D"/>
    <w:rsid w:val="01C4450B"/>
    <w:rsid w:val="03976378"/>
    <w:rsid w:val="0412A635"/>
    <w:rsid w:val="0472FE3D"/>
    <w:rsid w:val="06BA6592"/>
    <w:rsid w:val="06F3DBFB"/>
    <w:rsid w:val="07048F66"/>
    <w:rsid w:val="07AE5E0E"/>
    <w:rsid w:val="07E28D3C"/>
    <w:rsid w:val="084D8E4C"/>
    <w:rsid w:val="0874ED30"/>
    <w:rsid w:val="0A41450D"/>
    <w:rsid w:val="0A44AB7F"/>
    <w:rsid w:val="0A770C92"/>
    <w:rsid w:val="0B8E473B"/>
    <w:rsid w:val="0C2BCBC3"/>
    <w:rsid w:val="0D46E04D"/>
    <w:rsid w:val="0D4779DB"/>
    <w:rsid w:val="0E629303"/>
    <w:rsid w:val="0F1F7E7E"/>
    <w:rsid w:val="0F26304B"/>
    <w:rsid w:val="0FB8D4FD"/>
    <w:rsid w:val="0FEEC6BC"/>
    <w:rsid w:val="1089DE88"/>
    <w:rsid w:val="10FE49D0"/>
    <w:rsid w:val="119F9228"/>
    <w:rsid w:val="13C911ED"/>
    <w:rsid w:val="13DFA9A4"/>
    <w:rsid w:val="16A38F8D"/>
    <w:rsid w:val="174813CF"/>
    <w:rsid w:val="1925CA6A"/>
    <w:rsid w:val="19DD5FD7"/>
    <w:rsid w:val="1A6C44E8"/>
    <w:rsid w:val="1DA15895"/>
    <w:rsid w:val="1E355B6C"/>
    <w:rsid w:val="1E51AD98"/>
    <w:rsid w:val="1E661A35"/>
    <w:rsid w:val="1EB20190"/>
    <w:rsid w:val="1FEEB067"/>
    <w:rsid w:val="1FF67157"/>
    <w:rsid w:val="2120470C"/>
    <w:rsid w:val="213876C8"/>
    <w:rsid w:val="215551DE"/>
    <w:rsid w:val="21F22655"/>
    <w:rsid w:val="235CA3E6"/>
    <w:rsid w:val="243B799B"/>
    <w:rsid w:val="27BDFF27"/>
    <w:rsid w:val="2871C0D7"/>
    <w:rsid w:val="288C156C"/>
    <w:rsid w:val="288C999D"/>
    <w:rsid w:val="2A807F55"/>
    <w:rsid w:val="2A8826B0"/>
    <w:rsid w:val="2BA8B0D6"/>
    <w:rsid w:val="2BB20D37"/>
    <w:rsid w:val="2BEE790A"/>
    <w:rsid w:val="2DE73C68"/>
    <w:rsid w:val="2E0A7C5F"/>
    <w:rsid w:val="2F06C68B"/>
    <w:rsid w:val="309734FE"/>
    <w:rsid w:val="30E63EC6"/>
    <w:rsid w:val="318B0D7E"/>
    <w:rsid w:val="31D9B3B0"/>
    <w:rsid w:val="32095B14"/>
    <w:rsid w:val="32B68B74"/>
    <w:rsid w:val="34719E87"/>
    <w:rsid w:val="3579F191"/>
    <w:rsid w:val="361A20D0"/>
    <w:rsid w:val="36544317"/>
    <w:rsid w:val="36AF8C82"/>
    <w:rsid w:val="378732BD"/>
    <w:rsid w:val="37DEC0CE"/>
    <w:rsid w:val="38617D9C"/>
    <w:rsid w:val="3864A6E6"/>
    <w:rsid w:val="3879ECDE"/>
    <w:rsid w:val="38FE1F00"/>
    <w:rsid w:val="390542BF"/>
    <w:rsid w:val="39C2EBFF"/>
    <w:rsid w:val="3A6C590B"/>
    <w:rsid w:val="3D0D605E"/>
    <w:rsid w:val="3D665ACA"/>
    <w:rsid w:val="3EB6963C"/>
    <w:rsid w:val="3F7CD670"/>
    <w:rsid w:val="3FEE9810"/>
    <w:rsid w:val="41154B2C"/>
    <w:rsid w:val="42CA0A8D"/>
    <w:rsid w:val="42EFE7AE"/>
    <w:rsid w:val="43B5ED87"/>
    <w:rsid w:val="43BB3646"/>
    <w:rsid w:val="4403A7BA"/>
    <w:rsid w:val="45D75C2F"/>
    <w:rsid w:val="479FD22D"/>
    <w:rsid w:val="47A6E2BB"/>
    <w:rsid w:val="48B6F972"/>
    <w:rsid w:val="49A3C0D0"/>
    <w:rsid w:val="49CCD7CF"/>
    <w:rsid w:val="49F7C787"/>
    <w:rsid w:val="4AC0EE56"/>
    <w:rsid w:val="4C022C3B"/>
    <w:rsid w:val="4D90C651"/>
    <w:rsid w:val="4E565F8C"/>
    <w:rsid w:val="4F5A4EE6"/>
    <w:rsid w:val="51003982"/>
    <w:rsid w:val="51C808CF"/>
    <w:rsid w:val="5249321C"/>
    <w:rsid w:val="524EE094"/>
    <w:rsid w:val="52A311C6"/>
    <w:rsid w:val="52FAF6F6"/>
    <w:rsid w:val="532403E3"/>
    <w:rsid w:val="53BCFE8C"/>
    <w:rsid w:val="54864768"/>
    <w:rsid w:val="561EFA88"/>
    <w:rsid w:val="56325353"/>
    <w:rsid w:val="56A1D54A"/>
    <w:rsid w:val="56CD93BB"/>
    <w:rsid w:val="57C711C5"/>
    <w:rsid w:val="59C86ADB"/>
    <w:rsid w:val="5A5BE2BD"/>
    <w:rsid w:val="5A7396FA"/>
    <w:rsid w:val="5C24792F"/>
    <w:rsid w:val="5CB47FAD"/>
    <w:rsid w:val="5FAD7EBA"/>
    <w:rsid w:val="5FF56E7F"/>
    <w:rsid w:val="60913A0D"/>
    <w:rsid w:val="61F0F7E2"/>
    <w:rsid w:val="627930B0"/>
    <w:rsid w:val="647BC5D9"/>
    <w:rsid w:val="64B21525"/>
    <w:rsid w:val="64BE9D87"/>
    <w:rsid w:val="65594F76"/>
    <w:rsid w:val="6579BD6A"/>
    <w:rsid w:val="657DD38D"/>
    <w:rsid w:val="676A49BE"/>
    <w:rsid w:val="67C5656A"/>
    <w:rsid w:val="67E63E80"/>
    <w:rsid w:val="6800B335"/>
    <w:rsid w:val="681B7140"/>
    <w:rsid w:val="68BC924A"/>
    <w:rsid w:val="694C3C4E"/>
    <w:rsid w:val="6A5659CF"/>
    <w:rsid w:val="6B43A0A0"/>
    <w:rsid w:val="6BCDF79E"/>
    <w:rsid w:val="6BDC1899"/>
    <w:rsid w:val="6C1A83C3"/>
    <w:rsid w:val="6CBE23F2"/>
    <w:rsid w:val="6F299AAF"/>
    <w:rsid w:val="6F358070"/>
    <w:rsid w:val="6FADCD25"/>
    <w:rsid w:val="6FC94E1A"/>
    <w:rsid w:val="6FE9BF1B"/>
    <w:rsid w:val="714503AF"/>
    <w:rsid w:val="719553BB"/>
    <w:rsid w:val="71B41372"/>
    <w:rsid w:val="73000CD1"/>
    <w:rsid w:val="7347680A"/>
    <w:rsid w:val="744B5F1D"/>
    <w:rsid w:val="745B03BC"/>
    <w:rsid w:val="74871258"/>
    <w:rsid w:val="75DCF84E"/>
    <w:rsid w:val="75E15686"/>
    <w:rsid w:val="7680C81A"/>
    <w:rsid w:val="7708399C"/>
    <w:rsid w:val="773C56E7"/>
    <w:rsid w:val="77D6833C"/>
    <w:rsid w:val="7A0ADCC5"/>
    <w:rsid w:val="7A9BE348"/>
    <w:rsid w:val="7B3231AE"/>
    <w:rsid w:val="7C9C9A5F"/>
    <w:rsid w:val="7D2E7941"/>
    <w:rsid w:val="7DCBC955"/>
    <w:rsid w:val="7DE3FF62"/>
    <w:rsid w:val="7E0CB1FD"/>
    <w:rsid w:val="7E10AA9C"/>
    <w:rsid w:val="7E532CD3"/>
    <w:rsid w:val="7E7BE79D"/>
    <w:rsid w:val="7EE04D09"/>
    <w:rsid w:val="7FF1D0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EE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CAB Section Heading,Heading 1 Cab"/>
    <w:basedOn w:val="Normal"/>
    <w:next w:val="Normal"/>
    <w:link w:val="Heading1Char"/>
    <w:uiPriority w:val="4"/>
    <w:qFormat/>
    <w:rsid w:val="008A059F"/>
    <w:pPr>
      <w:keepNext/>
      <w:keepLines/>
      <w:spacing w:before="240" w:after="0" w:line="276" w:lineRule="auto"/>
      <w:outlineLvl w:val="0"/>
    </w:pPr>
    <w:rPr>
      <w:rFonts w:ascii="Calibri" w:eastAsiaTheme="majorEastAsia" w:hAnsi="Calibri" w:cstheme="majorBidi"/>
      <w:b/>
      <w:color w:val="404246"/>
      <w:sz w:val="32"/>
      <w:szCs w:val="32"/>
      <w:lang w:val="en-AU"/>
    </w:rPr>
  </w:style>
  <w:style w:type="paragraph" w:styleId="Heading2">
    <w:name w:val="heading 2"/>
    <w:basedOn w:val="Normal"/>
    <w:next w:val="Normal"/>
    <w:link w:val="Heading2Char"/>
    <w:uiPriority w:val="9"/>
    <w:unhideWhenUsed/>
    <w:qFormat/>
    <w:rsid w:val="008A059F"/>
    <w:pPr>
      <w:keepNext/>
      <w:keepLines/>
      <w:spacing w:before="240" w:after="0" w:line="276" w:lineRule="auto"/>
      <w:outlineLvl w:val="1"/>
    </w:pPr>
    <w:rPr>
      <w:rFonts w:ascii="Calibri" w:eastAsiaTheme="majorEastAsia" w:hAnsi="Calibri" w:cstheme="majorBidi"/>
      <w:b/>
      <w:color w:val="404246"/>
      <w:sz w:val="30"/>
      <w:szCs w:val="26"/>
      <w:lang w:val="en-AU"/>
    </w:rPr>
  </w:style>
  <w:style w:type="paragraph" w:styleId="Heading3">
    <w:name w:val="heading 3"/>
    <w:basedOn w:val="Normal"/>
    <w:next w:val="Normal"/>
    <w:link w:val="Heading3Char"/>
    <w:uiPriority w:val="9"/>
    <w:unhideWhenUsed/>
    <w:qFormat/>
    <w:rsid w:val="008A059F"/>
    <w:pPr>
      <w:keepNext/>
      <w:keepLines/>
      <w:spacing w:before="240" w:after="0" w:line="276" w:lineRule="auto"/>
      <w:outlineLvl w:val="2"/>
    </w:pPr>
    <w:rPr>
      <w:rFonts w:ascii="Calibri" w:eastAsiaTheme="majorEastAsia" w:hAnsi="Calibri" w:cstheme="majorBidi"/>
      <w:color w:val="000000" w:themeColor="text1"/>
      <w:sz w:val="28"/>
      <w:szCs w:val="24"/>
      <w:lang w:val="en-AU"/>
    </w:rPr>
  </w:style>
  <w:style w:type="paragraph" w:styleId="Heading4">
    <w:name w:val="heading 4"/>
    <w:basedOn w:val="Normal"/>
    <w:next w:val="Normal"/>
    <w:link w:val="Heading4Char"/>
    <w:uiPriority w:val="9"/>
    <w:unhideWhenUsed/>
    <w:qFormat/>
    <w:rsid w:val="008A059F"/>
    <w:pPr>
      <w:keepNext/>
      <w:keepLines/>
      <w:spacing w:before="240" w:after="0" w:line="276" w:lineRule="auto"/>
      <w:outlineLvl w:val="3"/>
    </w:pPr>
    <w:rPr>
      <w:rFonts w:ascii="Calibri" w:eastAsiaTheme="majorEastAsia" w:hAnsi="Calibri" w:cstheme="majorBidi"/>
      <w:iCs/>
      <w:color w:val="5F6369"/>
      <w:sz w:val="26"/>
      <w:lang w:val="en-AU"/>
    </w:rPr>
  </w:style>
  <w:style w:type="paragraph" w:styleId="Heading5">
    <w:name w:val="heading 5"/>
    <w:basedOn w:val="Normal"/>
    <w:next w:val="Normal"/>
    <w:link w:val="Heading5Char"/>
    <w:uiPriority w:val="9"/>
    <w:unhideWhenUsed/>
    <w:qFormat/>
    <w:rsid w:val="008A059F"/>
    <w:pPr>
      <w:keepNext/>
      <w:keepLines/>
      <w:spacing w:before="240" w:after="0" w:line="276" w:lineRule="auto"/>
      <w:outlineLvl w:val="4"/>
    </w:pPr>
    <w:rPr>
      <w:rFonts w:ascii="Calibri" w:eastAsiaTheme="majorEastAsia" w:hAnsi="Calibri" w:cstheme="majorBidi"/>
      <w:b/>
      <w:color w:val="5F6369"/>
      <w:lang w:val="en-AU"/>
    </w:rPr>
  </w:style>
  <w:style w:type="paragraph" w:styleId="Heading6">
    <w:name w:val="heading 6"/>
    <w:basedOn w:val="Normal"/>
    <w:next w:val="Normal"/>
    <w:link w:val="Heading6Char"/>
    <w:uiPriority w:val="9"/>
    <w:unhideWhenUsed/>
    <w:qFormat/>
    <w:rsid w:val="008A059F"/>
    <w:pPr>
      <w:keepNext/>
      <w:keepLines/>
      <w:spacing w:before="240" w:after="0" w:line="276" w:lineRule="auto"/>
      <w:outlineLvl w:val="5"/>
    </w:pPr>
    <w:rPr>
      <w:rFonts w:ascii="Calibri" w:eastAsiaTheme="majorEastAsia" w:hAnsi="Calibri" w:cstheme="majorBidi"/>
      <w:color w:val="5F6369"/>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B Section Heading Char,Heading 1 Cab Char"/>
    <w:basedOn w:val="DefaultParagraphFont"/>
    <w:link w:val="Heading1"/>
    <w:uiPriority w:val="9"/>
    <w:rsid w:val="008A059F"/>
    <w:rPr>
      <w:rFonts w:ascii="Calibri" w:eastAsiaTheme="majorEastAsia" w:hAnsi="Calibri" w:cstheme="majorBidi"/>
      <w:b/>
      <w:color w:val="404246"/>
      <w:sz w:val="32"/>
      <w:szCs w:val="32"/>
      <w:lang w:val="en-AU"/>
    </w:rPr>
  </w:style>
  <w:style w:type="character" w:customStyle="1" w:styleId="Heading2Char">
    <w:name w:val="Heading 2 Char"/>
    <w:basedOn w:val="DefaultParagraphFont"/>
    <w:link w:val="Heading2"/>
    <w:uiPriority w:val="9"/>
    <w:rsid w:val="008A059F"/>
    <w:rPr>
      <w:rFonts w:ascii="Calibri" w:eastAsiaTheme="majorEastAsia" w:hAnsi="Calibri" w:cstheme="majorBidi"/>
      <w:b/>
      <w:color w:val="404246"/>
      <w:sz w:val="30"/>
      <w:szCs w:val="26"/>
      <w:lang w:val="en-AU"/>
    </w:rPr>
  </w:style>
  <w:style w:type="character" w:customStyle="1" w:styleId="Heading3Char">
    <w:name w:val="Heading 3 Char"/>
    <w:basedOn w:val="DefaultParagraphFont"/>
    <w:link w:val="Heading3"/>
    <w:uiPriority w:val="9"/>
    <w:rsid w:val="008A059F"/>
    <w:rPr>
      <w:rFonts w:ascii="Calibri" w:eastAsiaTheme="majorEastAsia" w:hAnsi="Calibri" w:cstheme="majorBidi"/>
      <w:color w:val="000000" w:themeColor="text1"/>
      <w:sz w:val="28"/>
      <w:szCs w:val="24"/>
      <w:lang w:val="en-AU"/>
    </w:rPr>
  </w:style>
  <w:style w:type="character" w:customStyle="1" w:styleId="Heading4Char">
    <w:name w:val="Heading 4 Char"/>
    <w:basedOn w:val="DefaultParagraphFont"/>
    <w:link w:val="Heading4"/>
    <w:uiPriority w:val="9"/>
    <w:rsid w:val="008A059F"/>
    <w:rPr>
      <w:rFonts w:ascii="Calibri" w:eastAsiaTheme="majorEastAsia" w:hAnsi="Calibri" w:cstheme="majorBidi"/>
      <w:iCs/>
      <w:color w:val="5F6369"/>
      <w:sz w:val="26"/>
      <w:lang w:val="en-AU"/>
    </w:rPr>
  </w:style>
  <w:style w:type="character" w:customStyle="1" w:styleId="Heading5Char">
    <w:name w:val="Heading 5 Char"/>
    <w:basedOn w:val="DefaultParagraphFont"/>
    <w:link w:val="Heading5"/>
    <w:uiPriority w:val="9"/>
    <w:rsid w:val="008A059F"/>
    <w:rPr>
      <w:rFonts w:ascii="Calibri" w:eastAsiaTheme="majorEastAsia" w:hAnsi="Calibri" w:cstheme="majorBidi"/>
      <w:b/>
      <w:color w:val="5F6369"/>
      <w:lang w:val="en-AU"/>
    </w:rPr>
  </w:style>
  <w:style w:type="character" w:customStyle="1" w:styleId="Heading6Char">
    <w:name w:val="Heading 6 Char"/>
    <w:basedOn w:val="DefaultParagraphFont"/>
    <w:link w:val="Heading6"/>
    <w:uiPriority w:val="9"/>
    <w:rsid w:val="008A059F"/>
    <w:rPr>
      <w:rFonts w:ascii="Calibri" w:eastAsiaTheme="majorEastAsia" w:hAnsi="Calibri" w:cstheme="majorBidi"/>
      <w:color w:val="5F6369"/>
      <w:lang w:val="en-AU"/>
    </w:rPr>
  </w:style>
  <w:style w:type="paragraph" w:styleId="Title">
    <w:name w:val="Title"/>
    <w:basedOn w:val="Normal"/>
    <w:next w:val="Normal"/>
    <w:link w:val="TitleChar"/>
    <w:uiPriority w:val="7"/>
    <w:qFormat/>
    <w:rsid w:val="008A059F"/>
    <w:pPr>
      <w:spacing w:before="3240" w:after="0" w:line="276" w:lineRule="auto"/>
    </w:pPr>
    <w:rPr>
      <w:rFonts w:ascii="Calibri" w:eastAsiaTheme="majorEastAsia" w:hAnsi="Calibri" w:cstheme="majorBidi"/>
      <w:b/>
      <w:color w:val="FFFFFF" w:themeColor="background1"/>
      <w:spacing w:val="-10"/>
      <w:kern w:val="28"/>
      <w:sz w:val="60"/>
      <w:szCs w:val="56"/>
      <w:lang w:val="en-AU"/>
    </w:rPr>
  </w:style>
  <w:style w:type="character" w:customStyle="1" w:styleId="TitleChar">
    <w:name w:val="Title Char"/>
    <w:basedOn w:val="DefaultParagraphFont"/>
    <w:link w:val="Title"/>
    <w:uiPriority w:val="7"/>
    <w:rsid w:val="008A059F"/>
    <w:rPr>
      <w:rFonts w:ascii="Calibri" w:eastAsiaTheme="majorEastAsia" w:hAnsi="Calibri" w:cstheme="majorBidi"/>
      <w:b/>
      <w:color w:val="FFFFFF" w:themeColor="background1"/>
      <w:spacing w:val="-10"/>
      <w:kern w:val="28"/>
      <w:sz w:val="60"/>
      <w:szCs w:val="56"/>
      <w:lang w:val="en-AU"/>
    </w:rPr>
  </w:style>
  <w:style w:type="paragraph" w:styleId="Subtitle">
    <w:name w:val="Subtitle"/>
    <w:basedOn w:val="Normal"/>
    <w:next w:val="Normal"/>
    <w:link w:val="SubtitleChar"/>
    <w:uiPriority w:val="8"/>
    <w:qFormat/>
    <w:rsid w:val="008A059F"/>
    <w:pPr>
      <w:numPr>
        <w:ilvl w:val="1"/>
      </w:numPr>
      <w:spacing w:after="0" w:line="276" w:lineRule="auto"/>
    </w:pPr>
    <w:rPr>
      <w:rFonts w:ascii="Calibri" w:eastAsiaTheme="minorEastAsia" w:hAnsi="Calibri"/>
      <w:color w:val="789B4A"/>
      <w:spacing w:val="15"/>
      <w:sz w:val="40"/>
      <w:lang w:val="en-AU"/>
    </w:rPr>
  </w:style>
  <w:style w:type="character" w:customStyle="1" w:styleId="SubtitleChar">
    <w:name w:val="Subtitle Char"/>
    <w:basedOn w:val="DefaultParagraphFont"/>
    <w:link w:val="Subtitle"/>
    <w:uiPriority w:val="8"/>
    <w:rsid w:val="008A059F"/>
    <w:rPr>
      <w:rFonts w:ascii="Calibri" w:eastAsiaTheme="minorEastAsia" w:hAnsi="Calibri"/>
      <w:color w:val="789B4A"/>
      <w:spacing w:val="15"/>
      <w:sz w:val="40"/>
      <w:lang w:val="en-AU"/>
    </w:rPr>
  </w:style>
  <w:style w:type="character" w:styleId="Hyperlink">
    <w:name w:val="Hyperlink"/>
    <w:basedOn w:val="DefaultParagraphFont"/>
    <w:uiPriority w:val="99"/>
    <w:unhideWhenUsed/>
    <w:qFormat/>
    <w:rsid w:val="008A059F"/>
    <w:rPr>
      <w:color w:val="404246"/>
      <w:u w:val="single"/>
    </w:rPr>
  </w:style>
  <w:style w:type="character" w:customStyle="1" w:styleId="UnresolvedMention1">
    <w:name w:val="Unresolved Mention1"/>
    <w:basedOn w:val="DefaultParagraphFont"/>
    <w:uiPriority w:val="99"/>
    <w:semiHidden/>
    <w:unhideWhenUsed/>
    <w:rsid w:val="008A059F"/>
    <w:rPr>
      <w:color w:val="605E5C"/>
      <w:shd w:val="clear" w:color="auto" w:fill="E1DFDD"/>
    </w:rPr>
  </w:style>
  <w:style w:type="character" w:styleId="Strong">
    <w:name w:val="Strong"/>
    <w:basedOn w:val="DefaultParagraphFont"/>
    <w:uiPriority w:val="11"/>
    <w:qFormat/>
    <w:rsid w:val="008A059F"/>
    <w:rPr>
      <w:b/>
      <w:bCs/>
    </w:rPr>
  </w:style>
  <w:style w:type="table" w:styleId="TableGrid">
    <w:name w:val="Table Grid"/>
    <w:basedOn w:val="TableNormal"/>
    <w:uiPriority w:val="39"/>
    <w:rsid w:val="008A059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8A059F"/>
    <w:pPr>
      <w:spacing w:before="240" w:after="40" w:line="240" w:lineRule="auto"/>
    </w:pPr>
    <w:rPr>
      <w:b/>
      <w:iCs/>
      <w:szCs w:val="18"/>
      <w:lang w:val="en-AU"/>
    </w:rPr>
  </w:style>
  <w:style w:type="paragraph" w:styleId="Quote">
    <w:name w:val="Quote"/>
    <w:basedOn w:val="Normal"/>
    <w:next w:val="Normal"/>
    <w:link w:val="QuoteChar"/>
    <w:uiPriority w:val="29"/>
    <w:qFormat/>
    <w:rsid w:val="008A059F"/>
    <w:pPr>
      <w:spacing w:before="200" w:line="276" w:lineRule="auto"/>
      <w:ind w:left="862" w:right="862"/>
      <w:jc w:val="center"/>
    </w:pPr>
    <w:rPr>
      <w:iCs/>
      <w:color w:val="595959" w:themeColor="text1" w:themeTint="A6"/>
      <w:lang w:val="en-AU"/>
    </w:rPr>
  </w:style>
  <w:style w:type="character" w:customStyle="1" w:styleId="QuoteChar">
    <w:name w:val="Quote Char"/>
    <w:basedOn w:val="DefaultParagraphFont"/>
    <w:link w:val="Quote"/>
    <w:uiPriority w:val="29"/>
    <w:rsid w:val="008A059F"/>
    <w:rPr>
      <w:iCs/>
      <w:color w:val="595959" w:themeColor="text1" w:themeTint="A6"/>
      <w:lang w:val="en-AU"/>
    </w:rPr>
  </w:style>
  <w:style w:type="paragraph" w:customStyle="1" w:styleId="Source">
    <w:name w:val="Source"/>
    <w:basedOn w:val="Normal"/>
    <w:uiPriority w:val="17"/>
    <w:qFormat/>
    <w:rsid w:val="008A059F"/>
    <w:pPr>
      <w:spacing w:before="80" w:after="320" w:line="276" w:lineRule="auto"/>
    </w:pPr>
    <w:rPr>
      <w:sz w:val="18"/>
      <w:lang w:val="en-AU"/>
    </w:rPr>
  </w:style>
  <w:style w:type="table" w:customStyle="1" w:styleId="DESE">
    <w:name w:val="DESE"/>
    <w:basedOn w:val="TableNormal"/>
    <w:uiPriority w:val="99"/>
    <w:rsid w:val="008A059F"/>
    <w:pPr>
      <w:spacing w:before="100" w:beforeAutospacing="1" w:after="100" w:afterAutospacing="1"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aliases w:val="Bulit List -  Paragraph,CV text,Dot pt,F5 List Paragraph,FooterText,L,List Paragraph1,List Paragraph11,List Paragraph111,List Paragraph2,Main numbered paragraph,Medium Grid 1 - Accent 21,Numbered Paragraph,Recommendation,Table text,number"/>
    <w:basedOn w:val="Normal"/>
    <w:link w:val="ListParagraphChar"/>
    <w:uiPriority w:val="34"/>
    <w:qFormat/>
    <w:rsid w:val="008A059F"/>
    <w:pPr>
      <w:spacing w:after="200" w:line="360" w:lineRule="auto"/>
      <w:ind w:left="720"/>
      <w:contextualSpacing/>
    </w:pPr>
    <w:rPr>
      <w:lang w:val="en-AU"/>
    </w:rPr>
  </w:style>
  <w:style w:type="paragraph" w:styleId="ListNumber">
    <w:name w:val="List Number"/>
    <w:basedOn w:val="ListParagraph"/>
    <w:uiPriority w:val="99"/>
    <w:unhideWhenUsed/>
    <w:qFormat/>
    <w:rsid w:val="008A059F"/>
    <w:pPr>
      <w:numPr>
        <w:numId w:val="1"/>
      </w:numPr>
    </w:pPr>
  </w:style>
  <w:style w:type="paragraph" w:styleId="ListBullet">
    <w:name w:val="List Bullet"/>
    <w:basedOn w:val="ListParagraph"/>
    <w:uiPriority w:val="99"/>
    <w:unhideWhenUsed/>
    <w:qFormat/>
    <w:rsid w:val="00B60AD9"/>
    <w:pPr>
      <w:numPr>
        <w:numId w:val="2"/>
      </w:numPr>
      <w:spacing w:line="276" w:lineRule="auto"/>
    </w:pPr>
  </w:style>
  <w:style w:type="paragraph" w:styleId="List">
    <w:name w:val="List"/>
    <w:basedOn w:val="ListBullet"/>
    <w:uiPriority w:val="99"/>
    <w:unhideWhenUsed/>
    <w:qFormat/>
    <w:rsid w:val="008A059F"/>
    <w:pPr>
      <w:numPr>
        <w:numId w:val="3"/>
      </w:numPr>
    </w:pPr>
  </w:style>
  <w:style w:type="paragraph" w:styleId="Header">
    <w:name w:val="header"/>
    <w:basedOn w:val="Normal"/>
    <w:link w:val="HeaderChar"/>
    <w:uiPriority w:val="99"/>
    <w:unhideWhenUsed/>
    <w:rsid w:val="008A059F"/>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8A059F"/>
    <w:rPr>
      <w:lang w:val="en-AU"/>
    </w:rPr>
  </w:style>
  <w:style w:type="paragraph" w:styleId="Footer">
    <w:name w:val="footer"/>
    <w:basedOn w:val="Normal"/>
    <w:link w:val="FooterChar"/>
    <w:uiPriority w:val="99"/>
    <w:unhideWhenUsed/>
    <w:rsid w:val="008A059F"/>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8A059F"/>
    <w:rPr>
      <w:lang w:val="en-AU"/>
    </w:rPr>
  </w:style>
  <w:style w:type="paragraph" w:styleId="TOC1">
    <w:name w:val="toc 1"/>
    <w:basedOn w:val="Normal"/>
    <w:next w:val="Normal"/>
    <w:autoRedefine/>
    <w:uiPriority w:val="39"/>
    <w:unhideWhenUsed/>
    <w:rsid w:val="00B1414C"/>
    <w:pPr>
      <w:tabs>
        <w:tab w:val="right" w:leader="dot" w:pos="9016"/>
      </w:tabs>
      <w:spacing w:after="100" w:line="276" w:lineRule="auto"/>
    </w:pPr>
    <w:rPr>
      <w:b/>
      <w:lang w:val="en-AU"/>
    </w:rPr>
  </w:style>
  <w:style w:type="paragraph" w:styleId="TOC2">
    <w:name w:val="toc 2"/>
    <w:basedOn w:val="Normal"/>
    <w:next w:val="Normal"/>
    <w:autoRedefine/>
    <w:uiPriority w:val="39"/>
    <w:unhideWhenUsed/>
    <w:rsid w:val="00481357"/>
    <w:pPr>
      <w:tabs>
        <w:tab w:val="right" w:leader="dot" w:pos="9016"/>
      </w:tabs>
      <w:spacing w:after="100" w:line="276" w:lineRule="auto"/>
      <w:ind w:left="220"/>
    </w:pPr>
    <w:rPr>
      <w:lang w:val="en-AU"/>
    </w:rPr>
  </w:style>
  <w:style w:type="paragraph" w:styleId="TOC3">
    <w:name w:val="toc 3"/>
    <w:basedOn w:val="Normal"/>
    <w:next w:val="Normal"/>
    <w:autoRedefine/>
    <w:uiPriority w:val="39"/>
    <w:unhideWhenUsed/>
    <w:rsid w:val="004B7A54"/>
    <w:pPr>
      <w:tabs>
        <w:tab w:val="right" w:leader="dot" w:pos="9016"/>
      </w:tabs>
      <w:spacing w:after="100" w:line="276" w:lineRule="auto"/>
      <w:ind w:left="142" w:firstLine="298"/>
    </w:pPr>
    <w:rPr>
      <w:lang w:val="en-AU"/>
    </w:rPr>
  </w:style>
  <w:style w:type="paragraph" w:styleId="TOCHeading">
    <w:name w:val="TOC Heading"/>
    <w:basedOn w:val="Heading1"/>
    <w:next w:val="Normal"/>
    <w:uiPriority w:val="39"/>
    <w:unhideWhenUsed/>
    <w:qFormat/>
    <w:rsid w:val="008A059F"/>
    <w:pPr>
      <w:spacing w:after="240"/>
      <w:outlineLvl w:val="9"/>
    </w:pPr>
  </w:style>
  <w:style w:type="paragraph" w:styleId="BalloonText">
    <w:name w:val="Balloon Text"/>
    <w:basedOn w:val="Normal"/>
    <w:link w:val="BalloonTextChar"/>
    <w:uiPriority w:val="99"/>
    <w:semiHidden/>
    <w:unhideWhenUsed/>
    <w:rsid w:val="008A059F"/>
    <w:pPr>
      <w:spacing w:after="0" w:line="240" w:lineRule="auto"/>
    </w:pPr>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8A059F"/>
    <w:rPr>
      <w:rFonts w:ascii="Segoe UI" w:hAnsi="Segoe UI" w:cs="Segoe UI"/>
      <w:sz w:val="18"/>
      <w:szCs w:val="18"/>
      <w:lang w:val="en-AU"/>
    </w:rPr>
  </w:style>
  <w:style w:type="paragraph" w:customStyle="1" w:styleId="numberedpara">
    <w:name w:val="numbered para"/>
    <w:basedOn w:val="Normal"/>
    <w:rsid w:val="008A059F"/>
    <w:pPr>
      <w:numPr>
        <w:numId w:val="4"/>
      </w:numPr>
      <w:spacing w:before="120" w:after="0" w:line="240" w:lineRule="auto"/>
    </w:pPr>
    <w:rPr>
      <w:rFonts w:ascii="Calibri" w:hAnsi="Calibri" w:cs="Calibri"/>
      <w:lang w:val="en-AU" w:eastAsia="en-AU"/>
    </w:rPr>
  </w:style>
  <w:style w:type="character" w:styleId="FollowedHyperlink">
    <w:name w:val="FollowedHyperlink"/>
    <w:basedOn w:val="DefaultParagraphFont"/>
    <w:uiPriority w:val="99"/>
    <w:semiHidden/>
    <w:unhideWhenUsed/>
    <w:rsid w:val="008A059F"/>
    <w:rPr>
      <w:color w:val="954F72" w:themeColor="followedHyperlink"/>
      <w:u w:val="single"/>
    </w:rPr>
  </w:style>
  <w:style w:type="paragraph" w:customStyle="1" w:styleId="TableText">
    <w:name w:val="TableText"/>
    <w:basedOn w:val="Normal"/>
    <w:uiPriority w:val="1"/>
    <w:qFormat/>
    <w:rsid w:val="008A059F"/>
    <w:pPr>
      <w:spacing w:before="120" w:after="120" w:line="240" w:lineRule="auto"/>
    </w:pPr>
    <w:rPr>
      <w:rFonts w:ascii="Century Gothic" w:eastAsiaTheme="majorEastAsia" w:hAnsi="Century Gothic" w:cs="Arial"/>
      <w:bCs/>
      <w:sz w:val="20"/>
      <w:szCs w:val="20"/>
      <w:lang w:val="en-AU"/>
    </w:rPr>
  </w:style>
  <w:style w:type="character" w:customStyle="1" w:styleId="ListParagraphChar">
    <w:name w:val="List Paragraph Char"/>
    <w:aliases w:val="Bulit List -  Paragraph Char,CV text Char,Dot pt Char,F5 List Paragraph Char,FooterText Char,L Char,List Paragraph1 Char,List Paragraph11 Char,List Paragraph111 Char,List Paragraph2 Char,Main numbered paragraph Char,Table text Char"/>
    <w:basedOn w:val="DefaultParagraphFont"/>
    <w:link w:val="ListParagraph"/>
    <w:uiPriority w:val="34"/>
    <w:qFormat/>
    <w:locked/>
    <w:rsid w:val="008A059F"/>
    <w:rPr>
      <w:lang w:val="en-AU"/>
    </w:rPr>
  </w:style>
  <w:style w:type="character" w:styleId="CommentReference">
    <w:name w:val="annotation reference"/>
    <w:basedOn w:val="DefaultParagraphFont"/>
    <w:uiPriority w:val="99"/>
    <w:semiHidden/>
    <w:unhideWhenUsed/>
    <w:rsid w:val="008A059F"/>
    <w:rPr>
      <w:sz w:val="16"/>
      <w:szCs w:val="16"/>
    </w:rPr>
  </w:style>
  <w:style w:type="paragraph" w:styleId="CommentText">
    <w:name w:val="annotation text"/>
    <w:basedOn w:val="Normal"/>
    <w:link w:val="CommentTextChar"/>
    <w:uiPriority w:val="99"/>
    <w:unhideWhenUsed/>
    <w:rsid w:val="008A059F"/>
    <w:pPr>
      <w:spacing w:line="240" w:lineRule="auto"/>
    </w:pPr>
    <w:rPr>
      <w:rFonts w:ascii="Century Gothic" w:hAnsi="Century Gothic"/>
      <w:sz w:val="20"/>
      <w:szCs w:val="20"/>
      <w:lang w:val="en-AU"/>
    </w:rPr>
  </w:style>
  <w:style w:type="character" w:customStyle="1" w:styleId="CommentTextChar">
    <w:name w:val="Comment Text Char"/>
    <w:basedOn w:val="DefaultParagraphFont"/>
    <w:link w:val="CommentText"/>
    <w:uiPriority w:val="99"/>
    <w:rsid w:val="008A059F"/>
    <w:rPr>
      <w:rFonts w:ascii="Century Gothic" w:hAnsi="Century Gothic"/>
      <w:sz w:val="20"/>
      <w:szCs w:val="20"/>
      <w:lang w:val="en-AU"/>
    </w:rPr>
  </w:style>
  <w:style w:type="paragraph" w:styleId="NoSpacing">
    <w:name w:val="No Spacing"/>
    <w:uiPriority w:val="1"/>
    <w:qFormat/>
    <w:rsid w:val="008A059F"/>
    <w:pPr>
      <w:spacing w:after="0" w:line="240" w:lineRule="auto"/>
    </w:pPr>
    <w:rPr>
      <w:lang w:val="en-AU"/>
    </w:rPr>
  </w:style>
  <w:style w:type="table" w:styleId="PlainTable2">
    <w:name w:val="Plain Table 2"/>
    <w:basedOn w:val="TableNormal"/>
    <w:uiPriority w:val="42"/>
    <w:rsid w:val="008A059F"/>
    <w:pPr>
      <w:spacing w:after="0" w:line="240" w:lineRule="auto"/>
    </w:pPr>
    <w:rPr>
      <w:lang w:val="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8A059F"/>
    <w:pPr>
      <w:autoSpaceDE w:val="0"/>
      <w:autoSpaceDN w:val="0"/>
      <w:adjustRightInd w:val="0"/>
      <w:spacing w:after="0" w:line="240" w:lineRule="auto"/>
    </w:pPr>
    <w:rPr>
      <w:rFonts w:ascii="Palatino Linotype" w:hAnsi="Palatino Linotype" w:cs="Palatino Linotype"/>
      <w:color w:val="000000"/>
      <w:sz w:val="24"/>
      <w:szCs w:val="24"/>
      <w:lang w:val="en-AU"/>
    </w:rPr>
  </w:style>
  <w:style w:type="character" w:customStyle="1" w:styleId="UnresolvedMention2">
    <w:name w:val="Unresolved Mention2"/>
    <w:basedOn w:val="DefaultParagraphFont"/>
    <w:uiPriority w:val="99"/>
    <w:semiHidden/>
    <w:unhideWhenUsed/>
    <w:rsid w:val="008A059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A059F"/>
    <w:rPr>
      <w:b/>
      <w:bCs/>
    </w:rPr>
  </w:style>
  <w:style w:type="character" w:customStyle="1" w:styleId="CommentSubjectChar">
    <w:name w:val="Comment Subject Char"/>
    <w:basedOn w:val="CommentTextChar"/>
    <w:link w:val="CommentSubject"/>
    <w:uiPriority w:val="99"/>
    <w:semiHidden/>
    <w:rsid w:val="008A059F"/>
    <w:rPr>
      <w:rFonts w:ascii="Century Gothic" w:hAnsi="Century Gothic"/>
      <w:b/>
      <w:bCs/>
      <w:sz w:val="20"/>
      <w:szCs w:val="20"/>
      <w:lang w:val="en-AU"/>
    </w:rPr>
  </w:style>
  <w:style w:type="paragraph" w:styleId="FootnoteText">
    <w:name w:val="footnote text"/>
    <w:aliases w:val="Footnotes Text,FSFootnotes Text,FSFootnote Text"/>
    <w:basedOn w:val="Normal"/>
    <w:link w:val="FootnoteTextChar"/>
    <w:uiPriority w:val="99"/>
    <w:semiHidden/>
    <w:unhideWhenUsed/>
    <w:rsid w:val="008A059F"/>
    <w:pPr>
      <w:spacing w:after="0" w:line="240" w:lineRule="auto"/>
    </w:pPr>
    <w:rPr>
      <w:rFonts w:ascii="Century Gothic" w:hAnsi="Century Gothic"/>
      <w:sz w:val="20"/>
      <w:szCs w:val="20"/>
      <w:lang w:val="en-AU"/>
    </w:rPr>
  </w:style>
  <w:style w:type="character" w:customStyle="1" w:styleId="FootnoteTextChar">
    <w:name w:val="Footnote Text Char"/>
    <w:aliases w:val="Footnotes Text Char,FSFootnotes Text Char,FSFootnote Text Char"/>
    <w:basedOn w:val="DefaultParagraphFont"/>
    <w:link w:val="FootnoteText"/>
    <w:uiPriority w:val="99"/>
    <w:semiHidden/>
    <w:rsid w:val="008A059F"/>
    <w:rPr>
      <w:rFonts w:ascii="Century Gothic" w:hAnsi="Century Gothic"/>
      <w:sz w:val="20"/>
      <w:szCs w:val="20"/>
      <w:lang w:val="en-AU"/>
    </w:rPr>
  </w:style>
  <w:style w:type="character" w:styleId="FootnoteReference">
    <w:name w:val="footnote reference"/>
    <w:basedOn w:val="DefaultParagraphFont"/>
    <w:uiPriority w:val="99"/>
    <w:semiHidden/>
    <w:unhideWhenUsed/>
    <w:rsid w:val="00691428"/>
    <w:rPr>
      <w:vertAlign w:val="superscript"/>
    </w:rPr>
  </w:style>
  <w:style w:type="paragraph" w:customStyle="1" w:styleId="RISparatext">
    <w:name w:val="RIS para text"/>
    <w:basedOn w:val="Normal"/>
    <w:link w:val="RISparatextChar"/>
    <w:qFormat/>
    <w:rsid w:val="008A059F"/>
    <w:pPr>
      <w:spacing w:after="120" w:line="276" w:lineRule="auto"/>
    </w:pPr>
    <w:rPr>
      <w:rFonts w:ascii="Calibri" w:eastAsia="Calibri" w:hAnsi="Calibri" w:cs="Calibri"/>
      <w:w w:val="105"/>
      <w:kern w:val="40"/>
      <w:lang w:val="en-AU"/>
    </w:rPr>
  </w:style>
  <w:style w:type="character" w:customStyle="1" w:styleId="RISparatextChar">
    <w:name w:val="RIS para text Char"/>
    <w:basedOn w:val="DefaultParagraphFont"/>
    <w:link w:val="RISparatext"/>
    <w:rsid w:val="008A059F"/>
    <w:rPr>
      <w:rFonts w:ascii="Calibri" w:eastAsia="Calibri" w:hAnsi="Calibri" w:cs="Calibri"/>
      <w:w w:val="105"/>
      <w:kern w:val="40"/>
      <w:lang w:val="en-AU"/>
    </w:rPr>
  </w:style>
  <w:style w:type="character" w:customStyle="1" w:styleId="normaltextrun">
    <w:name w:val="normaltextrun"/>
    <w:basedOn w:val="DefaultParagraphFont"/>
    <w:rsid w:val="008A059F"/>
  </w:style>
  <w:style w:type="character" w:customStyle="1" w:styleId="eop">
    <w:name w:val="eop"/>
    <w:basedOn w:val="DefaultParagraphFont"/>
    <w:rsid w:val="008A059F"/>
  </w:style>
  <w:style w:type="character" w:styleId="Emphasis">
    <w:name w:val="Emphasis"/>
    <w:basedOn w:val="DefaultParagraphFont"/>
    <w:uiPriority w:val="20"/>
    <w:qFormat/>
    <w:rsid w:val="008A059F"/>
    <w:rPr>
      <w:i/>
      <w:iCs/>
    </w:rPr>
  </w:style>
  <w:style w:type="paragraph" w:styleId="Revision">
    <w:name w:val="Revision"/>
    <w:hidden/>
    <w:uiPriority w:val="99"/>
    <w:semiHidden/>
    <w:rsid w:val="008A059F"/>
    <w:pPr>
      <w:spacing w:after="0" w:line="240" w:lineRule="auto"/>
    </w:pPr>
    <w:rPr>
      <w:rFonts w:ascii="Century Gothic" w:hAnsi="Century Gothic"/>
      <w:sz w:val="20"/>
      <w:lang w:val="en-AU"/>
    </w:rPr>
  </w:style>
  <w:style w:type="character" w:customStyle="1" w:styleId="Mention1">
    <w:name w:val="Mention1"/>
    <w:basedOn w:val="DefaultParagraphFont"/>
    <w:uiPriority w:val="99"/>
    <w:unhideWhenUsed/>
    <w:rsid w:val="008A059F"/>
    <w:rPr>
      <w:color w:val="2B579A"/>
      <w:shd w:val="clear" w:color="auto" w:fill="E1DFDD"/>
    </w:rPr>
  </w:style>
  <w:style w:type="paragraph" w:styleId="NormalWeb">
    <w:name w:val="Normal (Web)"/>
    <w:basedOn w:val="Normal"/>
    <w:uiPriority w:val="99"/>
    <w:unhideWhenUsed/>
    <w:rsid w:val="008A059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Body">
    <w:name w:val="Body"/>
    <w:basedOn w:val="Normal"/>
    <w:link w:val="BodyChar"/>
    <w:qFormat/>
    <w:rsid w:val="008A059F"/>
    <w:pPr>
      <w:spacing w:before="240" w:after="240" w:line="276" w:lineRule="auto"/>
    </w:pPr>
    <w:rPr>
      <w:rFonts w:eastAsiaTheme="minorEastAsia"/>
      <w:lang w:val="en-AU" w:eastAsia="en-AU"/>
    </w:rPr>
  </w:style>
  <w:style w:type="character" w:customStyle="1" w:styleId="BodyChar">
    <w:name w:val="Body Char"/>
    <w:basedOn w:val="DefaultParagraphFont"/>
    <w:link w:val="Body"/>
    <w:rsid w:val="008A059F"/>
    <w:rPr>
      <w:rFonts w:eastAsiaTheme="minorEastAsia"/>
      <w:lang w:val="en-AU" w:eastAsia="en-AU"/>
    </w:rPr>
  </w:style>
  <w:style w:type="character" w:customStyle="1" w:styleId="ui-provider">
    <w:name w:val="ui-provider"/>
    <w:basedOn w:val="DefaultParagraphFont"/>
    <w:rsid w:val="008C0F5D"/>
  </w:style>
  <w:style w:type="character" w:customStyle="1" w:styleId="UnresolvedMention">
    <w:name w:val="Unresolved Mention"/>
    <w:basedOn w:val="DefaultParagraphFont"/>
    <w:uiPriority w:val="99"/>
    <w:semiHidden/>
    <w:unhideWhenUsed/>
    <w:rsid w:val="00307793"/>
    <w:rPr>
      <w:color w:val="605E5C"/>
      <w:shd w:val="clear" w:color="auto" w:fill="E1DFDD"/>
    </w:rPr>
  </w:style>
  <w:style w:type="paragraph" w:styleId="EndnoteText">
    <w:name w:val="endnote text"/>
    <w:basedOn w:val="Normal"/>
    <w:link w:val="EndnoteTextChar"/>
    <w:uiPriority w:val="99"/>
    <w:semiHidden/>
    <w:unhideWhenUsed/>
    <w:rsid w:val="005B01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010C"/>
    <w:rPr>
      <w:sz w:val="20"/>
      <w:szCs w:val="20"/>
    </w:rPr>
  </w:style>
  <w:style w:type="character" w:styleId="EndnoteReference">
    <w:name w:val="endnote reference"/>
    <w:basedOn w:val="DefaultParagraphFont"/>
    <w:uiPriority w:val="99"/>
    <w:semiHidden/>
    <w:unhideWhenUsed/>
    <w:rsid w:val="005B010C"/>
    <w:rPr>
      <w:vertAlign w:val="superscript"/>
    </w:rPr>
  </w:style>
  <w:style w:type="paragraph" w:customStyle="1" w:styleId="CABNumberedParagraph">
    <w:name w:val="CAB Numbered Paragraph"/>
    <w:basedOn w:val="Normal"/>
    <w:uiPriority w:val="98"/>
    <w:qFormat/>
    <w:rsid w:val="00C92320"/>
    <w:pPr>
      <w:tabs>
        <w:tab w:val="num" w:pos="340"/>
      </w:tabs>
      <w:spacing w:after="200" w:line="276" w:lineRule="auto"/>
      <w:ind w:left="340"/>
    </w:pPr>
    <w:rPr>
      <w:rFonts w:ascii="Arial" w:hAnsi="Arial"/>
      <w:lang w:val="en-AU"/>
    </w:rPr>
  </w:style>
  <w:style w:type="character" w:customStyle="1" w:styleId="Mention">
    <w:name w:val="Mention"/>
    <w:basedOn w:val="DefaultParagraphFont"/>
    <w:uiPriority w:val="99"/>
    <w:unhideWhenUsed/>
    <w:rsid w:val="00C92320"/>
    <w:rPr>
      <w:color w:val="2B579A"/>
      <w:shd w:val="clear" w:color="auto" w:fill="E1DFDD"/>
    </w:rPr>
  </w:style>
  <w:style w:type="character" w:customStyle="1" w:styleId="cf01">
    <w:name w:val="cf01"/>
    <w:basedOn w:val="DefaultParagraphFont"/>
    <w:rsid w:val="00C92320"/>
    <w:rPr>
      <w:rFonts w:ascii="Segoe UI" w:hAnsi="Segoe UI" w:cs="Segoe UI" w:hint="default"/>
      <w:sz w:val="18"/>
      <w:szCs w:val="18"/>
    </w:rPr>
  </w:style>
  <w:style w:type="paragraph" w:customStyle="1" w:styleId="pf0">
    <w:name w:val="pf0"/>
    <w:basedOn w:val="Normal"/>
    <w:rsid w:val="0035322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11">
    <w:name w:val="cf11"/>
    <w:basedOn w:val="DefaultParagraphFont"/>
    <w:rsid w:val="00353222"/>
    <w:rPr>
      <w:rFonts w:ascii="Segoe UI" w:hAnsi="Segoe UI" w:cs="Segoe UI" w:hint="default"/>
      <w:color w:val="E2EEFF"/>
      <w:sz w:val="18"/>
      <w:szCs w:val="18"/>
    </w:rPr>
  </w:style>
  <w:style w:type="character" w:customStyle="1" w:styleId="cf21">
    <w:name w:val="cf21"/>
    <w:basedOn w:val="DefaultParagraphFont"/>
    <w:rsid w:val="00353222"/>
    <w:rPr>
      <w:rFonts w:ascii="Segoe UI" w:hAnsi="Segoe UI" w:cs="Segoe UI" w:hint="default"/>
      <w:color w:val="E8EAED"/>
      <w:sz w:val="18"/>
      <w:szCs w:val="18"/>
    </w:rPr>
  </w:style>
  <w:style w:type="character" w:customStyle="1" w:styleId="cf31">
    <w:name w:val="cf31"/>
    <w:basedOn w:val="DefaultParagraphFont"/>
    <w:rsid w:val="00353222"/>
    <w:rPr>
      <w:rFonts w:ascii="Segoe UI" w:hAnsi="Segoe UI" w:cs="Segoe UI" w:hint="default"/>
      <w:color w:val="21252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93442">
      <w:bodyDiv w:val="1"/>
      <w:marLeft w:val="0"/>
      <w:marRight w:val="0"/>
      <w:marTop w:val="0"/>
      <w:marBottom w:val="0"/>
      <w:divBdr>
        <w:top w:val="none" w:sz="0" w:space="0" w:color="auto"/>
        <w:left w:val="none" w:sz="0" w:space="0" w:color="auto"/>
        <w:bottom w:val="none" w:sz="0" w:space="0" w:color="auto"/>
        <w:right w:val="none" w:sz="0" w:space="0" w:color="auto"/>
      </w:divBdr>
    </w:div>
    <w:div w:id="610865554">
      <w:bodyDiv w:val="1"/>
      <w:marLeft w:val="0"/>
      <w:marRight w:val="0"/>
      <w:marTop w:val="0"/>
      <w:marBottom w:val="0"/>
      <w:divBdr>
        <w:top w:val="none" w:sz="0" w:space="0" w:color="auto"/>
        <w:left w:val="none" w:sz="0" w:space="0" w:color="auto"/>
        <w:bottom w:val="none" w:sz="0" w:space="0" w:color="auto"/>
        <w:right w:val="none" w:sz="0" w:space="0" w:color="auto"/>
      </w:divBdr>
    </w:div>
    <w:div w:id="619385271">
      <w:bodyDiv w:val="1"/>
      <w:marLeft w:val="0"/>
      <w:marRight w:val="0"/>
      <w:marTop w:val="0"/>
      <w:marBottom w:val="0"/>
      <w:divBdr>
        <w:top w:val="none" w:sz="0" w:space="0" w:color="auto"/>
        <w:left w:val="none" w:sz="0" w:space="0" w:color="auto"/>
        <w:bottom w:val="none" w:sz="0" w:space="0" w:color="auto"/>
        <w:right w:val="none" w:sz="0" w:space="0" w:color="auto"/>
      </w:divBdr>
    </w:div>
    <w:div w:id="1107307214">
      <w:bodyDiv w:val="1"/>
      <w:marLeft w:val="0"/>
      <w:marRight w:val="0"/>
      <w:marTop w:val="0"/>
      <w:marBottom w:val="0"/>
      <w:divBdr>
        <w:top w:val="none" w:sz="0" w:space="0" w:color="auto"/>
        <w:left w:val="none" w:sz="0" w:space="0" w:color="auto"/>
        <w:bottom w:val="none" w:sz="0" w:space="0" w:color="auto"/>
        <w:right w:val="none" w:sz="0" w:space="0" w:color="auto"/>
      </w:divBdr>
    </w:div>
    <w:div w:id="1599873675">
      <w:bodyDiv w:val="1"/>
      <w:marLeft w:val="0"/>
      <w:marRight w:val="0"/>
      <w:marTop w:val="0"/>
      <w:marBottom w:val="0"/>
      <w:divBdr>
        <w:top w:val="none" w:sz="0" w:space="0" w:color="auto"/>
        <w:left w:val="none" w:sz="0" w:space="0" w:color="auto"/>
        <w:bottom w:val="none" w:sz="0" w:space="0" w:color="auto"/>
        <w:right w:val="none" w:sz="0" w:space="0" w:color="auto"/>
      </w:divBdr>
    </w:div>
    <w:div w:id="1671174547">
      <w:bodyDiv w:val="1"/>
      <w:marLeft w:val="0"/>
      <w:marRight w:val="0"/>
      <w:marTop w:val="0"/>
      <w:marBottom w:val="0"/>
      <w:divBdr>
        <w:top w:val="none" w:sz="0" w:space="0" w:color="auto"/>
        <w:left w:val="none" w:sz="0" w:space="0" w:color="auto"/>
        <w:bottom w:val="none" w:sz="0" w:space="0" w:color="auto"/>
        <w:right w:val="none" w:sz="0" w:space="0" w:color="auto"/>
      </w:divBdr>
    </w:div>
    <w:div w:id="1772049562">
      <w:bodyDiv w:val="1"/>
      <w:marLeft w:val="0"/>
      <w:marRight w:val="0"/>
      <w:marTop w:val="0"/>
      <w:marBottom w:val="0"/>
      <w:divBdr>
        <w:top w:val="none" w:sz="0" w:space="0" w:color="auto"/>
        <w:left w:val="none" w:sz="0" w:space="0" w:color="auto"/>
        <w:bottom w:val="none" w:sz="0" w:space="0" w:color="auto"/>
        <w:right w:val="none" w:sz="0" w:space="0" w:color="auto"/>
      </w:divBdr>
      <w:divsChild>
        <w:div w:id="224462569">
          <w:marLeft w:val="0"/>
          <w:marRight w:val="0"/>
          <w:marTop w:val="0"/>
          <w:marBottom w:val="0"/>
          <w:divBdr>
            <w:top w:val="none" w:sz="0" w:space="0" w:color="auto"/>
            <w:left w:val="none" w:sz="0" w:space="0" w:color="auto"/>
            <w:bottom w:val="none" w:sz="0" w:space="0" w:color="auto"/>
            <w:right w:val="none" w:sz="0" w:space="0" w:color="auto"/>
          </w:divBdr>
        </w:div>
        <w:div w:id="565458326">
          <w:marLeft w:val="0"/>
          <w:marRight w:val="0"/>
          <w:marTop w:val="0"/>
          <w:marBottom w:val="0"/>
          <w:divBdr>
            <w:top w:val="none" w:sz="0" w:space="0" w:color="auto"/>
            <w:left w:val="none" w:sz="0" w:space="0" w:color="auto"/>
            <w:bottom w:val="none" w:sz="0" w:space="0" w:color="auto"/>
            <w:right w:val="none" w:sz="0" w:space="0" w:color="auto"/>
          </w:divBdr>
        </w:div>
        <w:div w:id="1159813126">
          <w:marLeft w:val="0"/>
          <w:marRight w:val="0"/>
          <w:marTop w:val="0"/>
          <w:marBottom w:val="0"/>
          <w:divBdr>
            <w:top w:val="none" w:sz="0" w:space="0" w:color="auto"/>
            <w:left w:val="none" w:sz="0" w:space="0" w:color="auto"/>
            <w:bottom w:val="none" w:sz="0" w:space="0" w:color="auto"/>
            <w:right w:val="none" w:sz="0" w:space="0" w:color="auto"/>
          </w:divBdr>
        </w:div>
        <w:div w:id="1947736015">
          <w:marLeft w:val="0"/>
          <w:marRight w:val="0"/>
          <w:marTop w:val="0"/>
          <w:marBottom w:val="0"/>
          <w:divBdr>
            <w:top w:val="none" w:sz="0" w:space="0" w:color="auto"/>
            <w:left w:val="none" w:sz="0" w:space="0" w:color="auto"/>
            <w:bottom w:val="none" w:sz="0" w:space="0" w:color="auto"/>
            <w:right w:val="none" w:sz="0" w:space="0" w:color="auto"/>
          </w:divBdr>
        </w:div>
      </w:divsChild>
    </w:div>
    <w:div w:id="1797874682">
      <w:bodyDiv w:val="1"/>
      <w:marLeft w:val="0"/>
      <w:marRight w:val="0"/>
      <w:marTop w:val="0"/>
      <w:marBottom w:val="0"/>
      <w:divBdr>
        <w:top w:val="none" w:sz="0" w:space="0" w:color="auto"/>
        <w:left w:val="none" w:sz="0" w:space="0" w:color="auto"/>
        <w:bottom w:val="none" w:sz="0" w:space="0" w:color="auto"/>
        <w:right w:val="none" w:sz="0" w:space="0" w:color="auto"/>
      </w:divBdr>
    </w:div>
    <w:div w:id="211991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creativecommons.org/licenses/by/4.0/legalcod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7" Type="http://schemas.openxmlformats.org/officeDocument/2006/relationships/hyperlink" Target="https://creativecommons.org/licenses/by/4.0/"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cid:image001.png@01CC5B5E.C6C8499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ccc.gov.au/system/files/public-registers/documents/Australian%20Engineered%20Stone%20Advisory%20Group%20%28AESAG%29%20-%20Application%20Received%20-%2029.11.19%20-%20PR%20VERSION.pdf" TargetMode="External"/><Relationship Id="rId3" Type="http://schemas.openxmlformats.org/officeDocument/2006/relationships/hyperlink" Target="https://engage.swa.gov.au/cris-managing-the-risks-of-respirable-crystalline-silica" TargetMode="External"/><Relationship Id="rId7" Type="http://schemas.openxmlformats.org/officeDocument/2006/relationships/hyperlink" Target="https://www.parliament.nsw.gov.au/tp/files/82197/Report%20No.%2080%20-%202021%20Review%20of%20the%20Dust%20Diseases%20Scheme.pdf" TargetMode="External"/><Relationship Id="rId2" Type="http://schemas.openxmlformats.org/officeDocument/2006/relationships/hyperlink" Target="https://www.dewr.gov.au/work-health-and-safety/resources/work-health-and-safety-ministers-meeting-28-february-2023" TargetMode="External"/><Relationship Id="rId1" Type="http://schemas.openxmlformats.org/officeDocument/2006/relationships/hyperlink" Target="https://www.safeworkaustralia.gov.au/law-and-regulation/model-whs-laws" TargetMode="External"/><Relationship Id="rId6" Type="http://schemas.openxmlformats.org/officeDocument/2006/relationships/hyperlink" Target="https://www.health.gov.au/resources/publications/national-dust-disease-taskforce-final-report?language=en" TargetMode="External"/><Relationship Id="rId11" Type="http://schemas.openxmlformats.org/officeDocument/2006/relationships/hyperlink" Target="https://www.health.gov.au/resources/publications/national-dust-disease-taskforce-consultation-synthesis?language=en" TargetMode="External"/><Relationship Id="rId5" Type="http://schemas.openxmlformats.org/officeDocument/2006/relationships/hyperlink" Target="https://www.health.gov.au/committees-and-groups/national-dust-disease-taskforce" TargetMode="External"/><Relationship Id="rId10" Type="http://schemas.openxmlformats.org/officeDocument/2006/relationships/hyperlink" Target="https://www.health.gov.au/resources/publications/national-dust-disease-taskforce-final-report?language=en" TargetMode="External"/><Relationship Id="rId4" Type="http://schemas.openxmlformats.org/officeDocument/2006/relationships/hyperlink" Target="https://engage.swa.gov.au/prohibition-on-the-use-of-engineered-stone" TargetMode="External"/><Relationship Id="rId9" Type="http://schemas.openxmlformats.org/officeDocument/2006/relationships/hyperlink" Target="https://www.health.gov.au/resources/publications/national-dust-disease-taskforce-interim-advice-to-minister-for-health?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8138</Words>
  <Characters>46390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54420</CharactersWithSpaces>
  <SharedDoc>false</SharedDoc>
  <HLinks>
    <vt:vector size="330" baseType="variant">
      <vt:variant>
        <vt:i4>1376304</vt:i4>
      </vt:variant>
      <vt:variant>
        <vt:i4>254</vt:i4>
      </vt:variant>
      <vt:variant>
        <vt:i4>0</vt:i4>
      </vt:variant>
      <vt:variant>
        <vt:i4>5</vt:i4>
      </vt:variant>
      <vt:variant>
        <vt:lpwstr/>
      </vt:variant>
      <vt:variant>
        <vt:lpwstr>_Toc145512519</vt:lpwstr>
      </vt:variant>
      <vt:variant>
        <vt:i4>1376304</vt:i4>
      </vt:variant>
      <vt:variant>
        <vt:i4>248</vt:i4>
      </vt:variant>
      <vt:variant>
        <vt:i4>0</vt:i4>
      </vt:variant>
      <vt:variant>
        <vt:i4>5</vt:i4>
      </vt:variant>
      <vt:variant>
        <vt:lpwstr/>
      </vt:variant>
      <vt:variant>
        <vt:lpwstr>_Toc145512518</vt:lpwstr>
      </vt:variant>
      <vt:variant>
        <vt:i4>1376304</vt:i4>
      </vt:variant>
      <vt:variant>
        <vt:i4>242</vt:i4>
      </vt:variant>
      <vt:variant>
        <vt:i4>0</vt:i4>
      </vt:variant>
      <vt:variant>
        <vt:i4>5</vt:i4>
      </vt:variant>
      <vt:variant>
        <vt:lpwstr/>
      </vt:variant>
      <vt:variant>
        <vt:lpwstr>_Toc145512517</vt:lpwstr>
      </vt:variant>
      <vt:variant>
        <vt:i4>1376304</vt:i4>
      </vt:variant>
      <vt:variant>
        <vt:i4>236</vt:i4>
      </vt:variant>
      <vt:variant>
        <vt:i4>0</vt:i4>
      </vt:variant>
      <vt:variant>
        <vt:i4>5</vt:i4>
      </vt:variant>
      <vt:variant>
        <vt:lpwstr/>
      </vt:variant>
      <vt:variant>
        <vt:lpwstr>_Toc145512516</vt:lpwstr>
      </vt:variant>
      <vt:variant>
        <vt:i4>1376304</vt:i4>
      </vt:variant>
      <vt:variant>
        <vt:i4>230</vt:i4>
      </vt:variant>
      <vt:variant>
        <vt:i4>0</vt:i4>
      </vt:variant>
      <vt:variant>
        <vt:i4>5</vt:i4>
      </vt:variant>
      <vt:variant>
        <vt:lpwstr/>
      </vt:variant>
      <vt:variant>
        <vt:lpwstr>_Toc145512515</vt:lpwstr>
      </vt:variant>
      <vt:variant>
        <vt:i4>1376304</vt:i4>
      </vt:variant>
      <vt:variant>
        <vt:i4>224</vt:i4>
      </vt:variant>
      <vt:variant>
        <vt:i4>0</vt:i4>
      </vt:variant>
      <vt:variant>
        <vt:i4>5</vt:i4>
      </vt:variant>
      <vt:variant>
        <vt:lpwstr/>
      </vt:variant>
      <vt:variant>
        <vt:lpwstr>_Toc145512514</vt:lpwstr>
      </vt:variant>
      <vt:variant>
        <vt:i4>1376304</vt:i4>
      </vt:variant>
      <vt:variant>
        <vt:i4>218</vt:i4>
      </vt:variant>
      <vt:variant>
        <vt:i4>0</vt:i4>
      </vt:variant>
      <vt:variant>
        <vt:i4>5</vt:i4>
      </vt:variant>
      <vt:variant>
        <vt:lpwstr/>
      </vt:variant>
      <vt:variant>
        <vt:lpwstr>_Toc145512513</vt:lpwstr>
      </vt:variant>
      <vt:variant>
        <vt:i4>1376304</vt:i4>
      </vt:variant>
      <vt:variant>
        <vt:i4>212</vt:i4>
      </vt:variant>
      <vt:variant>
        <vt:i4>0</vt:i4>
      </vt:variant>
      <vt:variant>
        <vt:i4>5</vt:i4>
      </vt:variant>
      <vt:variant>
        <vt:lpwstr/>
      </vt:variant>
      <vt:variant>
        <vt:lpwstr>_Toc145512512</vt:lpwstr>
      </vt:variant>
      <vt:variant>
        <vt:i4>1376304</vt:i4>
      </vt:variant>
      <vt:variant>
        <vt:i4>206</vt:i4>
      </vt:variant>
      <vt:variant>
        <vt:i4>0</vt:i4>
      </vt:variant>
      <vt:variant>
        <vt:i4>5</vt:i4>
      </vt:variant>
      <vt:variant>
        <vt:lpwstr/>
      </vt:variant>
      <vt:variant>
        <vt:lpwstr>_Toc145512511</vt:lpwstr>
      </vt:variant>
      <vt:variant>
        <vt:i4>1376304</vt:i4>
      </vt:variant>
      <vt:variant>
        <vt:i4>200</vt:i4>
      </vt:variant>
      <vt:variant>
        <vt:i4>0</vt:i4>
      </vt:variant>
      <vt:variant>
        <vt:i4>5</vt:i4>
      </vt:variant>
      <vt:variant>
        <vt:lpwstr/>
      </vt:variant>
      <vt:variant>
        <vt:lpwstr>_Toc145512510</vt:lpwstr>
      </vt:variant>
      <vt:variant>
        <vt:i4>1310768</vt:i4>
      </vt:variant>
      <vt:variant>
        <vt:i4>194</vt:i4>
      </vt:variant>
      <vt:variant>
        <vt:i4>0</vt:i4>
      </vt:variant>
      <vt:variant>
        <vt:i4>5</vt:i4>
      </vt:variant>
      <vt:variant>
        <vt:lpwstr/>
      </vt:variant>
      <vt:variant>
        <vt:lpwstr>_Toc145512509</vt:lpwstr>
      </vt:variant>
      <vt:variant>
        <vt:i4>1310768</vt:i4>
      </vt:variant>
      <vt:variant>
        <vt:i4>188</vt:i4>
      </vt:variant>
      <vt:variant>
        <vt:i4>0</vt:i4>
      </vt:variant>
      <vt:variant>
        <vt:i4>5</vt:i4>
      </vt:variant>
      <vt:variant>
        <vt:lpwstr/>
      </vt:variant>
      <vt:variant>
        <vt:lpwstr>_Toc145512508</vt:lpwstr>
      </vt:variant>
      <vt:variant>
        <vt:i4>1310768</vt:i4>
      </vt:variant>
      <vt:variant>
        <vt:i4>182</vt:i4>
      </vt:variant>
      <vt:variant>
        <vt:i4>0</vt:i4>
      </vt:variant>
      <vt:variant>
        <vt:i4>5</vt:i4>
      </vt:variant>
      <vt:variant>
        <vt:lpwstr/>
      </vt:variant>
      <vt:variant>
        <vt:lpwstr>_Toc145512507</vt:lpwstr>
      </vt:variant>
      <vt:variant>
        <vt:i4>1310768</vt:i4>
      </vt:variant>
      <vt:variant>
        <vt:i4>176</vt:i4>
      </vt:variant>
      <vt:variant>
        <vt:i4>0</vt:i4>
      </vt:variant>
      <vt:variant>
        <vt:i4>5</vt:i4>
      </vt:variant>
      <vt:variant>
        <vt:lpwstr/>
      </vt:variant>
      <vt:variant>
        <vt:lpwstr>_Toc145512506</vt:lpwstr>
      </vt:variant>
      <vt:variant>
        <vt:i4>1310768</vt:i4>
      </vt:variant>
      <vt:variant>
        <vt:i4>170</vt:i4>
      </vt:variant>
      <vt:variant>
        <vt:i4>0</vt:i4>
      </vt:variant>
      <vt:variant>
        <vt:i4>5</vt:i4>
      </vt:variant>
      <vt:variant>
        <vt:lpwstr/>
      </vt:variant>
      <vt:variant>
        <vt:lpwstr>_Toc145512505</vt:lpwstr>
      </vt:variant>
      <vt:variant>
        <vt:i4>1310768</vt:i4>
      </vt:variant>
      <vt:variant>
        <vt:i4>164</vt:i4>
      </vt:variant>
      <vt:variant>
        <vt:i4>0</vt:i4>
      </vt:variant>
      <vt:variant>
        <vt:i4>5</vt:i4>
      </vt:variant>
      <vt:variant>
        <vt:lpwstr/>
      </vt:variant>
      <vt:variant>
        <vt:lpwstr>_Toc145512504</vt:lpwstr>
      </vt:variant>
      <vt:variant>
        <vt:i4>1310768</vt:i4>
      </vt:variant>
      <vt:variant>
        <vt:i4>158</vt:i4>
      </vt:variant>
      <vt:variant>
        <vt:i4>0</vt:i4>
      </vt:variant>
      <vt:variant>
        <vt:i4>5</vt:i4>
      </vt:variant>
      <vt:variant>
        <vt:lpwstr/>
      </vt:variant>
      <vt:variant>
        <vt:lpwstr>_Toc145512503</vt:lpwstr>
      </vt:variant>
      <vt:variant>
        <vt:i4>1310768</vt:i4>
      </vt:variant>
      <vt:variant>
        <vt:i4>152</vt:i4>
      </vt:variant>
      <vt:variant>
        <vt:i4>0</vt:i4>
      </vt:variant>
      <vt:variant>
        <vt:i4>5</vt:i4>
      </vt:variant>
      <vt:variant>
        <vt:lpwstr/>
      </vt:variant>
      <vt:variant>
        <vt:lpwstr>_Toc145512502</vt:lpwstr>
      </vt:variant>
      <vt:variant>
        <vt:i4>1310768</vt:i4>
      </vt:variant>
      <vt:variant>
        <vt:i4>146</vt:i4>
      </vt:variant>
      <vt:variant>
        <vt:i4>0</vt:i4>
      </vt:variant>
      <vt:variant>
        <vt:i4>5</vt:i4>
      </vt:variant>
      <vt:variant>
        <vt:lpwstr/>
      </vt:variant>
      <vt:variant>
        <vt:lpwstr>_Toc145512501</vt:lpwstr>
      </vt:variant>
      <vt:variant>
        <vt:i4>1310768</vt:i4>
      </vt:variant>
      <vt:variant>
        <vt:i4>140</vt:i4>
      </vt:variant>
      <vt:variant>
        <vt:i4>0</vt:i4>
      </vt:variant>
      <vt:variant>
        <vt:i4>5</vt:i4>
      </vt:variant>
      <vt:variant>
        <vt:lpwstr/>
      </vt:variant>
      <vt:variant>
        <vt:lpwstr>_Toc145512500</vt:lpwstr>
      </vt:variant>
      <vt:variant>
        <vt:i4>1900593</vt:i4>
      </vt:variant>
      <vt:variant>
        <vt:i4>134</vt:i4>
      </vt:variant>
      <vt:variant>
        <vt:i4>0</vt:i4>
      </vt:variant>
      <vt:variant>
        <vt:i4>5</vt:i4>
      </vt:variant>
      <vt:variant>
        <vt:lpwstr/>
      </vt:variant>
      <vt:variant>
        <vt:lpwstr>_Toc145512499</vt:lpwstr>
      </vt:variant>
      <vt:variant>
        <vt:i4>1900593</vt:i4>
      </vt:variant>
      <vt:variant>
        <vt:i4>128</vt:i4>
      </vt:variant>
      <vt:variant>
        <vt:i4>0</vt:i4>
      </vt:variant>
      <vt:variant>
        <vt:i4>5</vt:i4>
      </vt:variant>
      <vt:variant>
        <vt:lpwstr/>
      </vt:variant>
      <vt:variant>
        <vt:lpwstr>_Toc145512498</vt:lpwstr>
      </vt:variant>
      <vt:variant>
        <vt:i4>1900593</vt:i4>
      </vt:variant>
      <vt:variant>
        <vt:i4>122</vt:i4>
      </vt:variant>
      <vt:variant>
        <vt:i4>0</vt:i4>
      </vt:variant>
      <vt:variant>
        <vt:i4>5</vt:i4>
      </vt:variant>
      <vt:variant>
        <vt:lpwstr/>
      </vt:variant>
      <vt:variant>
        <vt:lpwstr>_Toc145512497</vt:lpwstr>
      </vt:variant>
      <vt:variant>
        <vt:i4>1900593</vt:i4>
      </vt:variant>
      <vt:variant>
        <vt:i4>116</vt:i4>
      </vt:variant>
      <vt:variant>
        <vt:i4>0</vt:i4>
      </vt:variant>
      <vt:variant>
        <vt:i4>5</vt:i4>
      </vt:variant>
      <vt:variant>
        <vt:lpwstr/>
      </vt:variant>
      <vt:variant>
        <vt:lpwstr>_Toc145512496</vt:lpwstr>
      </vt:variant>
      <vt:variant>
        <vt:i4>1900593</vt:i4>
      </vt:variant>
      <vt:variant>
        <vt:i4>110</vt:i4>
      </vt:variant>
      <vt:variant>
        <vt:i4>0</vt:i4>
      </vt:variant>
      <vt:variant>
        <vt:i4>5</vt:i4>
      </vt:variant>
      <vt:variant>
        <vt:lpwstr/>
      </vt:variant>
      <vt:variant>
        <vt:lpwstr>_Toc145512495</vt:lpwstr>
      </vt:variant>
      <vt:variant>
        <vt:i4>1900593</vt:i4>
      </vt:variant>
      <vt:variant>
        <vt:i4>104</vt:i4>
      </vt:variant>
      <vt:variant>
        <vt:i4>0</vt:i4>
      </vt:variant>
      <vt:variant>
        <vt:i4>5</vt:i4>
      </vt:variant>
      <vt:variant>
        <vt:lpwstr/>
      </vt:variant>
      <vt:variant>
        <vt:lpwstr>_Toc145512494</vt:lpwstr>
      </vt:variant>
      <vt:variant>
        <vt:i4>1900593</vt:i4>
      </vt:variant>
      <vt:variant>
        <vt:i4>98</vt:i4>
      </vt:variant>
      <vt:variant>
        <vt:i4>0</vt:i4>
      </vt:variant>
      <vt:variant>
        <vt:i4>5</vt:i4>
      </vt:variant>
      <vt:variant>
        <vt:lpwstr/>
      </vt:variant>
      <vt:variant>
        <vt:lpwstr>_Toc145512493</vt:lpwstr>
      </vt:variant>
      <vt:variant>
        <vt:i4>1900593</vt:i4>
      </vt:variant>
      <vt:variant>
        <vt:i4>92</vt:i4>
      </vt:variant>
      <vt:variant>
        <vt:i4>0</vt:i4>
      </vt:variant>
      <vt:variant>
        <vt:i4>5</vt:i4>
      </vt:variant>
      <vt:variant>
        <vt:lpwstr/>
      </vt:variant>
      <vt:variant>
        <vt:lpwstr>_Toc145512492</vt:lpwstr>
      </vt:variant>
      <vt:variant>
        <vt:i4>1900593</vt:i4>
      </vt:variant>
      <vt:variant>
        <vt:i4>86</vt:i4>
      </vt:variant>
      <vt:variant>
        <vt:i4>0</vt:i4>
      </vt:variant>
      <vt:variant>
        <vt:i4>5</vt:i4>
      </vt:variant>
      <vt:variant>
        <vt:lpwstr/>
      </vt:variant>
      <vt:variant>
        <vt:lpwstr>_Toc145512491</vt:lpwstr>
      </vt:variant>
      <vt:variant>
        <vt:i4>1900593</vt:i4>
      </vt:variant>
      <vt:variant>
        <vt:i4>80</vt:i4>
      </vt:variant>
      <vt:variant>
        <vt:i4>0</vt:i4>
      </vt:variant>
      <vt:variant>
        <vt:i4>5</vt:i4>
      </vt:variant>
      <vt:variant>
        <vt:lpwstr/>
      </vt:variant>
      <vt:variant>
        <vt:lpwstr>_Toc145512490</vt:lpwstr>
      </vt:variant>
      <vt:variant>
        <vt:i4>1835057</vt:i4>
      </vt:variant>
      <vt:variant>
        <vt:i4>74</vt:i4>
      </vt:variant>
      <vt:variant>
        <vt:i4>0</vt:i4>
      </vt:variant>
      <vt:variant>
        <vt:i4>5</vt:i4>
      </vt:variant>
      <vt:variant>
        <vt:lpwstr/>
      </vt:variant>
      <vt:variant>
        <vt:lpwstr>_Toc145512489</vt:lpwstr>
      </vt:variant>
      <vt:variant>
        <vt:i4>1835057</vt:i4>
      </vt:variant>
      <vt:variant>
        <vt:i4>68</vt:i4>
      </vt:variant>
      <vt:variant>
        <vt:i4>0</vt:i4>
      </vt:variant>
      <vt:variant>
        <vt:i4>5</vt:i4>
      </vt:variant>
      <vt:variant>
        <vt:lpwstr/>
      </vt:variant>
      <vt:variant>
        <vt:lpwstr>_Toc145512488</vt:lpwstr>
      </vt:variant>
      <vt:variant>
        <vt:i4>1835057</vt:i4>
      </vt:variant>
      <vt:variant>
        <vt:i4>62</vt:i4>
      </vt:variant>
      <vt:variant>
        <vt:i4>0</vt:i4>
      </vt:variant>
      <vt:variant>
        <vt:i4>5</vt:i4>
      </vt:variant>
      <vt:variant>
        <vt:lpwstr/>
      </vt:variant>
      <vt:variant>
        <vt:lpwstr>_Toc145512487</vt:lpwstr>
      </vt:variant>
      <vt:variant>
        <vt:i4>1835057</vt:i4>
      </vt:variant>
      <vt:variant>
        <vt:i4>56</vt:i4>
      </vt:variant>
      <vt:variant>
        <vt:i4>0</vt:i4>
      </vt:variant>
      <vt:variant>
        <vt:i4>5</vt:i4>
      </vt:variant>
      <vt:variant>
        <vt:lpwstr/>
      </vt:variant>
      <vt:variant>
        <vt:lpwstr>_Toc145512486</vt:lpwstr>
      </vt:variant>
      <vt:variant>
        <vt:i4>1835057</vt:i4>
      </vt:variant>
      <vt:variant>
        <vt:i4>50</vt:i4>
      </vt:variant>
      <vt:variant>
        <vt:i4>0</vt:i4>
      </vt:variant>
      <vt:variant>
        <vt:i4>5</vt:i4>
      </vt:variant>
      <vt:variant>
        <vt:lpwstr/>
      </vt:variant>
      <vt:variant>
        <vt:lpwstr>_Toc145512485</vt:lpwstr>
      </vt:variant>
      <vt:variant>
        <vt:i4>1835057</vt:i4>
      </vt:variant>
      <vt:variant>
        <vt:i4>44</vt:i4>
      </vt:variant>
      <vt:variant>
        <vt:i4>0</vt:i4>
      </vt:variant>
      <vt:variant>
        <vt:i4>5</vt:i4>
      </vt:variant>
      <vt:variant>
        <vt:lpwstr/>
      </vt:variant>
      <vt:variant>
        <vt:lpwstr>_Toc145512484</vt:lpwstr>
      </vt:variant>
      <vt:variant>
        <vt:i4>1835057</vt:i4>
      </vt:variant>
      <vt:variant>
        <vt:i4>38</vt:i4>
      </vt:variant>
      <vt:variant>
        <vt:i4>0</vt:i4>
      </vt:variant>
      <vt:variant>
        <vt:i4>5</vt:i4>
      </vt:variant>
      <vt:variant>
        <vt:lpwstr/>
      </vt:variant>
      <vt:variant>
        <vt:lpwstr>_Toc145512483</vt:lpwstr>
      </vt:variant>
      <vt:variant>
        <vt:i4>1835057</vt:i4>
      </vt:variant>
      <vt:variant>
        <vt:i4>32</vt:i4>
      </vt:variant>
      <vt:variant>
        <vt:i4>0</vt:i4>
      </vt:variant>
      <vt:variant>
        <vt:i4>5</vt:i4>
      </vt:variant>
      <vt:variant>
        <vt:lpwstr/>
      </vt:variant>
      <vt:variant>
        <vt:lpwstr>_Toc145512482</vt:lpwstr>
      </vt:variant>
      <vt:variant>
        <vt:i4>1835057</vt:i4>
      </vt:variant>
      <vt:variant>
        <vt:i4>26</vt:i4>
      </vt:variant>
      <vt:variant>
        <vt:i4>0</vt:i4>
      </vt:variant>
      <vt:variant>
        <vt:i4>5</vt:i4>
      </vt:variant>
      <vt:variant>
        <vt:lpwstr/>
      </vt:variant>
      <vt:variant>
        <vt:lpwstr>_Toc145512481</vt:lpwstr>
      </vt:variant>
      <vt:variant>
        <vt:i4>1835057</vt:i4>
      </vt:variant>
      <vt:variant>
        <vt:i4>20</vt:i4>
      </vt:variant>
      <vt:variant>
        <vt:i4>0</vt:i4>
      </vt:variant>
      <vt:variant>
        <vt:i4>5</vt:i4>
      </vt:variant>
      <vt:variant>
        <vt:lpwstr/>
      </vt:variant>
      <vt:variant>
        <vt:lpwstr>_Toc145512480</vt:lpwstr>
      </vt:variant>
      <vt:variant>
        <vt:i4>1245233</vt:i4>
      </vt:variant>
      <vt:variant>
        <vt:i4>14</vt:i4>
      </vt:variant>
      <vt:variant>
        <vt:i4>0</vt:i4>
      </vt:variant>
      <vt:variant>
        <vt:i4>5</vt:i4>
      </vt:variant>
      <vt:variant>
        <vt:lpwstr/>
      </vt:variant>
      <vt:variant>
        <vt:lpwstr>_Toc145512479</vt:lpwstr>
      </vt:variant>
      <vt:variant>
        <vt:i4>1245233</vt:i4>
      </vt:variant>
      <vt:variant>
        <vt:i4>8</vt:i4>
      </vt:variant>
      <vt:variant>
        <vt:i4>0</vt:i4>
      </vt:variant>
      <vt:variant>
        <vt:i4>5</vt:i4>
      </vt:variant>
      <vt:variant>
        <vt:lpwstr/>
      </vt:variant>
      <vt:variant>
        <vt:lpwstr>_Toc145512478</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6815862</vt:i4>
      </vt:variant>
      <vt:variant>
        <vt:i4>30</vt:i4>
      </vt:variant>
      <vt:variant>
        <vt:i4>0</vt:i4>
      </vt:variant>
      <vt:variant>
        <vt:i4>5</vt:i4>
      </vt:variant>
      <vt:variant>
        <vt:lpwstr>https://www.health.gov.au/resources/publications/national-dust-disease-taskforce-consultation-synthesis?language=en</vt:lpwstr>
      </vt:variant>
      <vt:variant>
        <vt:lpwstr/>
      </vt:variant>
      <vt:variant>
        <vt:i4>4653134</vt:i4>
      </vt:variant>
      <vt:variant>
        <vt:i4>27</vt:i4>
      </vt:variant>
      <vt:variant>
        <vt:i4>0</vt:i4>
      </vt:variant>
      <vt:variant>
        <vt:i4>5</vt:i4>
      </vt:variant>
      <vt:variant>
        <vt:lpwstr>https://www.health.gov.au/resources/publications/national-dust-disease-taskforce-final-report?language=en</vt:lpwstr>
      </vt:variant>
      <vt:variant>
        <vt:lpwstr/>
      </vt:variant>
      <vt:variant>
        <vt:i4>6750321</vt:i4>
      </vt:variant>
      <vt:variant>
        <vt:i4>24</vt:i4>
      </vt:variant>
      <vt:variant>
        <vt:i4>0</vt:i4>
      </vt:variant>
      <vt:variant>
        <vt:i4>5</vt:i4>
      </vt:variant>
      <vt:variant>
        <vt:lpwstr>https://www.health.gov.au/resources/publications/national-dust-disease-taskforce-interim-advice-to-minister-for-health?language=en</vt:lpwstr>
      </vt:variant>
      <vt:variant>
        <vt:lpwstr/>
      </vt:variant>
      <vt:variant>
        <vt:i4>5308430</vt:i4>
      </vt:variant>
      <vt:variant>
        <vt:i4>21</vt:i4>
      </vt:variant>
      <vt:variant>
        <vt:i4>0</vt:i4>
      </vt:variant>
      <vt:variant>
        <vt:i4>5</vt:i4>
      </vt:variant>
      <vt:variant>
        <vt:lpwstr>https://www.accc.gov.au/system/files/public-registers/documents/Australian Engineered Stone Advisory Group %28AESAG%29 - Application Received - 29.11.19 - PR VERSION.pdf</vt:lpwstr>
      </vt:variant>
      <vt:variant>
        <vt:lpwstr/>
      </vt:variant>
      <vt:variant>
        <vt:i4>6094853</vt:i4>
      </vt:variant>
      <vt:variant>
        <vt:i4>18</vt:i4>
      </vt:variant>
      <vt:variant>
        <vt:i4>0</vt:i4>
      </vt:variant>
      <vt:variant>
        <vt:i4>5</vt:i4>
      </vt:variant>
      <vt:variant>
        <vt:lpwstr>https://www.parliament.nsw.gov.au/tp/files/82197/Report No. 80 - 2021 Review of the Dust Diseases Scheme.pdf</vt:lpwstr>
      </vt:variant>
      <vt:variant>
        <vt:lpwstr/>
      </vt:variant>
      <vt:variant>
        <vt:i4>4653134</vt:i4>
      </vt:variant>
      <vt:variant>
        <vt:i4>15</vt:i4>
      </vt:variant>
      <vt:variant>
        <vt:i4>0</vt:i4>
      </vt:variant>
      <vt:variant>
        <vt:i4>5</vt:i4>
      </vt:variant>
      <vt:variant>
        <vt:lpwstr>https://www.health.gov.au/resources/publications/national-dust-disease-taskforce-final-report?language=en</vt:lpwstr>
      </vt:variant>
      <vt:variant>
        <vt:lpwstr/>
      </vt:variant>
      <vt:variant>
        <vt:i4>458833</vt:i4>
      </vt:variant>
      <vt:variant>
        <vt:i4>12</vt:i4>
      </vt:variant>
      <vt:variant>
        <vt:i4>0</vt:i4>
      </vt:variant>
      <vt:variant>
        <vt:i4>5</vt:i4>
      </vt:variant>
      <vt:variant>
        <vt:lpwstr>https://www.health.gov.au/committees-and-groups/national-dust-disease-taskforce</vt:lpwstr>
      </vt:variant>
      <vt:variant>
        <vt:lpwstr>:~:text=Findings%20and%20publications-,Role,risk%20from%20occupational%20dust%20disease</vt:lpwstr>
      </vt:variant>
      <vt:variant>
        <vt:i4>5767194</vt:i4>
      </vt:variant>
      <vt:variant>
        <vt:i4>9</vt:i4>
      </vt:variant>
      <vt:variant>
        <vt:i4>0</vt:i4>
      </vt:variant>
      <vt:variant>
        <vt:i4>5</vt:i4>
      </vt:variant>
      <vt:variant>
        <vt:lpwstr>https://engage.swa.gov.au/prohibition-on-the-use-of-engineered-stone</vt:lpwstr>
      </vt:variant>
      <vt:variant>
        <vt:lpwstr/>
      </vt:variant>
      <vt:variant>
        <vt:i4>7995516</vt:i4>
      </vt:variant>
      <vt:variant>
        <vt:i4>6</vt:i4>
      </vt:variant>
      <vt:variant>
        <vt:i4>0</vt:i4>
      </vt:variant>
      <vt:variant>
        <vt:i4>5</vt:i4>
      </vt:variant>
      <vt:variant>
        <vt:lpwstr>https://engage.swa.gov.au/cris-managing-the-risks-of-respirable-crystalline-silica</vt:lpwstr>
      </vt:variant>
      <vt:variant>
        <vt:lpwstr/>
      </vt:variant>
      <vt:variant>
        <vt:i4>6422627</vt:i4>
      </vt:variant>
      <vt:variant>
        <vt:i4>3</vt:i4>
      </vt:variant>
      <vt:variant>
        <vt:i4>0</vt:i4>
      </vt:variant>
      <vt:variant>
        <vt:i4>5</vt:i4>
      </vt:variant>
      <vt:variant>
        <vt:lpwstr>https://www.dewr.gov.au/work-health-and-safety/resources/work-health-and-safety-ministers-meeting-28-february-2023</vt:lpwstr>
      </vt:variant>
      <vt:variant>
        <vt:lpwstr/>
      </vt:variant>
      <vt:variant>
        <vt:i4>7864417</vt:i4>
      </vt:variant>
      <vt:variant>
        <vt:i4>0</vt:i4>
      </vt:variant>
      <vt:variant>
        <vt:i4>0</vt:i4>
      </vt:variant>
      <vt:variant>
        <vt:i4>5</vt:i4>
      </vt:variant>
      <vt:variant>
        <vt:lpwstr>https://www.safeworkaustralia.gov.au/law-and-regulation/model-whs-laws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2024-11-06T05:53:00Z</dcterms:created>
  <dcterms:modified xsi:type="dcterms:W3CDTF">2024-11-06T05:53:00Z</dcterms:modified>
</cp:coreProperties>
</file>