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7990" w14:textId="77777777" w:rsidR="001E2EFC" w:rsidRDefault="001E2EFC" w:rsidP="00786081">
      <w:pPr>
        <w:spacing w:after="120"/>
        <w:ind w:left="-1134"/>
        <w:rPr>
          <w:sz w:val="2"/>
          <w:szCs w:val="2"/>
        </w:rPr>
      </w:pPr>
      <w:bookmarkStart w:id="0" w:name="PM"/>
      <w:bookmarkStart w:id="1" w:name="_GoBack"/>
      <w:bookmarkEnd w:id="0"/>
      <w:bookmarkEnd w:id="1"/>
    </w:p>
    <w:p w14:paraId="091D8052" w14:textId="77777777" w:rsidR="003A64FB" w:rsidRPr="00765BC3" w:rsidRDefault="003A64FB" w:rsidP="00786081">
      <w:pPr>
        <w:spacing w:after="120"/>
        <w:ind w:left="-1134"/>
        <w:rPr>
          <w:sz w:val="2"/>
          <w:szCs w:val="2"/>
        </w:rPr>
      </w:pPr>
    </w:p>
    <w:p w14:paraId="44147030" w14:textId="77777777" w:rsidR="007B24E7" w:rsidRPr="007B24E7" w:rsidRDefault="00DE3E5F" w:rsidP="007B24E7">
      <w:pPr>
        <w:pStyle w:val="Protection"/>
      </w:pPr>
      <w:sdt>
        <w:sdtPr>
          <w:alias w:val="IMM"/>
          <w:tag w:val="DLM"/>
          <w:id w:val="-1234084015"/>
          <w:placeholder>
            <w:docPart w:val="EA24A2860FA54BFDBD191829523B4F20"/>
          </w:placeholder>
          <w:dataBinding w:prefixMappings="xmlns:ns0='http://DIBP/Minute' " w:xpath="/ns0:Minute_Root[1]/ns0:dlm[1]" w:storeItemID="{00000000-0000-0000-0000-000000000000}"/>
          <w:text/>
        </w:sdtPr>
        <w:sdtEndPr/>
        <w:sdtContent>
          <w:r w:rsidR="00D153DE">
            <w:t xml:space="preserve">  </w:t>
          </w:r>
        </w:sdtContent>
      </w:sdt>
    </w:p>
    <w:p w14:paraId="5F20CA56" w14:textId="3091A11B" w:rsidR="00FD52CC" w:rsidRDefault="00FD52CC" w:rsidP="00FD52CC">
      <w:pPr>
        <w:pStyle w:val="Title"/>
        <w:rPr>
          <w:rFonts w:ascii="Arial" w:hAnsi="Arial"/>
          <w:color w:val="284B98"/>
        </w:rPr>
      </w:pPr>
      <w:bookmarkStart w:id="2" w:name="_Toc176182523"/>
      <w:bookmarkStart w:id="3" w:name="_Toc176183152"/>
      <w:bookmarkStart w:id="4" w:name="_Toc176183918"/>
      <w:r w:rsidRPr="004A4460">
        <w:rPr>
          <w:rFonts w:ascii="Arial" w:hAnsi="Arial"/>
          <w:color w:val="284B98"/>
        </w:rPr>
        <w:t xml:space="preserve">Amendments to the </w:t>
      </w:r>
      <w:r w:rsidRPr="004A4460">
        <w:rPr>
          <w:rFonts w:ascii="Arial" w:hAnsi="Arial"/>
          <w:i/>
          <w:iCs/>
          <w:color w:val="284B98"/>
        </w:rPr>
        <w:t>Security of Critical Infrastructure Act 2018</w:t>
      </w:r>
      <w:r w:rsidRPr="004A4460">
        <w:rPr>
          <w:rFonts w:ascii="Arial" w:hAnsi="Arial"/>
          <w:color w:val="284B98"/>
        </w:rPr>
        <w:t xml:space="preserve"> (Cth): Impact Analysis</w:t>
      </w:r>
      <w:bookmarkEnd w:id="2"/>
      <w:bookmarkEnd w:id="3"/>
      <w:bookmarkEnd w:id="4"/>
    </w:p>
    <w:p w14:paraId="07FF2A79" w14:textId="77777777" w:rsidR="00FD52CC" w:rsidRDefault="00FD52CC" w:rsidP="00FD52CC">
      <w:pPr>
        <w:pStyle w:val="BodyText"/>
      </w:pPr>
    </w:p>
    <w:p w14:paraId="630D26A4" w14:textId="0A5B31E8" w:rsidR="00FD52CC" w:rsidRPr="000B5219" w:rsidRDefault="00FD52CC" w:rsidP="00FD52CC">
      <w:pPr>
        <w:pStyle w:val="Heading1"/>
        <w:rPr>
          <w:rFonts w:ascii="Arial" w:hAnsi="Arial"/>
          <w:sz w:val="32"/>
          <w:szCs w:val="32"/>
        </w:rPr>
      </w:pPr>
      <w:bookmarkStart w:id="5" w:name="_Toc159824332"/>
      <w:bookmarkStart w:id="6" w:name="_Toc162527616"/>
      <w:bookmarkStart w:id="7" w:name="_Toc164683816"/>
      <w:bookmarkStart w:id="8" w:name="_Toc176182524"/>
      <w:bookmarkStart w:id="9" w:name="_Toc176183153"/>
      <w:bookmarkStart w:id="10" w:name="_Toc176183919"/>
      <w:r w:rsidRPr="0F4123AB">
        <w:rPr>
          <w:rFonts w:ascii="Arial" w:hAnsi="Arial"/>
          <w:sz w:val="32"/>
          <w:szCs w:val="32"/>
        </w:rPr>
        <w:t>Note on this Impact Analysis:</w:t>
      </w:r>
      <w:bookmarkEnd w:id="5"/>
      <w:bookmarkEnd w:id="6"/>
      <w:bookmarkEnd w:id="7"/>
      <w:bookmarkEnd w:id="8"/>
      <w:bookmarkEnd w:id="9"/>
      <w:bookmarkEnd w:id="10"/>
    </w:p>
    <w:p w14:paraId="0A9054BF" w14:textId="77777777" w:rsidR="00FD52CC" w:rsidRDefault="00FD52CC" w:rsidP="00FD52CC">
      <w:pPr>
        <w:rPr>
          <w:rFonts w:ascii="Arial" w:hAnsi="Arial" w:cs="Arial"/>
          <w:szCs w:val="20"/>
        </w:rPr>
      </w:pPr>
      <w:r w:rsidRPr="591A7590">
        <w:rPr>
          <w:rFonts w:ascii="Arial" w:hAnsi="Arial" w:cs="Arial"/>
          <w:szCs w:val="20"/>
        </w:rPr>
        <w:t xml:space="preserve">This document examines the case for reforms to the </w:t>
      </w:r>
      <w:r w:rsidRPr="591A7590">
        <w:rPr>
          <w:rFonts w:ascii="Arial" w:hAnsi="Arial" w:cs="Arial"/>
          <w:i/>
          <w:iCs/>
          <w:szCs w:val="20"/>
        </w:rPr>
        <w:t>Security of Critical Infrastructure Act 2018</w:t>
      </w:r>
      <w:r w:rsidRPr="591A7590">
        <w:rPr>
          <w:rFonts w:ascii="Arial" w:hAnsi="Arial" w:cs="Arial"/>
          <w:szCs w:val="20"/>
        </w:rPr>
        <w:t xml:space="preserve"> (Cth), including the related costs and benefits of three viable options. It assesses the estimated regulatory impact of all options, with a particular focus on the regulatory option (being Option 2). </w:t>
      </w:r>
    </w:p>
    <w:p w14:paraId="5E0FDDD4" w14:textId="77777777" w:rsidR="006C204C" w:rsidRDefault="006C204C" w:rsidP="00FD52CC">
      <w:pPr>
        <w:rPr>
          <w:rFonts w:ascii="Arial" w:hAnsi="Arial" w:cs="Arial"/>
          <w:szCs w:val="20"/>
        </w:rPr>
      </w:pPr>
    </w:p>
    <w:p w14:paraId="21BE01EF" w14:textId="77777777" w:rsidR="00FD52CC" w:rsidRDefault="00FD52CC" w:rsidP="4573C637">
      <w:pPr>
        <w:rPr>
          <w:rFonts w:ascii="Arial" w:hAnsi="Arial" w:cs="Arial"/>
        </w:rPr>
      </w:pPr>
      <w:r w:rsidRPr="4573C637">
        <w:rPr>
          <w:rFonts w:ascii="Arial" w:hAnsi="Arial" w:cs="Arial"/>
        </w:rPr>
        <w:t>Industry consultation using a draft of this document has been conducted by the Department of Home Affairs to seek feedback on the impact of these reforms. This process aimed to provide transparency on the government’s decision-making process and enabled regulatory impacts of options under consideration to be tested with stakeholders</w:t>
      </w:r>
      <w:r w:rsidR="0717935A" w:rsidRPr="4573C637">
        <w:rPr>
          <w:rFonts w:ascii="Arial" w:hAnsi="Arial" w:cs="Arial"/>
        </w:rPr>
        <w:t xml:space="preserve">. </w:t>
      </w:r>
    </w:p>
    <w:p w14:paraId="115CE13A" w14:textId="77777777" w:rsidR="006C204C" w:rsidRDefault="006C204C" w:rsidP="4573C637">
      <w:pPr>
        <w:rPr>
          <w:rFonts w:ascii="Arial" w:hAnsi="Arial" w:cs="Arial"/>
        </w:rPr>
      </w:pPr>
    </w:p>
    <w:p w14:paraId="333938C6" w14:textId="77777777" w:rsidR="00FD52CC" w:rsidRDefault="00FD52CC" w:rsidP="00FD52CC">
      <w:pPr>
        <w:rPr>
          <w:rFonts w:ascii="Arial" w:hAnsi="Arial" w:cs="Arial"/>
          <w:szCs w:val="20"/>
        </w:rPr>
      </w:pPr>
      <w:r w:rsidRPr="2751A91B">
        <w:rPr>
          <w:rFonts w:ascii="Arial" w:hAnsi="Arial" w:cs="Arial"/>
          <w:szCs w:val="20"/>
        </w:rPr>
        <w:t xml:space="preserve">This </w:t>
      </w:r>
      <w:r>
        <w:rPr>
          <w:rFonts w:ascii="Arial" w:hAnsi="Arial" w:cs="Arial"/>
          <w:szCs w:val="20"/>
        </w:rPr>
        <w:t>consultation</w:t>
      </w:r>
      <w:r w:rsidRPr="2751A91B">
        <w:rPr>
          <w:rFonts w:ascii="Arial" w:hAnsi="Arial" w:cs="Arial"/>
          <w:szCs w:val="20"/>
        </w:rPr>
        <w:t xml:space="preserve"> did not seek submissions on the suitability of the policy options considered or alternative approaches. These matters have been separately considered by the Department, </w:t>
      </w:r>
      <w:r>
        <w:rPr>
          <w:rFonts w:ascii="Arial" w:hAnsi="Arial" w:cs="Arial"/>
          <w:szCs w:val="20"/>
        </w:rPr>
        <w:t>which</w:t>
      </w:r>
      <w:r w:rsidRPr="2751A91B">
        <w:rPr>
          <w:rFonts w:ascii="Arial" w:hAnsi="Arial" w:cs="Arial"/>
          <w:szCs w:val="20"/>
        </w:rPr>
        <w:t xml:space="preserve"> consult</w:t>
      </w:r>
      <w:r>
        <w:rPr>
          <w:rFonts w:ascii="Arial" w:hAnsi="Arial" w:cs="Arial"/>
          <w:szCs w:val="20"/>
        </w:rPr>
        <w:t>ed</w:t>
      </w:r>
      <w:r w:rsidRPr="2751A91B">
        <w:rPr>
          <w:rFonts w:ascii="Arial" w:hAnsi="Arial" w:cs="Arial"/>
          <w:szCs w:val="20"/>
        </w:rPr>
        <w:t xml:space="preserve"> with key stakeholders to support the resolution of these issues. </w:t>
      </w:r>
    </w:p>
    <w:p w14:paraId="3543E171" w14:textId="77777777" w:rsidR="006C204C" w:rsidRDefault="006C204C" w:rsidP="00FD52CC">
      <w:pPr>
        <w:rPr>
          <w:rFonts w:ascii="Arial" w:hAnsi="Arial" w:cs="Arial"/>
          <w:szCs w:val="20"/>
        </w:rPr>
      </w:pPr>
    </w:p>
    <w:p w14:paraId="082C79E8" w14:textId="7B0EB2C6" w:rsidR="00FD52CC" w:rsidRDefault="00FD52CC" w:rsidP="00FD52CC">
      <w:pPr>
        <w:rPr>
          <w:rFonts w:ascii="Arial" w:hAnsi="Arial" w:cs="Arial"/>
          <w:szCs w:val="20"/>
        </w:rPr>
      </w:pPr>
      <w:r w:rsidRPr="3A9E9E7F">
        <w:rPr>
          <w:rFonts w:ascii="Arial" w:hAnsi="Arial" w:cs="Arial"/>
          <w:szCs w:val="20"/>
        </w:rPr>
        <w:t xml:space="preserve">Consistent with Australian Government and Office of Impact Analysis guidelines, </w:t>
      </w:r>
      <w:r w:rsidR="00A45AFE">
        <w:rPr>
          <w:rFonts w:ascii="Arial" w:hAnsi="Arial" w:cs="Arial"/>
          <w:szCs w:val="20"/>
        </w:rPr>
        <w:t xml:space="preserve">this Impact Analysis has been completed </w:t>
      </w:r>
      <w:r w:rsidR="003C11D9">
        <w:rPr>
          <w:rFonts w:ascii="Arial" w:hAnsi="Arial" w:cs="Arial"/>
          <w:szCs w:val="20"/>
        </w:rPr>
        <w:t xml:space="preserve">prior to the introduction of a Bill. </w:t>
      </w:r>
      <w:r w:rsidRPr="3A9E9E7F">
        <w:rPr>
          <w:rFonts w:ascii="Arial" w:hAnsi="Arial" w:cs="Arial"/>
          <w:szCs w:val="20"/>
        </w:rPr>
        <w:t xml:space="preserve"> </w:t>
      </w:r>
    </w:p>
    <w:p w14:paraId="2D4D6232" w14:textId="77777777" w:rsidR="00FD52CC" w:rsidRDefault="00FD52CC" w:rsidP="00FD52CC">
      <w:pPr>
        <w:pStyle w:val="BodyText"/>
      </w:pPr>
    </w:p>
    <w:p w14:paraId="665734F1" w14:textId="77777777" w:rsidR="00532085" w:rsidRDefault="00FD52CC">
      <w:pPr>
        <w:spacing w:before="80" w:after="80"/>
        <w:rPr>
          <w:noProof/>
        </w:rPr>
      </w:pPr>
      <w:r>
        <w:br w:type="page"/>
      </w:r>
      <w:r w:rsidR="00532085">
        <w:lastRenderedPageBreak/>
        <w:fldChar w:fldCharType="begin"/>
      </w:r>
      <w:r w:rsidR="00532085">
        <w:instrText xml:space="preserve"> TOC \o "1-2" \h \z \u </w:instrText>
      </w:r>
      <w:r w:rsidR="00532085">
        <w:fldChar w:fldCharType="separate"/>
      </w:r>
    </w:p>
    <w:p w14:paraId="452D4F04" w14:textId="17CBCB7C" w:rsidR="00532085" w:rsidRDefault="00DE3E5F">
      <w:pPr>
        <w:pStyle w:val="TOC1"/>
        <w:rPr>
          <w:rFonts w:eastAsiaTheme="minorEastAsia"/>
          <w:b w:val="0"/>
          <w:sz w:val="22"/>
          <w:lang w:eastAsia="en-AU"/>
        </w:rPr>
      </w:pPr>
      <w:hyperlink w:anchor="_Toc176183920" w:history="1">
        <w:r w:rsidR="00532085" w:rsidRPr="00736F4D">
          <w:rPr>
            <w:rStyle w:val="Hyperlink"/>
            <w:rFonts w:ascii="Arial" w:hAnsi="Arial"/>
          </w:rPr>
          <w:t>I.</w:t>
        </w:r>
        <w:r w:rsidR="00532085">
          <w:rPr>
            <w:rFonts w:eastAsiaTheme="minorEastAsia"/>
            <w:b w:val="0"/>
            <w:sz w:val="22"/>
            <w:lang w:eastAsia="en-AU"/>
          </w:rPr>
          <w:tab/>
        </w:r>
        <w:r w:rsidR="00532085" w:rsidRPr="00736F4D">
          <w:rPr>
            <w:rStyle w:val="Hyperlink"/>
            <w:rFonts w:ascii="Arial" w:hAnsi="Arial"/>
          </w:rPr>
          <w:t>Executive summary</w:t>
        </w:r>
        <w:r w:rsidR="00532085">
          <w:rPr>
            <w:webHidden/>
          </w:rPr>
          <w:tab/>
        </w:r>
        <w:r w:rsidR="00532085">
          <w:rPr>
            <w:webHidden/>
          </w:rPr>
          <w:fldChar w:fldCharType="begin"/>
        </w:r>
        <w:r w:rsidR="00532085">
          <w:rPr>
            <w:webHidden/>
          </w:rPr>
          <w:instrText xml:space="preserve"> PAGEREF _Toc176183920 \h </w:instrText>
        </w:r>
        <w:r w:rsidR="00532085">
          <w:rPr>
            <w:webHidden/>
          </w:rPr>
        </w:r>
        <w:r w:rsidR="00532085">
          <w:rPr>
            <w:webHidden/>
          </w:rPr>
          <w:fldChar w:fldCharType="separate"/>
        </w:r>
        <w:r w:rsidR="00E8506B">
          <w:rPr>
            <w:webHidden/>
          </w:rPr>
          <w:t>3</w:t>
        </w:r>
        <w:r w:rsidR="00532085">
          <w:rPr>
            <w:webHidden/>
          </w:rPr>
          <w:fldChar w:fldCharType="end"/>
        </w:r>
      </w:hyperlink>
    </w:p>
    <w:p w14:paraId="763D1581" w14:textId="0A09D36B" w:rsidR="00532085" w:rsidRDefault="00DE3E5F">
      <w:pPr>
        <w:pStyle w:val="TOC1"/>
        <w:rPr>
          <w:rFonts w:eastAsiaTheme="minorEastAsia"/>
          <w:b w:val="0"/>
          <w:sz w:val="22"/>
          <w:lang w:eastAsia="en-AU"/>
        </w:rPr>
      </w:pPr>
      <w:hyperlink w:anchor="_Toc176183921" w:history="1">
        <w:r w:rsidR="00532085" w:rsidRPr="00736F4D">
          <w:rPr>
            <w:rStyle w:val="Hyperlink"/>
            <w:rFonts w:ascii="Arial" w:hAnsi="Arial"/>
          </w:rPr>
          <w:t>II.</w:t>
        </w:r>
        <w:r w:rsidR="00532085">
          <w:rPr>
            <w:rFonts w:eastAsiaTheme="minorEastAsia"/>
            <w:b w:val="0"/>
            <w:sz w:val="22"/>
            <w:lang w:eastAsia="en-AU"/>
          </w:rPr>
          <w:tab/>
        </w:r>
        <w:r w:rsidR="00532085" w:rsidRPr="00736F4D">
          <w:rPr>
            <w:rStyle w:val="Hyperlink"/>
            <w:rFonts w:ascii="Arial" w:hAnsi="Arial"/>
          </w:rPr>
          <w:t>Introduction</w:t>
        </w:r>
        <w:r w:rsidR="00532085">
          <w:rPr>
            <w:webHidden/>
          </w:rPr>
          <w:tab/>
        </w:r>
        <w:r w:rsidR="00532085">
          <w:rPr>
            <w:webHidden/>
          </w:rPr>
          <w:fldChar w:fldCharType="begin"/>
        </w:r>
        <w:r w:rsidR="00532085">
          <w:rPr>
            <w:webHidden/>
          </w:rPr>
          <w:instrText xml:space="preserve"> PAGEREF _Toc176183921 \h </w:instrText>
        </w:r>
        <w:r w:rsidR="00532085">
          <w:rPr>
            <w:webHidden/>
          </w:rPr>
        </w:r>
        <w:r w:rsidR="00532085">
          <w:rPr>
            <w:webHidden/>
          </w:rPr>
          <w:fldChar w:fldCharType="separate"/>
        </w:r>
        <w:r w:rsidR="00E8506B">
          <w:rPr>
            <w:webHidden/>
          </w:rPr>
          <w:t>6</w:t>
        </w:r>
        <w:r w:rsidR="00532085">
          <w:rPr>
            <w:webHidden/>
          </w:rPr>
          <w:fldChar w:fldCharType="end"/>
        </w:r>
      </w:hyperlink>
    </w:p>
    <w:p w14:paraId="1C5A2564" w14:textId="45E4F68B" w:rsidR="00532085" w:rsidRDefault="00DE3E5F">
      <w:pPr>
        <w:pStyle w:val="TOC1"/>
        <w:rPr>
          <w:rFonts w:eastAsiaTheme="minorEastAsia"/>
          <w:b w:val="0"/>
          <w:sz w:val="22"/>
          <w:lang w:eastAsia="en-AU"/>
        </w:rPr>
      </w:pPr>
      <w:hyperlink w:anchor="_Toc176183924" w:history="1">
        <w:r w:rsidR="00532085" w:rsidRPr="00736F4D">
          <w:rPr>
            <w:rStyle w:val="Hyperlink"/>
            <w:rFonts w:ascii="Arial" w:hAnsi="Arial"/>
          </w:rPr>
          <w:t>1.</w:t>
        </w:r>
        <w:r w:rsidR="00532085">
          <w:rPr>
            <w:rFonts w:eastAsiaTheme="minorEastAsia"/>
            <w:b w:val="0"/>
            <w:sz w:val="22"/>
            <w:lang w:eastAsia="en-AU"/>
          </w:rPr>
          <w:tab/>
        </w:r>
        <w:r w:rsidR="00532085" w:rsidRPr="00736F4D">
          <w:rPr>
            <w:rStyle w:val="Hyperlink"/>
            <w:rFonts w:ascii="Arial" w:hAnsi="Arial"/>
          </w:rPr>
          <w:t>What is the policy problem you are trying to solve and what data is available?</w:t>
        </w:r>
        <w:r w:rsidR="00532085">
          <w:rPr>
            <w:webHidden/>
          </w:rPr>
          <w:tab/>
        </w:r>
        <w:r w:rsidR="00532085">
          <w:rPr>
            <w:webHidden/>
          </w:rPr>
          <w:fldChar w:fldCharType="begin"/>
        </w:r>
        <w:r w:rsidR="00532085">
          <w:rPr>
            <w:webHidden/>
          </w:rPr>
          <w:instrText xml:space="preserve"> PAGEREF _Toc176183924 \h </w:instrText>
        </w:r>
        <w:r w:rsidR="00532085">
          <w:rPr>
            <w:webHidden/>
          </w:rPr>
        </w:r>
        <w:r w:rsidR="00532085">
          <w:rPr>
            <w:webHidden/>
          </w:rPr>
          <w:fldChar w:fldCharType="separate"/>
        </w:r>
        <w:r w:rsidR="00E8506B">
          <w:rPr>
            <w:webHidden/>
          </w:rPr>
          <w:t>9</w:t>
        </w:r>
        <w:r w:rsidR="00532085">
          <w:rPr>
            <w:webHidden/>
          </w:rPr>
          <w:fldChar w:fldCharType="end"/>
        </w:r>
      </w:hyperlink>
    </w:p>
    <w:p w14:paraId="4959200E" w14:textId="67E6AF6F" w:rsidR="00532085" w:rsidRDefault="00DE3E5F">
      <w:pPr>
        <w:pStyle w:val="TOC2"/>
        <w:rPr>
          <w:rFonts w:eastAsiaTheme="minorEastAsia"/>
          <w:sz w:val="22"/>
          <w:lang w:eastAsia="en-AU"/>
        </w:rPr>
      </w:pPr>
      <w:hyperlink w:anchor="_Toc176183925" w:history="1">
        <w:r w:rsidR="00532085" w:rsidRPr="00736F4D">
          <w:rPr>
            <w:rStyle w:val="Hyperlink"/>
            <w:rFonts w:ascii="Arial" w:hAnsi="Arial"/>
          </w:rPr>
          <w:t>1.1 Growing number of cyber incidents which impact non-operational data storage systems held by critical infrastructure entities.</w:t>
        </w:r>
        <w:r w:rsidR="00532085">
          <w:rPr>
            <w:webHidden/>
          </w:rPr>
          <w:tab/>
        </w:r>
        <w:r w:rsidR="00532085">
          <w:rPr>
            <w:webHidden/>
          </w:rPr>
          <w:fldChar w:fldCharType="begin"/>
        </w:r>
        <w:r w:rsidR="00532085">
          <w:rPr>
            <w:webHidden/>
          </w:rPr>
          <w:instrText xml:space="preserve"> PAGEREF _Toc176183925 \h </w:instrText>
        </w:r>
        <w:r w:rsidR="00532085">
          <w:rPr>
            <w:webHidden/>
          </w:rPr>
        </w:r>
        <w:r w:rsidR="00532085">
          <w:rPr>
            <w:webHidden/>
          </w:rPr>
          <w:fldChar w:fldCharType="separate"/>
        </w:r>
        <w:r w:rsidR="00E8506B">
          <w:rPr>
            <w:webHidden/>
          </w:rPr>
          <w:t>14</w:t>
        </w:r>
        <w:r w:rsidR="00532085">
          <w:rPr>
            <w:webHidden/>
          </w:rPr>
          <w:fldChar w:fldCharType="end"/>
        </w:r>
      </w:hyperlink>
    </w:p>
    <w:p w14:paraId="7B2F91CC" w14:textId="4B7D792B" w:rsidR="00532085" w:rsidRDefault="00DE3E5F">
      <w:pPr>
        <w:pStyle w:val="TOC2"/>
        <w:rPr>
          <w:rFonts w:eastAsiaTheme="minorEastAsia"/>
          <w:sz w:val="22"/>
          <w:lang w:eastAsia="en-AU"/>
        </w:rPr>
      </w:pPr>
      <w:hyperlink w:anchor="_Toc176183926" w:history="1">
        <w:r w:rsidR="00532085" w:rsidRPr="00736F4D">
          <w:rPr>
            <w:rStyle w:val="Hyperlink"/>
            <w:rFonts w:ascii="Arial" w:hAnsi="Arial"/>
          </w:rPr>
          <w:t>1.2 Businesses face difficulties responding effectively in the aftermath of an incident</w:t>
        </w:r>
        <w:r w:rsidR="00532085">
          <w:rPr>
            <w:webHidden/>
          </w:rPr>
          <w:tab/>
        </w:r>
        <w:r w:rsidR="00532085">
          <w:rPr>
            <w:webHidden/>
          </w:rPr>
          <w:fldChar w:fldCharType="begin"/>
        </w:r>
        <w:r w:rsidR="00532085">
          <w:rPr>
            <w:webHidden/>
          </w:rPr>
          <w:instrText xml:space="preserve"> PAGEREF _Toc176183926 \h </w:instrText>
        </w:r>
        <w:r w:rsidR="00532085">
          <w:rPr>
            <w:webHidden/>
          </w:rPr>
        </w:r>
        <w:r w:rsidR="00532085">
          <w:rPr>
            <w:webHidden/>
          </w:rPr>
          <w:fldChar w:fldCharType="separate"/>
        </w:r>
        <w:r w:rsidR="00E8506B">
          <w:rPr>
            <w:webHidden/>
          </w:rPr>
          <w:t>16</w:t>
        </w:r>
        <w:r w:rsidR="00532085">
          <w:rPr>
            <w:webHidden/>
          </w:rPr>
          <w:fldChar w:fldCharType="end"/>
        </w:r>
      </w:hyperlink>
    </w:p>
    <w:p w14:paraId="6AF941B5" w14:textId="7D947B1B" w:rsidR="00532085" w:rsidRDefault="00DE3E5F">
      <w:pPr>
        <w:pStyle w:val="TOC2"/>
        <w:rPr>
          <w:rFonts w:eastAsiaTheme="minorEastAsia"/>
          <w:sz w:val="22"/>
          <w:lang w:eastAsia="en-AU"/>
        </w:rPr>
      </w:pPr>
      <w:hyperlink w:anchor="_Toc176183927" w:history="1">
        <w:r w:rsidR="00532085" w:rsidRPr="00736F4D">
          <w:rPr>
            <w:rStyle w:val="Hyperlink"/>
            <w:rFonts w:ascii="Arial" w:hAnsi="Arial"/>
          </w:rPr>
          <w:t>1.3 No ability for the regulator to issue a direction to an entity to remedy a deficient RMP</w:t>
        </w:r>
        <w:r w:rsidR="00532085">
          <w:rPr>
            <w:webHidden/>
          </w:rPr>
          <w:tab/>
        </w:r>
        <w:r w:rsidR="00532085">
          <w:rPr>
            <w:webHidden/>
          </w:rPr>
          <w:fldChar w:fldCharType="begin"/>
        </w:r>
        <w:r w:rsidR="00532085">
          <w:rPr>
            <w:webHidden/>
          </w:rPr>
          <w:instrText xml:space="preserve"> PAGEREF _Toc176183927 \h </w:instrText>
        </w:r>
        <w:r w:rsidR="00532085">
          <w:rPr>
            <w:webHidden/>
          </w:rPr>
        </w:r>
        <w:r w:rsidR="00532085">
          <w:rPr>
            <w:webHidden/>
          </w:rPr>
          <w:fldChar w:fldCharType="separate"/>
        </w:r>
        <w:r w:rsidR="00E8506B">
          <w:rPr>
            <w:webHidden/>
          </w:rPr>
          <w:t>18</w:t>
        </w:r>
        <w:r w:rsidR="00532085">
          <w:rPr>
            <w:webHidden/>
          </w:rPr>
          <w:fldChar w:fldCharType="end"/>
        </w:r>
      </w:hyperlink>
    </w:p>
    <w:p w14:paraId="775AADAB" w14:textId="7267D67E" w:rsidR="00532085" w:rsidRDefault="00DE3E5F">
      <w:pPr>
        <w:pStyle w:val="TOC1"/>
        <w:rPr>
          <w:rFonts w:eastAsiaTheme="minorEastAsia"/>
          <w:b w:val="0"/>
          <w:sz w:val="22"/>
          <w:lang w:eastAsia="en-AU"/>
        </w:rPr>
      </w:pPr>
      <w:hyperlink w:anchor="_Toc176183928" w:history="1">
        <w:r w:rsidR="00532085" w:rsidRPr="00736F4D">
          <w:rPr>
            <w:rStyle w:val="Hyperlink"/>
            <w:rFonts w:ascii="Arial" w:hAnsi="Arial"/>
          </w:rPr>
          <w:t>2.</w:t>
        </w:r>
        <w:r w:rsidR="00532085">
          <w:rPr>
            <w:rFonts w:eastAsiaTheme="minorEastAsia"/>
            <w:b w:val="0"/>
            <w:sz w:val="22"/>
            <w:lang w:eastAsia="en-AU"/>
          </w:rPr>
          <w:tab/>
        </w:r>
        <w:r w:rsidR="00532085" w:rsidRPr="00736F4D">
          <w:rPr>
            <w:rStyle w:val="Hyperlink"/>
            <w:rFonts w:ascii="Arial" w:hAnsi="Arial"/>
          </w:rPr>
          <w:t>What are the objectives, why is government intervention needed to achieve them, and how will success be measured?</w:t>
        </w:r>
        <w:r w:rsidR="00532085">
          <w:rPr>
            <w:webHidden/>
          </w:rPr>
          <w:tab/>
        </w:r>
        <w:r w:rsidR="00532085">
          <w:rPr>
            <w:webHidden/>
          </w:rPr>
          <w:fldChar w:fldCharType="begin"/>
        </w:r>
        <w:r w:rsidR="00532085">
          <w:rPr>
            <w:webHidden/>
          </w:rPr>
          <w:instrText xml:space="preserve"> PAGEREF _Toc176183928 \h </w:instrText>
        </w:r>
        <w:r w:rsidR="00532085">
          <w:rPr>
            <w:webHidden/>
          </w:rPr>
        </w:r>
        <w:r w:rsidR="00532085">
          <w:rPr>
            <w:webHidden/>
          </w:rPr>
          <w:fldChar w:fldCharType="separate"/>
        </w:r>
        <w:r w:rsidR="00E8506B">
          <w:rPr>
            <w:webHidden/>
          </w:rPr>
          <w:t>21</w:t>
        </w:r>
        <w:r w:rsidR="00532085">
          <w:rPr>
            <w:webHidden/>
          </w:rPr>
          <w:fldChar w:fldCharType="end"/>
        </w:r>
      </w:hyperlink>
    </w:p>
    <w:p w14:paraId="6CC56F21" w14:textId="5775AE5B" w:rsidR="00532085" w:rsidRDefault="00DE3E5F">
      <w:pPr>
        <w:pStyle w:val="TOC2"/>
        <w:rPr>
          <w:rFonts w:eastAsiaTheme="minorEastAsia"/>
          <w:sz w:val="22"/>
          <w:lang w:eastAsia="en-AU"/>
        </w:rPr>
      </w:pPr>
      <w:hyperlink w:anchor="_Toc176183929" w:history="1">
        <w:r w:rsidR="00532085" w:rsidRPr="00736F4D">
          <w:rPr>
            <w:rStyle w:val="Hyperlink"/>
            <w:rFonts w:ascii="Arial" w:hAnsi="Arial"/>
          </w:rPr>
          <w:t>2.1 What are the objectives?</w:t>
        </w:r>
        <w:r w:rsidR="00532085">
          <w:rPr>
            <w:webHidden/>
          </w:rPr>
          <w:tab/>
        </w:r>
        <w:r w:rsidR="00532085">
          <w:rPr>
            <w:webHidden/>
          </w:rPr>
          <w:fldChar w:fldCharType="begin"/>
        </w:r>
        <w:r w:rsidR="00532085">
          <w:rPr>
            <w:webHidden/>
          </w:rPr>
          <w:instrText xml:space="preserve"> PAGEREF _Toc176183929 \h </w:instrText>
        </w:r>
        <w:r w:rsidR="00532085">
          <w:rPr>
            <w:webHidden/>
          </w:rPr>
        </w:r>
        <w:r w:rsidR="00532085">
          <w:rPr>
            <w:webHidden/>
          </w:rPr>
          <w:fldChar w:fldCharType="separate"/>
        </w:r>
        <w:r w:rsidR="00E8506B">
          <w:rPr>
            <w:webHidden/>
          </w:rPr>
          <w:t>21</w:t>
        </w:r>
        <w:r w:rsidR="00532085">
          <w:rPr>
            <w:webHidden/>
          </w:rPr>
          <w:fldChar w:fldCharType="end"/>
        </w:r>
      </w:hyperlink>
    </w:p>
    <w:p w14:paraId="6D45487C" w14:textId="448FEB02" w:rsidR="00532085" w:rsidRDefault="00DE3E5F">
      <w:pPr>
        <w:pStyle w:val="TOC2"/>
        <w:rPr>
          <w:rFonts w:eastAsiaTheme="minorEastAsia"/>
          <w:sz w:val="22"/>
          <w:lang w:eastAsia="en-AU"/>
        </w:rPr>
      </w:pPr>
      <w:hyperlink w:anchor="_Toc176183930" w:history="1">
        <w:r w:rsidR="00532085" w:rsidRPr="00736F4D">
          <w:rPr>
            <w:rStyle w:val="Hyperlink"/>
            <w:rFonts w:ascii="Arial" w:hAnsi="Arial"/>
          </w:rPr>
          <w:t>2.2 Why should Government intervene?</w:t>
        </w:r>
        <w:r w:rsidR="00532085">
          <w:rPr>
            <w:webHidden/>
          </w:rPr>
          <w:tab/>
        </w:r>
        <w:r w:rsidR="00532085">
          <w:rPr>
            <w:webHidden/>
          </w:rPr>
          <w:fldChar w:fldCharType="begin"/>
        </w:r>
        <w:r w:rsidR="00532085">
          <w:rPr>
            <w:webHidden/>
          </w:rPr>
          <w:instrText xml:space="preserve"> PAGEREF _Toc176183930 \h </w:instrText>
        </w:r>
        <w:r w:rsidR="00532085">
          <w:rPr>
            <w:webHidden/>
          </w:rPr>
        </w:r>
        <w:r w:rsidR="00532085">
          <w:rPr>
            <w:webHidden/>
          </w:rPr>
          <w:fldChar w:fldCharType="separate"/>
        </w:r>
        <w:r w:rsidR="00E8506B">
          <w:rPr>
            <w:webHidden/>
          </w:rPr>
          <w:t>21</w:t>
        </w:r>
        <w:r w:rsidR="00532085">
          <w:rPr>
            <w:webHidden/>
          </w:rPr>
          <w:fldChar w:fldCharType="end"/>
        </w:r>
      </w:hyperlink>
    </w:p>
    <w:p w14:paraId="15FAB4DC" w14:textId="4AA1D927" w:rsidR="00532085" w:rsidRDefault="00DE3E5F">
      <w:pPr>
        <w:pStyle w:val="TOC2"/>
        <w:rPr>
          <w:rFonts w:eastAsiaTheme="minorEastAsia"/>
          <w:sz w:val="22"/>
          <w:lang w:eastAsia="en-AU"/>
        </w:rPr>
      </w:pPr>
      <w:hyperlink w:anchor="_Toc176183931" w:history="1">
        <w:r w:rsidR="00532085" w:rsidRPr="00736F4D">
          <w:rPr>
            <w:rStyle w:val="Hyperlink"/>
            <w:rFonts w:ascii="Arial" w:hAnsi="Arial"/>
          </w:rPr>
          <w:t>2.3 How will success be measured?</w:t>
        </w:r>
        <w:r w:rsidR="00532085">
          <w:rPr>
            <w:webHidden/>
          </w:rPr>
          <w:tab/>
        </w:r>
        <w:r w:rsidR="00532085">
          <w:rPr>
            <w:webHidden/>
          </w:rPr>
          <w:fldChar w:fldCharType="begin"/>
        </w:r>
        <w:r w:rsidR="00532085">
          <w:rPr>
            <w:webHidden/>
          </w:rPr>
          <w:instrText xml:space="preserve"> PAGEREF _Toc176183931 \h </w:instrText>
        </w:r>
        <w:r w:rsidR="00532085">
          <w:rPr>
            <w:webHidden/>
          </w:rPr>
        </w:r>
        <w:r w:rsidR="00532085">
          <w:rPr>
            <w:webHidden/>
          </w:rPr>
          <w:fldChar w:fldCharType="separate"/>
        </w:r>
        <w:r w:rsidR="00E8506B">
          <w:rPr>
            <w:webHidden/>
          </w:rPr>
          <w:t>23</w:t>
        </w:r>
        <w:r w:rsidR="00532085">
          <w:rPr>
            <w:webHidden/>
          </w:rPr>
          <w:fldChar w:fldCharType="end"/>
        </w:r>
      </w:hyperlink>
    </w:p>
    <w:p w14:paraId="4DF9207B" w14:textId="3507C3D7" w:rsidR="00532085" w:rsidRDefault="00DE3E5F">
      <w:pPr>
        <w:pStyle w:val="TOC1"/>
        <w:rPr>
          <w:rFonts w:eastAsiaTheme="minorEastAsia"/>
          <w:b w:val="0"/>
          <w:sz w:val="22"/>
          <w:lang w:eastAsia="en-AU"/>
        </w:rPr>
      </w:pPr>
      <w:hyperlink w:anchor="_Toc176183932" w:history="1">
        <w:r w:rsidR="00532085" w:rsidRPr="00736F4D">
          <w:rPr>
            <w:rStyle w:val="Hyperlink"/>
            <w:rFonts w:ascii="Arial" w:hAnsi="Arial"/>
          </w:rPr>
          <w:t>3.</w:t>
        </w:r>
        <w:r w:rsidR="00532085">
          <w:rPr>
            <w:rFonts w:eastAsiaTheme="minorEastAsia"/>
            <w:b w:val="0"/>
            <w:sz w:val="22"/>
            <w:lang w:eastAsia="en-AU"/>
          </w:rPr>
          <w:tab/>
        </w:r>
        <w:r w:rsidR="00532085" w:rsidRPr="00736F4D">
          <w:rPr>
            <w:rStyle w:val="Hyperlink"/>
            <w:rFonts w:ascii="Arial" w:hAnsi="Arial"/>
          </w:rPr>
          <w:t>What policy options are you considering?</w:t>
        </w:r>
        <w:r w:rsidR="00532085">
          <w:rPr>
            <w:webHidden/>
          </w:rPr>
          <w:tab/>
        </w:r>
        <w:r w:rsidR="00532085">
          <w:rPr>
            <w:webHidden/>
          </w:rPr>
          <w:fldChar w:fldCharType="begin"/>
        </w:r>
        <w:r w:rsidR="00532085">
          <w:rPr>
            <w:webHidden/>
          </w:rPr>
          <w:instrText xml:space="preserve"> PAGEREF _Toc176183932 \h </w:instrText>
        </w:r>
        <w:r w:rsidR="00532085">
          <w:rPr>
            <w:webHidden/>
          </w:rPr>
        </w:r>
        <w:r w:rsidR="00532085">
          <w:rPr>
            <w:webHidden/>
          </w:rPr>
          <w:fldChar w:fldCharType="separate"/>
        </w:r>
        <w:r w:rsidR="00E8506B">
          <w:rPr>
            <w:webHidden/>
          </w:rPr>
          <w:t>25</w:t>
        </w:r>
        <w:r w:rsidR="00532085">
          <w:rPr>
            <w:webHidden/>
          </w:rPr>
          <w:fldChar w:fldCharType="end"/>
        </w:r>
      </w:hyperlink>
    </w:p>
    <w:p w14:paraId="695FF03D" w14:textId="0284E75D" w:rsidR="00532085" w:rsidRDefault="00DE3E5F">
      <w:pPr>
        <w:pStyle w:val="TOC2"/>
        <w:rPr>
          <w:rFonts w:eastAsiaTheme="minorEastAsia"/>
          <w:sz w:val="22"/>
          <w:lang w:eastAsia="en-AU"/>
        </w:rPr>
      </w:pPr>
      <w:hyperlink w:anchor="_Toc176183933" w:history="1">
        <w:r w:rsidR="00532085" w:rsidRPr="00736F4D">
          <w:rPr>
            <w:rStyle w:val="Hyperlink"/>
            <w:rFonts w:ascii="Arial" w:hAnsi="Arial"/>
          </w:rPr>
          <w:t>3.1 Option 1: Maintain the status quo</w:t>
        </w:r>
        <w:r w:rsidR="00532085">
          <w:rPr>
            <w:webHidden/>
          </w:rPr>
          <w:tab/>
        </w:r>
        <w:r w:rsidR="00532085">
          <w:rPr>
            <w:webHidden/>
          </w:rPr>
          <w:fldChar w:fldCharType="begin"/>
        </w:r>
        <w:r w:rsidR="00532085">
          <w:rPr>
            <w:webHidden/>
          </w:rPr>
          <w:instrText xml:space="preserve"> PAGEREF _Toc176183933 \h </w:instrText>
        </w:r>
        <w:r w:rsidR="00532085">
          <w:rPr>
            <w:webHidden/>
          </w:rPr>
        </w:r>
        <w:r w:rsidR="00532085">
          <w:rPr>
            <w:webHidden/>
          </w:rPr>
          <w:fldChar w:fldCharType="separate"/>
        </w:r>
        <w:r w:rsidR="00E8506B">
          <w:rPr>
            <w:webHidden/>
          </w:rPr>
          <w:t>25</w:t>
        </w:r>
        <w:r w:rsidR="00532085">
          <w:rPr>
            <w:webHidden/>
          </w:rPr>
          <w:fldChar w:fldCharType="end"/>
        </w:r>
      </w:hyperlink>
    </w:p>
    <w:p w14:paraId="20904109" w14:textId="580BA6D6" w:rsidR="00532085" w:rsidRDefault="00DE3E5F">
      <w:pPr>
        <w:pStyle w:val="TOC2"/>
        <w:rPr>
          <w:rFonts w:eastAsiaTheme="minorEastAsia"/>
          <w:sz w:val="22"/>
          <w:lang w:eastAsia="en-AU"/>
        </w:rPr>
      </w:pPr>
      <w:hyperlink w:anchor="_Toc176183934" w:history="1">
        <w:r w:rsidR="00532085" w:rsidRPr="00736F4D">
          <w:rPr>
            <w:rStyle w:val="Hyperlink"/>
            <w:rFonts w:ascii="Arial" w:hAnsi="Arial"/>
          </w:rPr>
          <w:t>3.2 Option 2: Amend the SOCI Act</w:t>
        </w:r>
        <w:r w:rsidR="00532085">
          <w:rPr>
            <w:webHidden/>
          </w:rPr>
          <w:tab/>
        </w:r>
        <w:r w:rsidR="00532085">
          <w:rPr>
            <w:webHidden/>
          </w:rPr>
          <w:fldChar w:fldCharType="begin"/>
        </w:r>
        <w:r w:rsidR="00532085">
          <w:rPr>
            <w:webHidden/>
          </w:rPr>
          <w:instrText xml:space="preserve"> PAGEREF _Toc176183934 \h </w:instrText>
        </w:r>
        <w:r w:rsidR="00532085">
          <w:rPr>
            <w:webHidden/>
          </w:rPr>
        </w:r>
        <w:r w:rsidR="00532085">
          <w:rPr>
            <w:webHidden/>
          </w:rPr>
          <w:fldChar w:fldCharType="separate"/>
        </w:r>
        <w:r w:rsidR="00E8506B">
          <w:rPr>
            <w:webHidden/>
          </w:rPr>
          <w:t>26</w:t>
        </w:r>
        <w:r w:rsidR="00532085">
          <w:rPr>
            <w:webHidden/>
          </w:rPr>
          <w:fldChar w:fldCharType="end"/>
        </w:r>
      </w:hyperlink>
    </w:p>
    <w:p w14:paraId="591BA6D2" w14:textId="395D6290" w:rsidR="00532085" w:rsidRDefault="00DE3E5F">
      <w:pPr>
        <w:pStyle w:val="TOC2"/>
        <w:rPr>
          <w:rFonts w:eastAsiaTheme="minorEastAsia"/>
          <w:sz w:val="22"/>
          <w:lang w:eastAsia="en-AU"/>
        </w:rPr>
      </w:pPr>
      <w:hyperlink w:anchor="_Toc176183935" w:history="1">
        <w:r w:rsidR="00532085" w:rsidRPr="00736F4D">
          <w:rPr>
            <w:rStyle w:val="Hyperlink"/>
            <w:rFonts w:ascii="Arial" w:hAnsi="Arial"/>
          </w:rPr>
          <w:t>3.3 Option 3: Enhanced collaboration with industry</w:t>
        </w:r>
        <w:r w:rsidR="00532085">
          <w:rPr>
            <w:webHidden/>
          </w:rPr>
          <w:tab/>
        </w:r>
        <w:r w:rsidR="00532085">
          <w:rPr>
            <w:webHidden/>
          </w:rPr>
          <w:fldChar w:fldCharType="begin"/>
        </w:r>
        <w:r w:rsidR="00532085">
          <w:rPr>
            <w:webHidden/>
          </w:rPr>
          <w:instrText xml:space="preserve"> PAGEREF _Toc176183935 \h </w:instrText>
        </w:r>
        <w:r w:rsidR="00532085">
          <w:rPr>
            <w:webHidden/>
          </w:rPr>
        </w:r>
        <w:r w:rsidR="00532085">
          <w:rPr>
            <w:webHidden/>
          </w:rPr>
          <w:fldChar w:fldCharType="separate"/>
        </w:r>
        <w:r w:rsidR="00E8506B">
          <w:rPr>
            <w:webHidden/>
          </w:rPr>
          <w:t>30</w:t>
        </w:r>
        <w:r w:rsidR="00532085">
          <w:rPr>
            <w:webHidden/>
          </w:rPr>
          <w:fldChar w:fldCharType="end"/>
        </w:r>
      </w:hyperlink>
    </w:p>
    <w:p w14:paraId="14DBBB1B" w14:textId="2952F759" w:rsidR="00532085" w:rsidRDefault="00DE3E5F">
      <w:pPr>
        <w:pStyle w:val="TOC1"/>
        <w:rPr>
          <w:rFonts w:eastAsiaTheme="minorEastAsia"/>
          <w:b w:val="0"/>
          <w:sz w:val="22"/>
          <w:lang w:eastAsia="en-AU"/>
        </w:rPr>
      </w:pPr>
      <w:hyperlink w:anchor="_Toc176183936" w:history="1">
        <w:r w:rsidR="00532085" w:rsidRPr="00736F4D">
          <w:rPr>
            <w:rStyle w:val="Hyperlink"/>
          </w:rPr>
          <w:t>4.</w:t>
        </w:r>
        <w:r w:rsidR="00532085">
          <w:rPr>
            <w:rFonts w:eastAsiaTheme="minorEastAsia"/>
            <w:b w:val="0"/>
            <w:sz w:val="22"/>
            <w:lang w:eastAsia="en-AU"/>
          </w:rPr>
          <w:tab/>
        </w:r>
        <w:r w:rsidR="00532085" w:rsidRPr="00736F4D">
          <w:rPr>
            <w:rStyle w:val="Hyperlink"/>
          </w:rPr>
          <w:t>What is the likely net benefit of each option?</w:t>
        </w:r>
        <w:r w:rsidR="00532085">
          <w:rPr>
            <w:webHidden/>
          </w:rPr>
          <w:tab/>
        </w:r>
        <w:r w:rsidR="00532085">
          <w:rPr>
            <w:webHidden/>
          </w:rPr>
          <w:fldChar w:fldCharType="begin"/>
        </w:r>
        <w:r w:rsidR="00532085">
          <w:rPr>
            <w:webHidden/>
          </w:rPr>
          <w:instrText xml:space="preserve"> PAGEREF _Toc176183936 \h </w:instrText>
        </w:r>
        <w:r w:rsidR="00532085">
          <w:rPr>
            <w:webHidden/>
          </w:rPr>
        </w:r>
        <w:r w:rsidR="00532085">
          <w:rPr>
            <w:webHidden/>
          </w:rPr>
          <w:fldChar w:fldCharType="separate"/>
        </w:r>
        <w:r w:rsidR="00E8506B">
          <w:rPr>
            <w:webHidden/>
          </w:rPr>
          <w:t>32</w:t>
        </w:r>
        <w:r w:rsidR="00532085">
          <w:rPr>
            <w:webHidden/>
          </w:rPr>
          <w:fldChar w:fldCharType="end"/>
        </w:r>
      </w:hyperlink>
    </w:p>
    <w:p w14:paraId="4CA5B51A" w14:textId="4D45018F" w:rsidR="00532085" w:rsidRDefault="00DE3E5F">
      <w:pPr>
        <w:pStyle w:val="TOC2"/>
        <w:rPr>
          <w:rFonts w:eastAsiaTheme="minorEastAsia"/>
          <w:sz w:val="22"/>
          <w:lang w:eastAsia="en-AU"/>
        </w:rPr>
      </w:pPr>
      <w:hyperlink w:anchor="_Toc176183937" w:history="1">
        <w:r w:rsidR="00532085" w:rsidRPr="00736F4D">
          <w:rPr>
            <w:rStyle w:val="Hyperlink"/>
            <w:rFonts w:ascii="Arial" w:hAnsi="Arial"/>
          </w:rPr>
          <w:t>4.1 Approach to determining costs and benefits</w:t>
        </w:r>
        <w:r w:rsidR="00532085">
          <w:rPr>
            <w:webHidden/>
          </w:rPr>
          <w:tab/>
        </w:r>
        <w:r w:rsidR="00532085">
          <w:rPr>
            <w:webHidden/>
          </w:rPr>
          <w:fldChar w:fldCharType="begin"/>
        </w:r>
        <w:r w:rsidR="00532085">
          <w:rPr>
            <w:webHidden/>
          </w:rPr>
          <w:instrText xml:space="preserve"> PAGEREF _Toc176183937 \h </w:instrText>
        </w:r>
        <w:r w:rsidR="00532085">
          <w:rPr>
            <w:webHidden/>
          </w:rPr>
        </w:r>
        <w:r w:rsidR="00532085">
          <w:rPr>
            <w:webHidden/>
          </w:rPr>
          <w:fldChar w:fldCharType="separate"/>
        </w:r>
        <w:r w:rsidR="00E8506B">
          <w:rPr>
            <w:webHidden/>
          </w:rPr>
          <w:t>32</w:t>
        </w:r>
        <w:r w:rsidR="00532085">
          <w:rPr>
            <w:webHidden/>
          </w:rPr>
          <w:fldChar w:fldCharType="end"/>
        </w:r>
      </w:hyperlink>
    </w:p>
    <w:p w14:paraId="0C218C6D" w14:textId="6A8F19FB" w:rsidR="00532085" w:rsidRDefault="00DE3E5F">
      <w:pPr>
        <w:pStyle w:val="TOC2"/>
        <w:rPr>
          <w:rFonts w:eastAsiaTheme="minorEastAsia"/>
          <w:sz w:val="22"/>
          <w:lang w:eastAsia="en-AU"/>
        </w:rPr>
      </w:pPr>
      <w:hyperlink w:anchor="_Toc176183938" w:history="1">
        <w:r w:rsidR="00532085" w:rsidRPr="00736F4D">
          <w:rPr>
            <w:rStyle w:val="Hyperlink"/>
            <w:rFonts w:ascii="Arial" w:hAnsi="Arial"/>
          </w:rPr>
          <w:t>4.2 Likely net benefit assessment: Option 1 – Maintain status quo</w:t>
        </w:r>
        <w:r w:rsidR="00532085">
          <w:rPr>
            <w:webHidden/>
          </w:rPr>
          <w:tab/>
        </w:r>
        <w:r w:rsidR="00532085">
          <w:rPr>
            <w:webHidden/>
          </w:rPr>
          <w:fldChar w:fldCharType="begin"/>
        </w:r>
        <w:r w:rsidR="00532085">
          <w:rPr>
            <w:webHidden/>
          </w:rPr>
          <w:instrText xml:space="preserve"> PAGEREF _Toc176183938 \h </w:instrText>
        </w:r>
        <w:r w:rsidR="00532085">
          <w:rPr>
            <w:webHidden/>
          </w:rPr>
        </w:r>
        <w:r w:rsidR="00532085">
          <w:rPr>
            <w:webHidden/>
          </w:rPr>
          <w:fldChar w:fldCharType="separate"/>
        </w:r>
        <w:r w:rsidR="00E8506B">
          <w:rPr>
            <w:webHidden/>
          </w:rPr>
          <w:t>33</w:t>
        </w:r>
        <w:r w:rsidR="00532085">
          <w:rPr>
            <w:webHidden/>
          </w:rPr>
          <w:fldChar w:fldCharType="end"/>
        </w:r>
      </w:hyperlink>
    </w:p>
    <w:p w14:paraId="7E14ED3D" w14:textId="75885E0D" w:rsidR="00532085" w:rsidRDefault="00DE3E5F">
      <w:pPr>
        <w:pStyle w:val="TOC2"/>
        <w:rPr>
          <w:rFonts w:eastAsiaTheme="minorEastAsia"/>
          <w:sz w:val="22"/>
          <w:lang w:eastAsia="en-AU"/>
        </w:rPr>
      </w:pPr>
      <w:hyperlink w:anchor="_Toc176183939" w:history="1">
        <w:r w:rsidR="00532085" w:rsidRPr="00736F4D">
          <w:rPr>
            <w:rStyle w:val="Hyperlink"/>
          </w:rPr>
          <w:t>4.3 Likely net benefit: Option 2 – Legislative Reforms</w:t>
        </w:r>
        <w:r w:rsidR="00532085">
          <w:rPr>
            <w:webHidden/>
          </w:rPr>
          <w:tab/>
        </w:r>
        <w:r w:rsidR="00532085">
          <w:rPr>
            <w:webHidden/>
          </w:rPr>
          <w:fldChar w:fldCharType="begin"/>
        </w:r>
        <w:r w:rsidR="00532085">
          <w:rPr>
            <w:webHidden/>
          </w:rPr>
          <w:instrText xml:space="preserve"> PAGEREF _Toc176183939 \h </w:instrText>
        </w:r>
        <w:r w:rsidR="00532085">
          <w:rPr>
            <w:webHidden/>
          </w:rPr>
        </w:r>
        <w:r w:rsidR="00532085">
          <w:rPr>
            <w:webHidden/>
          </w:rPr>
          <w:fldChar w:fldCharType="separate"/>
        </w:r>
        <w:r w:rsidR="00E8506B">
          <w:rPr>
            <w:webHidden/>
          </w:rPr>
          <w:t>34</w:t>
        </w:r>
        <w:r w:rsidR="00532085">
          <w:rPr>
            <w:webHidden/>
          </w:rPr>
          <w:fldChar w:fldCharType="end"/>
        </w:r>
      </w:hyperlink>
    </w:p>
    <w:p w14:paraId="03DE2D7B" w14:textId="3AFCFC25" w:rsidR="00532085" w:rsidRDefault="00DE3E5F">
      <w:pPr>
        <w:pStyle w:val="TOC2"/>
        <w:rPr>
          <w:rFonts w:eastAsiaTheme="minorEastAsia"/>
          <w:sz w:val="22"/>
          <w:lang w:eastAsia="en-AU"/>
        </w:rPr>
      </w:pPr>
      <w:hyperlink w:anchor="_Toc176183940" w:history="1">
        <w:r w:rsidR="00532085" w:rsidRPr="00736F4D">
          <w:rPr>
            <w:rStyle w:val="Hyperlink"/>
            <w:rFonts w:ascii="Arial" w:hAnsi="Arial"/>
          </w:rPr>
          <w:t>4.3.2 Benefits of Option 2 – Legislative Reform</w:t>
        </w:r>
        <w:r w:rsidR="00532085">
          <w:rPr>
            <w:webHidden/>
          </w:rPr>
          <w:tab/>
        </w:r>
        <w:r w:rsidR="00532085">
          <w:rPr>
            <w:webHidden/>
          </w:rPr>
          <w:fldChar w:fldCharType="begin"/>
        </w:r>
        <w:r w:rsidR="00532085">
          <w:rPr>
            <w:webHidden/>
          </w:rPr>
          <w:instrText xml:space="preserve"> PAGEREF _Toc176183940 \h </w:instrText>
        </w:r>
        <w:r w:rsidR="00532085">
          <w:rPr>
            <w:webHidden/>
          </w:rPr>
        </w:r>
        <w:r w:rsidR="00532085">
          <w:rPr>
            <w:webHidden/>
          </w:rPr>
          <w:fldChar w:fldCharType="separate"/>
        </w:r>
        <w:r w:rsidR="00E8506B">
          <w:rPr>
            <w:webHidden/>
          </w:rPr>
          <w:t>45</w:t>
        </w:r>
        <w:r w:rsidR="00532085">
          <w:rPr>
            <w:webHidden/>
          </w:rPr>
          <w:fldChar w:fldCharType="end"/>
        </w:r>
      </w:hyperlink>
    </w:p>
    <w:p w14:paraId="7D8385F2" w14:textId="444D2188" w:rsidR="00532085" w:rsidRDefault="00DE3E5F">
      <w:pPr>
        <w:pStyle w:val="TOC2"/>
        <w:rPr>
          <w:rFonts w:eastAsiaTheme="minorEastAsia"/>
          <w:sz w:val="22"/>
          <w:lang w:eastAsia="en-AU"/>
        </w:rPr>
      </w:pPr>
      <w:hyperlink w:anchor="_Toc176183941" w:history="1">
        <w:r w:rsidR="00532085" w:rsidRPr="00736F4D">
          <w:rPr>
            <w:rStyle w:val="Hyperlink"/>
            <w:rFonts w:ascii="Arial" w:hAnsi="Arial"/>
          </w:rPr>
          <w:t>4.4 Likely net benefit assessment: Option 3 – Enhanced collaboration with industry</w:t>
        </w:r>
        <w:r w:rsidR="00532085">
          <w:rPr>
            <w:webHidden/>
          </w:rPr>
          <w:tab/>
        </w:r>
        <w:r w:rsidR="00532085">
          <w:rPr>
            <w:webHidden/>
          </w:rPr>
          <w:fldChar w:fldCharType="begin"/>
        </w:r>
        <w:r w:rsidR="00532085">
          <w:rPr>
            <w:webHidden/>
          </w:rPr>
          <w:instrText xml:space="preserve"> PAGEREF _Toc176183941 \h </w:instrText>
        </w:r>
        <w:r w:rsidR="00532085">
          <w:rPr>
            <w:webHidden/>
          </w:rPr>
        </w:r>
        <w:r w:rsidR="00532085">
          <w:rPr>
            <w:webHidden/>
          </w:rPr>
          <w:fldChar w:fldCharType="separate"/>
        </w:r>
        <w:r w:rsidR="00E8506B">
          <w:rPr>
            <w:webHidden/>
          </w:rPr>
          <w:t>47</w:t>
        </w:r>
        <w:r w:rsidR="00532085">
          <w:rPr>
            <w:webHidden/>
          </w:rPr>
          <w:fldChar w:fldCharType="end"/>
        </w:r>
      </w:hyperlink>
    </w:p>
    <w:p w14:paraId="39B692F2" w14:textId="12FF5B48" w:rsidR="00532085" w:rsidRDefault="00DE3E5F">
      <w:pPr>
        <w:pStyle w:val="TOC1"/>
        <w:rPr>
          <w:rFonts w:eastAsiaTheme="minorEastAsia"/>
          <w:b w:val="0"/>
          <w:sz w:val="22"/>
          <w:lang w:eastAsia="en-AU"/>
        </w:rPr>
      </w:pPr>
      <w:hyperlink w:anchor="_Toc176183942" w:history="1">
        <w:r w:rsidR="00532085" w:rsidRPr="00736F4D">
          <w:rPr>
            <w:rStyle w:val="Hyperlink"/>
            <w:rFonts w:ascii="Arial" w:hAnsi="Arial"/>
          </w:rPr>
          <w:t>5.</w:t>
        </w:r>
        <w:r w:rsidR="00532085">
          <w:rPr>
            <w:rFonts w:eastAsiaTheme="minorEastAsia"/>
            <w:b w:val="0"/>
            <w:sz w:val="22"/>
            <w:lang w:eastAsia="en-AU"/>
          </w:rPr>
          <w:tab/>
        </w:r>
        <w:r w:rsidR="00532085" w:rsidRPr="00736F4D">
          <w:rPr>
            <w:rStyle w:val="Hyperlink"/>
            <w:rFonts w:ascii="Arial" w:hAnsi="Arial"/>
          </w:rPr>
          <w:t>Who did you consult and how did you incorporate their feedback?</w:t>
        </w:r>
        <w:r w:rsidR="00532085">
          <w:rPr>
            <w:webHidden/>
          </w:rPr>
          <w:tab/>
        </w:r>
        <w:r w:rsidR="00532085">
          <w:rPr>
            <w:webHidden/>
          </w:rPr>
          <w:fldChar w:fldCharType="begin"/>
        </w:r>
        <w:r w:rsidR="00532085">
          <w:rPr>
            <w:webHidden/>
          </w:rPr>
          <w:instrText xml:space="preserve"> PAGEREF _Toc176183942 \h </w:instrText>
        </w:r>
        <w:r w:rsidR="00532085">
          <w:rPr>
            <w:webHidden/>
          </w:rPr>
        </w:r>
        <w:r w:rsidR="00532085">
          <w:rPr>
            <w:webHidden/>
          </w:rPr>
          <w:fldChar w:fldCharType="separate"/>
        </w:r>
        <w:r w:rsidR="00E8506B">
          <w:rPr>
            <w:webHidden/>
          </w:rPr>
          <w:t>49</w:t>
        </w:r>
        <w:r w:rsidR="00532085">
          <w:rPr>
            <w:webHidden/>
          </w:rPr>
          <w:fldChar w:fldCharType="end"/>
        </w:r>
      </w:hyperlink>
    </w:p>
    <w:p w14:paraId="2C301579" w14:textId="45DD4988" w:rsidR="00532085" w:rsidRDefault="00DE3E5F">
      <w:pPr>
        <w:pStyle w:val="TOC2"/>
        <w:rPr>
          <w:rFonts w:eastAsiaTheme="minorEastAsia"/>
          <w:sz w:val="22"/>
          <w:lang w:eastAsia="en-AU"/>
        </w:rPr>
      </w:pPr>
      <w:hyperlink w:anchor="_Toc176183943" w:history="1">
        <w:r w:rsidR="00532085" w:rsidRPr="00736F4D">
          <w:rPr>
            <w:rStyle w:val="Hyperlink"/>
            <w:rFonts w:ascii="Arial" w:hAnsi="Arial"/>
          </w:rPr>
          <w:t>5.1 Purpose and objectives of consultation</w:t>
        </w:r>
        <w:r w:rsidR="00532085">
          <w:rPr>
            <w:webHidden/>
          </w:rPr>
          <w:tab/>
        </w:r>
        <w:r w:rsidR="00532085">
          <w:rPr>
            <w:webHidden/>
          </w:rPr>
          <w:fldChar w:fldCharType="begin"/>
        </w:r>
        <w:r w:rsidR="00532085">
          <w:rPr>
            <w:webHidden/>
          </w:rPr>
          <w:instrText xml:space="preserve"> PAGEREF _Toc176183943 \h </w:instrText>
        </w:r>
        <w:r w:rsidR="00532085">
          <w:rPr>
            <w:webHidden/>
          </w:rPr>
        </w:r>
        <w:r w:rsidR="00532085">
          <w:rPr>
            <w:webHidden/>
          </w:rPr>
          <w:fldChar w:fldCharType="separate"/>
        </w:r>
        <w:r w:rsidR="00E8506B">
          <w:rPr>
            <w:webHidden/>
          </w:rPr>
          <w:t>49</w:t>
        </w:r>
        <w:r w:rsidR="00532085">
          <w:rPr>
            <w:webHidden/>
          </w:rPr>
          <w:fldChar w:fldCharType="end"/>
        </w:r>
      </w:hyperlink>
    </w:p>
    <w:p w14:paraId="4BB48857" w14:textId="14BC2C01" w:rsidR="00532085" w:rsidRDefault="00DE3E5F">
      <w:pPr>
        <w:pStyle w:val="TOC2"/>
        <w:rPr>
          <w:rFonts w:eastAsiaTheme="minorEastAsia"/>
          <w:sz w:val="22"/>
          <w:lang w:eastAsia="en-AU"/>
        </w:rPr>
      </w:pPr>
      <w:hyperlink w:anchor="_Toc176183944" w:history="1">
        <w:r w:rsidR="00532085" w:rsidRPr="00736F4D">
          <w:rPr>
            <w:rStyle w:val="Hyperlink"/>
            <w:rFonts w:ascii="Arial" w:hAnsi="Arial"/>
          </w:rPr>
          <w:t>5.2 Summary of consultation completed</w:t>
        </w:r>
        <w:r w:rsidR="00532085">
          <w:rPr>
            <w:webHidden/>
          </w:rPr>
          <w:tab/>
        </w:r>
        <w:r w:rsidR="00532085">
          <w:rPr>
            <w:webHidden/>
          </w:rPr>
          <w:fldChar w:fldCharType="begin"/>
        </w:r>
        <w:r w:rsidR="00532085">
          <w:rPr>
            <w:webHidden/>
          </w:rPr>
          <w:instrText xml:space="preserve"> PAGEREF _Toc176183944 \h </w:instrText>
        </w:r>
        <w:r w:rsidR="00532085">
          <w:rPr>
            <w:webHidden/>
          </w:rPr>
        </w:r>
        <w:r w:rsidR="00532085">
          <w:rPr>
            <w:webHidden/>
          </w:rPr>
          <w:fldChar w:fldCharType="separate"/>
        </w:r>
        <w:r w:rsidR="00E8506B">
          <w:rPr>
            <w:webHidden/>
          </w:rPr>
          <w:t>49</w:t>
        </w:r>
        <w:r w:rsidR="00532085">
          <w:rPr>
            <w:webHidden/>
          </w:rPr>
          <w:fldChar w:fldCharType="end"/>
        </w:r>
      </w:hyperlink>
    </w:p>
    <w:p w14:paraId="67DF5316" w14:textId="5E4E5607" w:rsidR="00532085" w:rsidRDefault="00DE3E5F">
      <w:pPr>
        <w:pStyle w:val="TOC1"/>
        <w:rPr>
          <w:rFonts w:eastAsiaTheme="minorEastAsia"/>
          <w:b w:val="0"/>
          <w:sz w:val="22"/>
          <w:lang w:eastAsia="en-AU"/>
        </w:rPr>
      </w:pPr>
      <w:hyperlink w:anchor="_Toc176183945" w:history="1">
        <w:r w:rsidR="00532085" w:rsidRPr="00736F4D">
          <w:rPr>
            <w:rStyle w:val="Hyperlink"/>
            <w:rFonts w:ascii="Arial" w:hAnsi="Arial"/>
          </w:rPr>
          <w:t>6.</w:t>
        </w:r>
        <w:r w:rsidR="00532085">
          <w:rPr>
            <w:rFonts w:eastAsiaTheme="minorEastAsia"/>
            <w:b w:val="0"/>
            <w:sz w:val="22"/>
            <w:lang w:eastAsia="en-AU"/>
          </w:rPr>
          <w:tab/>
        </w:r>
        <w:r w:rsidR="00532085" w:rsidRPr="00736F4D">
          <w:rPr>
            <w:rStyle w:val="Hyperlink"/>
            <w:rFonts w:ascii="Arial" w:hAnsi="Arial"/>
          </w:rPr>
          <w:t>What is the best option from those you have considered and how will it be implemented?</w:t>
        </w:r>
        <w:r w:rsidR="00532085">
          <w:rPr>
            <w:webHidden/>
          </w:rPr>
          <w:tab/>
        </w:r>
        <w:r w:rsidR="00532085">
          <w:rPr>
            <w:webHidden/>
          </w:rPr>
          <w:fldChar w:fldCharType="begin"/>
        </w:r>
        <w:r w:rsidR="00532085">
          <w:rPr>
            <w:webHidden/>
          </w:rPr>
          <w:instrText xml:space="preserve"> PAGEREF _Toc176183945 \h </w:instrText>
        </w:r>
        <w:r w:rsidR="00532085">
          <w:rPr>
            <w:webHidden/>
          </w:rPr>
        </w:r>
        <w:r w:rsidR="00532085">
          <w:rPr>
            <w:webHidden/>
          </w:rPr>
          <w:fldChar w:fldCharType="separate"/>
        </w:r>
        <w:r w:rsidR="00E8506B">
          <w:rPr>
            <w:webHidden/>
          </w:rPr>
          <w:t>59</w:t>
        </w:r>
        <w:r w:rsidR="00532085">
          <w:rPr>
            <w:webHidden/>
          </w:rPr>
          <w:fldChar w:fldCharType="end"/>
        </w:r>
      </w:hyperlink>
    </w:p>
    <w:p w14:paraId="7D8358E4" w14:textId="0C371F2A" w:rsidR="00532085" w:rsidRDefault="00DE3E5F">
      <w:pPr>
        <w:pStyle w:val="TOC2"/>
        <w:rPr>
          <w:rFonts w:eastAsiaTheme="minorEastAsia"/>
          <w:sz w:val="22"/>
          <w:lang w:eastAsia="en-AU"/>
        </w:rPr>
      </w:pPr>
      <w:hyperlink w:anchor="_Toc176183946" w:history="1">
        <w:r w:rsidR="00532085" w:rsidRPr="00736F4D">
          <w:rPr>
            <w:rStyle w:val="Hyperlink"/>
            <w:rFonts w:ascii="Arial" w:hAnsi="Arial"/>
          </w:rPr>
          <w:t>6.1 Best option from those considered</w:t>
        </w:r>
        <w:r w:rsidR="00532085">
          <w:rPr>
            <w:webHidden/>
          </w:rPr>
          <w:tab/>
        </w:r>
        <w:r w:rsidR="00532085">
          <w:rPr>
            <w:webHidden/>
          </w:rPr>
          <w:fldChar w:fldCharType="begin"/>
        </w:r>
        <w:r w:rsidR="00532085">
          <w:rPr>
            <w:webHidden/>
          </w:rPr>
          <w:instrText xml:space="preserve"> PAGEREF _Toc176183946 \h </w:instrText>
        </w:r>
        <w:r w:rsidR="00532085">
          <w:rPr>
            <w:webHidden/>
          </w:rPr>
        </w:r>
        <w:r w:rsidR="00532085">
          <w:rPr>
            <w:webHidden/>
          </w:rPr>
          <w:fldChar w:fldCharType="separate"/>
        </w:r>
        <w:r w:rsidR="00E8506B">
          <w:rPr>
            <w:webHidden/>
          </w:rPr>
          <w:t>59</w:t>
        </w:r>
        <w:r w:rsidR="00532085">
          <w:rPr>
            <w:webHidden/>
          </w:rPr>
          <w:fldChar w:fldCharType="end"/>
        </w:r>
      </w:hyperlink>
    </w:p>
    <w:p w14:paraId="32F6243B" w14:textId="2ABFF40F" w:rsidR="00532085" w:rsidRDefault="00DE3E5F">
      <w:pPr>
        <w:pStyle w:val="TOC2"/>
        <w:rPr>
          <w:rFonts w:eastAsiaTheme="minorEastAsia"/>
          <w:sz w:val="22"/>
          <w:lang w:eastAsia="en-AU"/>
        </w:rPr>
      </w:pPr>
      <w:hyperlink w:anchor="_Toc176183947" w:history="1">
        <w:r w:rsidR="00532085" w:rsidRPr="00736F4D">
          <w:rPr>
            <w:rStyle w:val="Hyperlink"/>
            <w:rFonts w:ascii="Arial" w:hAnsi="Arial"/>
          </w:rPr>
          <w:t>6.2 Implementation</w:t>
        </w:r>
        <w:r w:rsidR="00532085">
          <w:rPr>
            <w:webHidden/>
          </w:rPr>
          <w:tab/>
        </w:r>
        <w:r w:rsidR="00532085">
          <w:rPr>
            <w:webHidden/>
          </w:rPr>
          <w:fldChar w:fldCharType="begin"/>
        </w:r>
        <w:r w:rsidR="00532085">
          <w:rPr>
            <w:webHidden/>
          </w:rPr>
          <w:instrText xml:space="preserve"> PAGEREF _Toc176183947 \h </w:instrText>
        </w:r>
        <w:r w:rsidR="00532085">
          <w:rPr>
            <w:webHidden/>
          </w:rPr>
        </w:r>
        <w:r w:rsidR="00532085">
          <w:rPr>
            <w:webHidden/>
          </w:rPr>
          <w:fldChar w:fldCharType="separate"/>
        </w:r>
        <w:r w:rsidR="00E8506B">
          <w:rPr>
            <w:webHidden/>
          </w:rPr>
          <w:t>64</w:t>
        </w:r>
        <w:r w:rsidR="00532085">
          <w:rPr>
            <w:webHidden/>
          </w:rPr>
          <w:fldChar w:fldCharType="end"/>
        </w:r>
      </w:hyperlink>
    </w:p>
    <w:p w14:paraId="27D8B996" w14:textId="00279CF1" w:rsidR="00532085" w:rsidRDefault="00DE3E5F">
      <w:pPr>
        <w:pStyle w:val="TOC1"/>
        <w:rPr>
          <w:rFonts w:eastAsiaTheme="minorEastAsia"/>
          <w:b w:val="0"/>
          <w:sz w:val="22"/>
          <w:lang w:eastAsia="en-AU"/>
        </w:rPr>
      </w:pPr>
      <w:hyperlink w:anchor="_Toc176183948" w:history="1">
        <w:r w:rsidR="00532085" w:rsidRPr="00736F4D">
          <w:rPr>
            <w:rStyle w:val="Hyperlink"/>
            <w:rFonts w:ascii="Arial" w:hAnsi="Arial"/>
          </w:rPr>
          <w:t>7.</w:t>
        </w:r>
        <w:r w:rsidR="00532085">
          <w:rPr>
            <w:rFonts w:eastAsiaTheme="minorEastAsia"/>
            <w:b w:val="0"/>
            <w:sz w:val="22"/>
            <w:lang w:eastAsia="en-AU"/>
          </w:rPr>
          <w:tab/>
        </w:r>
        <w:r w:rsidR="00532085" w:rsidRPr="00736F4D">
          <w:rPr>
            <w:rStyle w:val="Hyperlink"/>
            <w:rFonts w:ascii="Arial" w:hAnsi="Arial"/>
          </w:rPr>
          <w:t>How will you evaluate your chosen option against the success metrics?</w:t>
        </w:r>
        <w:r w:rsidR="00532085">
          <w:rPr>
            <w:webHidden/>
          </w:rPr>
          <w:tab/>
        </w:r>
        <w:r w:rsidR="00532085">
          <w:rPr>
            <w:webHidden/>
          </w:rPr>
          <w:fldChar w:fldCharType="begin"/>
        </w:r>
        <w:r w:rsidR="00532085">
          <w:rPr>
            <w:webHidden/>
          </w:rPr>
          <w:instrText xml:space="preserve"> PAGEREF _Toc176183948 \h </w:instrText>
        </w:r>
        <w:r w:rsidR="00532085">
          <w:rPr>
            <w:webHidden/>
          </w:rPr>
        </w:r>
        <w:r w:rsidR="00532085">
          <w:rPr>
            <w:webHidden/>
          </w:rPr>
          <w:fldChar w:fldCharType="separate"/>
        </w:r>
        <w:r w:rsidR="00E8506B">
          <w:rPr>
            <w:webHidden/>
          </w:rPr>
          <w:t>70</w:t>
        </w:r>
        <w:r w:rsidR="00532085">
          <w:rPr>
            <w:webHidden/>
          </w:rPr>
          <w:fldChar w:fldCharType="end"/>
        </w:r>
      </w:hyperlink>
    </w:p>
    <w:p w14:paraId="40547447" w14:textId="78DF2C33" w:rsidR="00532085" w:rsidRDefault="00DE3E5F">
      <w:pPr>
        <w:pStyle w:val="TOC2"/>
        <w:rPr>
          <w:rFonts w:eastAsiaTheme="minorEastAsia"/>
          <w:sz w:val="22"/>
          <w:lang w:eastAsia="en-AU"/>
        </w:rPr>
      </w:pPr>
      <w:hyperlink w:anchor="_Toc176183949" w:history="1">
        <w:r w:rsidR="00532085" w:rsidRPr="00736F4D">
          <w:rPr>
            <w:rStyle w:val="Hyperlink"/>
            <w:rFonts w:ascii="Arial" w:hAnsi="Arial"/>
          </w:rPr>
          <w:t>7.1 Approach to evaluation</w:t>
        </w:r>
        <w:r w:rsidR="00532085">
          <w:rPr>
            <w:webHidden/>
          </w:rPr>
          <w:tab/>
        </w:r>
        <w:r w:rsidR="00532085">
          <w:rPr>
            <w:webHidden/>
          </w:rPr>
          <w:fldChar w:fldCharType="begin"/>
        </w:r>
        <w:r w:rsidR="00532085">
          <w:rPr>
            <w:webHidden/>
          </w:rPr>
          <w:instrText xml:space="preserve"> PAGEREF _Toc176183949 \h </w:instrText>
        </w:r>
        <w:r w:rsidR="00532085">
          <w:rPr>
            <w:webHidden/>
          </w:rPr>
        </w:r>
        <w:r w:rsidR="00532085">
          <w:rPr>
            <w:webHidden/>
          </w:rPr>
          <w:fldChar w:fldCharType="separate"/>
        </w:r>
        <w:r w:rsidR="00E8506B">
          <w:rPr>
            <w:webHidden/>
          </w:rPr>
          <w:t>70</w:t>
        </w:r>
        <w:r w:rsidR="00532085">
          <w:rPr>
            <w:webHidden/>
          </w:rPr>
          <w:fldChar w:fldCharType="end"/>
        </w:r>
      </w:hyperlink>
    </w:p>
    <w:p w14:paraId="02FD97E5" w14:textId="013415FB" w:rsidR="00532085" w:rsidRDefault="00DE3E5F">
      <w:pPr>
        <w:pStyle w:val="TOC2"/>
        <w:rPr>
          <w:rFonts w:eastAsiaTheme="minorEastAsia"/>
          <w:sz w:val="22"/>
          <w:lang w:eastAsia="en-AU"/>
        </w:rPr>
      </w:pPr>
      <w:hyperlink w:anchor="_Toc176183950" w:history="1">
        <w:r w:rsidR="00532085" w:rsidRPr="00736F4D">
          <w:rPr>
            <w:rStyle w:val="Hyperlink"/>
            <w:rFonts w:ascii="Arial" w:hAnsi="Arial"/>
          </w:rPr>
          <w:t>7.2 Indicators of success</w:t>
        </w:r>
        <w:r w:rsidR="00532085">
          <w:rPr>
            <w:webHidden/>
          </w:rPr>
          <w:tab/>
        </w:r>
        <w:r w:rsidR="00532085">
          <w:rPr>
            <w:webHidden/>
          </w:rPr>
          <w:fldChar w:fldCharType="begin"/>
        </w:r>
        <w:r w:rsidR="00532085">
          <w:rPr>
            <w:webHidden/>
          </w:rPr>
          <w:instrText xml:space="preserve"> PAGEREF _Toc176183950 \h </w:instrText>
        </w:r>
        <w:r w:rsidR="00532085">
          <w:rPr>
            <w:webHidden/>
          </w:rPr>
        </w:r>
        <w:r w:rsidR="00532085">
          <w:rPr>
            <w:webHidden/>
          </w:rPr>
          <w:fldChar w:fldCharType="separate"/>
        </w:r>
        <w:r w:rsidR="00E8506B">
          <w:rPr>
            <w:webHidden/>
          </w:rPr>
          <w:t>71</w:t>
        </w:r>
        <w:r w:rsidR="00532085">
          <w:rPr>
            <w:webHidden/>
          </w:rPr>
          <w:fldChar w:fldCharType="end"/>
        </w:r>
      </w:hyperlink>
    </w:p>
    <w:p w14:paraId="55B8E656" w14:textId="06EEB856" w:rsidR="00532085" w:rsidRDefault="00DE3E5F">
      <w:pPr>
        <w:pStyle w:val="TOC1"/>
        <w:rPr>
          <w:rFonts w:eastAsiaTheme="minorEastAsia"/>
          <w:b w:val="0"/>
          <w:sz w:val="22"/>
          <w:lang w:eastAsia="en-AU"/>
        </w:rPr>
      </w:pPr>
      <w:hyperlink w:anchor="_Toc176183951" w:history="1">
        <w:r w:rsidR="00532085" w:rsidRPr="00736F4D">
          <w:rPr>
            <w:rStyle w:val="Hyperlink"/>
            <w:rFonts w:ascii="Arial" w:hAnsi="Arial"/>
          </w:rPr>
          <w:t>Appendix A: References to the 2022 RIS</w:t>
        </w:r>
        <w:r w:rsidR="00532085">
          <w:rPr>
            <w:webHidden/>
          </w:rPr>
          <w:tab/>
        </w:r>
        <w:r w:rsidR="00532085">
          <w:rPr>
            <w:webHidden/>
          </w:rPr>
          <w:fldChar w:fldCharType="begin"/>
        </w:r>
        <w:r w:rsidR="00532085">
          <w:rPr>
            <w:webHidden/>
          </w:rPr>
          <w:instrText xml:space="preserve"> PAGEREF _Toc176183951 \h </w:instrText>
        </w:r>
        <w:r w:rsidR="00532085">
          <w:rPr>
            <w:webHidden/>
          </w:rPr>
        </w:r>
        <w:r w:rsidR="00532085">
          <w:rPr>
            <w:webHidden/>
          </w:rPr>
          <w:fldChar w:fldCharType="separate"/>
        </w:r>
        <w:r w:rsidR="00E8506B">
          <w:rPr>
            <w:webHidden/>
          </w:rPr>
          <w:t>73</w:t>
        </w:r>
        <w:r w:rsidR="00532085">
          <w:rPr>
            <w:webHidden/>
          </w:rPr>
          <w:fldChar w:fldCharType="end"/>
        </w:r>
      </w:hyperlink>
    </w:p>
    <w:p w14:paraId="31694949" w14:textId="367A2077" w:rsidR="00532085" w:rsidRDefault="00DE3E5F">
      <w:pPr>
        <w:pStyle w:val="TOC1"/>
        <w:rPr>
          <w:rFonts w:eastAsiaTheme="minorEastAsia"/>
          <w:b w:val="0"/>
          <w:sz w:val="22"/>
          <w:lang w:eastAsia="en-AU"/>
        </w:rPr>
      </w:pPr>
      <w:hyperlink w:anchor="_Toc176183952" w:history="1">
        <w:r w:rsidR="00532085" w:rsidRPr="00736F4D">
          <w:rPr>
            <w:rStyle w:val="Hyperlink"/>
          </w:rPr>
          <w:t>Appendix B: Extract of Consultation Paper Questions</w:t>
        </w:r>
        <w:r w:rsidR="00532085">
          <w:rPr>
            <w:webHidden/>
          </w:rPr>
          <w:tab/>
        </w:r>
        <w:r w:rsidR="00532085">
          <w:rPr>
            <w:webHidden/>
          </w:rPr>
          <w:fldChar w:fldCharType="begin"/>
        </w:r>
        <w:r w:rsidR="00532085">
          <w:rPr>
            <w:webHidden/>
          </w:rPr>
          <w:instrText xml:space="preserve"> PAGEREF _Toc176183952 \h </w:instrText>
        </w:r>
        <w:r w:rsidR="00532085">
          <w:rPr>
            <w:webHidden/>
          </w:rPr>
        </w:r>
        <w:r w:rsidR="00532085">
          <w:rPr>
            <w:webHidden/>
          </w:rPr>
          <w:fldChar w:fldCharType="separate"/>
        </w:r>
        <w:r w:rsidR="00E8506B">
          <w:rPr>
            <w:webHidden/>
          </w:rPr>
          <w:t>77</w:t>
        </w:r>
        <w:r w:rsidR="00532085">
          <w:rPr>
            <w:webHidden/>
          </w:rPr>
          <w:fldChar w:fldCharType="end"/>
        </w:r>
      </w:hyperlink>
    </w:p>
    <w:p w14:paraId="2F2D5069" w14:textId="524ABBDE" w:rsidR="00532085" w:rsidRDefault="00DE3E5F">
      <w:pPr>
        <w:pStyle w:val="TOC1"/>
        <w:rPr>
          <w:rFonts w:eastAsiaTheme="minorEastAsia"/>
          <w:b w:val="0"/>
          <w:sz w:val="22"/>
          <w:lang w:eastAsia="en-AU"/>
        </w:rPr>
      </w:pPr>
      <w:hyperlink w:anchor="_Toc176183953" w:history="1">
        <w:r w:rsidR="00532085" w:rsidRPr="00736F4D">
          <w:rPr>
            <w:rStyle w:val="Hyperlink"/>
          </w:rPr>
          <w:t>Appendix C: Consultation Questions &amp; Summary of Industry Views on Draft IA</w:t>
        </w:r>
        <w:r w:rsidR="00532085">
          <w:rPr>
            <w:webHidden/>
          </w:rPr>
          <w:tab/>
        </w:r>
        <w:r w:rsidR="00532085">
          <w:rPr>
            <w:webHidden/>
          </w:rPr>
          <w:fldChar w:fldCharType="begin"/>
        </w:r>
        <w:r w:rsidR="00532085">
          <w:rPr>
            <w:webHidden/>
          </w:rPr>
          <w:instrText xml:space="preserve"> PAGEREF _Toc176183953 \h </w:instrText>
        </w:r>
        <w:r w:rsidR="00532085">
          <w:rPr>
            <w:webHidden/>
          </w:rPr>
        </w:r>
        <w:r w:rsidR="00532085">
          <w:rPr>
            <w:webHidden/>
          </w:rPr>
          <w:fldChar w:fldCharType="separate"/>
        </w:r>
        <w:r w:rsidR="00E8506B">
          <w:rPr>
            <w:webHidden/>
          </w:rPr>
          <w:t>78</w:t>
        </w:r>
        <w:r w:rsidR="00532085">
          <w:rPr>
            <w:webHidden/>
          </w:rPr>
          <w:fldChar w:fldCharType="end"/>
        </w:r>
      </w:hyperlink>
    </w:p>
    <w:p w14:paraId="0CBCD263" w14:textId="58FD2230" w:rsidR="00532085" w:rsidRDefault="00532085">
      <w:pPr>
        <w:spacing w:before="80" w:after="80"/>
      </w:pPr>
      <w:r>
        <w:fldChar w:fldCharType="end"/>
      </w:r>
      <w:r>
        <w:br w:type="page"/>
      </w:r>
    </w:p>
    <w:p w14:paraId="42DFD89C" w14:textId="1486F408" w:rsidR="00FD52CC" w:rsidRPr="000B5219" w:rsidRDefault="00FD52CC" w:rsidP="00510557">
      <w:pPr>
        <w:pStyle w:val="Heading1"/>
        <w:widowControl/>
        <w:numPr>
          <w:ilvl w:val="0"/>
          <w:numId w:val="19"/>
        </w:numPr>
        <w:spacing w:before="0" w:after="0" w:line="259" w:lineRule="auto"/>
        <w:rPr>
          <w:rFonts w:ascii="Arial" w:hAnsi="Arial"/>
          <w:sz w:val="32"/>
          <w:szCs w:val="32"/>
        </w:rPr>
      </w:pPr>
      <w:bookmarkStart w:id="11" w:name="_Toc164683818"/>
      <w:bookmarkStart w:id="12" w:name="_Toc176183920"/>
      <w:r w:rsidRPr="000B5219">
        <w:rPr>
          <w:rFonts w:ascii="Arial" w:hAnsi="Arial"/>
          <w:sz w:val="32"/>
          <w:szCs w:val="32"/>
        </w:rPr>
        <w:lastRenderedPageBreak/>
        <w:t>Executive summary</w:t>
      </w:r>
      <w:bookmarkEnd w:id="11"/>
      <w:bookmarkEnd w:id="12"/>
    </w:p>
    <w:p w14:paraId="2085BECD" w14:textId="78A22F7C" w:rsidR="00FD52CC" w:rsidRPr="00BC7E0F" w:rsidRDefault="00D1192F" w:rsidP="00FD52CC">
      <w:pPr>
        <w:spacing w:after="120"/>
        <w:rPr>
          <w:rFonts w:ascii="Arial" w:hAnsi="Arial" w:cs="Arial"/>
          <w:color w:val="284B98"/>
          <w:sz w:val="26"/>
          <w:szCs w:val="26"/>
        </w:rPr>
      </w:pPr>
      <w:r>
        <w:rPr>
          <w:rFonts w:ascii="Arial" w:hAnsi="Arial" w:cs="Arial"/>
          <w:color w:val="284B98"/>
          <w:sz w:val="26"/>
          <w:szCs w:val="26"/>
        </w:rPr>
        <w:t>The identification and protection of c</w:t>
      </w:r>
      <w:r w:rsidR="00FD52CC" w:rsidRPr="00BC7E0F">
        <w:rPr>
          <w:rFonts w:ascii="Arial" w:hAnsi="Arial" w:cs="Arial"/>
          <w:color w:val="284B98"/>
          <w:sz w:val="26"/>
          <w:szCs w:val="26"/>
        </w:rPr>
        <w:t>ritical infrastructure is essential for Australia’s social and economic prosperity, national security, and national defence, and facilitating the provision of essential services. The</w:t>
      </w:r>
      <w:r w:rsidR="00FD52CC" w:rsidRPr="00BC7E0F">
        <w:rPr>
          <w:rFonts w:ascii="Arial" w:hAnsi="Arial" w:cs="Arial"/>
          <w:i/>
          <w:iCs/>
          <w:color w:val="284B98"/>
          <w:sz w:val="26"/>
          <w:szCs w:val="26"/>
        </w:rPr>
        <w:t xml:space="preserve"> Security of Critical Infrastructure Act</w:t>
      </w:r>
      <w:r w:rsidR="00FD52CC" w:rsidRPr="00BC7E0F">
        <w:rPr>
          <w:rFonts w:ascii="Arial" w:hAnsi="Arial" w:cs="Arial"/>
          <w:color w:val="284B98"/>
          <w:sz w:val="26"/>
          <w:szCs w:val="26"/>
        </w:rPr>
        <w:t xml:space="preserve"> </w:t>
      </w:r>
      <w:r w:rsidR="00FD52CC" w:rsidRPr="00BC7E0F">
        <w:rPr>
          <w:rFonts w:ascii="Arial" w:hAnsi="Arial" w:cs="Arial"/>
          <w:i/>
          <w:iCs/>
          <w:color w:val="284B98"/>
          <w:sz w:val="26"/>
          <w:szCs w:val="26"/>
        </w:rPr>
        <w:t xml:space="preserve">2018 </w:t>
      </w:r>
      <w:r w:rsidR="00FD52CC" w:rsidRPr="00BC7E0F">
        <w:rPr>
          <w:rFonts w:ascii="Arial" w:hAnsi="Arial" w:cs="Arial"/>
          <w:color w:val="284B98"/>
          <w:sz w:val="26"/>
          <w:szCs w:val="26"/>
        </w:rPr>
        <w:t>(Cth)</w:t>
      </w:r>
      <w:r w:rsidR="00FD52CC">
        <w:rPr>
          <w:rFonts w:ascii="Arial" w:hAnsi="Arial" w:cs="Arial"/>
          <w:color w:val="284B98"/>
          <w:sz w:val="26"/>
          <w:szCs w:val="26"/>
        </w:rPr>
        <w:t xml:space="preserve"> </w:t>
      </w:r>
      <w:r w:rsidR="00FD52CC" w:rsidRPr="00BC7E0F">
        <w:rPr>
          <w:rFonts w:ascii="Arial" w:hAnsi="Arial" w:cs="Arial"/>
          <w:color w:val="284B98"/>
          <w:sz w:val="26"/>
          <w:szCs w:val="26"/>
        </w:rPr>
        <w:t xml:space="preserve">(SOCI Act), </w:t>
      </w:r>
      <w:r w:rsidR="00FD52CC">
        <w:rPr>
          <w:rFonts w:ascii="Arial" w:hAnsi="Arial" w:cs="Arial"/>
          <w:color w:val="284B98"/>
          <w:sz w:val="26"/>
          <w:szCs w:val="26"/>
        </w:rPr>
        <w:t>which commenced</w:t>
      </w:r>
      <w:r w:rsidR="00FD52CC" w:rsidRPr="00BC7E0F">
        <w:rPr>
          <w:rFonts w:ascii="Arial" w:hAnsi="Arial" w:cs="Arial"/>
          <w:color w:val="284B98"/>
          <w:sz w:val="26"/>
          <w:szCs w:val="26"/>
        </w:rPr>
        <w:t xml:space="preserve"> on </w:t>
      </w:r>
      <w:r>
        <w:rPr>
          <w:rFonts w:ascii="Arial" w:hAnsi="Arial" w:cs="Arial"/>
          <w:color w:val="284B98"/>
          <w:sz w:val="26"/>
          <w:szCs w:val="26"/>
        </w:rPr>
        <w:br/>
      </w:r>
      <w:r w:rsidR="00FD52CC" w:rsidRPr="00BC7E0F">
        <w:rPr>
          <w:rFonts w:ascii="Arial" w:hAnsi="Arial" w:cs="Arial"/>
          <w:color w:val="284B98"/>
          <w:sz w:val="26"/>
          <w:szCs w:val="26"/>
        </w:rPr>
        <w:t>11 July 2018, represented a significant enhancement to Australia’s existing regulatory framework at the time</w:t>
      </w:r>
      <w:r w:rsidR="00FD52CC">
        <w:rPr>
          <w:rFonts w:ascii="Arial" w:hAnsi="Arial" w:cs="Arial"/>
          <w:color w:val="284B98"/>
          <w:sz w:val="26"/>
          <w:szCs w:val="26"/>
        </w:rPr>
        <w:t>. However, the</w:t>
      </w:r>
      <w:r w:rsidR="00FD52CC" w:rsidRPr="00BC7E0F">
        <w:rPr>
          <w:rFonts w:ascii="Arial" w:hAnsi="Arial" w:cs="Arial"/>
          <w:color w:val="284B98"/>
          <w:sz w:val="26"/>
          <w:szCs w:val="26"/>
        </w:rPr>
        <w:t xml:space="preserve"> </w:t>
      </w:r>
      <w:r w:rsidR="00FD52CC">
        <w:rPr>
          <w:rFonts w:ascii="Arial" w:hAnsi="Arial" w:cs="Arial"/>
          <w:color w:val="284B98"/>
          <w:sz w:val="26"/>
          <w:szCs w:val="26"/>
        </w:rPr>
        <w:t>evolving</w:t>
      </w:r>
      <w:r w:rsidR="00FD52CC" w:rsidRPr="00BC7E0F" w:rsidDel="00511937">
        <w:rPr>
          <w:rFonts w:ascii="Arial" w:hAnsi="Arial" w:cs="Arial"/>
          <w:color w:val="284B98"/>
          <w:sz w:val="26"/>
          <w:szCs w:val="26"/>
        </w:rPr>
        <w:t xml:space="preserve"> </w:t>
      </w:r>
      <w:r w:rsidR="00FD52CC" w:rsidRPr="00BC7E0F">
        <w:rPr>
          <w:rFonts w:ascii="Arial" w:hAnsi="Arial" w:cs="Arial"/>
          <w:color w:val="284B98"/>
          <w:sz w:val="26"/>
          <w:szCs w:val="26"/>
        </w:rPr>
        <w:t xml:space="preserve">geopolitical and cyber threat environment facing Australia requires regular review of current legal parameters to ensure the </w:t>
      </w:r>
      <w:r w:rsidR="00FD52CC">
        <w:rPr>
          <w:rFonts w:ascii="Arial" w:hAnsi="Arial" w:cs="Arial"/>
          <w:color w:val="284B98"/>
          <w:sz w:val="26"/>
          <w:szCs w:val="26"/>
        </w:rPr>
        <w:t>security</w:t>
      </w:r>
      <w:r w:rsidR="00FD52CC" w:rsidRPr="00BC7E0F">
        <w:rPr>
          <w:rFonts w:ascii="Arial" w:hAnsi="Arial" w:cs="Arial"/>
          <w:color w:val="284B98"/>
          <w:sz w:val="26"/>
          <w:szCs w:val="26"/>
        </w:rPr>
        <w:t xml:space="preserve"> and resilience of critical infrastructure.  </w:t>
      </w:r>
    </w:p>
    <w:p w14:paraId="45F5880D" w14:textId="4BB1FFC7" w:rsidR="00FD52CC" w:rsidRDefault="00FD52CC" w:rsidP="00FD52CC">
      <w:pPr>
        <w:pStyle w:val="BodyText"/>
      </w:pPr>
      <w:r w:rsidRPr="1670EC0A">
        <w:t xml:space="preserve">The Department of Home Affairs (the Department) remains focused on ensuring the security and resilience of Australia’s critical infrastructure, and providing ongoing assurance to the Australian Government that critical infrastructure is being managed in a manner which reflect an inherently complex </w:t>
      </w:r>
      <w:r w:rsidR="00D1192F">
        <w:t xml:space="preserve">and evolving </w:t>
      </w:r>
      <w:r w:rsidRPr="1670EC0A">
        <w:t xml:space="preserve">risk environment. This includes assessing whether applicable legislation remains fit-for-purpose and engaging with industry to understand and address areas of concern. </w:t>
      </w:r>
    </w:p>
    <w:p w14:paraId="777142CC" w14:textId="77777777" w:rsidR="00FD52CC" w:rsidRPr="00744947" w:rsidRDefault="5A430B26" w:rsidP="4C25AF0D">
      <w:pPr>
        <w:pStyle w:val="BodyText"/>
        <w:spacing w:line="259" w:lineRule="auto"/>
        <w:rPr>
          <w:rFonts w:ascii="Arial" w:hAnsi="Arial" w:cs="Arial"/>
        </w:rPr>
      </w:pPr>
      <w:r w:rsidRPr="4C25AF0D">
        <w:rPr>
          <w:rFonts w:ascii="Arial" w:hAnsi="Arial" w:cs="Arial"/>
        </w:rPr>
        <w:t>The SOCI Act, which seeks to manage national security risks to Australia’s critical infrastructure assets, has undergone amendments including through passage of:</w:t>
      </w:r>
      <w:r w:rsidR="7E9C2B2D" w:rsidRPr="4C25AF0D">
        <w:rPr>
          <w:rFonts w:ascii="Arial" w:hAnsi="Arial" w:cs="Arial"/>
        </w:rPr>
        <w:t xml:space="preserve"> </w:t>
      </w:r>
    </w:p>
    <w:p w14:paraId="4F1C7169" w14:textId="77777777" w:rsidR="00FD52CC" w:rsidRPr="00DA571D" w:rsidRDefault="6A7B2C44" w:rsidP="00510557">
      <w:pPr>
        <w:pStyle w:val="ListParagraph"/>
        <w:numPr>
          <w:ilvl w:val="0"/>
          <w:numId w:val="21"/>
        </w:numPr>
        <w:contextualSpacing/>
        <w:rPr>
          <w:rFonts w:ascii="Arial" w:hAnsi="Arial" w:cs="Arial"/>
          <w:bCs/>
        </w:rPr>
      </w:pPr>
      <w:r w:rsidRPr="00DA571D">
        <w:rPr>
          <w:rFonts w:ascii="Arial" w:hAnsi="Arial" w:cs="Arial"/>
          <w:bCs/>
        </w:rPr>
        <w:t xml:space="preserve">The Security Legislation Amendment (Critical Infrastructure) Act 2021 (SLACI Act). The regulatory impacts of the SLACI Act were considered in a 2020 regulation impact statement (RIS) titled ‘Critical Infrastructure, Systems of National Significance’ (‘the 2020 RIS’) (Office of Best Practice Regulation (OBPR) ID: 25902). The 2020 RIS can be accessed </w:t>
      </w:r>
      <w:hyperlink r:id="rId7">
        <w:r w:rsidRPr="001B44C0">
          <w:rPr>
            <w:bCs/>
            <w:color w:val="2B579A"/>
            <w:u w:val="single"/>
            <w:shd w:val="clear" w:color="auto" w:fill="E6E6E6"/>
          </w:rPr>
          <w:t>here</w:t>
        </w:r>
      </w:hyperlink>
      <w:r w:rsidRPr="00DA571D">
        <w:rPr>
          <w:rFonts w:ascii="Arial" w:hAnsi="Arial" w:cs="Arial"/>
          <w:bCs/>
        </w:rPr>
        <w:t>.</w:t>
      </w:r>
    </w:p>
    <w:p w14:paraId="1137B92A" w14:textId="77777777" w:rsidR="00FD52CC" w:rsidRPr="00744947" w:rsidRDefault="6A7B2C44" w:rsidP="00510557">
      <w:pPr>
        <w:pStyle w:val="ListParagraph"/>
        <w:numPr>
          <w:ilvl w:val="0"/>
          <w:numId w:val="21"/>
        </w:numPr>
        <w:contextualSpacing/>
        <w:rPr>
          <w:rFonts w:ascii="Arial" w:hAnsi="Arial" w:cs="Arial"/>
        </w:rPr>
      </w:pPr>
      <w:r w:rsidRPr="4C25AF0D">
        <w:rPr>
          <w:rFonts w:ascii="Arial" w:hAnsi="Arial" w:cs="Arial"/>
        </w:rPr>
        <w:t xml:space="preserve">The </w:t>
      </w:r>
      <w:r w:rsidRPr="4C25AF0D">
        <w:rPr>
          <w:rFonts w:ascii="Arial" w:hAnsi="Arial" w:cs="Arial"/>
          <w:i/>
          <w:iCs/>
        </w:rPr>
        <w:t>Security Legislation Amendment (Critical Infrastructure Protection) Act 2022</w:t>
      </w:r>
      <w:r w:rsidRPr="4C25AF0D">
        <w:rPr>
          <w:rFonts w:ascii="Arial" w:hAnsi="Arial" w:cs="Arial"/>
        </w:rPr>
        <w:t>) (SLACIP Act).</w:t>
      </w:r>
      <w:r w:rsidRPr="4C25AF0D">
        <w:rPr>
          <w:rFonts w:ascii="Arial" w:hAnsi="Arial" w:cs="Arial"/>
          <w:i/>
          <w:iCs/>
        </w:rPr>
        <w:t xml:space="preserve"> </w:t>
      </w:r>
      <w:r w:rsidRPr="4C25AF0D">
        <w:rPr>
          <w:rFonts w:ascii="Arial" w:hAnsi="Arial" w:cs="Arial"/>
        </w:rPr>
        <w:t xml:space="preserve">The regulatory impacts of the SLACIP Act were considered in a 2022 RIS titled ‘Regulation impact statement: A risk management program framework for critical infrastructure assets’ (Office of Impact Analysis (OIA) ID: OBPR22-02914), and hereafter referred to as the ‘2022 RIS’ in this IA. The 2022 RIS can be accessed </w:t>
      </w:r>
      <w:hyperlink r:id="rId8" w:history="1">
        <w:r w:rsidRPr="00B27710">
          <w:rPr>
            <w:rStyle w:val="Hyperlink"/>
            <w:rFonts w:ascii="Arial" w:hAnsi="Arial" w:cs="Arial"/>
          </w:rPr>
          <w:t>here.</w:t>
        </w:r>
      </w:hyperlink>
      <w:r w:rsidR="5A430B26" w:rsidRPr="4C25AF0D">
        <w:rPr>
          <w:rFonts w:ascii="Arial" w:hAnsi="Arial" w:cs="Arial"/>
        </w:rPr>
        <w:t xml:space="preserve"> </w:t>
      </w:r>
    </w:p>
    <w:p w14:paraId="21C748F1" w14:textId="0104A807" w:rsidR="00FD52CC" w:rsidRDefault="00FD52CC" w:rsidP="00FD52CC">
      <w:pPr>
        <w:pStyle w:val="BodyText"/>
      </w:pPr>
      <w:r>
        <w:t xml:space="preserve">As part of the 2023-2030 Australian Cyber Security Strategy, the Department consulted with industry on further reforms to the SOCI Act. Between 19 December 2023 and 1 March 2024 the Department held </w:t>
      </w:r>
      <w:r w:rsidR="00D1192F">
        <w:t xml:space="preserve">numerous </w:t>
      </w:r>
      <w:r>
        <w:t>town halls and roundtable discussions with affected entities on potential reforms to the SOCI Act. Industry was also invited to provide written submissions by 1 March 2024 in response to the ‘2023-2030 Australian Cyber Security Strategy: Legislative Reforms Consultation Paper’ (the Consultation Paper).</w:t>
      </w:r>
      <w:r w:rsidR="58E88617">
        <w:t xml:space="preserve"> This IA considers</w:t>
      </w:r>
      <w:r w:rsidR="472CADAA">
        <w:t xml:space="preserve"> </w:t>
      </w:r>
      <w:r w:rsidR="0D563716">
        <w:t>options for implementatio</w:t>
      </w:r>
      <w:r w:rsidR="24A74273">
        <w:t>n more broadly than legislative reforms and considers t</w:t>
      </w:r>
      <w:r w:rsidR="58E88617">
        <w:t xml:space="preserve">he regulatory cost of </w:t>
      </w:r>
      <w:r w:rsidR="4B98F450">
        <w:t>options following industry feedback.</w:t>
      </w:r>
    </w:p>
    <w:p w14:paraId="7546005E" w14:textId="3DDC4A81" w:rsidR="00FD52CC" w:rsidRPr="00DF46B0" w:rsidRDefault="00FD52CC" w:rsidP="4F26752A">
      <w:pPr>
        <w:pStyle w:val="BodyText"/>
      </w:pPr>
      <w:r>
        <w:t xml:space="preserve">This IA considers the regulatory impacts of the potential SOCI Act reforms through the lens of three problem elements, as outlined in </w:t>
      </w:r>
      <w:r>
        <w:rPr>
          <w:color w:val="2B579A"/>
          <w:shd w:val="clear" w:color="auto" w:fill="E6E6E6"/>
        </w:rPr>
        <w:fldChar w:fldCharType="begin"/>
      </w:r>
      <w:r>
        <w:instrText xml:space="preserve"> REF _Ref159398090 \h  \* MERGEFORMAT </w:instrText>
      </w:r>
      <w:r>
        <w:rPr>
          <w:color w:val="2B579A"/>
          <w:shd w:val="clear" w:color="auto" w:fill="E6E6E6"/>
        </w:rPr>
      </w:r>
      <w:r>
        <w:rPr>
          <w:color w:val="2B579A"/>
          <w:shd w:val="clear" w:color="auto" w:fill="E6E6E6"/>
        </w:rPr>
        <w:fldChar w:fldCharType="separate"/>
      </w:r>
      <w:r w:rsidR="00E8506B" w:rsidRPr="00E8506B">
        <w:t xml:space="preserve">Table </w:t>
      </w:r>
      <w:r w:rsidR="00E8506B">
        <w:rPr>
          <w:rFonts w:ascii="Calibri" w:hAnsi="Calibri" w:cs="Calibri"/>
          <w:noProof/>
        </w:rPr>
        <w:t>1</w:t>
      </w:r>
      <w:r>
        <w:rPr>
          <w:color w:val="2B579A"/>
          <w:shd w:val="clear" w:color="auto" w:fill="E6E6E6"/>
        </w:rPr>
        <w:fldChar w:fldCharType="end"/>
      </w:r>
      <w:r>
        <w:t xml:space="preserve"> below. </w:t>
      </w:r>
      <w:bookmarkStart w:id="13" w:name="_Ref159398090"/>
    </w:p>
    <w:p w14:paraId="1989068B" w14:textId="0F1CF80A" w:rsidR="00FD52CC" w:rsidRPr="001707E4" w:rsidRDefault="00FD52CC" w:rsidP="00FD52CC">
      <w:pPr>
        <w:pStyle w:val="Caption"/>
        <w:rPr>
          <w:rFonts w:ascii="Calibri" w:hAnsi="Calibri" w:cs="Calibri"/>
        </w:rPr>
      </w:pPr>
      <w:bookmarkStart w:id="14" w:name="_Ref163736272"/>
      <w:r w:rsidRPr="001707E4">
        <w:rPr>
          <w:rFonts w:ascii="Calibri" w:hAnsi="Calibri" w:cs="Calibri"/>
          <w:bCs/>
        </w:rPr>
        <w:t xml:space="preserve">Table </w:t>
      </w:r>
      <w:r w:rsidRPr="001707E4">
        <w:rPr>
          <w:rFonts w:ascii="Calibri" w:hAnsi="Calibri" w:cs="Calibri"/>
          <w:b w:val="0"/>
          <w:color w:val="2B579A"/>
          <w:shd w:val="clear" w:color="auto" w:fill="E6E6E6"/>
        </w:rPr>
        <w:fldChar w:fldCharType="begin"/>
      </w:r>
      <w:r w:rsidRPr="001707E4">
        <w:rPr>
          <w:rFonts w:ascii="Calibri" w:hAnsi="Calibri" w:cs="Calibri"/>
        </w:rPr>
        <w:instrText xml:space="preserve"> SEQ Table \* ARABIC </w:instrText>
      </w:r>
      <w:r w:rsidRPr="001707E4">
        <w:rPr>
          <w:rFonts w:ascii="Calibri" w:hAnsi="Calibri" w:cs="Calibri"/>
          <w:b w:val="0"/>
          <w:color w:val="2B579A"/>
          <w:shd w:val="clear" w:color="auto" w:fill="E6E6E6"/>
        </w:rPr>
        <w:fldChar w:fldCharType="separate"/>
      </w:r>
      <w:r w:rsidR="00E8506B">
        <w:rPr>
          <w:rFonts w:ascii="Calibri" w:hAnsi="Calibri" w:cs="Calibri"/>
          <w:noProof/>
        </w:rPr>
        <w:t>1</w:t>
      </w:r>
      <w:r w:rsidRPr="001707E4">
        <w:rPr>
          <w:rFonts w:ascii="Calibri" w:hAnsi="Calibri" w:cs="Calibri"/>
          <w:b w:val="0"/>
          <w:color w:val="2B579A"/>
          <w:shd w:val="clear" w:color="auto" w:fill="E6E6E6"/>
        </w:rPr>
        <w:fldChar w:fldCharType="end"/>
      </w:r>
      <w:bookmarkEnd w:id="13"/>
      <w:bookmarkEnd w:id="14"/>
      <w:r w:rsidRPr="001707E4">
        <w:rPr>
          <w:rFonts w:ascii="Calibri" w:hAnsi="Calibri" w:cs="Calibri"/>
        </w:rPr>
        <w:t xml:space="preserve"> </w:t>
      </w:r>
      <w:r w:rsidRPr="001707E4">
        <w:rPr>
          <w:rFonts w:ascii="Calibri" w:hAnsi="Calibri" w:cs="Calibri"/>
          <w:b w:val="0"/>
        </w:rPr>
        <w:t>Identified problems and Government objectives</w:t>
      </w:r>
    </w:p>
    <w:tbl>
      <w:tblPr>
        <w:tblStyle w:val="TableGridLight"/>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09"/>
        <w:gridCol w:w="4253"/>
        <w:gridCol w:w="4677"/>
      </w:tblGrid>
      <w:tr w:rsidR="00313178" w:rsidRPr="00940D7E" w14:paraId="5B98E093" w14:textId="77777777" w:rsidTr="00A20ADD">
        <w:trPr>
          <w:trHeight w:val="300"/>
        </w:trPr>
        <w:tc>
          <w:tcPr>
            <w:tcW w:w="709" w:type="dxa"/>
            <w:shd w:val="clear" w:color="auto" w:fill="284B98"/>
            <w:vAlign w:val="center"/>
          </w:tcPr>
          <w:p w14:paraId="56F66E15" w14:textId="4EAC118C" w:rsidR="00313178" w:rsidRPr="00F1701F" w:rsidRDefault="00313178" w:rsidP="004C3259">
            <w:pPr>
              <w:spacing w:before="120" w:after="120"/>
              <w:rPr>
                <w:rFonts w:ascii="Arial" w:hAnsi="Arial" w:cs="Arial"/>
                <w:b/>
                <w:bCs/>
                <w:color w:val="FFFFFF" w:themeColor="background1"/>
                <w:szCs w:val="20"/>
              </w:rPr>
            </w:pPr>
            <w:bookmarkStart w:id="15" w:name="_Hlk161838786"/>
          </w:p>
        </w:tc>
        <w:tc>
          <w:tcPr>
            <w:tcW w:w="4253" w:type="dxa"/>
            <w:shd w:val="clear" w:color="auto" w:fill="284B98"/>
            <w:vAlign w:val="center"/>
          </w:tcPr>
          <w:p w14:paraId="38CCC7A8" w14:textId="580A4552" w:rsidR="00313178" w:rsidRPr="00F1701F" w:rsidRDefault="00313178" w:rsidP="004C3259">
            <w:pPr>
              <w:spacing w:before="120" w:after="120"/>
              <w:rPr>
                <w:rFonts w:ascii="Arial" w:hAnsi="Arial" w:cs="Arial"/>
                <w:b/>
                <w:bCs/>
                <w:color w:val="FFFFFF" w:themeColor="background1"/>
                <w:szCs w:val="20"/>
              </w:rPr>
            </w:pPr>
            <w:r w:rsidRPr="591A7590">
              <w:rPr>
                <w:rFonts w:ascii="Arial" w:hAnsi="Arial" w:cs="Arial"/>
                <w:b/>
                <w:bCs/>
                <w:color w:val="FFFFFF" w:themeColor="background1"/>
                <w:szCs w:val="20"/>
              </w:rPr>
              <w:t>What is the problem?</w:t>
            </w:r>
          </w:p>
        </w:tc>
        <w:tc>
          <w:tcPr>
            <w:tcW w:w="4677" w:type="dxa"/>
            <w:shd w:val="clear" w:color="auto" w:fill="284B98"/>
          </w:tcPr>
          <w:p w14:paraId="2314449C" w14:textId="77777777" w:rsidR="00313178" w:rsidRDefault="00313178" w:rsidP="004C3259">
            <w:pPr>
              <w:spacing w:before="120" w:after="120"/>
              <w:rPr>
                <w:rFonts w:ascii="Arial" w:hAnsi="Arial" w:cs="Arial"/>
                <w:b/>
                <w:bCs/>
                <w:color w:val="FFFFFF" w:themeColor="background1"/>
                <w:szCs w:val="20"/>
              </w:rPr>
            </w:pPr>
            <w:r w:rsidRPr="591A7590">
              <w:rPr>
                <w:rFonts w:ascii="Arial" w:hAnsi="Arial" w:cs="Arial"/>
                <w:b/>
                <w:bCs/>
                <w:color w:val="FFFFFF" w:themeColor="background1"/>
                <w:szCs w:val="20"/>
              </w:rPr>
              <w:t>What are Government’s objectives?</w:t>
            </w:r>
          </w:p>
        </w:tc>
      </w:tr>
      <w:tr w:rsidR="00FD52CC" w:rsidRPr="00940D7E" w14:paraId="79294203" w14:textId="77777777" w:rsidTr="00A20ADD">
        <w:trPr>
          <w:trHeight w:val="300"/>
        </w:trPr>
        <w:tc>
          <w:tcPr>
            <w:tcW w:w="709" w:type="dxa"/>
            <w:shd w:val="clear" w:color="auto" w:fill="F2F2F2" w:themeFill="background1" w:themeFillShade="F2"/>
            <w:vAlign w:val="center"/>
          </w:tcPr>
          <w:p w14:paraId="12EC4152" w14:textId="77777777" w:rsidR="00FD52CC" w:rsidRPr="00DB0F47" w:rsidRDefault="00FD52CC" w:rsidP="004C3259">
            <w:pPr>
              <w:spacing w:before="60" w:after="60"/>
              <w:contextualSpacing/>
              <w:rPr>
                <w:rFonts w:ascii="Arial" w:hAnsi="Arial" w:cs="Arial"/>
                <w:b/>
                <w:bCs/>
                <w:szCs w:val="20"/>
              </w:rPr>
            </w:pPr>
            <w:r w:rsidRPr="591A7590">
              <w:rPr>
                <w:rFonts w:ascii="Arial" w:hAnsi="Arial" w:cs="Arial"/>
                <w:b/>
                <w:bCs/>
                <w:szCs w:val="20"/>
              </w:rPr>
              <w:t>1.1</w:t>
            </w:r>
          </w:p>
        </w:tc>
        <w:tc>
          <w:tcPr>
            <w:tcW w:w="4253" w:type="dxa"/>
            <w:vAlign w:val="center"/>
          </w:tcPr>
          <w:p w14:paraId="0C929912" w14:textId="77777777" w:rsidR="00FD52CC" w:rsidRPr="00400CBA" w:rsidRDefault="00FD52CC" w:rsidP="00FD52CC">
            <w:pPr>
              <w:pStyle w:val="Tablebody0"/>
            </w:pPr>
            <w:r w:rsidRPr="591A7590">
              <w:t xml:space="preserve">There </w:t>
            </w:r>
            <w:r w:rsidR="006C204C">
              <w:t>are</w:t>
            </w:r>
            <w:r w:rsidRPr="591A7590">
              <w:t xml:space="preserve"> a growing number of cyber incidents which impact non-operational data storage systems held by critical infrastructure entities</w:t>
            </w:r>
            <w:r>
              <w:t xml:space="preserve"> and </w:t>
            </w:r>
            <w:r w:rsidRPr="591A7590">
              <w:t xml:space="preserve">can often be a point of entry for malicious actors. </w:t>
            </w:r>
          </w:p>
        </w:tc>
        <w:tc>
          <w:tcPr>
            <w:tcW w:w="4677" w:type="dxa"/>
            <w:vAlign w:val="center"/>
          </w:tcPr>
          <w:p w14:paraId="6F06F671" w14:textId="77777777" w:rsidR="00FD52CC" w:rsidRPr="00C45D0A" w:rsidRDefault="00FD52CC"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Ensure </w:t>
            </w:r>
            <w:r w:rsidRPr="591A7590">
              <w:rPr>
                <w:rFonts w:ascii="Arial" w:hAnsi="Arial" w:cs="Arial"/>
                <w:b/>
                <w:bCs/>
                <w:szCs w:val="20"/>
              </w:rPr>
              <w:t>consistent</w:t>
            </w:r>
            <w:r w:rsidRPr="591A7590">
              <w:rPr>
                <w:rFonts w:ascii="Arial" w:hAnsi="Arial" w:cs="Arial"/>
                <w:szCs w:val="20"/>
              </w:rPr>
              <w:t xml:space="preserve"> capture of secondary systems where vulnerabilities could have a relevant impact on critical infrastructure. </w:t>
            </w:r>
          </w:p>
        </w:tc>
      </w:tr>
      <w:tr w:rsidR="00FD52CC" w:rsidRPr="00940D7E" w14:paraId="19161083" w14:textId="77777777" w:rsidTr="00A20ADD">
        <w:trPr>
          <w:trHeight w:val="300"/>
        </w:trPr>
        <w:tc>
          <w:tcPr>
            <w:tcW w:w="709" w:type="dxa"/>
            <w:shd w:val="clear" w:color="auto" w:fill="F2F2F2" w:themeFill="background1" w:themeFillShade="F2"/>
            <w:vAlign w:val="center"/>
          </w:tcPr>
          <w:p w14:paraId="3ED65BC2" w14:textId="77777777" w:rsidR="00FD52CC" w:rsidRPr="00DB0F47" w:rsidRDefault="00FD52CC" w:rsidP="004C3259">
            <w:pPr>
              <w:spacing w:before="60" w:after="60"/>
              <w:contextualSpacing/>
              <w:rPr>
                <w:rFonts w:ascii="Arial" w:hAnsi="Arial" w:cs="Arial"/>
                <w:b/>
                <w:bCs/>
                <w:szCs w:val="20"/>
              </w:rPr>
            </w:pPr>
            <w:r w:rsidRPr="591A7590">
              <w:rPr>
                <w:rFonts w:ascii="Arial" w:hAnsi="Arial" w:cs="Arial"/>
                <w:b/>
                <w:bCs/>
                <w:szCs w:val="20"/>
              </w:rPr>
              <w:t>1.2</w:t>
            </w:r>
          </w:p>
        </w:tc>
        <w:tc>
          <w:tcPr>
            <w:tcW w:w="4253" w:type="dxa"/>
            <w:vAlign w:val="center"/>
          </w:tcPr>
          <w:p w14:paraId="408B0641" w14:textId="77777777" w:rsidR="00FD52CC" w:rsidRPr="00400CBA" w:rsidRDefault="00FD52CC" w:rsidP="00FD52CC">
            <w:pPr>
              <w:pStyle w:val="Tablebody0"/>
              <w:rPr>
                <w:rFonts w:ascii="Arial" w:hAnsi="Arial" w:cs="Arial"/>
              </w:rPr>
            </w:pPr>
            <w:r w:rsidRPr="591A7590">
              <w:rPr>
                <w:rFonts w:ascii="Arial" w:hAnsi="Arial" w:cs="Arial"/>
              </w:rPr>
              <w:t xml:space="preserve">Businesses often face difficulties responding effectively in the aftermath of significant incidents because of legal risks and government’s limited ability to support with post-incident consequence management. </w:t>
            </w:r>
          </w:p>
        </w:tc>
        <w:tc>
          <w:tcPr>
            <w:tcW w:w="4677" w:type="dxa"/>
            <w:vAlign w:val="center"/>
          </w:tcPr>
          <w:p w14:paraId="307BD138" w14:textId="77777777" w:rsidR="00FD52CC" w:rsidRPr="00C45D0A" w:rsidRDefault="00FD52CC"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Enable a </w:t>
            </w:r>
            <w:r w:rsidRPr="591A7590">
              <w:rPr>
                <w:rFonts w:ascii="Arial" w:hAnsi="Arial" w:cs="Arial"/>
                <w:b/>
                <w:bCs/>
                <w:szCs w:val="20"/>
              </w:rPr>
              <w:t>coordinated,</w:t>
            </w:r>
            <w:r w:rsidRPr="591A7590">
              <w:rPr>
                <w:rFonts w:ascii="Arial" w:hAnsi="Arial" w:cs="Arial"/>
                <w:szCs w:val="20"/>
              </w:rPr>
              <w:t xml:space="preserve"> </w:t>
            </w:r>
            <w:r w:rsidRPr="591A7590">
              <w:rPr>
                <w:rFonts w:ascii="Arial" w:hAnsi="Arial" w:cs="Arial"/>
                <w:b/>
                <w:bCs/>
                <w:szCs w:val="20"/>
              </w:rPr>
              <w:t>agile, industry-led response</w:t>
            </w:r>
            <w:r w:rsidRPr="591A7590">
              <w:rPr>
                <w:rFonts w:ascii="Arial" w:hAnsi="Arial" w:cs="Arial"/>
                <w:szCs w:val="20"/>
              </w:rPr>
              <w:t xml:space="preserve"> to incidents with appropriate support from government where necessary. </w:t>
            </w:r>
          </w:p>
        </w:tc>
      </w:tr>
      <w:tr w:rsidR="00FD52CC" w:rsidRPr="00940D7E" w14:paraId="679BD2B6" w14:textId="77777777" w:rsidTr="00A20ADD">
        <w:trPr>
          <w:trHeight w:val="300"/>
        </w:trPr>
        <w:tc>
          <w:tcPr>
            <w:tcW w:w="709" w:type="dxa"/>
            <w:shd w:val="clear" w:color="auto" w:fill="F2F2F2" w:themeFill="background1" w:themeFillShade="F2"/>
            <w:vAlign w:val="center"/>
          </w:tcPr>
          <w:p w14:paraId="7E8429C8" w14:textId="77777777" w:rsidR="00FD52CC" w:rsidRPr="00DB0F47" w:rsidRDefault="00FD52CC" w:rsidP="004C3259">
            <w:pPr>
              <w:keepLines/>
              <w:spacing w:before="60" w:after="60"/>
              <w:contextualSpacing/>
              <w:rPr>
                <w:rFonts w:ascii="Arial" w:hAnsi="Arial" w:cs="Arial"/>
                <w:b/>
                <w:bCs/>
                <w:szCs w:val="20"/>
              </w:rPr>
            </w:pPr>
            <w:r w:rsidRPr="591A7590">
              <w:rPr>
                <w:rFonts w:ascii="Arial" w:hAnsi="Arial" w:cs="Arial"/>
                <w:b/>
                <w:bCs/>
                <w:szCs w:val="20"/>
              </w:rPr>
              <w:t>1.3</w:t>
            </w:r>
          </w:p>
        </w:tc>
        <w:tc>
          <w:tcPr>
            <w:tcW w:w="4253" w:type="dxa"/>
            <w:vAlign w:val="center"/>
          </w:tcPr>
          <w:p w14:paraId="2F43E6B4" w14:textId="77777777" w:rsidR="00FD52CC" w:rsidRPr="00400CBA" w:rsidRDefault="00FD52CC" w:rsidP="00FD52CC">
            <w:pPr>
              <w:pStyle w:val="Tablebody0"/>
              <w:rPr>
                <w:rFonts w:ascii="Arial" w:hAnsi="Arial" w:cs="Arial"/>
              </w:rPr>
            </w:pPr>
            <w:r w:rsidRPr="591A7590">
              <w:rPr>
                <w:rFonts w:ascii="Arial" w:hAnsi="Arial" w:cs="Arial"/>
              </w:rPr>
              <w:t>When an entity is unwilling to comply with the regulator’s recommendations to enhance a</w:t>
            </w:r>
            <w:r>
              <w:rPr>
                <w:rFonts w:ascii="Arial" w:hAnsi="Arial" w:cs="Arial"/>
              </w:rPr>
              <w:t xml:space="preserve"> risk management program</w:t>
            </w:r>
            <w:r w:rsidRPr="591A7590">
              <w:rPr>
                <w:rFonts w:ascii="Arial" w:hAnsi="Arial" w:cs="Arial"/>
              </w:rPr>
              <w:t xml:space="preserve"> </w:t>
            </w:r>
            <w:r>
              <w:rPr>
                <w:rFonts w:ascii="Arial" w:hAnsi="Arial" w:cs="Arial"/>
              </w:rPr>
              <w:t>(</w:t>
            </w:r>
            <w:r w:rsidRPr="591A7590">
              <w:rPr>
                <w:rFonts w:ascii="Arial" w:hAnsi="Arial" w:cs="Arial"/>
              </w:rPr>
              <w:t>RMP</w:t>
            </w:r>
            <w:r>
              <w:rPr>
                <w:rFonts w:ascii="Arial" w:hAnsi="Arial" w:cs="Arial"/>
              </w:rPr>
              <w:t>)</w:t>
            </w:r>
            <w:r w:rsidRPr="591A7590">
              <w:rPr>
                <w:rFonts w:ascii="Arial" w:hAnsi="Arial" w:cs="Arial"/>
              </w:rPr>
              <w:t xml:space="preserve">, there is </w:t>
            </w:r>
            <w:r>
              <w:rPr>
                <w:rFonts w:ascii="Arial" w:hAnsi="Arial" w:cs="Arial"/>
              </w:rPr>
              <w:t>limited</w:t>
            </w:r>
            <w:r w:rsidRPr="591A7590">
              <w:rPr>
                <w:rFonts w:ascii="Arial" w:hAnsi="Arial" w:cs="Arial"/>
              </w:rPr>
              <w:t xml:space="preserve"> ability for the regulator to issue a direction that the entity remedy the deficient RMP</w:t>
            </w:r>
            <w:r>
              <w:rPr>
                <w:rFonts w:ascii="Arial" w:hAnsi="Arial" w:cs="Arial"/>
              </w:rPr>
              <w:t xml:space="preserve"> in a timely fashion</w:t>
            </w:r>
            <w:r w:rsidRPr="591A7590">
              <w:rPr>
                <w:rFonts w:ascii="Arial" w:hAnsi="Arial" w:cs="Arial"/>
              </w:rPr>
              <w:t xml:space="preserve">. </w:t>
            </w:r>
          </w:p>
        </w:tc>
        <w:tc>
          <w:tcPr>
            <w:tcW w:w="4677" w:type="dxa"/>
            <w:vAlign w:val="center"/>
          </w:tcPr>
          <w:p w14:paraId="5AF64368" w14:textId="77777777" w:rsidR="00FD52CC" w:rsidRPr="00D17C9D" w:rsidRDefault="00FD52CC"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b/>
                <w:bCs/>
                <w:szCs w:val="20"/>
              </w:rPr>
              <w:t>Clarify and enhance</w:t>
            </w:r>
            <w:r w:rsidRPr="591A7590">
              <w:rPr>
                <w:rFonts w:ascii="Arial" w:hAnsi="Arial" w:cs="Arial"/>
                <w:szCs w:val="20"/>
              </w:rPr>
              <w:t xml:space="preserve"> the security standards applicable to critical infrastructure. </w:t>
            </w:r>
          </w:p>
          <w:p w14:paraId="3484D994" w14:textId="77777777" w:rsidR="00FD52CC" w:rsidRPr="00C45D0A" w:rsidRDefault="00FD52CC" w:rsidP="00510557">
            <w:pPr>
              <w:pStyle w:val="ListParagraph"/>
              <w:keepLines/>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Enable an </w:t>
            </w:r>
            <w:r w:rsidRPr="591A7590">
              <w:rPr>
                <w:rFonts w:ascii="Arial" w:hAnsi="Arial" w:cs="Arial"/>
                <w:b/>
                <w:bCs/>
                <w:szCs w:val="20"/>
              </w:rPr>
              <w:t>agile, industry-led</w:t>
            </w:r>
            <w:r w:rsidRPr="591A7590">
              <w:rPr>
                <w:rFonts w:ascii="Arial" w:hAnsi="Arial" w:cs="Arial"/>
                <w:szCs w:val="20"/>
              </w:rPr>
              <w:t xml:space="preserve"> </w:t>
            </w:r>
            <w:r w:rsidRPr="591A7590">
              <w:rPr>
                <w:rFonts w:ascii="Arial" w:hAnsi="Arial" w:cs="Arial"/>
                <w:b/>
                <w:bCs/>
                <w:szCs w:val="20"/>
              </w:rPr>
              <w:t>response</w:t>
            </w:r>
            <w:r w:rsidRPr="591A7590">
              <w:rPr>
                <w:rFonts w:ascii="Arial" w:hAnsi="Arial" w:cs="Arial"/>
                <w:szCs w:val="20"/>
              </w:rPr>
              <w:t xml:space="preserve"> to incidents with appropriate support from government where necessary.</w:t>
            </w:r>
          </w:p>
        </w:tc>
      </w:tr>
    </w:tbl>
    <w:bookmarkEnd w:id="15"/>
    <w:p w14:paraId="5FEF890D" w14:textId="77777777" w:rsidR="00FD52CC" w:rsidRDefault="00FD52CC" w:rsidP="00FD52CC">
      <w:pPr>
        <w:pStyle w:val="BodyText"/>
      </w:pPr>
      <w:r w:rsidRPr="591A7590">
        <w:t xml:space="preserve">This IA considers three options for addressing the above problem elements: </w:t>
      </w:r>
    </w:p>
    <w:p w14:paraId="03699802" w14:textId="77777777" w:rsidR="00FD52CC" w:rsidRPr="00490823" w:rsidRDefault="5A430B26" w:rsidP="00510557">
      <w:pPr>
        <w:pStyle w:val="ListParagraph"/>
        <w:numPr>
          <w:ilvl w:val="0"/>
          <w:numId w:val="21"/>
        </w:numPr>
        <w:contextualSpacing/>
        <w:rPr>
          <w:rFonts w:ascii="Arial" w:hAnsi="Arial" w:cs="Arial"/>
        </w:rPr>
      </w:pPr>
      <w:r w:rsidRPr="00490823">
        <w:rPr>
          <w:rFonts w:ascii="Arial" w:hAnsi="Arial" w:cs="Arial"/>
          <w:b/>
          <w:bCs/>
        </w:rPr>
        <w:t>Option 1</w:t>
      </w:r>
      <w:r w:rsidRPr="00490823">
        <w:rPr>
          <w:rFonts w:ascii="Arial" w:hAnsi="Arial" w:cs="Arial"/>
        </w:rPr>
        <w:t xml:space="preserve"> – maintaining the status quo (no regulatory change); </w:t>
      </w:r>
    </w:p>
    <w:p w14:paraId="04F947DE" w14:textId="77777777" w:rsidR="00FD52CC" w:rsidRDefault="00FD52CC" w:rsidP="00510557">
      <w:pPr>
        <w:pStyle w:val="ListParagraph"/>
        <w:numPr>
          <w:ilvl w:val="0"/>
          <w:numId w:val="21"/>
        </w:numPr>
        <w:spacing w:before="0" w:line="240" w:lineRule="auto"/>
        <w:contextualSpacing/>
        <w:rPr>
          <w:rFonts w:ascii="Arial" w:hAnsi="Arial" w:cs="Arial"/>
          <w:szCs w:val="20"/>
        </w:rPr>
      </w:pPr>
      <w:r w:rsidRPr="591A7590">
        <w:rPr>
          <w:rFonts w:ascii="Arial" w:hAnsi="Arial" w:cs="Arial"/>
          <w:b/>
          <w:bCs/>
          <w:szCs w:val="20"/>
        </w:rPr>
        <w:t>Option 2</w:t>
      </w:r>
      <w:r>
        <w:rPr>
          <w:rFonts w:ascii="Arial" w:hAnsi="Arial" w:cs="Arial"/>
          <w:szCs w:val="20"/>
        </w:rPr>
        <w:t xml:space="preserve"> – </w:t>
      </w:r>
      <w:r w:rsidRPr="591A7590">
        <w:rPr>
          <w:rFonts w:ascii="Arial" w:hAnsi="Arial" w:cs="Arial"/>
          <w:szCs w:val="20"/>
        </w:rPr>
        <w:t>implement</w:t>
      </w:r>
      <w:r>
        <w:rPr>
          <w:rFonts w:ascii="Arial" w:hAnsi="Arial" w:cs="Arial"/>
          <w:szCs w:val="20"/>
        </w:rPr>
        <w:t>ing</w:t>
      </w:r>
      <w:r w:rsidRPr="591A7590">
        <w:rPr>
          <w:rFonts w:ascii="Arial" w:hAnsi="Arial" w:cs="Arial"/>
          <w:szCs w:val="20"/>
        </w:rPr>
        <w:t xml:space="preserve"> three reforms to the SOCI Act, including clarification of definitions and introduction of new directions powers; or </w:t>
      </w:r>
    </w:p>
    <w:p w14:paraId="6A46B988" w14:textId="77777777" w:rsidR="00FD52CC" w:rsidRDefault="00FD52CC" w:rsidP="00510557">
      <w:pPr>
        <w:pStyle w:val="ListParagraph"/>
        <w:numPr>
          <w:ilvl w:val="0"/>
          <w:numId w:val="21"/>
        </w:numPr>
        <w:spacing w:before="0" w:line="240" w:lineRule="auto"/>
        <w:contextualSpacing/>
        <w:rPr>
          <w:rFonts w:ascii="Arial" w:hAnsi="Arial" w:cs="Arial"/>
          <w:szCs w:val="20"/>
        </w:rPr>
      </w:pPr>
      <w:r w:rsidRPr="591A7590">
        <w:rPr>
          <w:rFonts w:ascii="Arial" w:hAnsi="Arial" w:cs="Arial"/>
          <w:b/>
          <w:bCs/>
          <w:szCs w:val="20"/>
        </w:rPr>
        <w:t>Option 3</w:t>
      </w:r>
      <w:r w:rsidRPr="591A7590" w:rsidDel="00A7512C">
        <w:rPr>
          <w:rFonts w:ascii="Arial" w:hAnsi="Arial" w:cs="Arial"/>
          <w:szCs w:val="20"/>
        </w:rPr>
        <w:t xml:space="preserve"> </w:t>
      </w:r>
      <w:r>
        <w:rPr>
          <w:rFonts w:ascii="Arial" w:hAnsi="Arial" w:cs="Arial"/>
          <w:szCs w:val="20"/>
        </w:rPr>
        <w:t>–</w:t>
      </w:r>
      <w:r w:rsidRPr="591A7590" w:rsidDel="00A7512C">
        <w:rPr>
          <w:rFonts w:ascii="Arial" w:hAnsi="Arial" w:cs="Arial"/>
          <w:szCs w:val="20"/>
        </w:rPr>
        <w:t xml:space="preserve"> </w:t>
      </w:r>
      <w:r w:rsidRPr="591A7590">
        <w:rPr>
          <w:rFonts w:ascii="Arial" w:hAnsi="Arial" w:cs="Arial"/>
          <w:szCs w:val="20"/>
        </w:rPr>
        <w:t>enhanced collaboration between industry and Government, through use of</w:t>
      </w:r>
      <w:r>
        <w:rPr>
          <w:rFonts w:ascii="Arial" w:hAnsi="Arial" w:cs="Arial"/>
          <w:szCs w:val="20"/>
        </w:rPr>
        <w:t xml:space="preserve"> the</w:t>
      </w:r>
      <w:r w:rsidRPr="591A7590">
        <w:rPr>
          <w:rFonts w:ascii="Arial" w:hAnsi="Arial" w:cs="Arial"/>
          <w:szCs w:val="20"/>
        </w:rPr>
        <w:t xml:space="preserve"> Trusted Information Sharing Network (TISN). </w:t>
      </w:r>
    </w:p>
    <w:p w14:paraId="364884DA" w14:textId="705353D0" w:rsidR="00FD52CC" w:rsidRDefault="40E4F82F" w:rsidP="00FD52CC">
      <w:pPr>
        <w:pStyle w:val="BodyText"/>
      </w:pPr>
      <w:r>
        <w:t>A Draft IA consulted on with indus</w:t>
      </w:r>
      <w:r w:rsidR="00F653D3">
        <w:t>try provided an opportunity for</w:t>
      </w:r>
      <w:r w:rsidR="00FD52CC">
        <w:t xml:space="preserve"> industry feedback on the costs and benefits associated with each of these options. Analysis indicates the following in relation to the likely net benefit of each option: </w:t>
      </w:r>
    </w:p>
    <w:p w14:paraId="171D6EFF" w14:textId="77777777" w:rsidR="00FD52CC" w:rsidRDefault="00FD52CC" w:rsidP="00510557">
      <w:pPr>
        <w:pStyle w:val="ListParagraph"/>
        <w:numPr>
          <w:ilvl w:val="0"/>
          <w:numId w:val="21"/>
        </w:numPr>
        <w:contextualSpacing/>
        <w:rPr>
          <w:rFonts w:ascii="Arial" w:hAnsi="Arial" w:cs="Arial"/>
          <w:szCs w:val="20"/>
        </w:rPr>
      </w:pPr>
      <w:r w:rsidRPr="00ED7B87">
        <w:rPr>
          <w:rFonts w:ascii="Arial" w:hAnsi="Arial" w:cs="Arial"/>
          <w:b/>
          <w:bCs/>
          <w:szCs w:val="20"/>
        </w:rPr>
        <w:t>Option 1</w:t>
      </w:r>
      <w:r w:rsidRPr="591A7590">
        <w:rPr>
          <w:rFonts w:ascii="Arial" w:hAnsi="Arial" w:cs="Arial"/>
          <w:szCs w:val="20"/>
        </w:rPr>
        <w:t xml:space="preserve"> </w:t>
      </w:r>
      <w:r>
        <w:rPr>
          <w:rFonts w:ascii="Arial" w:hAnsi="Arial" w:cs="Arial"/>
          <w:szCs w:val="20"/>
        </w:rPr>
        <w:t xml:space="preserve">– </w:t>
      </w:r>
      <w:r w:rsidRPr="52800771">
        <w:rPr>
          <w:rFonts w:ascii="Arial" w:hAnsi="Arial" w:cs="Arial"/>
          <w:szCs w:val="20"/>
        </w:rPr>
        <w:t xml:space="preserve">maintaining the status quo. This </w:t>
      </w:r>
      <w:r>
        <w:rPr>
          <w:rFonts w:ascii="Arial" w:hAnsi="Arial" w:cs="Arial"/>
          <w:szCs w:val="20"/>
        </w:rPr>
        <w:t xml:space="preserve">option </w:t>
      </w:r>
      <w:r w:rsidRPr="52800771">
        <w:rPr>
          <w:rFonts w:ascii="Arial" w:hAnsi="Arial" w:cs="Arial"/>
          <w:szCs w:val="20"/>
        </w:rPr>
        <w:t xml:space="preserve">is not capable of addressing the gaps which have been identified in the SOCI Act, as </w:t>
      </w:r>
      <w:r>
        <w:rPr>
          <w:rFonts w:ascii="Arial" w:hAnsi="Arial" w:cs="Arial"/>
          <w:szCs w:val="20"/>
        </w:rPr>
        <w:t>it</w:t>
      </w:r>
      <w:r w:rsidRPr="52800771">
        <w:rPr>
          <w:rFonts w:ascii="Arial" w:hAnsi="Arial" w:cs="Arial"/>
          <w:szCs w:val="20"/>
        </w:rPr>
        <w:t xml:space="preserve"> involves no change to the Act or broader regulatory environment. Stakeholders will suffer the forgone benefit of consistency, clarity, and agile, industry-led responses in the aftermath of an incident. Critical infrastructure assets will be left more vulnerable to a growing threat of incidents. </w:t>
      </w:r>
    </w:p>
    <w:p w14:paraId="5F37F145" w14:textId="7F9DAB81" w:rsidR="00FD52CC" w:rsidRDefault="00FD52CC" w:rsidP="00510557">
      <w:pPr>
        <w:pStyle w:val="ListParagraph"/>
        <w:numPr>
          <w:ilvl w:val="0"/>
          <w:numId w:val="21"/>
        </w:numPr>
        <w:contextualSpacing/>
        <w:rPr>
          <w:rFonts w:ascii="Arial" w:hAnsi="Arial" w:cs="Arial"/>
          <w:szCs w:val="20"/>
        </w:rPr>
      </w:pPr>
      <w:r w:rsidRPr="00ED7B87">
        <w:rPr>
          <w:rFonts w:ascii="Arial" w:hAnsi="Arial" w:cs="Arial"/>
          <w:b/>
          <w:bCs/>
          <w:szCs w:val="20"/>
        </w:rPr>
        <w:t>Option 2</w:t>
      </w:r>
      <w:r w:rsidRPr="591A7590">
        <w:rPr>
          <w:rFonts w:ascii="Arial" w:hAnsi="Arial" w:cs="Arial"/>
          <w:szCs w:val="20"/>
        </w:rPr>
        <w:t xml:space="preserve"> </w:t>
      </w:r>
      <w:r>
        <w:rPr>
          <w:rFonts w:ascii="Arial" w:hAnsi="Arial" w:cs="Arial"/>
          <w:szCs w:val="20"/>
        </w:rPr>
        <w:t xml:space="preserve">– </w:t>
      </w:r>
      <w:r w:rsidRPr="591A7590">
        <w:rPr>
          <w:rFonts w:ascii="Arial" w:hAnsi="Arial" w:cs="Arial"/>
          <w:szCs w:val="20"/>
        </w:rPr>
        <w:t>regulatory change</w:t>
      </w:r>
      <w:r>
        <w:rPr>
          <w:rFonts w:ascii="Arial" w:hAnsi="Arial" w:cs="Arial"/>
          <w:szCs w:val="20"/>
        </w:rPr>
        <w:t xml:space="preserve">. </w:t>
      </w:r>
      <w:r w:rsidRPr="591A7590">
        <w:rPr>
          <w:rFonts w:ascii="Arial" w:hAnsi="Arial" w:cs="Arial"/>
          <w:szCs w:val="20"/>
        </w:rPr>
        <w:t>The likely benefit</w:t>
      </w:r>
      <w:r w:rsidR="006C204C">
        <w:rPr>
          <w:rFonts w:ascii="Arial" w:hAnsi="Arial" w:cs="Arial"/>
          <w:szCs w:val="20"/>
        </w:rPr>
        <w:t>s</w:t>
      </w:r>
      <w:r w:rsidRPr="591A7590">
        <w:rPr>
          <w:rFonts w:ascii="Arial" w:hAnsi="Arial" w:cs="Arial"/>
          <w:szCs w:val="20"/>
        </w:rPr>
        <w:t xml:space="preserve"> will be at least (and are expected to be more than) the costs of the regulation. This is primarily because the </w:t>
      </w:r>
      <w:r>
        <w:rPr>
          <w:rFonts w:ascii="Arial" w:hAnsi="Arial" w:cs="Arial"/>
          <w:szCs w:val="20"/>
        </w:rPr>
        <w:t xml:space="preserve">nature of the reforms means the </w:t>
      </w:r>
      <w:r w:rsidRPr="591A7590">
        <w:rPr>
          <w:rFonts w:ascii="Arial" w:hAnsi="Arial" w:cs="Arial"/>
          <w:szCs w:val="20"/>
        </w:rPr>
        <w:t>marginal costs of the proposed changes are expected to be small</w:t>
      </w:r>
      <w:r>
        <w:rPr>
          <w:rFonts w:ascii="Arial" w:hAnsi="Arial" w:cs="Arial"/>
          <w:szCs w:val="20"/>
        </w:rPr>
        <w:t xml:space="preserve"> relative to the benefits of avoided future incidents (which have substantially greater cost)</w:t>
      </w:r>
      <w:r w:rsidRPr="591A7590">
        <w:rPr>
          <w:rFonts w:ascii="Arial" w:hAnsi="Arial" w:cs="Arial"/>
          <w:szCs w:val="20"/>
        </w:rPr>
        <w:t>.</w:t>
      </w:r>
      <w:r>
        <w:rPr>
          <w:rFonts w:ascii="Arial" w:hAnsi="Arial" w:cs="Arial"/>
          <w:szCs w:val="20"/>
        </w:rPr>
        <w:t xml:space="preserve"> Measures which may attract high costs in some circumstances (such as consequence management) are expected to be used infrequently, mitigating cost impacts. Option 2</w:t>
      </w:r>
      <w:r w:rsidRPr="591A7590">
        <w:rPr>
          <w:rFonts w:ascii="Arial" w:hAnsi="Arial" w:cs="Arial"/>
          <w:szCs w:val="20"/>
        </w:rPr>
        <w:t xml:space="preserve"> allow</w:t>
      </w:r>
      <w:r>
        <w:rPr>
          <w:rFonts w:ascii="Arial" w:hAnsi="Arial" w:cs="Arial"/>
          <w:szCs w:val="20"/>
        </w:rPr>
        <w:t>s</w:t>
      </w:r>
      <w:r w:rsidRPr="591A7590">
        <w:rPr>
          <w:rFonts w:ascii="Arial" w:hAnsi="Arial" w:cs="Arial"/>
          <w:szCs w:val="20"/>
        </w:rPr>
        <w:t xml:space="preserve"> for achievement of each objective of Government’s intervention (outlined in</w:t>
      </w:r>
      <w:r w:rsidRPr="00020AEC">
        <w:rPr>
          <w:rStyle w:val="BodyTextChar"/>
        </w:rPr>
        <w:t xml:space="preserve"> </w:t>
      </w:r>
      <w:r w:rsidRPr="00301F1A">
        <w:rPr>
          <w:rStyle w:val="BodyTextChar"/>
          <w:rFonts w:ascii="Arial" w:hAnsi="Arial" w:cs="Arial"/>
          <w:szCs w:val="20"/>
        </w:rPr>
        <w:fldChar w:fldCharType="begin"/>
      </w:r>
      <w:r w:rsidRPr="00301F1A">
        <w:rPr>
          <w:rStyle w:val="BodyTextChar"/>
          <w:rFonts w:ascii="Arial" w:hAnsi="Arial" w:cs="Arial"/>
          <w:szCs w:val="20"/>
        </w:rPr>
        <w:instrText xml:space="preserve"> REF _Ref163736272 \h  \* MERGEFORMAT </w:instrText>
      </w:r>
      <w:r w:rsidRPr="00301F1A">
        <w:rPr>
          <w:rStyle w:val="BodyTextChar"/>
          <w:rFonts w:ascii="Arial" w:hAnsi="Arial" w:cs="Arial"/>
          <w:szCs w:val="20"/>
        </w:rPr>
      </w:r>
      <w:r w:rsidRPr="00301F1A">
        <w:rPr>
          <w:rStyle w:val="BodyTextChar"/>
          <w:rFonts w:ascii="Arial" w:hAnsi="Arial" w:cs="Arial"/>
          <w:szCs w:val="20"/>
        </w:rPr>
        <w:fldChar w:fldCharType="separate"/>
      </w:r>
      <w:r w:rsidR="00E8506B" w:rsidRPr="00E8506B">
        <w:rPr>
          <w:rStyle w:val="BodyTextChar"/>
          <w:rFonts w:ascii="Arial" w:hAnsi="Arial" w:cs="Arial"/>
          <w:szCs w:val="20"/>
        </w:rPr>
        <w:t>Table 1</w:t>
      </w:r>
      <w:r w:rsidRPr="00301F1A">
        <w:rPr>
          <w:rStyle w:val="BodyTextChar"/>
          <w:rFonts w:ascii="Arial" w:hAnsi="Arial" w:cs="Arial"/>
          <w:szCs w:val="20"/>
        </w:rPr>
        <w:fldChar w:fldCharType="end"/>
      </w:r>
      <w:r w:rsidRPr="00301F1A">
        <w:rPr>
          <w:rStyle w:val="BodyTextChar"/>
          <w:szCs w:val="20"/>
        </w:rPr>
        <w:t xml:space="preserve"> </w:t>
      </w:r>
      <w:r w:rsidRPr="591A7590">
        <w:rPr>
          <w:rFonts w:ascii="Arial" w:hAnsi="Arial" w:cs="Arial"/>
          <w:szCs w:val="20"/>
        </w:rPr>
        <w:t xml:space="preserve">above). </w:t>
      </w:r>
    </w:p>
    <w:p w14:paraId="002FCC98" w14:textId="77777777" w:rsidR="00FD52CC" w:rsidRDefault="00FD52CC" w:rsidP="00510557">
      <w:pPr>
        <w:pStyle w:val="ListParagraph"/>
        <w:numPr>
          <w:ilvl w:val="0"/>
          <w:numId w:val="21"/>
        </w:numPr>
        <w:contextualSpacing/>
        <w:rPr>
          <w:rFonts w:ascii="Arial" w:hAnsi="Arial" w:cs="Arial"/>
          <w:szCs w:val="20"/>
        </w:rPr>
      </w:pPr>
      <w:r w:rsidRPr="00ED7B87">
        <w:rPr>
          <w:rFonts w:ascii="Arial" w:hAnsi="Arial" w:cs="Arial"/>
          <w:b/>
          <w:bCs/>
          <w:szCs w:val="20"/>
        </w:rPr>
        <w:t>Option 3</w:t>
      </w:r>
      <w:r w:rsidRPr="591A7590">
        <w:rPr>
          <w:rFonts w:ascii="Arial" w:hAnsi="Arial" w:cs="Arial"/>
          <w:szCs w:val="20"/>
        </w:rPr>
        <w:t xml:space="preserve"> </w:t>
      </w:r>
      <w:r>
        <w:rPr>
          <w:rFonts w:ascii="Arial" w:hAnsi="Arial" w:cs="Arial"/>
          <w:szCs w:val="20"/>
        </w:rPr>
        <w:t xml:space="preserve">– </w:t>
      </w:r>
      <w:r w:rsidRPr="52800771">
        <w:rPr>
          <w:rFonts w:ascii="Arial" w:hAnsi="Arial" w:cs="Arial"/>
          <w:szCs w:val="20"/>
        </w:rPr>
        <w:t xml:space="preserve">voluntary engagement from industry via the TISN. Responsible entities who choose not to engage with the TISN will not contribute to improving the current issues which exist in the SOCI Act. Even if there were full engagement across industry, the net benefit is inherently limited </w:t>
      </w:r>
      <w:r>
        <w:rPr>
          <w:rFonts w:ascii="Arial" w:hAnsi="Arial" w:cs="Arial"/>
          <w:szCs w:val="20"/>
        </w:rPr>
        <w:t>because</w:t>
      </w:r>
      <w:r w:rsidRPr="52800771">
        <w:rPr>
          <w:rFonts w:ascii="Arial" w:hAnsi="Arial" w:cs="Arial"/>
          <w:szCs w:val="20"/>
        </w:rPr>
        <w:t xml:space="preserve"> not all required reforms can be addressed through the TISN (given the requirement that directions powers are legislated). </w:t>
      </w:r>
    </w:p>
    <w:p w14:paraId="44C8A59B" w14:textId="4CDD568E" w:rsidR="00FD52CC" w:rsidRPr="00EA7002" w:rsidRDefault="00FD52CC" w:rsidP="00FD52CC">
      <w:pPr>
        <w:pStyle w:val="BodyText"/>
      </w:pPr>
      <w:r>
        <w:t xml:space="preserve">In March 2024, the Department </w:t>
      </w:r>
      <w:r w:rsidR="02BB09C7">
        <w:t xml:space="preserve">consulted </w:t>
      </w:r>
      <w:r>
        <w:t xml:space="preserve">with industry on a draft IA, which invited industry to respond to consultation questions contained in the IA (see Appendix B for the questions included in the draft IA). Consultation asked industry to validate the costs and benefits identified in relation to each option, identify any additional costs and benefits, and (where possible) provide data to support analysis. Insight from this consultation period built on the Department’s understanding of industry sentiment gained from submissions on the Consultation Paper. </w:t>
      </w:r>
    </w:p>
    <w:p w14:paraId="6086029A" w14:textId="1270F94F" w:rsidR="00FD52CC" w:rsidRDefault="00FD52CC" w:rsidP="00FD52CC">
      <w:pPr>
        <w:pStyle w:val="BodyText"/>
      </w:pPr>
      <w:r>
        <w:t xml:space="preserve">This IA examines the case for implementing each of the three options described above, and their associated costs and benefits – two of which (Options 2 and 3) demonstrate the potential to achieve some or all of the stated policy objectives, and one which maintains the status quo (Option 1). The analysis presented in this document clearly identifies that </w:t>
      </w:r>
      <w:r w:rsidRPr="098AE7E4">
        <w:rPr>
          <w:b/>
          <w:bCs/>
        </w:rPr>
        <w:t>Option 2: Amendments to the SOCI Act</w:t>
      </w:r>
      <w:r>
        <w:t xml:space="preserve"> most effectively addresses the identified problem areas, aligns with Government’s objectives for consistency, industry-led responses, and enhancement of existing applicable standards. It also offers the greatest overall </w:t>
      </w:r>
      <w:r w:rsidR="00062859">
        <w:t xml:space="preserve">expected </w:t>
      </w:r>
      <w:r>
        <w:t xml:space="preserve">net benefit. </w:t>
      </w:r>
    </w:p>
    <w:p w14:paraId="1A9A7DE7" w14:textId="77777777" w:rsidR="008F4C94" w:rsidRDefault="008F4C94">
      <w:pPr>
        <w:spacing w:before="80" w:after="80"/>
        <w:rPr>
          <w:rFonts w:ascii="Arial" w:eastAsia="Times New Roman" w:hAnsi="Arial" w:cs="Arial"/>
          <w:color w:val="1F3763"/>
          <w:sz w:val="24"/>
          <w:szCs w:val="24"/>
          <w:lang w:eastAsia="en-AU"/>
        </w:rPr>
      </w:pPr>
      <w:r>
        <w:rPr>
          <w:rFonts w:ascii="Arial" w:hAnsi="Arial" w:cs="Arial"/>
          <w:color w:val="1F3763"/>
        </w:rPr>
        <w:br w:type="page"/>
      </w:r>
    </w:p>
    <w:p w14:paraId="101EA743" w14:textId="01F12163" w:rsidR="001707E4" w:rsidRPr="001707E4" w:rsidRDefault="001707E4" w:rsidP="001707E4">
      <w:pPr>
        <w:pStyle w:val="paragraph"/>
        <w:spacing w:before="0" w:beforeAutospacing="0" w:after="0" w:afterAutospacing="0"/>
        <w:textAlignment w:val="baseline"/>
        <w:rPr>
          <w:rFonts w:ascii="Segoe UI" w:hAnsi="Segoe UI" w:cs="Segoe UI"/>
          <w:color w:val="0D0D0D"/>
          <w:sz w:val="18"/>
          <w:szCs w:val="18"/>
        </w:rPr>
      </w:pPr>
      <w:r w:rsidRPr="001707E4">
        <w:rPr>
          <w:rFonts w:ascii="Arial" w:hAnsi="Arial" w:cs="Arial"/>
          <w:color w:val="1F3763"/>
        </w:rPr>
        <w:t>Development of this IA  </w:t>
      </w:r>
    </w:p>
    <w:p w14:paraId="03037C9A" w14:textId="77777777" w:rsidR="001707E4" w:rsidRPr="001707E4" w:rsidRDefault="001707E4" w:rsidP="0031771E">
      <w:pPr>
        <w:pStyle w:val="BodyText"/>
        <w:rPr>
          <w:rFonts w:ascii="Segoe UI" w:hAnsi="Segoe UI" w:cs="Segoe UI"/>
          <w:sz w:val="18"/>
          <w:szCs w:val="18"/>
        </w:rPr>
      </w:pPr>
      <w:r w:rsidRPr="001707E4">
        <w:t>The Department is engaging closely with the OIA throughout the IA process. This IA is being developed concurrently to key stages in policy development, outlined in Table 2.  </w:t>
      </w:r>
    </w:p>
    <w:p w14:paraId="37CFC975" w14:textId="56180FCB" w:rsidR="001707E4" w:rsidRPr="00257F50" w:rsidRDefault="00D70065" w:rsidP="00D70065">
      <w:pPr>
        <w:pStyle w:val="Caption"/>
        <w:rPr>
          <w:rFonts w:ascii="Arial" w:eastAsia="Times New Roman" w:hAnsi="Arial" w:cs="Arial"/>
          <w:bCs/>
          <w:i w:val="0"/>
          <w:color w:val="FFFFFF"/>
          <w:sz w:val="20"/>
          <w:szCs w:val="20"/>
        </w:rPr>
      </w:pPr>
      <w:r w:rsidRPr="00257F50">
        <w:rPr>
          <w:rFonts w:ascii="Calibri" w:hAnsi="Calibri" w:cs="Calibri"/>
        </w:rPr>
        <w:t xml:space="preserve">Table </w:t>
      </w:r>
      <w:r w:rsidRPr="00257F50">
        <w:rPr>
          <w:rFonts w:ascii="Calibri" w:hAnsi="Calibri" w:cs="Calibri"/>
        </w:rPr>
        <w:fldChar w:fldCharType="begin"/>
      </w:r>
      <w:r w:rsidRPr="00257F50">
        <w:rPr>
          <w:rFonts w:ascii="Calibri" w:hAnsi="Calibri" w:cs="Calibri"/>
        </w:rPr>
        <w:instrText xml:space="preserve"> SEQ Table \* ARABIC </w:instrText>
      </w:r>
      <w:r w:rsidRPr="00257F50">
        <w:rPr>
          <w:rFonts w:ascii="Calibri" w:hAnsi="Calibri" w:cs="Calibri"/>
        </w:rPr>
        <w:fldChar w:fldCharType="separate"/>
      </w:r>
      <w:r w:rsidR="00E8506B">
        <w:rPr>
          <w:rFonts w:ascii="Calibri" w:hAnsi="Calibri" w:cs="Calibri"/>
          <w:noProof/>
        </w:rPr>
        <w:t>2</w:t>
      </w:r>
      <w:r w:rsidRPr="00257F50">
        <w:rPr>
          <w:rFonts w:ascii="Calibri" w:hAnsi="Calibri" w:cs="Calibri"/>
        </w:rPr>
        <w:fldChar w:fldCharType="end"/>
      </w:r>
      <w:r w:rsidRPr="00257F50">
        <w:rPr>
          <w:rFonts w:ascii="Calibri" w:hAnsi="Calibri" w:cs="Calibri"/>
        </w:rPr>
        <w:t xml:space="preserve"> </w:t>
      </w:r>
      <w:r w:rsidRPr="00257F50">
        <w:rPr>
          <w:rFonts w:ascii="Calibri" w:hAnsi="Calibri" w:cs="Calibri"/>
          <w:b w:val="0"/>
          <w:bCs/>
        </w:rPr>
        <w:t>Policy development process</w:t>
      </w:r>
    </w:p>
    <w:tbl>
      <w:tblPr>
        <w:tblW w:w="94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7"/>
        <w:gridCol w:w="2313"/>
        <w:gridCol w:w="3161"/>
      </w:tblGrid>
      <w:tr w:rsidR="001707E4" w:rsidRPr="001707E4" w14:paraId="69398A09" w14:textId="77777777" w:rsidTr="00A20ADD">
        <w:trPr>
          <w:trHeight w:val="320"/>
        </w:trPr>
        <w:tc>
          <w:tcPr>
            <w:tcW w:w="4007"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034EA2" w:themeFill="accent1"/>
            <w:vAlign w:val="center"/>
            <w:hideMark/>
          </w:tcPr>
          <w:p w14:paraId="3970591C" w14:textId="73B3C80F" w:rsidR="001707E4" w:rsidRPr="001707E4" w:rsidRDefault="001707E4" w:rsidP="00257F50">
            <w:pPr>
              <w:ind w:left="127"/>
              <w:jc w:val="center"/>
              <w:textAlignment w:val="baseline"/>
              <w:rPr>
                <w:rFonts w:ascii="Times New Roman" w:eastAsia="Times New Roman" w:hAnsi="Times New Roman" w:cs="Times New Roman"/>
                <w:sz w:val="24"/>
                <w:szCs w:val="24"/>
                <w:lang w:eastAsia="en-AU"/>
              </w:rPr>
            </w:pPr>
            <w:r w:rsidRPr="001707E4">
              <w:rPr>
                <w:rFonts w:ascii="Arial" w:eastAsia="Times New Roman" w:hAnsi="Arial" w:cs="Arial"/>
                <w:b/>
                <w:bCs/>
                <w:color w:val="FFFFFF"/>
                <w:szCs w:val="20"/>
                <w:lang w:eastAsia="en-AU"/>
              </w:rPr>
              <w:t>Policy development stage</w:t>
            </w:r>
          </w:p>
        </w:tc>
        <w:tc>
          <w:tcPr>
            <w:tcW w:w="231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034EA2" w:themeFill="accent1"/>
            <w:vAlign w:val="center"/>
            <w:hideMark/>
          </w:tcPr>
          <w:p w14:paraId="26175C38" w14:textId="530ECACE" w:rsidR="001707E4" w:rsidRPr="001707E4" w:rsidRDefault="001707E4" w:rsidP="00257F50">
            <w:pPr>
              <w:ind w:left="164"/>
              <w:jc w:val="center"/>
              <w:textAlignment w:val="baseline"/>
              <w:rPr>
                <w:rFonts w:ascii="Times New Roman" w:eastAsia="Times New Roman" w:hAnsi="Times New Roman" w:cs="Times New Roman"/>
                <w:sz w:val="24"/>
                <w:szCs w:val="24"/>
                <w:lang w:eastAsia="en-AU"/>
              </w:rPr>
            </w:pPr>
            <w:r w:rsidRPr="001707E4">
              <w:rPr>
                <w:rFonts w:ascii="Arial" w:eastAsia="Times New Roman" w:hAnsi="Arial" w:cs="Arial"/>
                <w:b/>
                <w:bCs/>
                <w:color w:val="FFFFFF"/>
                <w:szCs w:val="20"/>
                <w:lang w:eastAsia="en-AU"/>
              </w:rPr>
              <w:t>Relevant IA development stage</w:t>
            </w:r>
          </w:p>
        </w:tc>
        <w:tc>
          <w:tcPr>
            <w:tcW w:w="3161"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034EA2" w:themeFill="accent1"/>
            <w:vAlign w:val="center"/>
          </w:tcPr>
          <w:p w14:paraId="651F7142" w14:textId="79871547" w:rsidR="0C2862E6" w:rsidRDefault="0C2862E6" w:rsidP="00257F50">
            <w:pPr>
              <w:jc w:val="center"/>
              <w:rPr>
                <w:rFonts w:ascii="Arial" w:eastAsia="Times New Roman" w:hAnsi="Arial" w:cs="Arial"/>
                <w:b/>
                <w:bCs/>
                <w:color w:val="FFFFFF" w:themeColor="background2"/>
                <w:lang w:eastAsia="en-AU"/>
              </w:rPr>
            </w:pPr>
            <w:r w:rsidRPr="4F26752A">
              <w:rPr>
                <w:rFonts w:ascii="Arial" w:eastAsia="Times New Roman" w:hAnsi="Arial" w:cs="Arial"/>
                <w:b/>
                <w:bCs/>
                <w:color w:val="FFFFFF" w:themeColor="background2"/>
                <w:lang w:eastAsia="en-AU"/>
              </w:rPr>
              <w:t>Dates</w:t>
            </w:r>
          </w:p>
        </w:tc>
      </w:tr>
      <w:tr w:rsidR="001707E4" w:rsidRPr="001707E4" w14:paraId="631CDF88" w14:textId="77777777" w:rsidTr="00A20ADD">
        <w:trPr>
          <w:trHeight w:val="320"/>
        </w:trPr>
        <w:tc>
          <w:tcPr>
            <w:tcW w:w="4007"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5F71763A" w14:textId="77777777" w:rsidR="001707E4" w:rsidRPr="001707E4" w:rsidRDefault="001707E4" w:rsidP="0031771E">
            <w:pPr>
              <w:pStyle w:val="Tablebody0"/>
              <w:ind w:left="127"/>
              <w:rPr>
                <w:rFonts w:ascii="Times New Roman" w:hAnsi="Times New Roman"/>
                <w:sz w:val="24"/>
                <w:szCs w:val="24"/>
                <w:lang w:eastAsia="en-AU"/>
              </w:rPr>
            </w:pPr>
            <w:r w:rsidRPr="001707E4">
              <w:rPr>
                <w:lang w:eastAsia="en-AU"/>
              </w:rPr>
              <w:t>Detailed consultation paper on the nature of the proposed reform measures for industry </w:t>
            </w:r>
          </w:p>
        </w:tc>
        <w:tc>
          <w:tcPr>
            <w:tcW w:w="231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1ED16BAF" w14:textId="658D70CB" w:rsidR="001707E4" w:rsidRPr="001707E4" w:rsidRDefault="001707E4" w:rsidP="4F26752A">
            <w:pPr>
              <w:pStyle w:val="Tablebody0"/>
              <w:ind w:left="164"/>
              <w:rPr>
                <w:lang w:eastAsia="en-AU"/>
              </w:rPr>
            </w:pPr>
            <w:r w:rsidRPr="4F26752A">
              <w:rPr>
                <w:lang w:eastAsia="en-AU"/>
              </w:rPr>
              <w:t>Draft IA  </w:t>
            </w:r>
          </w:p>
        </w:tc>
        <w:tc>
          <w:tcPr>
            <w:tcW w:w="3161"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42077D3B" w14:textId="4A57AD25" w:rsidR="32DAD05F" w:rsidRDefault="0884AACE" w:rsidP="4F26752A">
            <w:pPr>
              <w:pStyle w:val="Tablebody0"/>
              <w:rPr>
                <w:lang w:eastAsia="en-AU"/>
              </w:rPr>
            </w:pPr>
            <w:r w:rsidRPr="6CC739DA">
              <w:rPr>
                <w:lang w:eastAsia="en-AU"/>
              </w:rPr>
              <w:t>19 December 2023 – 1 March 2024</w:t>
            </w:r>
          </w:p>
          <w:p w14:paraId="7AE3FAD2" w14:textId="4575E1CF" w:rsidR="4F26752A" w:rsidRDefault="4F26752A" w:rsidP="4F26752A">
            <w:pPr>
              <w:pStyle w:val="Tablebody0"/>
              <w:rPr>
                <w:lang w:eastAsia="en-AU"/>
              </w:rPr>
            </w:pPr>
          </w:p>
        </w:tc>
      </w:tr>
      <w:tr w:rsidR="001707E4" w:rsidRPr="001707E4" w14:paraId="695FD492" w14:textId="77777777" w:rsidTr="00A20ADD">
        <w:trPr>
          <w:trHeight w:val="320"/>
        </w:trPr>
        <w:tc>
          <w:tcPr>
            <w:tcW w:w="4007"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65B83EC5" w14:textId="3BD2166C" w:rsidR="001707E4" w:rsidRPr="001707E4" w:rsidRDefault="001707E4" w:rsidP="4F26752A">
            <w:pPr>
              <w:pStyle w:val="Tablebody0"/>
              <w:ind w:left="127"/>
              <w:rPr>
                <w:lang w:eastAsia="en-AU"/>
              </w:rPr>
            </w:pPr>
            <w:r w:rsidRPr="4F26752A">
              <w:rPr>
                <w:lang w:eastAsia="en-AU"/>
              </w:rPr>
              <w:t>Detailed consultation on the nature of the proposed reform measures to support an Exposure Draft of the Bill </w:t>
            </w:r>
            <w:r w:rsidR="0D84DB06" w:rsidRPr="4F26752A">
              <w:rPr>
                <w:lang w:eastAsia="en-AU"/>
              </w:rPr>
              <w:t>(however was unable to be released with the Exposure Draft)</w:t>
            </w:r>
          </w:p>
        </w:tc>
        <w:tc>
          <w:tcPr>
            <w:tcW w:w="231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684CE7A7" w14:textId="551EDC4F" w:rsidR="001707E4" w:rsidRPr="001707E4" w:rsidRDefault="001707E4" w:rsidP="4F26752A">
            <w:pPr>
              <w:pStyle w:val="Tablebody0"/>
              <w:ind w:left="164"/>
              <w:rPr>
                <w:lang w:eastAsia="en-AU"/>
              </w:rPr>
            </w:pPr>
            <w:r w:rsidRPr="4F26752A">
              <w:rPr>
                <w:lang w:eastAsia="en-AU"/>
              </w:rPr>
              <w:t>Early Assessment IA </w:t>
            </w:r>
          </w:p>
        </w:tc>
        <w:tc>
          <w:tcPr>
            <w:tcW w:w="3161"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113AB1E6" w14:textId="1419B47B" w:rsidR="4F26752A" w:rsidRDefault="50E6BF00" w:rsidP="4F26752A">
            <w:pPr>
              <w:pStyle w:val="Tablebody0"/>
              <w:rPr>
                <w:lang w:eastAsia="en-AU"/>
              </w:rPr>
            </w:pPr>
            <w:r w:rsidRPr="6CC739DA">
              <w:rPr>
                <w:lang w:eastAsia="en-AU"/>
              </w:rPr>
              <w:t>March 2024</w:t>
            </w:r>
          </w:p>
        </w:tc>
      </w:tr>
      <w:tr w:rsidR="001707E4" w:rsidRPr="001707E4" w14:paraId="1F41ADAD" w14:textId="77777777" w:rsidTr="00A20ADD">
        <w:trPr>
          <w:trHeight w:val="320"/>
        </w:trPr>
        <w:tc>
          <w:tcPr>
            <w:tcW w:w="4007"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1C6ADC41" w14:textId="77777777" w:rsidR="001707E4" w:rsidRPr="001707E4" w:rsidRDefault="001707E4" w:rsidP="0031771E">
            <w:pPr>
              <w:pStyle w:val="Tablebody0"/>
              <w:ind w:left="127"/>
              <w:rPr>
                <w:rFonts w:ascii="Times New Roman" w:hAnsi="Times New Roman"/>
                <w:sz w:val="24"/>
                <w:szCs w:val="24"/>
                <w:lang w:eastAsia="en-AU"/>
              </w:rPr>
            </w:pPr>
            <w:r w:rsidRPr="001707E4">
              <w:rPr>
                <w:lang w:eastAsia="en-AU"/>
              </w:rPr>
              <w:t>Decision by Government to implement proposed reform measures </w:t>
            </w:r>
          </w:p>
        </w:tc>
        <w:tc>
          <w:tcPr>
            <w:tcW w:w="231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4A905CB7" w14:textId="4B6F4853" w:rsidR="001707E4" w:rsidRPr="001707E4" w:rsidRDefault="001707E4" w:rsidP="4F26752A">
            <w:pPr>
              <w:pStyle w:val="Tablebody0"/>
              <w:ind w:left="164"/>
              <w:rPr>
                <w:lang w:eastAsia="en-AU"/>
              </w:rPr>
            </w:pPr>
            <w:r w:rsidRPr="4F26752A">
              <w:rPr>
                <w:lang w:eastAsia="en-AU"/>
              </w:rPr>
              <w:t>First Pass IA </w:t>
            </w:r>
          </w:p>
        </w:tc>
        <w:tc>
          <w:tcPr>
            <w:tcW w:w="3161"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2EE58407" w14:textId="6AE77E0D" w:rsidR="4EC0E0D9" w:rsidRDefault="32510686" w:rsidP="4F26752A">
            <w:pPr>
              <w:rPr>
                <w:lang w:eastAsia="en-AU"/>
              </w:rPr>
            </w:pPr>
            <w:r w:rsidRPr="6CC739DA">
              <w:rPr>
                <w:lang w:eastAsia="en-AU"/>
              </w:rPr>
              <w:t>July 2024</w:t>
            </w:r>
          </w:p>
        </w:tc>
      </w:tr>
      <w:tr w:rsidR="001707E4" w:rsidRPr="001707E4" w14:paraId="4AE05AA1" w14:textId="77777777" w:rsidTr="00A20ADD">
        <w:trPr>
          <w:trHeight w:val="320"/>
        </w:trPr>
        <w:tc>
          <w:tcPr>
            <w:tcW w:w="4007"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35B08D7B" w14:textId="77777777" w:rsidR="001707E4" w:rsidRPr="001707E4" w:rsidRDefault="001707E4" w:rsidP="0031771E">
            <w:pPr>
              <w:pStyle w:val="Tablebody0"/>
              <w:ind w:left="127"/>
              <w:rPr>
                <w:rFonts w:ascii="Times New Roman" w:hAnsi="Times New Roman"/>
                <w:sz w:val="24"/>
                <w:szCs w:val="24"/>
                <w:lang w:eastAsia="en-AU"/>
              </w:rPr>
            </w:pPr>
            <w:r w:rsidRPr="001707E4">
              <w:rPr>
                <w:lang w:eastAsia="en-AU"/>
              </w:rPr>
              <w:t>Final decision by Government to implement proposed reform measures </w:t>
            </w:r>
          </w:p>
        </w:tc>
        <w:tc>
          <w:tcPr>
            <w:tcW w:w="231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51307409" w14:textId="18A67EFC" w:rsidR="001707E4" w:rsidRPr="001707E4" w:rsidRDefault="001707E4" w:rsidP="4F26752A">
            <w:pPr>
              <w:pStyle w:val="Tablebody0"/>
              <w:ind w:left="164"/>
              <w:rPr>
                <w:lang w:eastAsia="en-AU"/>
              </w:rPr>
            </w:pPr>
            <w:r w:rsidRPr="4F26752A">
              <w:rPr>
                <w:lang w:eastAsia="en-AU"/>
              </w:rPr>
              <w:t>Second Pass IA  </w:t>
            </w:r>
          </w:p>
        </w:tc>
        <w:tc>
          <w:tcPr>
            <w:tcW w:w="3161"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7E908FA3" w14:textId="205B0825" w:rsidR="50473D1A" w:rsidRDefault="50473D1A" w:rsidP="00257F50">
            <w:pPr>
              <w:pStyle w:val="Tablebody0"/>
              <w:rPr>
                <w:lang w:eastAsia="en-AU"/>
              </w:rPr>
            </w:pPr>
            <w:r w:rsidRPr="4F26752A">
              <w:rPr>
                <w:lang w:eastAsia="en-AU"/>
              </w:rPr>
              <w:t>Spring 2024</w:t>
            </w:r>
          </w:p>
        </w:tc>
      </w:tr>
    </w:tbl>
    <w:p w14:paraId="091A0EB9" w14:textId="77777777" w:rsidR="001707E4" w:rsidRDefault="001707E4" w:rsidP="00FD52CC">
      <w:pPr>
        <w:pStyle w:val="BodyText"/>
      </w:pPr>
    </w:p>
    <w:p w14:paraId="47B388AD" w14:textId="77777777" w:rsidR="004A163C" w:rsidRDefault="004A163C">
      <w:pPr>
        <w:spacing w:before="80" w:after="80"/>
        <w:rPr>
          <w:rFonts w:asciiTheme="majorHAnsi" w:eastAsia="Times New Roman" w:hAnsiTheme="majorHAnsi" w:cs="Times New Roman"/>
          <w:b/>
          <w:bCs/>
          <w:sz w:val="22"/>
          <w:lang w:eastAsia="en-AU"/>
        </w:rPr>
      </w:pPr>
      <w:r>
        <w:br w:type="page"/>
      </w:r>
    </w:p>
    <w:p w14:paraId="4D8F3AE6" w14:textId="77777777" w:rsidR="00FD52CC" w:rsidRPr="000B5219" w:rsidRDefault="464D4BB9" w:rsidP="4C25AF0D">
      <w:pPr>
        <w:pStyle w:val="Heading1"/>
        <w:widowControl/>
        <w:spacing w:before="240" w:after="0" w:line="259" w:lineRule="auto"/>
        <w:rPr>
          <w:rFonts w:ascii="Arial" w:hAnsi="Arial"/>
          <w:sz w:val="32"/>
          <w:szCs w:val="32"/>
        </w:rPr>
      </w:pPr>
      <w:bookmarkStart w:id="16" w:name="_Toc164683819"/>
      <w:bookmarkStart w:id="17" w:name="_Toc176183921"/>
      <w:r w:rsidRPr="4F26752A">
        <w:rPr>
          <w:rFonts w:ascii="Arial" w:hAnsi="Arial"/>
          <w:sz w:val="32"/>
          <w:szCs w:val="32"/>
        </w:rPr>
        <w:t>II.</w:t>
      </w:r>
      <w:r>
        <w:tab/>
      </w:r>
      <w:r w:rsidR="5A430B26" w:rsidRPr="4F26752A">
        <w:rPr>
          <w:rFonts w:ascii="Arial" w:hAnsi="Arial"/>
          <w:sz w:val="32"/>
          <w:szCs w:val="32"/>
        </w:rPr>
        <w:t>Introduction</w:t>
      </w:r>
      <w:bookmarkEnd w:id="16"/>
      <w:bookmarkEnd w:id="17"/>
      <w:r w:rsidR="5A430B26" w:rsidRPr="4F26752A">
        <w:rPr>
          <w:rFonts w:ascii="Arial" w:hAnsi="Arial"/>
          <w:sz w:val="32"/>
          <w:szCs w:val="32"/>
        </w:rPr>
        <w:t xml:space="preserve"> </w:t>
      </w:r>
    </w:p>
    <w:p w14:paraId="0AD37288" w14:textId="77777777" w:rsidR="00FD52CC" w:rsidRDefault="00FD52CC" w:rsidP="00510557">
      <w:pPr>
        <w:pStyle w:val="Heading2"/>
        <w:numPr>
          <w:ilvl w:val="0"/>
          <w:numId w:val="22"/>
        </w:numPr>
        <w:spacing w:before="40" w:after="0" w:line="259" w:lineRule="auto"/>
        <w:rPr>
          <w:rFonts w:ascii="Arial" w:hAnsi="Arial"/>
        </w:rPr>
      </w:pPr>
      <w:bookmarkStart w:id="18" w:name="_Toc164683820"/>
      <w:bookmarkStart w:id="19" w:name="_Toc176183156"/>
      <w:bookmarkStart w:id="20" w:name="_Toc176183922"/>
      <w:r w:rsidRPr="2F6B7F1D">
        <w:rPr>
          <w:rFonts w:ascii="Arial" w:hAnsi="Arial"/>
        </w:rPr>
        <w:t>Purpose of this document</w:t>
      </w:r>
      <w:bookmarkEnd w:id="18"/>
      <w:bookmarkEnd w:id="19"/>
      <w:bookmarkEnd w:id="20"/>
    </w:p>
    <w:p w14:paraId="6CDD913D" w14:textId="77777777" w:rsidR="00FD52CC" w:rsidRPr="006C65D4" w:rsidRDefault="00FD52CC" w:rsidP="006C65D4">
      <w:pPr>
        <w:pStyle w:val="BodyText"/>
      </w:pPr>
      <w:r w:rsidRPr="006C65D4">
        <w:t>This IA builds on prior reforms to the SOCI Act, considered in regulatory impact analysis conducted in 2020 and 2022. These amendments are summarised below:</w:t>
      </w:r>
    </w:p>
    <w:p w14:paraId="0B19B618" w14:textId="77777777" w:rsidR="00FD52CC" w:rsidRPr="00570EC1" w:rsidRDefault="00FD52CC" w:rsidP="00510557">
      <w:pPr>
        <w:pStyle w:val="ListParagraph"/>
        <w:numPr>
          <w:ilvl w:val="0"/>
          <w:numId w:val="21"/>
        </w:numPr>
        <w:contextualSpacing/>
        <w:rPr>
          <w:rFonts w:ascii="Arial" w:hAnsi="Arial" w:cs="Arial"/>
          <w:szCs w:val="20"/>
        </w:rPr>
      </w:pPr>
      <w:r w:rsidRPr="591A7590">
        <w:rPr>
          <w:rFonts w:ascii="Arial" w:hAnsi="Arial" w:cs="Arial"/>
          <w:szCs w:val="20"/>
        </w:rPr>
        <w:t xml:space="preserve">The SLACI Act amended the SOCI Act to apply to </w:t>
      </w:r>
      <w:r>
        <w:rPr>
          <w:rFonts w:ascii="Arial" w:hAnsi="Arial" w:cs="Arial"/>
          <w:szCs w:val="20"/>
        </w:rPr>
        <w:t>additional sectors</w:t>
      </w:r>
      <w:r w:rsidRPr="591A7590">
        <w:rPr>
          <w:rFonts w:ascii="Arial" w:hAnsi="Arial" w:cs="Arial"/>
          <w:szCs w:val="20"/>
        </w:rPr>
        <w:t xml:space="preserve"> and introduced additional security requirements including </w:t>
      </w:r>
      <w:r>
        <w:rPr>
          <w:rFonts w:ascii="Arial" w:hAnsi="Arial" w:cs="Arial"/>
          <w:szCs w:val="20"/>
        </w:rPr>
        <w:t>mandatory cyber incident reporting (MCIR)</w:t>
      </w:r>
      <w:r w:rsidRPr="591A7590">
        <w:rPr>
          <w:rFonts w:ascii="Arial" w:hAnsi="Arial" w:cs="Arial"/>
          <w:szCs w:val="20"/>
        </w:rPr>
        <w:t xml:space="preserve"> </w:t>
      </w:r>
      <w:r>
        <w:rPr>
          <w:rFonts w:ascii="Arial" w:hAnsi="Arial" w:cs="Arial"/>
          <w:szCs w:val="20"/>
        </w:rPr>
        <w:t xml:space="preserve">and government assistance measures </w:t>
      </w:r>
      <w:r w:rsidRPr="591A7590">
        <w:rPr>
          <w:rFonts w:ascii="Arial" w:hAnsi="Arial" w:cs="Arial"/>
          <w:szCs w:val="20"/>
        </w:rPr>
        <w:t xml:space="preserve">for critical infrastructure. </w:t>
      </w:r>
    </w:p>
    <w:p w14:paraId="746B5D9B" w14:textId="77777777" w:rsidR="00FD52CC" w:rsidRPr="00570EC1" w:rsidRDefault="00FD52CC" w:rsidP="00510557">
      <w:pPr>
        <w:pStyle w:val="ListParagraph"/>
        <w:numPr>
          <w:ilvl w:val="0"/>
          <w:numId w:val="21"/>
        </w:numPr>
        <w:contextualSpacing/>
        <w:rPr>
          <w:rFonts w:ascii="Arial" w:hAnsi="Arial" w:cs="Arial"/>
          <w:szCs w:val="20"/>
        </w:rPr>
      </w:pPr>
      <w:r w:rsidRPr="591A7590">
        <w:rPr>
          <w:rFonts w:ascii="Arial" w:hAnsi="Arial" w:cs="Arial"/>
          <w:szCs w:val="20"/>
        </w:rPr>
        <w:t xml:space="preserve">The SLACIP Act </w:t>
      </w:r>
      <w:r>
        <w:rPr>
          <w:rFonts w:ascii="Arial" w:hAnsi="Arial" w:cs="Arial"/>
          <w:szCs w:val="20"/>
        </w:rPr>
        <w:t>amended the SOCI Act to include</w:t>
      </w:r>
      <w:r w:rsidRPr="591A7590">
        <w:rPr>
          <w:rFonts w:ascii="Arial" w:hAnsi="Arial" w:cs="Arial"/>
          <w:szCs w:val="20"/>
        </w:rPr>
        <w:t xml:space="preserve"> a framework for a risk management program, declarations of systems of national significance and enhanced cyber security obligations. </w:t>
      </w:r>
    </w:p>
    <w:p w14:paraId="55F2E790" w14:textId="77777777" w:rsidR="00FD52CC" w:rsidRDefault="00FD52CC" w:rsidP="006C65D4">
      <w:pPr>
        <w:pStyle w:val="BodyText"/>
        <w:rPr>
          <w:rFonts w:ascii="Arial" w:hAnsi="Arial" w:cs="Arial"/>
          <w:szCs w:val="20"/>
        </w:rPr>
      </w:pPr>
      <w:r>
        <w:rPr>
          <w:rFonts w:ascii="Arial" w:hAnsi="Arial" w:cs="Arial"/>
          <w:szCs w:val="20"/>
        </w:rPr>
        <w:t xml:space="preserve">Part 2 of the </w:t>
      </w:r>
      <w:hyperlink r:id="rId9" w:history="1">
        <w:r w:rsidRPr="00FA4AA0">
          <w:rPr>
            <w:rStyle w:val="Hyperlink"/>
            <w:rFonts w:ascii="Arial" w:hAnsi="Arial" w:cs="Arial"/>
            <w:szCs w:val="20"/>
          </w:rPr>
          <w:t>2023-2030 Australian Cyber Security Strategy Legislative Reforms Consultation Paper</w:t>
        </w:r>
      </w:hyperlink>
      <w:r>
        <w:rPr>
          <w:rFonts w:ascii="Arial" w:hAnsi="Arial" w:cs="Arial"/>
          <w:szCs w:val="20"/>
        </w:rPr>
        <w:t xml:space="preserve"> introduces five new proposed reforms to the SOCI Act.</w:t>
      </w:r>
    </w:p>
    <w:p w14:paraId="62AA5AA6" w14:textId="77777777" w:rsidR="00FD52CC" w:rsidRPr="00570EC1" w:rsidRDefault="00FD52CC" w:rsidP="00FD52CC">
      <w:pPr>
        <w:spacing w:before="120" w:after="120"/>
        <w:rPr>
          <w:rFonts w:ascii="Arial" w:hAnsi="Arial" w:cs="Arial"/>
          <w:szCs w:val="20"/>
        </w:rPr>
      </w:pPr>
      <w:r w:rsidRPr="591A7590">
        <w:rPr>
          <w:rFonts w:ascii="Arial" w:hAnsi="Arial" w:cs="Arial"/>
          <w:szCs w:val="20"/>
        </w:rPr>
        <w:t>This IA analyses the costs and benefits of</w:t>
      </w:r>
      <w:r>
        <w:rPr>
          <w:rFonts w:ascii="Arial" w:hAnsi="Arial" w:cs="Arial"/>
          <w:szCs w:val="20"/>
        </w:rPr>
        <w:t xml:space="preserve"> </w:t>
      </w:r>
      <w:r w:rsidRPr="591A7590">
        <w:rPr>
          <w:rFonts w:ascii="Arial" w:hAnsi="Arial" w:cs="Arial"/>
          <w:szCs w:val="20"/>
        </w:rPr>
        <w:t xml:space="preserve">three new </w:t>
      </w:r>
      <w:r>
        <w:rPr>
          <w:rFonts w:ascii="Arial" w:hAnsi="Arial" w:cs="Arial"/>
          <w:szCs w:val="20"/>
        </w:rPr>
        <w:t xml:space="preserve">reforms </w:t>
      </w:r>
      <w:r w:rsidRPr="591A7590">
        <w:rPr>
          <w:rFonts w:ascii="Arial" w:hAnsi="Arial" w:cs="Arial"/>
          <w:szCs w:val="20"/>
        </w:rPr>
        <w:t xml:space="preserve">to the SOCI Act: </w:t>
      </w:r>
    </w:p>
    <w:p w14:paraId="3C647C41" w14:textId="77777777" w:rsidR="00FD52CC" w:rsidRPr="005B60B0" w:rsidRDefault="00FD52CC" w:rsidP="00510557">
      <w:pPr>
        <w:pStyle w:val="ListParagraph"/>
        <w:numPr>
          <w:ilvl w:val="0"/>
          <w:numId w:val="25"/>
        </w:numPr>
        <w:spacing w:before="0" w:line="240" w:lineRule="auto"/>
        <w:rPr>
          <w:rFonts w:ascii="Arial" w:hAnsi="Arial" w:cs="Arial"/>
          <w:szCs w:val="20"/>
        </w:rPr>
      </w:pPr>
      <w:r w:rsidRPr="005B60B0">
        <w:rPr>
          <w:rFonts w:ascii="Arial" w:hAnsi="Arial" w:cs="Arial"/>
          <w:szCs w:val="20"/>
        </w:rPr>
        <w:t xml:space="preserve">Amendment of definitions in the SOCI Act to ensure capture of </w:t>
      </w:r>
      <w:r w:rsidRPr="29CE7F10">
        <w:rPr>
          <w:rFonts w:ascii="Arial" w:hAnsi="Arial" w:cs="Arial"/>
          <w:szCs w:val="20"/>
        </w:rPr>
        <w:t xml:space="preserve">systems and networks that hold </w:t>
      </w:r>
      <w:r w:rsidRPr="005B60B0">
        <w:rPr>
          <w:rFonts w:ascii="Arial" w:hAnsi="Arial" w:cs="Arial"/>
          <w:szCs w:val="20"/>
        </w:rPr>
        <w:t>‘business critical data’</w:t>
      </w:r>
      <w:r>
        <w:rPr>
          <w:rFonts w:ascii="Arial" w:hAnsi="Arial" w:cs="Arial"/>
          <w:szCs w:val="20"/>
        </w:rPr>
        <w:t>, where vulnerabilities could have a ‘relevant impact’ on the asset</w:t>
      </w:r>
      <w:r w:rsidRPr="005B60B0">
        <w:rPr>
          <w:rFonts w:ascii="Arial" w:hAnsi="Arial" w:cs="Arial"/>
          <w:szCs w:val="20"/>
        </w:rPr>
        <w:t>.</w:t>
      </w:r>
    </w:p>
    <w:p w14:paraId="75FF9D4E" w14:textId="77777777" w:rsidR="00FD52CC" w:rsidRPr="00570EC1" w:rsidRDefault="00FD52CC" w:rsidP="00510557">
      <w:pPr>
        <w:pStyle w:val="ListParagraph"/>
        <w:numPr>
          <w:ilvl w:val="0"/>
          <w:numId w:val="25"/>
        </w:numPr>
        <w:spacing w:before="0" w:line="240" w:lineRule="auto"/>
        <w:rPr>
          <w:rFonts w:ascii="Arial" w:hAnsi="Arial" w:cs="Arial"/>
          <w:szCs w:val="20"/>
        </w:rPr>
      </w:pPr>
      <w:r w:rsidRPr="3A9E9E7F">
        <w:rPr>
          <w:rFonts w:ascii="Arial" w:hAnsi="Arial" w:cs="Arial"/>
          <w:szCs w:val="20"/>
        </w:rPr>
        <w:t>Legislating an all-hazards consequence management power</w:t>
      </w:r>
      <w:r>
        <w:rPr>
          <w:rFonts w:ascii="Arial" w:hAnsi="Arial" w:cs="Arial"/>
          <w:szCs w:val="20"/>
        </w:rPr>
        <w:t>,</w:t>
      </w:r>
      <w:r w:rsidRPr="3A9E9E7F">
        <w:rPr>
          <w:rFonts w:ascii="Arial" w:hAnsi="Arial" w:cs="Arial"/>
          <w:szCs w:val="20"/>
        </w:rPr>
        <w:t xml:space="preserve"> </w:t>
      </w:r>
      <w:r>
        <w:rPr>
          <w:rFonts w:ascii="Arial" w:hAnsi="Arial" w:cs="Arial"/>
          <w:szCs w:val="20"/>
        </w:rPr>
        <w:t>which the</w:t>
      </w:r>
      <w:r w:rsidRPr="3A9E9E7F">
        <w:rPr>
          <w:rFonts w:ascii="Arial" w:hAnsi="Arial" w:cs="Arial"/>
          <w:szCs w:val="20"/>
        </w:rPr>
        <w:t xml:space="preserve"> Minister</w:t>
      </w:r>
      <w:r>
        <w:rPr>
          <w:rFonts w:ascii="Arial" w:hAnsi="Arial" w:cs="Arial"/>
          <w:szCs w:val="20"/>
        </w:rPr>
        <w:t xml:space="preserve"> may authorise as a last resort,</w:t>
      </w:r>
      <w:r w:rsidRPr="3A9E9E7F">
        <w:rPr>
          <w:rFonts w:ascii="Arial" w:hAnsi="Arial" w:cs="Arial"/>
          <w:szCs w:val="20"/>
        </w:rPr>
        <w:t xml:space="preserve"> where there is no existing power available to support a fast and effective response.</w:t>
      </w:r>
    </w:p>
    <w:p w14:paraId="6A42B56A" w14:textId="77777777" w:rsidR="00FD52CC" w:rsidRPr="00570EC1" w:rsidRDefault="00FD52CC" w:rsidP="00510557">
      <w:pPr>
        <w:pStyle w:val="ListParagraph"/>
        <w:numPr>
          <w:ilvl w:val="0"/>
          <w:numId w:val="25"/>
        </w:numPr>
        <w:spacing w:before="0" w:line="240" w:lineRule="auto"/>
        <w:rPr>
          <w:rFonts w:ascii="Arial" w:hAnsi="Arial" w:cs="Arial"/>
          <w:szCs w:val="20"/>
        </w:rPr>
      </w:pPr>
      <w:r w:rsidRPr="3A9E9E7F">
        <w:rPr>
          <w:rFonts w:ascii="Arial" w:hAnsi="Arial" w:cs="Arial"/>
          <w:szCs w:val="20"/>
        </w:rPr>
        <w:t xml:space="preserve">Introduction of a written directions power to compel entities to remedy seriously deficient risk management programs. </w:t>
      </w:r>
    </w:p>
    <w:p w14:paraId="1C369BEC" w14:textId="77777777" w:rsidR="00FD52CC" w:rsidRPr="00570EC1" w:rsidRDefault="00FD52CC" w:rsidP="00FD52CC">
      <w:pPr>
        <w:spacing w:before="120" w:after="120"/>
        <w:rPr>
          <w:rFonts w:ascii="Arial" w:hAnsi="Arial" w:cs="Arial"/>
          <w:szCs w:val="20"/>
        </w:rPr>
      </w:pPr>
      <w:r w:rsidRPr="591A7590">
        <w:rPr>
          <w:rFonts w:ascii="Arial" w:hAnsi="Arial" w:cs="Arial"/>
          <w:szCs w:val="20"/>
        </w:rPr>
        <w:t>Th</w:t>
      </w:r>
      <w:r>
        <w:rPr>
          <w:rFonts w:ascii="Arial" w:hAnsi="Arial" w:cs="Arial"/>
          <w:szCs w:val="20"/>
        </w:rPr>
        <w:t>e</w:t>
      </w:r>
      <w:r w:rsidRPr="591A7590">
        <w:rPr>
          <w:rFonts w:ascii="Arial" w:hAnsi="Arial" w:cs="Arial"/>
          <w:szCs w:val="20"/>
        </w:rPr>
        <w:t xml:space="preserve"> reform</w:t>
      </w:r>
      <w:r>
        <w:rPr>
          <w:rFonts w:ascii="Arial" w:hAnsi="Arial" w:cs="Arial"/>
          <w:szCs w:val="20"/>
        </w:rPr>
        <w:t>s</w:t>
      </w:r>
      <w:r w:rsidRPr="591A7590">
        <w:rPr>
          <w:rFonts w:ascii="Arial" w:hAnsi="Arial" w:cs="Arial"/>
          <w:szCs w:val="20"/>
        </w:rPr>
        <w:t xml:space="preserve"> package also includes:</w:t>
      </w:r>
    </w:p>
    <w:p w14:paraId="76085C3C" w14:textId="77777777" w:rsidR="00FD52CC" w:rsidRDefault="00FD52CC" w:rsidP="00510557">
      <w:pPr>
        <w:pStyle w:val="ListParagraph"/>
        <w:numPr>
          <w:ilvl w:val="0"/>
          <w:numId w:val="24"/>
        </w:numPr>
        <w:spacing w:before="0" w:line="240" w:lineRule="auto"/>
        <w:ind w:left="426" w:hanging="357"/>
        <w:rPr>
          <w:rFonts w:ascii="Arial" w:hAnsi="Arial" w:cs="Arial"/>
          <w:szCs w:val="20"/>
        </w:rPr>
      </w:pPr>
      <w:r w:rsidRPr="591A7590">
        <w:rPr>
          <w:rFonts w:ascii="Arial" w:hAnsi="Arial" w:cs="Arial"/>
          <w:szCs w:val="20"/>
        </w:rPr>
        <w:t xml:space="preserve">Consolidation of security requirements for the telecommunications sector under the SOCI Act. </w:t>
      </w:r>
    </w:p>
    <w:p w14:paraId="39C77025" w14:textId="77777777" w:rsidR="00FD52CC" w:rsidRPr="00570EC1" w:rsidRDefault="00FD52CC" w:rsidP="00510557">
      <w:pPr>
        <w:pStyle w:val="ListParagraph"/>
        <w:numPr>
          <w:ilvl w:val="0"/>
          <w:numId w:val="23"/>
        </w:numPr>
        <w:spacing w:before="240" w:line="240" w:lineRule="auto"/>
        <w:ind w:left="851" w:hanging="357"/>
        <w:contextualSpacing/>
        <w:rPr>
          <w:rFonts w:ascii="Arial" w:hAnsi="Arial" w:cs="Arial"/>
          <w:szCs w:val="20"/>
        </w:rPr>
      </w:pPr>
      <w:r w:rsidRPr="3A9E9E7F">
        <w:rPr>
          <w:rFonts w:ascii="Arial" w:hAnsi="Arial" w:cs="Arial"/>
          <w:szCs w:val="20"/>
        </w:rPr>
        <w:t xml:space="preserve">As this is an extension of existing costed obligations to the telecommunications sector, the costs and benefits of this proposal will be separately considered in an Addendum to the 2022 RIS alongside consultation on the relevant instrument. </w:t>
      </w:r>
    </w:p>
    <w:p w14:paraId="33260925" w14:textId="77777777" w:rsidR="00FD52CC" w:rsidRPr="002E5157" w:rsidRDefault="00FD52CC" w:rsidP="00510557">
      <w:pPr>
        <w:pStyle w:val="ListParagraph"/>
        <w:numPr>
          <w:ilvl w:val="0"/>
          <w:numId w:val="24"/>
        </w:numPr>
        <w:spacing w:before="240" w:line="240" w:lineRule="auto"/>
        <w:ind w:left="426" w:hanging="357"/>
        <w:rPr>
          <w:rFonts w:ascii="Arial" w:hAnsi="Arial" w:cs="Arial"/>
          <w:szCs w:val="20"/>
        </w:rPr>
      </w:pPr>
      <w:r w:rsidRPr="002E5157">
        <w:rPr>
          <w:rFonts w:ascii="Arial" w:hAnsi="Arial" w:cs="Arial"/>
          <w:szCs w:val="20"/>
        </w:rPr>
        <w:t xml:space="preserve">Amendments to clarify the </w:t>
      </w:r>
      <w:r>
        <w:rPr>
          <w:rFonts w:ascii="Arial" w:hAnsi="Arial" w:cs="Arial"/>
          <w:szCs w:val="20"/>
        </w:rPr>
        <w:t>p</w:t>
      </w:r>
      <w:r w:rsidRPr="002E5157">
        <w:rPr>
          <w:rFonts w:ascii="Arial" w:hAnsi="Arial" w:cs="Arial"/>
          <w:szCs w:val="20"/>
        </w:rPr>
        <w:t xml:space="preserve">rotected </w:t>
      </w:r>
      <w:r>
        <w:rPr>
          <w:rFonts w:ascii="Arial" w:hAnsi="Arial" w:cs="Arial"/>
          <w:szCs w:val="20"/>
        </w:rPr>
        <w:t>i</w:t>
      </w:r>
      <w:r w:rsidRPr="002E5157">
        <w:rPr>
          <w:rFonts w:ascii="Arial" w:hAnsi="Arial" w:cs="Arial"/>
          <w:szCs w:val="20"/>
        </w:rPr>
        <w:t xml:space="preserve">nformation regime under </w:t>
      </w:r>
      <w:r>
        <w:rPr>
          <w:rFonts w:ascii="Arial" w:hAnsi="Arial" w:cs="Arial"/>
          <w:szCs w:val="20"/>
        </w:rPr>
        <w:t xml:space="preserve">the </w:t>
      </w:r>
      <w:r w:rsidRPr="002E5157">
        <w:rPr>
          <w:rFonts w:ascii="Arial" w:hAnsi="Arial" w:cs="Arial"/>
          <w:szCs w:val="20"/>
        </w:rPr>
        <w:t>SOCI</w:t>
      </w:r>
      <w:r>
        <w:rPr>
          <w:rFonts w:ascii="Arial" w:hAnsi="Arial" w:cs="Arial"/>
          <w:szCs w:val="20"/>
        </w:rPr>
        <w:t xml:space="preserve"> Act</w:t>
      </w:r>
      <w:r w:rsidRPr="002E5157">
        <w:rPr>
          <w:rFonts w:ascii="Arial" w:hAnsi="Arial" w:cs="Arial"/>
          <w:szCs w:val="20"/>
        </w:rPr>
        <w:t xml:space="preserve">. These amendments do not produce a regulatory impact. </w:t>
      </w:r>
    </w:p>
    <w:p w14:paraId="553991C7" w14:textId="77777777" w:rsidR="00FD52CC" w:rsidRPr="00570EC1" w:rsidRDefault="00FD52CC" w:rsidP="00510557">
      <w:pPr>
        <w:pStyle w:val="Heading2"/>
        <w:numPr>
          <w:ilvl w:val="0"/>
          <w:numId w:val="22"/>
        </w:numPr>
        <w:spacing w:before="120" w:after="0"/>
        <w:rPr>
          <w:rFonts w:ascii="Arial" w:hAnsi="Arial"/>
        </w:rPr>
      </w:pPr>
      <w:bookmarkStart w:id="21" w:name="_Toc164683821"/>
      <w:bookmarkStart w:id="22" w:name="_Toc176183157"/>
      <w:bookmarkStart w:id="23" w:name="_Toc176183923"/>
      <w:r w:rsidRPr="2F6B7F1D">
        <w:rPr>
          <w:rFonts w:ascii="Arial" w:hAnsi="Arial"/>
        </w:rPr>
        <w:t>Critical infrastructure in Australia</w:t>
      </w:r>
      <w:bookmarkEnd w:id="21"/>
      <w:bookmarkEnd w:id="22"/>
      <w:bookmarkEnd w:id="23"/>
    </w:p>
    <w:p w14:paraId="1C9A681F" w14:textId="77777777" w:rsidR="00FD52CC" w:rsidRPr="00570EC1" w:rsidRDefault="00FD52CC" w:rsidP="006C65D4">
      <w:pPr>
        <w:pStyle w:val="BodyText"/>
      </w:pPr>
      <w:r w:rsidRPr="52800771">
        <w:t xml:space="preserve">The </w:t>
      </w:r>
      <w:r w:rsidRPr="00ED7B87">
        <w:t xml:space="preserve">Commonwealth Government’s Critical Infrastructure Resilience Strategy 2023 </w:t>
      </w:r>
      <w:r w:rsidRPr="52800771">
        <w:t xml:space="preserve">defines critical infrastructure as: </w:t>
      </w:r>
    </w:p>
    <w:p w14:paraId="6A992528" w14:textId="77777777" w:rsidR="00FD52CC" w:rsidRPr="009154B5" w:rsidRDefault="00FD52CC" w:rsidP="00FD52CC">
      <w:pPr>
        <w:spacing w:before="120" w:after="120"/>
        <w:ind w:left="360"/>
        <w:rPr>
          <w:rFonts w:ascii="Arial" w:hAnsi="Arial" w:cs="Arial"/>
          <w:color w:val="284B98"/>
          <w:szCs w:val="20"/>
        </w:rPr>
      </w:pPr>
      <w:r w:rsidRPr="591A7590">
        <w:rPr>
          <w:rFonts w:ascii="Arial" w:hAnsi="Arial" w:cs="Arial"/>
          <w:i/>
          <w:iCs/>
          <w:color w:val="284B98"/>
          <w:szCs w:val="20"/>
        </w:rPr>
        <w:t>“…Those physical facilities, systems, assets, supply chains, information technologies and communication networks which, if destroyed, degraded, compromised or rendered unavailable for an extended period, would significantly impact the social or economic wellbeing of Australia as a nation or its states or territories, or affect Australia’s ability to conduct national defence and ensure national security.”</w:t>
      </w:r>
      <w:r w:rsidRPr="009154B5">
        <w:rPr>
          <w:rStyle w:val="FootnoteReference"/>
          <w:rFonts w:ascii="Arial" w:hAnsi="Arial" w:cs="Arial"/>
          <w:color w:val="284B98"/>
          <w:szCs w:val="20"/>
        </w:rPr>
        <w:footnoteReference w:id="2"/>
      </w:r>
    </w:p>
    <w:p w14:paraId="10335CB4" w14:textId="77777777" w:rsidR="00FD52CC" w:rsidRPr="006C65D4" w:rsidRDefault="5A430B26" w:rsidP="006C65D4">
      <w:pPr>
        <w:pStyle w:val="BodyText"/>
      </w:pPr>
      <w:r>
        <w:t>The Government’s ongoing consideration, review, and subsequent amendments to the SOCI Act reflects its priority in ensuring the resilience and protection of Australia’s critical infrastructure sectors. Critical infrastructure is vital to Australia’s social and economic stability, defence, and national security. It enables the provision of essential services such as food, water, health services, education, energy, communications,</w:t>
      </w:r>
      <w:r w:rsidR="6D0A98BD">
        <w:t xml:space="preserve"> </w:t>
      </w:r>
      <w:r>
        <w:t xml:space="preserve">transportation, and banking. Without these services, Australia’s social and economic prosperity, national security, defence, and public safety would be threatened. </w:t>
      </w:r>
    </w:p>
    <w:p w14:paraId="1D7831D2" w14:textId="2A9664D1" w:rsidR="00FD52CC" w:rsidRPr="006C65D4" w:rsidRDefault="09D45154" w:rsidP="006C65D4">
      <w:pPr>
        <w:pStyle w:val="BodyText"/>
      </w:pPr>
      <w:r>
        <w:t>Existing critical infrastructure legislative frameworks are being challenged by an evolving threat environment. Natural hazards are increasing in prevalence, information technology and operational systems are converging, and foreign intelligence activities against Australian national interests are increasing in frequency and sophistication. Recent major cyber security incidents and subsequent reviews have identified opportunities to clarify and strengthen existing obligations contained in the SOCI Act.</w:t>
      </w:r>
    </w:p>
    <w:p w14:paraId="271C0342" w14:textId="77777777" w:rsidR="00FD52CC" w:rsidRPr="006C65D4" w:rsidRDefault="00FD52CC" w:rsidP="006C65D4">
      <w:pPr>
        <w:pStyle w:val="BodyText"/>
      </w:pPr>
      <w:r w:rsidRPr="006C65D4">
        <w:t xml:space="preserve">The interconnected nature of critical infrastructure means that, without proper safeguards, deliberate or inadvertent disruption of one critical infrastructure asset can result in cascading consequences. While owners and operators of critical infrastructure have incentives to ensure the resilience of their own assets, the interconnectedness and significance of these assets creates a need for a comprehensive regulatory framework, applied on a sector-agnostic basis. </w:t>
      </w:r>
    </w:p>
    <w:p w14:paraId="78B5B6C4" w14:textId="77777777" w:rsidR="00FD52CC" w:rsidRPr="001707E4" w:rsidRDefault="00FD52CC" w:rsidP="00FD52CC">
      <w:pPr>
        <w:pStyle w:val="Heading3"/>
        <w:rPr>
          <w:rFonts w:ascii="Arial" w:hAnsi="Arial" w:cs="Arial"/>
          <w:sz w:val="24"/>
        </w:rPr>
      </w:pPr>
      <w:bookmarkStart w:id="24" w:name="_Toc159495593"/>
      <w:bookmarkStart w:id="25" w:name="_Toc159591992"/>
      <w:bookmarkStart w:id="26" w:name="_Toc176183158"/>
      <w:r w:rsidRPr="001707E4">
        <w:rPr>
          <w:rFonts w:ascii="Arial" w:hAnsi="Arial" w:cs="Arial"/>
          <w:sz w:val="24"/>
        </w:rPr>
        <w:t>Operation of the SOCI Act</w:t>
      </w:r>
      <w:bookmarkEnd w:id="24"/>
      <w:bookmarkEnd w:id="25"/>
      <w:bookmarkEnd w:id="26"/>
    </w:p>
    <w:p w14:paraId="6E317B74" w14:textId="77777777" w:rsidR="00FD52CC" w:rsidRDefault="00FD52CC" w:rsidP="006C65D4">
      <w:pPr>
        <w:pStyle w:val="BodyText"/>
      </w:pPr>
      <w:r w:rsidRPr="1F97E14D">
        <w:t xml:space="preserve">The SOCI Act is the primary framework for regulation and protection of Australia’s critical infrastructure. The Act currently applies to 11 sectors and 22 asset classes (as outlined in Table </w:t>
      </w:r>
      <w:r>
        <w:t>3</w:t>
      </w:r>
      <w:r w:rsidRPr="1F97E14D">
        <w:t xml:space="preserve"> below), and provides the following key measures for the owners and operators of certain critical infrastructure assets: </w:t>
      </w:r>
    </w:p>
    <w:p w14:paraId="7B5A13E3" w14:textId="77777777" w:rsidR="00FD52CC" w:rsidRPr="00F80537" w:rsidRDefault="00FD52CC" w:rsidP="00510557">
      <w:pPr>
        <w:pStyle w:val="ListParagraph"/>
        <w:numPr>
          <w:ilvl w:val="0"/>
          <w:numId w:val="21"/>
        </w:numPr>
        <w:contextualSpacing/>
        <w:rPr>
          <w:rFonts w:ascii="Arial" w:hAnsi="Arial" w:cs="Arial"/>
          <w:szCs w:val="20"/>
        </w:rPr>
      </w:pPr>
      <w:r>
        <w:rPr>
          <w:rFonts w:ascii="Arial" w:hAnsi="Arial" w:cs="Arial"/>
          <w:szCs w:val="20"/>
        </w:rPr>
        <w:t>t</w:t>
      </w:r>
      <w:r w:rsidRPr="591A7590">
        <w:rPr>
          <w:rFonts w:ascii="Arial" w:hAnsi="Arial" w:cs="Arial"/>
          <w:szCs w:val="20"/>
        </w:rPr>
        <w:t>he requirement to report information to the register of critical infrastructure assets, ensuring there is an understanding of Australia’s critical infrastructure ecosystem, risks and interdependencies;</w:t>
      </w:r>
    </w:p>
    <w:p w14:paraId="49B9EA51" w14:textId="77777777" w:rsidR="00FD52CC" w:rsidRPr="00490823" w:rsidRDefault="5A430B26" w:rsidP="00510557">
      <w:pPr>
        <w:pStyle w:val="ListParagraph"/>
        <w:numPr>
          <w:ilvl w:val="0"/>
          <w:numId w:val="21"/>
        </w:numPr>
        <w:contextualSpacing/>
        <w:rPr>
          <w:rFonts w:ascii="Arial" w:hAnsi="Arial" w:cs="Arial"/>
        </w:rPr>
      </w:pPr>
      <w:r w:rsidRPr="00490823">
        <w:rPr>
          <w:rFonts w:ascii="Arial" w:hAnsi="Arial" w:cs="Arial"/>
        </w:rPr>
        <w:t xml:space="preserve">MCIR requirements, ensuring there is a better aggregate understanding of how cyber incidents are impacting Australia’s critical infrastructure; </w:t>
      </w:r>
    </w:p>
    <w:p w14:paraId="7C5F1331" w14:textId="77777777" w:rsidR="00FD52CC" w:rsidRPr="00490823" w:rsidRDefault="5A430B26" w:rsidP="00510557">
      <w:pPr>
        <w:pStyle w:val="ListParagraph"/>
        <w:numPr>
          <w:ilvl w:val="0"/>
          <w:numId w:val="21"/>
        </w:numPr>
        <w:contextualSpacing/>
        <w:rPr>
          <w:rFonts w:ascii="Arial" w:hAnsi="Arial" w:cs="Arial"/>
        </w:rPr>
      </w:pPr>
      <w:r w:rsidRPr="00490823">
        <w:rPr>
          <w:rFonts w:ascii="Arial" w:hAnsi="Arial" w:cs="Arial"/>
        </w:rPr>
        <w:t>a requirement to implement and comply with an all-hazards critical infrastructure RMP creating a baseline for security across the critical infrastructure ecosystem. Where certain responsible entities are exempt from the RMP obligation, there are separate applicable annual reporting requirements contained in Part 2AA of the SOCI Act;</w:t>
      </w:r>
    </w:p>
    <w:p w14:paraId="667042F9" w14:textId="77777777" w:rsidR="00FD52CC" w:rsidRPr="00490823" w:rsidRDefault="5A430B26" w:rsidP="00510557">
      <w:pPr>
        <w:pStyle w:val="ListParagraph"/>
        <w:numPr>
          <w:ilvl w:val="0"/>
          <w:numId w:val="21"/>
        </w:numPr>
        <w:contextualSpacing/>
        <w:rPr>
          <w:rFonts w:ascii="Arial" w:hAnsi="Arial" w:cs="Arial"/>
        </w:rPr>
      </w:pPr>
      <w:r w:rsidRPr="00490823">
        <w:rPr>
          <w:rFonts w:eastAsiaTheme="minorEastAsia" w:cstheme="minorBidi"/>
          <w:szCs w:val="20"/>
        </w:rPr>
        <w:t xml:space="preserve">an ability for the Secretary of Home Affairs to impose enhanced cyber security obligations for </w:t>
      </w:r>
      <w:r w:rsidRPr="00490823">
        <w:rPr>
          <w:rFonts w:ascii="Arial" w:hAnsi="Arial" w:cs="Arial"/>
        </w:rPr>
        <w:t xml:space="preserve">owners and operators of Australia’s most interconnected systems of national significance– working in a close partnership with Government to ensure they are sufficiently prepared and positioned to defend and respond in the event of a significant cyber </w:t>
      </w:r>
      <w:r w:rsidR="002E44DC">
        <w:rPr>
          <w:rFonts w:ascii="Arial" w:hAnsi="Arial" w:cs="Arial"/>
        </w:rPr>
        <w:t>incident impacting</w:t>
      </w:r>
      <w:r w:rsidRPr="00490823">
        <w:rPr>
          <w:rFonts w:ascii="Arial" w:hAnsi="Arial" w:cs="Arial"/>
        </w:rPr>
        <w:t xml:space="preserve"> their systems; and </w:t>
      </w:r>
    </w:p>
    <w:p w14:paraId="7BC6342D" w14:textId="2D0468D2" w:rsidR="00FD52CC" w:rsidRPr="00490823" w:rsidRDefault="5A430B26" w:rsidP="00510557">
      <w:pPr>
        <w:pStyle w:val="ListParagraph"/>
        <w:numPr>
          <w:ilvl w:val="0"/>
          <w:numId w:val="21"/>
        </w:numPr>
        <w:contextualSpacing/>
        <w:rPr>
          <w:rFonts w:ascii="Arial" w:hAnsi="Arial" w:cs="Arial"/>
        </w:rPr>
      </w:pPr>
      <w:r w:rsidRPr="00490823">
        <w:rPr>
          <w:rFonts w:ascii="Arial" w:hAnsi="Arial" w:cs="Arial"/>
        </w:rPr>
        <w:t xml:space="preserve">government assistance measures to help </w:t>
      </w:r>
      <w:r w:rsidR="00F653D3">
        <w:rPr>
          <w:rFonts w:ascii="Arial" w:hAnsi="Arial" w:cs="Arial"/>
        </w:rPr>
        <w:t>critical infrastructure entities</w:t>
      </w:r>
      <w:r w:rsidRPr="00490823">
        <w:rPr>
          <w:rFonts w:ascii="Arial" w:hAnsi="Arial" w:cs="Arial"/>
        </w:rPr>
        <w:t xml:space="preserve"> respond to significant cyber incidents as a last resort.</w:t>
      </w:r>
    </w:p>
    <w:p w14:paraId="7DCCADDC" w14:textId="2803C8C4" w:rsidR="00FD52CC" w:rsidRPr="001707E4" w:rsidRDefault="00FD52CC" w:rsidP="00FD52CC">
      <w:pPr>
        <w:pStyle w:val="Caption"/>
        <w:rPr>
          <w:rFonts w:ascii="Calibri" w:hAnsi="Calibri" w:cs="Calibri"/>
        </w:rPr>
      </w:pPr>
      <w:bookmarkStart w:id="27" w:name="_Ref163751794"/>
      <w:r w:rsidRPr="001707E4">
        <w:rPr>
          <w:rFonts w:ascii="Calibri" w:hAnsi="Calibri" w:cs="Calibri"/>
          <w:bCs/>
        </w:rPr>
        <w:t xml:space="preserve">Table </w:t>
      </w:r>
      <w:r w:rsidRPr="001707E4">
        <w:rPr>
          <w:rFonts w:ascii="Calibri" w:hAnsi="Calibri" w:cs="Calibri"/>
          <w:b w:val="0"/>
          <w:bCs/>
          <w:color w:val="2B579A"/>
          <w:shd w:val="clear" w:color="auto" w:fill="E6E6E6"/>
        </w:rPr>
        <w:fldChar w:fldCharType="begin"/>
      </w:r>
      <w:r w:rsidRPr="001707E4">
        <w:rPr>
          <w:rFonts w:ascii="Calibri" w:hAnsi="Calibri" w:cs="Calibri"/>
          <w:bCs/>
        </w:rPr>
        <w:instrText xml:space="preserve"> SEQ Table \* ARABIC </w:instrText>
      </w:r>
      <w:r w:rsidRPr="001707E4">
        <w:rPr>
          <w:rFonts w:ascii="Calibri" w:hAnsi="Calibri" w:cs="Calibri"/>
          <w:b w:val="0"/>
          <w:bCs/>
          <w:color w:val="2B579A"/>
          <w:shd w:val="clear" w:color="auto" w:fill="E6E6E6"/>
        </w:rPr>
        <w:fldChar w:fldCharType="separate"/>
      </w:r>
      <w:r w:rsidR="00E8506B">
        <w:rPr>
          <w:rFonts w:ascii="Calibri" w:hAnsi="Calibri" w:cs="Calibri"/>
          <w:bCs/>
          <w:noProof/>
        </w:rPr>
        <w:t>3</w:t>
      </w:r>
      <w:r w:rsidRPr="001707E4">
        <w:rPr>
          <w:rFonts w:ascii="Calibri" w:hAnsi="Calibri" w:cs="Calibri"/>
          <w:b w:val="0"/>
          <w:bCs/>
          <w:color w:val="2B579A"/>
          <w:shd w:val="clear" w:color="auto" w:fill="E6E6E6"/>
        </w:rPr>
        <w:fldChar w:fldCharType="end"/>
      </w:r>
      <w:bookmarkEnd w:id="27"/>
      <w:r w:rsidRPr="001707E4">
        <w:rPr>
          <w:rFonts w:ascii="Calibri" w:hAnsi="Calibri" w:cs="Calibri"/>
        </w:rPr>
        <w:t xml:space="preserve"> </w:t>
      </w:r>
      <w:r w:rsidRPr="009763A8">
        <w:rPr>
          <w:rFonts w:cstheme="minorHAnsi"/>
          <w:b w:val="0"/>
        </w:rPr>
        <w:t>Critical infrastructure sectors and assets</w:t>
      </w:r>
    </w:p>
    <w:tbl>
      <w:tblPr>
        <w:tblStyle w:val="GridTable4-Accent11"/>
        <w:tblW w:w="9209" w:type="dxa"/>
        <w:tblBorders>
          <w:top w:val="none" w:sz="0" w:space="0" w:color="auto"/>
          <w:left w:val="none" w:sz="0" w:space="0" w:color="auto"/>
          <w:bottom w:val="single" w:sz="4" w:space="0" w:color="BFBFBF"/>
          <w:right w:val="none" w:sz="0" w:space="0" w:color="auto"/>
          <w:insideH w:val="single" w:sz="4" w:space="0" w:color="BFBFBF"/>
          <w:insideV w:val="none" w:sz="0" w:space="0" w:color="auto"/>
        </w:tblBorders>
        <w:tblLook w:val="0620" w:firstRow="1" w:lastRow="0" w:firstColumn="0" w:lastColumn="0" w:noHBand="1" w:noVBand="1"/>
        <w:tblCaption w:val="Table 3 critical infrastructure sectors and assets"/>
      </w:tblPr>
      <w:tblGrid>
        <w:gridCol w:w="4390"/>
        <w:gridCol w:w="4819"/>
      </w:tblGrid>
      <w:tr w:rsidR="00BC7E8D" w:rsidRPr="00940D7E" w14:paraId="0EF492A1" w14:textId="77777777" w:rsidTr="009763A8">
        <w:trPr>
          <w:cnfStyle w:val="100000000000" w:firstRow="1" w:lastRow="0" w:firstColumn="0" w:lastColumn="0" w:oddVBand="0" w:evenVBand="0" w:oddHBand="0" w:evenHBand="0" w:firstRowFirstColumn="0" w:firstRowLastColumn="0" w:lastRowFirstColumn="0" w:lastRowLastColumn="0"/>
          <w:cantSplit/>
          <w:tblHeader/>
        </w:trPr>
        <w:tc>
          <w:tcPr>
            <w:tcW w:w="4390" w:type="dxa"/>
            <w:shd w:val="clear" w:color="auto" w:fill="034EA2"/>
          </w:tcPr>
          <w:p w14:paraId="3036D984" w14:textId="77777777" w:rsidR="00FD52CC" w:rsidRPr="00570EC1" w:rsidRDefault="00FD52CC" w:rsidP="004C3259">
            <w:pPr>
              <w:keepNext/>
              <w:spacing w:before="120" w:after="120"/>
              <w:rPr>
                <w:rFonts w:ascii="Arial" w:eastAsia="Arial" w:hAnsi="Arial" w:cs="Arial"/>
                <w:b w:val="0"/>
                <w:bCs w:val="0"/>
                <w:szCs w:val="20"/>
              </w:rPr>
            </w:pPr>
            <w:bookmarkStart w:id="28" w:name="_Hlk157762605"/>
            <w:r w:rsidRPr="591A7590">
              <w:rPr>
                <w:rFonts w:ascii="Arial" w:eastAsia="Arial" w:hAnsi="Arial" w:cs="Arial"/>
                <w:color w:val="FFFFFF" w:themeColor="background1"/>
                <w:szCs w:val="20"/>
              </w:rPr>
              <w:t>Critical infrastructure sector</w:t>
            </w:r>
          </w:p>
        </w:tc>
        <w:tc>
          <w:tcPr>
            <w:tcW w:w="4819" w:type="dxa"/>
            <w:shd w:val="clear" w:color="auto" w:fill="034EA2"/>
          </w:tcPr>
          <w:p w14:paraId="43437BE3" w14:textId="77777777" w:rsidR="00FD52CC" w:rsidRPr="00570EC1" w:rsidRDefault="00FD52CC" w:rsidP="004C3259">
            <w:pPr>
              <w:keepNext/>
              <w:spacing w:before="120" w:after="120"/>
              <w:rPr>
                <w:rFonts w:ascii="Arial" w:eastAsia="Arial" w:hAnsi="Arial" w:cs="Arial"/>
                <w:b w:val="0"/>
                <w:bCs w:val="0"/>
                <w:szCs w:val="20"/>
              </w:rPr>
            </w:pPr>
            <w:r w:rsidRPr="591A7590">
              <w:rPr>
                <w:rFonts w:ascii="Arial" w:eastAsia="Arial" w:hAnsi="Arial" w:cs="Arial"/>
                <w:color w:val="FFFFFF" w:themeColor="background1"/>
                <w:szCs w:val="20"/>
              </w:rPr>
              <w:t>Asset class</w:t>
            </w:r>
          </w:p>
        </w:tc>
      </w:tr>
      <w:tr w:rsidR="00BC7E8D" w:rsidRPr="00940D7E" w14:paraId="08CB7FD5" w14:textId="77777777" w:rsidTr="009763A8">
        <w:trPr>
          <w:cantSplit/>
        </w:trPr>
        <w:tc>
          <w:tcPr>
            <w:tcW w:w="4390" w:type="dxa"/>
            <w:shd w:val="clear" w:color="auto" w:fill="F2F2F2" w:themeFill="background1" w:themeFillShade="F2"/>
            <w:vAlign w:val="center"/>
          </w:tcPr>
          <w:p w14:paraId="57A9D1D3" w14:textId="77777777" w:rsidR="00FD52CC" w:rsidRPr="00570EC1" w:rsidRDefault="00FD52CC" w:rsidP="006C65D4">
            <w:pPr>
              <w:pStyle w:val="Tablebody0"/>
              <w:rPr>
                <w:color w:val="000000"/>
              </w:rPr>
            </w:pPr>
            <w:r w:rsidRPr="591A7590">
              <w:t>Energy</w:t>
            </w:r>
          </w:p>
        </w:tc>
        <w:tc>
          <w:tcPr>
            <w:tcW w:w="4819" w:type="dxa"/>
            <w:shd w:val="clear" w:color="auto" w:fill="FFFFFF" w:themeFill="background1"/>
          </w:tcPr>
          <w:p w14:paraId="28E3735B" w14:textId="77777777" w:rsidR="00FD52CC" w:rsidRDefault="00FD52CC" w:rsidP="006C65D4">
            <w:pPr>
              <w:pStyle w:val="Tablebody0"/>
              <w:rPr>
                <w:rFonts w:eastAsia="Times New Roman"/>
                <w:lang w:eastAsia="en-AU"/>
              </w:rPr>
            </w:pPr>
            <w:r w:rsidRPr="591A7590">
              <w:rPr>
                <w:rFonts w:eastAsia="Times New Roman"/>
              </w:rPr>
              <w:t xml:space="preserve">Liquid fuel </w:t>
            </w:r>
          </w:p>
          <w:p w14:paraId="38CD2C85" w14:textId="77777777" w:rsidR="00FD52CC" w:rsidRDefault="00FD52CC" w:rsidP="006C65D4">
            <w:pPr>
              <w:pStyle w:val="Tablebody0"/>
              <w:rPr>
                <w:rFonts w:eastAsia="Times New Roman"/>
                <w:lang w:eastAsia="en-AU"/>
              </w:rPr>
            </w:pPr>
            <w:r w:rsidRPr="591A7590">
              <w:rPr>
                <w:rFonts w:eastAsia="Times New Roman"/>
              </w:rPr>
              <w:t xml:space="preserve">Gas </w:t>
            </w:r>
          </w:p>
          <w:p w14:paraId="3231C894" w14:textId="77777777" w:rsidR="00FD52CC" w:rsidRDefault="00FD52CC" w:rsidP="006C65D4">
            <w:pPr>
              <w:pStyle w:val="Tablebody0"/>
              <w:rPr>
                <w:rFonts w:eastAsia="Times New Roman"/>
                <w:lang w:eastAsia="en-AU"/>
              </w:rPr>
            </w:pPr>
            <w:r w:rsidRPr="591A7590">
              <w:rPr>
                <w:rFonts w:eastAsia="Times New Roman"/>
              </w:rPr>
              <w:t xml:space="preserve">Energy market operator </w:t>
            </w:r>
          </w:p>
          <w:p w14:paraId="3AE89C93" w14:textId="77777777" w:rsidR="00FD52CC" w:rsidRPr="00570EC1" w:rsidRDefault="00FD52CC" w:rsidP="006C65D4">
            <w:pPr>
              <w:pStyle w:val="Tablebody0"/>
              <w:rPr>
                <w:rFonts w:eastAsia="Times New Roman"/>
                <w:lang w:eastAsia="en-AU"/>
              </w:rPr>
            </w:pPr>
            <w:r w:rsidRPr="591A7590">
              <w:rPr>
                <w:rFonts w:eastAsia="Times New Roman"/>
              </w:rPr>
              <w:t>Electricity</w:t>
            </w:r>
          </w:p>
        </w:tc>
      </w:tr>
      <w:tr w:rsidR="00BC7E8D" w:rsidRPr="00940D7E" w14:paraId="0C3D5986" w14:textId="77777777" w:rsidTr="009763A8">
        <w:trPr>
          <w:cantSplit/>
        </w:trPr>
        <w:tc>
          <w:tcPr>
            <w:tcW w:w="4390" w:type="dxa"/>
            <w:shd w:val="clear" w:color="auto" w:fill="F2F2F2" w:themeFill="background1" w:themeFillShade="F2"/>
            <w:vAlign w:val="center"/>
          </w:tcPr>
          <w:p w14:paraId="01F3CC59" w14:textId="77777777" w:rsidR="00FD52CC" w:rsidRPr="00570EC1" w:rsidRDefault="00FD52CC" w:rsidP="006C65D4">
            <w:pPr>
              <w:pStyle w:val="Tablebody0"/>
              <w:rPr>
                <w:color w:val="000000"/>
              </w:rPr>
            </w:pPr>
            <w:r w:rsidRPr="591A7590">
              <w:t xml:space="preserve">Water and sewerage </w:t>
            </w:r>
          </w:p>
        </w:tc>
        <w:tc>
          <w:tcPr>
            <w:tcW w:w="4819" w:type="dxa"/>
            <w:shd w:val="clear" w:color="auto" w:fill="FFFFFF" w:themeFill="background1"/>
          </w:tcPr>
          <w:p w14:paraId="00F32E21" w14:textId="77777777" w:rsidR="00FD52CC" w:rsidRPr="00570EC1" w:rsidRDefault="00FD52CC" w:rsidP="006C65D4">
            <w:pPr>
              <w:pStyle w:val="Tablebody0"/>
              <w:rPr>
                <w:rFonts w:eastAsia="Times New Roman"/>
                <w:lang w:eastAsia="en-AU"/>
              </w:rPr>
            </w:pPr>
            <w:r w:rsidRPr="591A7590">
              <w:rPr>
                <w:rFonts w:eastAsia="Times New Roman"/>
              </w:rPr>
              <w:t>Water</w:t>
            </w:r>
          </w:p>
        </w:tc>
      </w:tr>
      <w:tr w:rsidR="00BC7E8D" w:rsidRPr="00940D7E" w14:paraId="59FD5F54" w14:textId="77777777" w:rsidTr="009763A8">
        <w:trPr>
          <w:cantSplit/>
        </w:trPr>
        <w:tc>
          <w:tcPr>
            <w:tcW w:w="4390" w:type="dxa"/>
            <w:shd w:val="clear" w:color="auto" w:fill="F2F2F2" w:themeFill="background1" w:themeFillShade="F2"/>
            <w:vAlign w:val="center"/>
          </w:tcPr>
          <w:p w14:paraId="28A01043" w14:textId="77777777" w:rsidR="00FD52CC" w:rsidRPr="00570EC1" w:rsidRDefault="00FD52CC" w:rsidP="006C65D4">
            <w:pPr>
              <w:pStyle w:val="Tablebody0"/>
              <w:rPr>
                <w:color w:val="000000"/>
              </w:rPr>
            </w:pPr>
            <w:r w:rsidRPr="591A7590">
              <w:t xml:space="preserve">Space technology </w:t>
            </w:r>
          </w:p>
        </w:tc>
        <w:tc>
          <w:tcPr>
            <w:tcW w:w="4819" w:type="dxa"/>
            <w:shd w:val="clear" w:color="auto" w:fill="FFFFFF" w:themeFill="background1"/>
          </w:tcPr>
          <w:p w14:paraId="1F9CB5F6" w14:textId="77777777" w:rsidR="00FD52CC" w:rsidRPr="00570EC1" w:rsidRDefault="00FD52CC" w:rsidP="006C65D4">
            <w:pPr>
              <w:pStyle w:val="Tablebody0"/>
              <w:rPr>
                <w:rFonts w:eastAsia="Times New Roman"/>
                <w:lang w:eastAsia="en-AU"/>
              </w:rPr>
            </w:pPr>
            <w:r w:rsidRPr="591A7590">
              <w:rPr>
                <w:rFonts w:eastAsia="Times New Roman"/>
              </w:rPr>
              <w:t>No asset class</w:t>
            </w:r>
          </w:p>
        </w:tc>
      </w:tr>
      <w:tr w:rsidR="00BC7E8D" w:rsidRPr="00940D7E" w14:paraId="66C0F951" w14:textId="77777777" w:rsidTr="009763A8">
        <w:trPr>
          <w:cantSplit/>
        </w:trPr>
        <w:tc>
          <w:tcPr>
            <w:tcW w:w="4390" w:type="dxa"/>
            <w:shd w:val="clear" w:color="auto" w:fill="F2F2F2" w:themeFill="background1" w:themeFillShade="F2"/>
            <w:vAlign w:val="center"/>
          </w:tcPr>
          <w:p w14:paraId="683F05DC" w14:textId="77777777" w:rsidR="00FD52CC" w:rsidRPr="00570EC1" w:rsidRDefault="00FD52CC" w:rsidP="006C65D4">
            <w:pPr>
              <w:pStyle w:val="Tablebody0"/>
              <w:rPr>
                <w:color w:val="000000"/>
              </w:rPr>
            </w:pPr>
            <w:r w:rsidRPr="591A7590">
              <w:t>Data storage and processing</w:t>
            </w:r>
          </w:p>
        </w:tc>
        <w:tc>
          <w:tcPr>
            <w:tcW w:w="4819" w:type="dxa"/>
            <w:shd w:val="clear" w:color="auto" w:fill="FFFFFF" w:themeFill="background1"/>
          </w:tcPr>
          <w:p w14:paraId="54D0BBC9" w14:textId="77777777" w:rsidR="00FD52CC" w:rsidRPr="00570EC1" w:rsidRDefault="00FD52CC" w:rsidP="006C65D4">
            <w:pPr>
              <w:pStyle w:val="Tablebody0"/>
              <w:rPr>
                <w:rFonts w:eastAsia="Times New Roman"/>
                <w:lang w:eastAsia="en-AU"/>
              </w:rPr>
            </w:pPr>
            <w:r w:rsidRPr="591A7590">
              <w:rPr>
                <w:rFonts w:eastAsia="Times New Roman"/>
              </w:rPr>
              <w:t>Data storage or processing</w:t>
            </w:r>
          </w:p>
        </w:tc>
      </w:tr>
      <w:tr w:rsidR="00BC7E8D" w:rsidRPr="00940D7E" w14:paraId="00D310E2" w14:textId="77777777" w:rsidTr="009763A8">
        <w:trPr>
          <w:cantSplit/>
        </w:trPr>
        <w:tc>
          <w:tcPr>
            <w:tcW w:w="4390" w:type="dxa"/>
            <w:shd w:val="clear" w:color="auto" w:fill="F2F2F2" w:themeFill="background1" w:themeFillShade="F2"/>
            <w:vAlign w:val="center"/>
          </w:tcPr>
          <w:p w14:paraId="14297677" w14:textId="77777777" w:rsidR="00FD52CC" w:rsidRPr="00570EC1" w:rsidRDefault="00FD52CC" w:rsidP="006C65D4">
            <w:pPr>
              <w:pStyle w:val="Tablebody0"/>
              <w:rPr>
                <w:color w:val="000000"/>
              </w:rPr>
            </w:pPr>
            <w:r w:rsidRPr="591A7590">
              <w:t>Communications</w:t>
            </w:r>
          </w:p>
        </w:tc>
        <w:tc>
          <w:tcPr>
            <w:tcW w:w="4819" w:type="dxa"/>
            <w:shd w:val="clear" w:color="auto" w:fill="FFFFFF" w:themeFill="background1"/>
          </w:tcPr>
          <w:p w14:paraId="15B26523" w14:textId="77777777" w:rsidR="00FD52CC" w:rsidRDefault="00FD52CC" w:rsidP="006C65D4">
            <w:pPr>
              <w:pStyle w:val="Tablebody0"/>
              <w:rPr>
                <w:rFonts w:eastAsia="Times New Roman"/>
                <w:lang w:eastAsia="en-AU"/>
              </w:rPr>
            </w:pPr>
            <w:r w:rsidRPr="591A7590">
              <w:rPr>
                <w:rFonts w:eastAsia="Times New Roman"/>
              </w:rPr>
              <w:t xml:space="preserve">Telecommunications </w:t>
            </w:r>
          </w:p>
          <w:p w14:paraId="77DEA223" w14:textId="77777777" w:rsidR="00FD52CC" w:rsidRDefault="00FD52CC" w:rsidP="006C65D4">
            <w:pPr>
              <w:pStyle w:val="Tablebody0"/>
              <w:rPr>
                <w:rFonts w:eastAsia="Times New Roman"/>
                <w:lang w:eastAsia="en-AU"/>
              </w:rPr>
            </w:pPr>
            <w:r w:rsidRPr="591A7590">
              <w:rPr>
                <w:rFonts w:eastAsia="Times New Roman"/>
              </w:rPr>
              <w:t xml:space="preserve">Domain name systems </w:t>
            </w:r>
          </w:p>
          <w:p w14:paraId="32FF2249" w14:textId="77777777" w:rsidR="00FD52CC" w:rsidRPr="00570EC1" w:rsidRDefault="00FD52CC" w:rsidP="006C65D4">
            <w:pPr>
              <w:pStyle w:val="Tablebody0"/>
              <w:rPr>
                <w:rFonts w:eastAsia="Times New Roman"/>
                <w:lang w:eastAsia="en-AU"/>
              </w:rPr>
            </w:pPr>
            <w:r w:rsidRPr="591A7590">
              <w:rPr>
                <w:rFonts w:eastAsia="Times New Roman"/>
              </w:rPr>
              <w:t xml:space="preserve">Broadcasting </w:t>
            </w:r>
          </w:p>
        </w:tc>
      </w:tr>
      <w:tr w:rsidR="00BC7E8D" w:rsidRPr="00940D7E" w14:paraId="3D076824" w14:textId="77777777" w:rsidTr="009763A8">
        <w:trPr>
          <w:cantSplit/>
        </w:trPr>
        <w:tc>
          <w:tcPr>
            <w:tcW w:w="4390" w:type="dxa"/>
            <w:shd w:val="clear" w:color="auto" w:fill="F2F2F2" w:themeFill="background1" w:themeFillShade="F2"/>
            <w:vAlign w:val="center"/>
          </w:tcPr>
          <w:p w14:paraId="3C3B50B8" w14:textId="77777777" w:rsidR="00FD52CC" w:rsidRPr="00570EC1" w:rsidRDefault="00FD52CC" w:rsidP="006C65D4">
            <w:pPr>
              <w:pStyle w:val="Tablebody0"/>
              <w:rPr>
                <w:color w:val="000000"/>
              </w:rPr>
            </w:pPr>
            <w:r w:rsidRPr="591A7590">
              <w:t>Higher education and research</w:t>
            </w:r>
          </w:p>
        </w:tc>
        <w:tc>
          <w:tcPr>
            <w:tcW w:w="4819" w:type="dxa"/>
            <w:shd w:val="clear" w:color="auto" w:fill="FFFFFF" w:themeFill="background1"/>
          </w:tcPr>
          <w:p w14:paraId="4A947989" w14:textId="77777777" w:rsidR="00FD52CC" w:rsidRPr="00570EC1" w:rsidRDefault="00FD52CC" w:rsidP="006C65D4">
            <w:pPr>
              <w:pStyle w:val="Tablebody0"/>
              <w:rPr>
                <w:rFonts w:eastAsia="Times New Roman"/>
                <w:lang w:eastAsia="en-AU"/>
              </w:rPr>
            </w:pPr>
            <w:r w:rsidRPr="591A7590">
              <w:rPr>
                <w:rFonts w:eastAsia="Times New Roman"/>
              </w:rPr>
              <w:t xml:space="preserve">Education </w:t>
            </w:r>
          </w:p>
        </w:tc>
      </w:tr>
      <w:tr w:rsidR="00BC7E8D" w:rsidRPr="00940D7E" w14:paraId="79511C17" w14:textId="77777777" w:rsidTr="009763A8">
        <w:trPr>
          <w:cantSplit/>
        </w:trPr>
        <w:tc>
          <w:tcPr>
            <w:tcW w:w="4390" w:type="dxa"/>
            <w:shd w:val="clear" w:color="auto" w:fill="F2F2F2" w:themeFill="background1" w:themeFillShade="F2"/>
            <w:vAlign w:val="center"/>
          </w:tcPr>
          <w:p w14:paraId="60331214" w14:textId="77777777" w:rsidR="00FD52CC" w:rsidRPr="00570EC1" w:rsidRDefault="00FD52CC" w:rsidP="006C65D4">
            <w:pPr>
              <w:pStyle w:val="Tablebody0"/>
              <w:rPr>
                <w:color w:val="000000"/>
              </w:rPr>
            </w:pPr>
            <w:r w:rsidRPr="591A7590">
              <w:t>Defence industry</w:t>
            </w:r>
          </w:p>
        </w:tc>
        <w:tc>
          <w:tcPr>
            <w:tcW w:w="4819" w:type="dxa"/>
            <w:shd w:val="clear" w:color="auto" w:fill="FFFFFF" w:themeFill="background1"/>
          </w:tcPr>
          <w:p w14:paraId="224983C7" w14:textId="77777777" w:rsidR="00FD52CC" w:rsidRPr="00570EC1" w:rsidRDefault="00FD52CC" w:rsidP="006C65D4">
            <w:pPr>
              <w:pStyle w:val="Tablebody0"/>
              <w:rPr>
                <w:rFonts w:eastAsia="Times New Roman"/>
                <w:lang w:eastAsia="en-AU"/>
              </w:rPr>
            </w:pPr>
            <w:r w:rsidRPr="591A7590">
              <w:rPr>
                <w:rFonts w:eastAsia="Times New Roman"/>
              </w:rPr>
              <w:t>Defence industry</w:t>
            </w:r>
          </w:p>
        </w:tc>
      </w:tr>
      <w:tr w:rsidR="00BC7E8D" w:rsidRPr="00940D7E" w14:paraId="0CC80563" w14:textId="77777777" w:rsidTr="009763A8">
        <w:trPr>
          <w:cantSplit/>
        </w:trPr>
        <w:tc>
          <w:tcPr>
            <w:tcW w:w="4390" w:type="dxa"/>
            <w:shd w:val="clear" w:color="auto" w:fill="F2F2F2" w:themeFill="background1" w:themeFillShade="F2"/>
            <w:vAlign w:val="center"/>
          </w:tcPr>
          <w:p w14:paraId="57266D30" w14:textId="651AD089" w:rsidR="00313178" w:rsidRPr="00570EC1" w:rsidRDefault="00313178" w:rsidP="00313178">
            <w:pPr>
              <w:pStyle w:val="Tablebody0"/>
              <w:rPr>
                <w:color w:val="000000"/>
              </w:rPr>
            </w:pPr>
            <w:r>
              <w:t>Financial Services</w:t>
            </w:r>
          </w:p>
        </w:tc>
        <w:tc>
          <w:tcPr>
            <w:tcW w:w="4819" w:type="dxa"/>
            <w:shd w:val="clear" w:color="auto" w:fill="FFFFFF" w:themeFill="background1"/>
          </w:tcPr>
          <w:p w14:paraId="48A97AF2" w14:textId="77777777" w:rsidR="00313178" w:rsidRDefault="00313178" w:rsidP="00313178">
            <w:pPr>
              <w:pStyle w:val="Tablebody0"/>
              <w:rPr>
                <w:rFonts w:eastAsia="Times New Roman"/>
              </w:rPr>
            </w:pPr>
            <w:r>
              <w:rPr>
                <w:rFonts w:eastAsia="Times New Roman"/>
              </w:rPr>
              <w:t>Superannuation</w:t>
            </w:r>
          </w:p>
          <w:p w14:paraId="28DE7CA4" w14:textId="77777777" w:rsidR="00313178" w:rsidRDefault="00313178" w:rsidP="00313178">
            <w:pPr>
              <w:pStyle w:val="Tablebody0"/>
              <w:rPr>
                <w:rFonts w:eastAsia="Times New Roman"/>
              </w:rPr>
            </w:pPr>
            <w:r>
              <w:rPr>
                <w:rFonts w:eastAsia="Times New Roman"/>
              </w:rPr>
              <w:t>Insurance</w:t>
            </w:r>
          </w:p>
          <w:p w14:paraId="7A607A8A" w14:textId="77777777" w:rsidR="00313178" w:rsidRDefault="00313178" w:rsidP="00313178">
            <w:pPr>
              <w:pStyle w:val="Tablebody0"/>
              <w:rPr>
                <w:rFonts w:eastAsia="Times New Roman"/>
              </w:rPr>
            </w:pPr>
            <w:r>
              <w:rPr>
                <w:rFonts w:eastAsia="Times New Roman"/>
              </w:rPr>
              <w:t>Financial markets and infrastructure</w:t>
            </w:r>
          </w:p>
          <w:p w14:paraId="7837B92E" w14:textId="6249ED9A" w:rsidR="00313178" w:rsidRPr="00570EC1" w:rsidRDefault="00313178" w:rsidP="00313178">
            <w:pPr>
              <w:pStyle w:val="Tablebody0"/>
              <w:rPr>
                <w:rFonts w:eastAsia="Times New Roman"/>
                <w:lang w:eastAsia="en-AU"/>
              </w:rPr>
            </w:pPr>
            <w:r>
              <w:rPr>
                <w:rFonts w:eastAsia="Times New Roman"/>
              </w:rPr>
              <w:t>Banking</w:t>
            </w:r>
          </w:p>
        </w:tc>
      </w:tr>
      <w:tr w:rsidR="00BC7E8D" w:rsidRPr="00940D7E" w14:paraId="256137DE" w14:textId="77777777" w:rsidTr="009763A8">
        <w:trPr>
          <w:cantSplit/>
        </w:trPr>
        <w:tc>
          <w:tcPr>
            <w:tcW w:w="4390" w:type="dxa"/>
            <w:shd w:val="clear" w:color="auto" w:fill="F2F2F2" w:themeFill="background1" w:themeFillShade="F2"/>
            <w:vAlign w:val="center"/>
          </w:tcPr>
          <w:p w14:paraId="30238D03" w14:textId="0F570524" w:rsidR="00313178" w:rsidRPr="591A7590" w:rsidRDefault="00313178" w:rsidP="00313178">
            <w:pPr>
              <w:pStyle w:val="Tablebody0"/>
            </w:pPr>
            <w:r>
              <w:t>Healthcare and medical</w:t>
            </w:r>
          </w:p>
        </w:tc>
        <w:tc>
          <w:tcPr>
            <w:tcW w:w="4819" w:type="dxa"/>
            <w:shd w:val="clear" w:color="auto" w:fill="FFFFFF" w:themeFill="background1"/>
          </w:tcPr>
          <w:p w14:paraId="5EE57FB5" w14:textId="574528BE" w:rsidR="00313178" w:rsidRPr="591A7590" w:rsidRDefault="00313178" w:rsidP="00313178">
            <w:pPr>
              <w:pStyle w:val="Tablebody0"/>
              <w:rPr>
                <w:rFonts w:eastAsia="Times New Roman"/>
              </w:rPr>
            </w:pPr>
            <w:r>
              <w:rPr>
                <w:rFonts w:eastAsia="Times New Roman"/>
              </w:rPr>
              <w:t>Specified critical hospitals</w:t>
            </w:r>
          </w:p>
        </w:tc>
      </w:tr>
      <w:tr w:rsidR="00BC7E8D" w:rsidRPr="00940D7E" w14:paraId="3CF37F07" w14:textId="77777777" w:rsidTr="009763A8">
        <w:trPr>
          <w:cantSplit/>
        </w:trPr>
        <w:tc>
          <w:tcPr>
            <w:tcW w:w="4390" w:type="dxa"/>
            <w:shd w:val="clear" w:color="auto" w:fill="F2F2F2" w:themeFill="background1" w:themeFillShade="F2"/>
            <w:vAlign w:val="center"/>
          </w:tcPr>
          <w:p w14:paraId="70835B30" w14:textId="77777777" w:rsidR="00313178" w:rsidRPr="00570EC1" w:rsidRDefault="00313178" w:rsidP="00313178">
            <w:pPr>
              <w:pStyle w:val="Tablebody0"/>
              <w:rPr>
                <w:color w:val="000000"/>
              </w:rPr>
            </w:pPr>
            <w:r w:rsidRPr="591A7590">
              <w:t>Transport</w:t>
            </w:r>
          </w:p>
        </w:tc>
        <w:tc>
          <w:tcPr>
            <w:tcW w:w="4819" w:type="dxa"/>
            <w:shd w:val="clear" w:color="auto" w:fill="FFFFFF" w:themeFill="background1"/>
          </w:tcPr>
          <w:p w14:paraId="7A4E316D" w14:textId="77777777" w:rsidR="00313178" w:rsidRDefault="00313178" w:rsidP="00313178">
            <w:pPr>
              <w:pStyle w:val="Tablebody0"/>
              <w:rPr>
                <w:rFonts w:eastAsia="Times New Roman"/>
                <w:lang w:eastAsia="en-AU"/>
              </w:rPr>
            </w:pPr>
            <w:r w:rsidRPr="591A7590">
              <w:rPr>
                <w:rFonts w:eastAsia="Times New Roman"/>
              </w:rPr>
              <w:t>Aviation</w:t>
            </w:r>
          </w:p>
          <w:p w14:paraId="24CB1F81" w14:textId="77777777" w:rsidR="00313178" w:rsidRDefault="00313178" w:rsidP="00313178">
            <w:pPr>
              <w:pStyle w:val="Tablebody0"/>
              <w:rPr>
                <w:rFonts w:eastAsia="Times New Roman"/>
                <w:lang w:eastAsia="en-AU"/>
              </w:rPr>
            </w:pPr>
            <w:r w:rsidRPr="591A7590">
              <w:rPr>
                <w:rFonts w:eastAsia="Times New Roman"/>
              </w:rPr>
              <w:t>Freight infrastructure</w:t>
            </w:r>
          </w:p>
          <w:p w14:paraId="1F8469E9" w14:textId="77777777" w:rsidR="00313178" w:rsidRDefault="00313178" w:rsidP="00313178">
            <w:pPr>
              <w:pStyle w:val="Tablebody0"/>
              <w:rPr>
                <w:rFonts w:eastAsia="Times New Roman"/>
                <w:lang w:eastAsia="en-AU"/>
              </w:rPr>
            </w:pPr>
            <w:r w:rsidRPr="591A7590">
              <w:rPr>
                <w:rFonts w:eastAsia="Times New Roman"/>
              </w:rPr>
              <w:t>Freight services</w:t>
            </w:r>
          </w:p>
          <w:p w14:paraId="35DFE583" w14:textId="77777777" w:rsidR="00313178" w:rsidRDefault="00313178" w:rsidP="00313178">
            <w:pPr>
              <w:pStyle w:val="Tablebody0"/>
              <w:rPr>
                <w:rFonts w:eastAsia="Times New Roman"/>
                <w:lang w:eastAsia="en-AU"/>
              </w:rPr>
            </w:pPr>
            <w:r w:rsidRPr="591A7590">
              <w:rPr>
                <w:rFonts w:eastAsia="Times New Roman"/>
              </w:rPr>
              <w:t>Port</w:t>
            </w:r>
          </w:p>
          <w:p w14:paraId="6974B292" w14:textId="77777777" w:rsidR="00313178" w:rsidRPr="00570EC1" w:rsidRDefault="00313178" w:rsidP="00313178">
            <w:pPr>
              <w:pStyle w:val="Tablebody0"/>
              <w:rPr>
                <w:rFonts w:eastAsia="Times New Roman"/>
                <w:lang w:eastAsia="en-AU"/>
              </w:rPr>
            </w:pPr>
            <w:r w:rsidRPr="591A7590">
              <w:rPr>
                <w:rFonts w:eastAsia="Times New Roman"/>
              </w:rPr>
              <w:t>Public transport</w:t>
            </w:r>
          </w:p>
        </w:tc>
      </w:tr>
      <w:tr w:rsidR="00BC7E8D" w:rsidRPr="00940D7E" w14:paraId="5E3A52C2" w14:textId="77777777" w:rsidTr="009763A8">
        <w:trPr>
          <w:cantSplit/>
        </w:trPr>
        <w:tc>
          <w:tcPr>
            <w:tcW w:w="4390" w:type="dxa"/>
            <w:shd w:val="clear" w:color="auto" w:fill="F2F2F2" w:themeFill="background1" w:themeFillShade="F2"/>
            <w:vAlign w:val="center"/>
          </w:tcPr>
          <w:p w14:paraId="645D1046" w14:textId="77777777" w:rsidR="00313178" w:rsidRPr="00570EC1" w:rsidRDefault="00313178" w:rsidP="00313178">
            <w:pPr>
              <w:pStyle w:val="Tablebody0"/>
              <w:rPr>
                <w:color w:val="000000"/>
              </w:rPr>
            </w:pPr>
            <w:r w:rsidRPr="591A7590">
              <w:t>Food and grocery</w:t>
            </w:r>
          </w:p>
        </w:tc>
        <w:tc>
          <w:tcPr>
            <w:tcW w:w="4819" w:type="dxa"/>
            <w:shd w:val="clear" w:color="auto" w:fill="FFFFFF" w:themeFill="background1"/>
          </w:tcPr>
          <w:p w14:paraId="61463A60" w14:textId="77777777" w:rsidR="00313178" w:rsidRPr="00570EC1" w:rsidRDefault="00313178" w:rsidP="00313178">
            <w:pPr>
              <w:pStyle w:val="Tablebody0"/>
              <w:rPr>
                <w:rFonts w:eastAsia="Times New Roman"/>
                <w:lang w:eastAsia="en-AU"/>
              </w:rPr>
            </w:pPr>
            <w:r w:rsidRPr="591A7590">
              <w:rPr>
                <w:rFonts w:eastAsia="Times New Roman"/>
              </w:rPr>
              <w:t>Food and grocery</w:t>
            </w:r>
          </w:p>
        </w:tc>
      </w:tr>
      <w:bookmarkEnd w:id="28"/>
    </w:tbl>
    <w:p w14:paraId="7E85CD2A" w14:textId="77777777" w:rsidR="00FD52CC" w:rsidRDefault="00FD52CC" w:rsidP="00FD52CC">
      <w:pPr>
        <w:pStyle w:val="Heading2"/>
        <w:rPr>
          <w:rFonts w:ascii="Arial" w:hAnsi="Arial"/>
          <w:sz w:val="20"/>
          <w:szCs w:val="20"/>
        </w:rPr>
      </w:pPr>
    </w:p>
    <w:p w14:paraId="6E1CCBA7" w14:textId="77777777" w:rsidR="00FD52CC" w:rsidRPr="00205D27" w:rsidRDefault="00FD52CC" w:rsidP="00FD52CC">
      <w:pPr>
        <w:rPr>
          <w:rFonts w:ascii="Arial" w:hAnsi="Arial" w:cs="Arial"/>
          <w:szCs w:val="20"/>
        </w:rPr>
      </w:pPr>
      <w:r>
        <w:rPr>
          <w:rFonts w:ascii="Arial" w:hAnsi="Arial" w:cs="Arial"/>
          <w:szCs w:val="20"/>
        </w:rPr>
        <w:br w:type="page"/>
      </w:r>
    </w:p>
    <w:p w14:paraId="61BDA832" w14:textId="77777777" w:rsidR="006C65D4" w:rsidRPr="00490823" w:rsidRDefault="006C65D4" w:rsidP="00510557">
      <w:pPr>
        <w:pStyle w:val="Heading1"/>
        <w:widowControl/>
        <w:numPr>
          <w:ilvl w:val="0"/>
          <w:numId w:val="26"/>
        </w:numPr>
        <w:spacing w:before="240" w:after="0" w:line="259" w:lineRule="auto"/>
        <w:rPr>
          <w:rFonts w:ascii="Arial" w:hAnsi="Arial"/>
          <w:sz w:val="32"/>
          <w:szCs w:val="32"/>
        </w:rPr>
      </w:pPr>
      <w:bookmarkStart w:id="29" w:name="_What_is_the"/>
      <w:bookmarkEnd w:id="29"/>
      <w:r>
        <w:rPr>
          <w:rFonts w:ascii="Arial" w:hAnsi="Arial"/>
        </w:rPr>
        <w:t xml:space="preserve"> </w:t>
      </w:r>
      <w:bookmarkStart w:id="30" w:name="_Toc176183924"/>
      <w:r w:rsidRPr="00490823">
        <w:rPr>
          <w:rFonts w:ascii="Arial" w:hAnsi="Arial"/>
          <w:sz w:val="32"/>
          <w:szCs w:val="32"/>
        </w:rPr>
        <w:t>What is the policy problem you are trying to solve and what data is available?</w:t>
      </w:r>
      <w:bookmarkEnd w:id="30"/>
    </w:p>
    <w:p w14:paraId="43EA80F9" w14:textId="77777777" w:rsidR="006C65D4" w:rsidRDefault="006C65D4" w:rsidP="006C65D4">
      <w:pPr>
        <w:pStyle w:val="BodyText"/>
      </w:pPr>
      <w:r w:rsidRPr="10418E05">
        <w:t>Following the commencement of the SOCI Act and subsequent amendments, Government and industry have had the opportunity to understand the framework’s ability to prevent, manage and respond to incidents in practice. Concurrently, there has been an observed increase in the number of cyber incidents impacting critical infrastructure in Australia. For example:</w:t>
      </w:r>
    </w:p>
    <w:p w14:paraId="16629F22" w14:textId="77777777" w:rsidR="006C65D4" w:rsidRPr="00CA7F7E" w:rsidRDefault="006C65D4" w:rsidP="00510557">
      <w:pPr>
        <w:pStyle w:val="ListParagraph"/>
        <w:numPr>
          <w:ilvl w:val="0"/>
          <w:numId w:val="21"/>
        </w:numPr>
        <w:contextualSpacing/>
        <w:rPr>
          <w:rFonts w:ascii="Arial" w:hAnsi="Arial" w:cs="Arial"/>
          <w:szCs w:val="20"/>
        </w:rPr>
      </w:pPr>
      <w:r w:rsidRPr="00CA7F7E">
        <w:rPr>
          <w:rFonts w:ascii="Arial" w:hAnsi="Arial" w:cs="Arial"/>
          <w:szCs w:val="20"/>
        </w:rPr>
        <w:t xml:space="preserve">In 2023, the </w:t>
      </w:r>
      <w:r w:rsidRPr="00CA7F7E">
        <w:rPr>
          <w:rFonts w:ascii="Arial" w:hAnsi="Arial" w:cs="Arial"/>
          <w:b/>
          <w:bCs/>
          <w:szCs w:val="20"/>
        </w:rPr>
        <w:t>Australian Bureau of Statistics</w:t>
      </w:r>
      <w:r w:rsidRPr="00CA7F7E">
        <w:rPr>
          <w:rFonts w:ascii="Arial" w:hAnsi="Arial" w:cs="Arial"/>
          <w:szCs w:val="20"/>
        </w:rPr>
        <w:t xml:space="preserve"> (ABS) reported that more than two in </w:t>
      </w:r>
      <w:r>
        <w:rPr>
          <w:rFonts w:ascii="Arial" w:hAnsi="Arial" w:cs="Arial"/>
          <w:szCs w:val="20"/>
        </w:rPr>
        <w:t>10</w:t>
      </w:r>
      <w:r w:rsidRPr="00CA7F7E">
        <w:rPr>
          <w:rFonts w:ascii="Arial" w:hAnsi="Arial" w:cs="Arial"/>
          <w:szCs w:val="20"/>
        </w:rPr>
        <w:t xml:space="preserve"> businesses experienced a cyber security attack during the 2021-22 financial year, an increase from one in ten businesses in 2019-20.</w:t>
      </w:r>
      <w:r>
        <w:rPr>
          <w:rStyle w:val="FootnoteReference"/>
          <w:rFonts w:ascii="Arial" w:hAnsi="Arial" w:cs="Arial"/>
          <w:szCs w:val="20"/>
        </w:rPr>
        <w:footnoteReference w:id="3"/>
      </w:r>
    </w:p>
    <w:p w14:paraId="607FAA8D" w14:textId="77777777" w:rsidR="006C65D4" w:rsidRDefault="006C65D4" w:rsidP="00510557">
      <w:pPr>
        <w:pStyle w:val="ListParagraph"/>
        <w:numPr>
          <w:ilvl w:val="0"/>
          <w:numId w:val="27"/>
        </w:numPr>
        <w:spacing w:before="0" w:line="240" w:lineRule="auto"/>
        <w:rPr>
          <w:rFonts w:ascii="Arial" w:hAnsi="Arial" w:cs="Arial"/>
          <w:szCs w:val="20"/>
        </w:rPr>
      </w:pPr>
      <w:r w:rsidRPr="591A7590">
        <w:rPr>
          <w:rFonts w:ascii="Arial" w:hAnsi="Arial" w:cs="Arial"/>
          <w:szCs w:val="20"/>
        </w:rPr>
        <w:t xml:space="preserve">34% of businesses reported loss of time in managing cyber </w:t>
      </w:r>
      <w:r w:rsidR="00254AE0">
        <w:rPr>
          <w:rFonts w:ascii="Arial" w:hAnsi="Arial" w:cs="Arial"/>
          <w:szCs w:val="20"/>
        </w:rPr>
        <w:t>incidents</w:t>
      </w:r>
      <w:r w:rsidRPr="591A7590">
        <w:rPr>
          <w:rFonts w:ascii="Arial" w:hAnsi="Arial" w:cs="Arial"/>
          <w:szCs w:val="20"/>
        </w:rPr>
        <w:t xml:space="preserve">. </w:t>
      </w:r>
    </w:p>
    <w:p w14:paraId="1CBEBCD7" w14:textId="77777777" w:rsidR="006C65D4" w:rsidRDefault="006C65D4" w:rsidP="00510557">
      <w:pPr>
        <w:pStyle w:val="ListParagraph"/>
        <w:numPr>
          <w:ilvl w:val="0"/>
          <w:numId w:val="27"/>
        </w:numPr>
        <w:spacing w:before="0" w:line="240" w:lineRule="auto"/>
        <w:rPr>
          <w:rFonts w:ascii="Arial" w:hAnsi="Arial" w:cs="Arial"/>
          <w:szCs w:val="20"/>
        </w:rPr>
      </w:pPr>
      <w:r w:rsidRPr="591A7590">
        <w:rPr>
          <w:rFonts w:ascii="Arial" w:hAnsi="Arial" w:cs="Arial"/>
          <w:szCs w:val="20"/>
        </w:rPr>
        <w:t xml:space="preserve">18% reported a downtime of service. </w:t>
      </w:r>
    </w:p>
    <w:p w14:paraId="5C5F40DF" w14:textId="77777777" w:rsidR="006C65D4" w:rsidRDefault="006C65D4" w:rsidP="00510557">
      <w:pPr>
        <w:pStyle w:val="ListParagraph"/>
        <w:numPr>
          <w:ilvl w:val="0"/>
          <w:numId w:val="27"/>
        </w:numPr>
        <w:spacing w:before="0" w:line="240" w:lineRule="auto"/>
        <w:ind w:left="697" w:hanging="357"/>
        <w:rPr>
          <w:rFonts w:ascii="Arial" w:hAnsi="Arial" w:cs="Arial"/>
          <w:szCs w:val="20"/>
        </w:rPr>
      </w:pPr>
      <w:r w:rsidRPr="591A7590">
        <w:rPr>
          <w:rFonts w:ascii="Arial" w:hAnsi="Arial" w:cs="Arial"/>
          <w:szCs w:val="20"/>
        </w:rPr>
        <w:t>17% of businesses reported a loss in staff productivity.</w:t>
      </w:r>
    </w:p>
    <w:p w14:paraId="29D03FAE" w14:textId="77777777" w:rsidR="00F653D3" w:rsidRDefault="006C65D4" w:rsidP="4F26752A">
      <w:pPr>
        <w:pStyle w:val="ListParagraph"/>
        <w:numPr>
          <w:ilvl w:val="0"/>
          <w:numId w:val="21"/>
        </w:numPr>
        <w:contextualSpacing/>
        <w:rPr>
          <w:rFonts w:ascii="Arial" w:hAnsi="Arial" w:cs="Arial"/>
          <w:i/>
          <w:iCs/>
          <w:szCs w:val="20"/>
        </w:rPr>
      </w:pPr>
      <w:r>
        <w:rPr>
          <w:rFonts w:ascii="Arial" w:hAnsi="Arial" w:cs="Arial"/>
          <w:szCs w:val="20"/>
        </w:rPr>
        <w:t xml:space="preserve">In 2022-23, the </w:t>
      </w:r>
      <w:r w:rsidRPr="00C42655">
        <w:rPr>
          <w:rFonts w:ascii="Arial" w:hAnsi="Arial" w:cs="Arial"/>
          <w:b/>
          <w:bCs/>
          <w:szCs w:val="20"/>
        </w:rPr>
        <w:t>Australian Signals Directorate</w:t>
      </w:r>
      <w:r>
        <w:rPr>
          <w:rFonts w:ascii="Arial" w:hAnsi="Arial" w:cs="Arial"/>
          <w:szCs w:val="20"/>
        </w:rPr>
        <w:t xml:space="preserve"> (ASD) responded to 143 incidents reported by entities who self-identified as critical infrastructure, an increase from the 95 incidents reported in 2021-22.</w:t>
      </w:r>
      <w:r>
        <w:rPr>
          <w:rStyle w:val="FootnoteReference"/>
          <w:rFonts w:ascii="Arial" w:hAnsi="Arial" w:cs="Arial"/>
          <w:szCs w:val="20"/>
        </w:rPr>
        <w:footnoteReference w:id="4"/>
      </w:r>
    </w:p>
    <w:p w14:paraId="73E67C4D" w14:textId="4C09AA1F" w:rsidR="00D8675B" w:rsidRPr="00F653D3" w:rsidRDefault="00996548" w:rsidP="4F26752A">
      <w:pPr>
        <w:pStyle w:val="ListParagraph"/>
        <w:numPr>
          <w:ilvl w:val="0"/>
          <w:numId w:val="21"/>
        </w:numPr>
        <w:contextualSpacing/>
        <w:rPr>
          <w:rFonts w:ascii="Arial" w:hAnsi="Arial" w:cs="Arial"/>
          <w:i/>
          <w:iCs/>
          <w:szCs w:val="20"/>
        </w:rPr>
      </w:pPr>
      <w:r w:rsidRPr="00F653D3">
        <w:rPr>
          <w:rFonts w:ascii="Arial" w:hAnsi="Arial" w:cs="Arial"/>
        </w:rPr>
        <w:t>In</w:t>
      </w:r>
      <w:r w:rsidR="00D8675B" w:rsidRPr="00F653D3">
        <w:rPr>
          <w:rFonts w:ascii="Arial" w:hAnsi="Arial" w:cs="Arial"/>
        </w:rPr>
        <w:t xml:space="preserve"> 2022-23, 188 mandatory cyber incident reports</w:t>
      </w:r>
      <w:r w:rsidRPr="00F653D3">
        <w:rPr>
          <w:rFonts w:ascii="Arial" w:hAnsi="Arial" w:cs="Arial"/>
        </w:rPr>
        <w:t xml:space="preserve"> </w:t>
      </w:r>
      <w:r w:rsidR="00AA60DA" w:rsidRPr="00F653D3">
        <w:rPr>
          <w:rFonts w:ascii="Arial" w:hAnsi="Arial" w:cs="Arial"/>
        </w:rPr>
        <w:t xml:space="preserve">assessed </w:t>
      </w:r>
      <w:r w:rsidRPr="00F653D3">
        <w:rPr>
          <w:rFonts w:ascii="Arial" w:hAnsi="Arial" w:cs="Arial"/>
        </w:rPr>
        <w:t xml:space="preserve">with a relevant impact </w:t>
      </w:r>
      <w:r w:rsidR="00D8675B" w:rsidRPr="00F653D3">
        <w:rPr>
          <w:rFonts w:ascii="Arial" w:hAnsi="Arial" w:cs="Arial"/>
        </w:rPr>
        <w:t xml:space="preserve">were </w:t>
      </w:r>
      <w:r w:rsidRPr="00F653D3">
        <w:rPr>
          <w:rFonts w:ascii="Arial" w:hAnsi="Arial" w:cs="Arial"/>
        </w:rPr>
        <w:t>submitted from critical infrastructure entities</w:t>
      </w:r>
      <w:r w:rsidR="00D8675B" w:rsidRPr="00D8675B">
        <w:t>,</w:t>
      </w:r>
      <w:r>
        <w:t xml:space="preserve"> under SOCI’s </w:t>
      </w:r>
      <w:r w:rsidRPr="00F653D3">
        <w:rPr>
          <w:b/>
          <w:bCs/>
        </w:rPr>
        <w:t>MCIR regime</w:t>
      </w:r>
      <w:r w:rsidR="00D8675B" w:rsidRPr="4F26752A">
        <w:rPr>
          <w:rStyle w:val="FootnoteReference"/>
          <w:rFonts w:ascii="Arial" w:hAnsi="Arial" w:cs="Arial"/>
        </w:rPr>
        <w:footnoteReference w:id="5"/>
      </w:r>
      <w:r w:rsidR="00AA60DA" w:rsidRPr="00AA60DA">
        <w:t>.</w:t>
      </w:r>
      <w:r w:rsidR="00D8675B" w:rsidRPr="00F653D3">
        <w:rPr>
          <w:rFonts w:ascii="Arial" w:hAnsi="Arial" w:cs="Arial"/>
        </w:rPr>
        <w:t xml:space="preserve"> These incidents were reported in line with </w:t>
      </w:r>
      <w:r w:rsidR="00D8675B">
        <w:t xml:space="preserve">obligations applied to certain critical infrastructure asset classes through the making of rules under the SOCI Act. </w:t>
      </w:r>
    </w:p>
    <w:p w14:paraId="6C3B92A7" w14:textId="52B4AAFA" w:rsidR="006C65D4" w:rsidRDefault="006C65D4" w:rsidP="006C65D4">
      <w:pPr>
        <w:pStyle w:val="BodyText"/>
      </w:pPr>
      <w:r w:rsidRPr="588BFF1F">
        <w:t xml:space="preserve">The Australian community have expressed a desire for Government to ensure, and </w:t>
      </w:r>
      <w:r w:rsidR="00771A60">
        <w:t>demonstrate</w:t>
      </w:r>
      <w:r w:rsidRPr="588BFF1F">
        <w:t xml:space="preserve">, that is has </w:t>
      </w:r>
      <w:r w:rsidRPr="005478CA">
        <w:t>the right tools in place to mitigate the occurrence of these incidents and respond quickly in the aftermath of an incident. For example, in the aftermath of the 2022 Optus data breach, a poll by the Guardian found one in two survey participants (from a sample of over one thousand Australians) would support law reform to enhance protections for personal information.</w:t>
      </w:r>
      <w:r w:rsidRPr="4F26752A">
        <w:rPr>
          <w:rStyle w:val="FootnoteReference"/>
          <w:rFonts w:ascii="Arial" w:hAnsi="Arial" w:cs="Arial"/>
        </w:rPr>
        <w:footnoteReference w:id="6"/>
      </w:r>
      <w:r w:rsidRPr="005478CA">
        <w:t xml:space="preserve"> </w:t>
      </w:r>
    </w:p>
    <w:p w14:paraId="4475F419" w14:textId="77777777" w:rsidR="006C65D4" w:rsidRPr="00B37FD2" w:rsidRDefault="006C65D4" w:rsidP="006C65D4">
      <w:pPr>
        <w:pStyle w:val="BodyText"/>
      </w:pPr>
      <w:r w:rsidRPr="005478CA">
        <w:t>Further, the Cyber and Infrastructure Security Centre’s 2023 publication ‘</w:t>
      </w:r>
      <w:r w:rsidRPr="00302A0C">
        <w:t xml:space="preserve">Overview of Cyber Security Obligations for Corporate Leaders: Leaders in cyber security governance’ identified that: </w:t>
      </w:r>
    </w:p>
    <w:p w14:paraId="7C223E6B" w14:textId="77777777" w:rsidR="006C65D4" w:rsidRPr="005478CA" w:rsidRDefault="0D3A4B62" w:rsidP="001707E4">
      <w:pPr>
        <w:spacing w:before="120" w:after="120"/>
        <w:ind w:left="720"/>
        <w:rPr>
          <w:rFonts w:ascii="Arial" w:hAnsi="Arial" w:cs="Arial"/>
        </w:rPr>
      </w:pPr>
      <w:r w:rsidRPr="4C25AF0D">
        <w:rPr>
          <w:rFonts w:ascii="Arial" w:hAnsi="Arial" w:cs="Arial"/>
        </w:rPr>
        <w:t>“</w:t>
      </w:r>
      <w:r w:rsidRPr="4C25AF0D">
        <w:rPr>
          <w:rFonts w:ascii="Arial" w:hAnsi="Arial" w:cs="Arial"/>
          <w:i/>
          <w:iCs/>
          <w:color w:val="284B98"/>
        </w:rPr>
        <w:t>Many expectations of cyber governance are unclear. Industry feedback has flagged that more could be done to help businesses understand what good cyber security looks like</w:t>
      </w:r>
      <w:r w:rsidRPr="4C25AF0D">
        <w:rPr>
          <w:rFonts w:ascii="Arial" w:hAnsi="Arial" w:cs="Arial"/>
        </w:rPr>
        <w:t>.”</w:t>
      </w:r>
      <w:r w:rsidR="006C65D4" w:rsidRPr="4C25AF0D">
        <w:rPr>
          <w:rStyle w:val="FootnoteReference"/>
          <w:rFonts w:ascii="Arial" w:hAnsi="Arial" w:cs="Arial"/>
        </w:rPr>
        <w:footnoteReference w:id="7"/>
      </w:r>
    </w:p>
    <w:p w14:paraId="48C178D2" w14:textId="77777777" w:rsidR="00B807DB" w:rsidRPr="00D8675B" w:rsidRDefault="006C65D4" w:rsidP="00D8675B">
      <w:pPr>
        <w:pStyle w:val="BodyText"/>
      </w:pPr>
      <w:r w:rsidRPr="591A7590">
        <w:t xml:space="preserve">This IA considers three problem elements which currently limit industry and Government’s ability to prepare for, prevent and respond to incidents when they occur. </w:t>
      </w:r>
    </w:p>
    <w:p w14:paraId="4144E422" w14:textId="0423745B" w:rsidR="00490823" w:rsidRPr="001707E4" w:rsidRDefault="00490823" w:rsidP="00490823">
      <w:pPr>
        <w:pStyle w:val="Caption"/>
        <w:rPr>
          <w:rFonts w:ascii="Calibri" w:hAnsi="Calibri" w:cs="Calibri"/>
        </w:rPr>
      </w:pPr>
      <w:r w:rsidRPr="001707E4">
        <w:rPr>
          <w:rFonts w:ascii="Calibri" w:hAnsi="Calibri" w:cs="Calibri"/>
          <w:bCs/>
        </w:rPr>
        <w:t xml:space="preserve">Table </w:t>
      </w:r>
      <w:r w:rsidRPr="001707E4">
        <w:rPr>
          <w:rFonts w:ascii="Calibri" w:hAnsi="Calibri" w:cs="Calibri"/>
          <w:b w:val="0"/>
          <w:bCs/>
          <w:color w:val="2B579A"/>
          <w:shd w:val="clear" w:color="auto" w:fill="E6E6E6"/>
        </w:rPr>
        <w:fldChar w:fldCharType="begin"/>
      </w:r>
      <w:r w:rsidRPr="001707E4">
        <w:rPr>
          <w:rFonts w:ascii="Calibri" w:hAnsi="Calibri" w:cs="Calibri"/>
          <w:bCs/>
        </w:rPr>
        <w:instrText xml:space="preserve"> SEQ Table \* ARABIC </w:instrText>
      </w:r>
      <w:r w:rsidRPr="001707E4">
        <w:rPr>
          <w:rFonts w:ascii="Calibri" w:hAnsi="Calibri" w:cs="Calibri"/>
          <w:b w:val="0"/>
          <w:bCs/>
          <w:color w:val="2B579A"/>
          <w:shd w:val="clear" w:color="auto" w:fill="E6E6E6"/>
        </w:rPr>
        <w:fldChar w:fldCharType="separate"/>
      </w:r>
      <w:r w:rsidR="00E8506B">
        <w:rPr>
          <w:rFonts w:ascii="Calibri" w:hAnsi="Calibri" w:cs="Calibri"/>
          <w:bCs/>
          <w:noProof/>
        </w:rPr>
        <w:t>4</w:t>
      </w:r>
      <w:r w:rsidRPr="001707E4">
        <w:rPr>
          <w:rFonts w:ascii="Calibri" w:hAnsi="Calibri" w:cs="Calibri"/>
          <w:b w:val="0"/>
          <w:bCs/>
          <w:color w:val="2B579A"/>
          <w:shd w:val="clear" w:color="auto" w:fill="E6E6E6"/>
        </w:rPr>
        <w:fldChar w:fldCharType="end"/>
      </w:r>
      <w:r w:rsidRPr="001707E4">
        <w:rPr>
          <w:rFonts w:ascii="Calibri" w:hAnsi="Calibri" w:cs="Calibri"/>
        </w:rPr>
        <w:t xml:space="preserve"> </w:t>
      </w:r>
      <w:r w:rsidRPr="001707E4">
        <w:rPr>
          <w:rFonts w:ascii="Calibri" w:hAnsi="Calibri" w:cs="Calibri"/>
          <w:b w:val="0"/>
        </w:rPr>
        <w:t>Three problem elements arising from gaps in the SOCI Act</w:t>
      </w:r>
    </w:p>
    <w:tbl>
      <w:tblPr>
        <w:tblStyle w:val="TableGridLight"/>
        <w:tblW w:w="9593" w:type="dxa"/>
        <w:tblLook w:val="04A0" w:firstRow="1" w:lastRow="0" w:firstColumn="1" w:lastColumn="0" w:noHBand="0" w:noVBand="1"/>
      </w:tblPr>
      <w:tblGrid>
        <w:gridCol w:w="598"/>
        <w:gridCol w:w="8995"/>
      </w:tblGrid>
      <w:tr w:rsidR="00313178" w:rsidRPr="00940D7E" w14:paraId="5368A688" w14:textId="77777777" w:rsidTr="00AE5255">
        <w:trPr>
          <w:trHeight w:val="342"/>
        </w:trPr>
        <w:tc>
          <w:tcPr>
            <w:tcW w:w="598" w:type="dxa"/>
            <w:shd w:val="clear" w:color="auto" w:fill="284B98"/>
            <w:vAlign w:val="center"/>
          </w:tcPr>
          <w:p w14:paraId="35551F1C" w14:textId="334F17AC" w:rsidR="00313178" w:rsidRPr="00F1701F" w:rsidRDefault="00313178" w:rsidP="00490823">
            <w:pPr>
              <w:spacing w:before="120" w:after="120"/>
              <w:rPr>
                <w:rFonts w:ascii="Arial" w:hAnsi="Arial" w:cs="Arial"/>
                <w:b/>
                <w:bCs/>
                <w:color w:val="FFFFFF" w:themeColor="background1"/>
                <w:szCs w:val="20"/>
              </w:rPr>
            </w:pPr>
          </w:p>
        </w:tc>
        <w:tc>
          <w:tcPr>
            <w:tcW w:w="8995" w:type="dxa"/>
            <w:shd w:val="clear" w:color="auto" w:fill="284B98"/>
            <w:vAlign w:val="center"/>
          </w:tcPr>
          <w:p w14:paraId="0AF0D002" w14:textId="7C4BF7CC" w:rsidR="00313178" w:rsidRPr="00F1701F" w:rsidRDefault="00313178" w:rsidP="00490823">
            <w:pPr>
              <w:spacing w:before="120" w:after="120"/>
              <w:rPr>
                <w:rFonts w:ascii="Arial" w:hAnsi="Arial" w:cs="Arial"/>
                <w:b/>
                <w:bCs/>
                <w:color w:val="FFFFFF" w:themeColor="background1"/>
                <w:szCs w:val="20"/>
              </w:rPr>
            </w:pPr>
            <w:r w:rsidRPr="591A7590">
              <w:rPr>
                <w:rFonts w:ascii="Arial" w:hAnsi="Arial" w:cs="Arial"/>
                <w:b/>
                <w:bCs/>
                <w:color w:val="FFFFFF" w:themeColor="background1"/>
                <w:szCs w:val="20"/>
              </w:rPr>
              <w:t>Problem elements</w:t>
            </w:r>
          </w:p>
        </w:tc>
      </w:tr>
      <w:tr w:rsidR="00490823" w:rsidRPr="00940D7E" w14:paraId="4992091D" w14:textId="77777777" w:rsidTr="00AE5255">
        <w:trPr>
          <w:trHeight w:val="935"/>
        </w:trPr>
        <w:tc>
          <w:tcPr>
            <w:tcW w:w="598" w:type="dxa"/>
            <w:shd w:val="clear" w:color="auto" w:fill="F2F2F2" w:themeFill="background1" w:themeFillShade="F2"/>
          </w:tcPr>
          <w:p w14:paraId="70C98605" w14:textId="77777777" w:rsidR="00490823" w:rsidRPr="00DB0F47" w:rsidRDefault="00490823" w:rsidP="00490823">
            <w:pPr>
              <w:spacing w:before="120"/>
              <w:jc w:val="center"/>
              <w:rPr>
                <w:rFonts w:ascii="Arial" w:hAnsi="Arial" w:cs="Arial"/>
                <w:b/>
                <w:bCs/>
                <w:szCs w:val="20"/>
              </w:rPr>
            </w:pPr>
            <w:r w:rsidRPr="591A7590">
              <w:rPr>
                <w:rFonts w:ascii="Arial" w:hAnsi="Arial" w:cs="Arial"/>
                <w:b/>
                <w:bCs/>
                <w:szCs w:val="20"/>
              </w:rPr>
              <w:t>1.1</w:t>
            </w:r>
          </w:p>
        </w:tc>
        <w:tc>
          <w:tcPr>
            <w:tcW w:w="8995" w:type="dxa"/>
            <w:vAlign w:val="center"/>
          </w:tcPr>
          <w:p w14:paraId="7E276D1E" w14:textId="77777777" w:rsidR="00490823" w:rsidRPr="00400CBA" w:rsidRDefault="00490823" w:rsidP="00490823">
            <w:pPr>
              <w:pStyle w:val="Tablebody0"/>
            </w:pPr>
            <w:r w:rsidRPr="591A7590">
              <w:t>There is a growing number of cyber incidents which impact non-operational data storage systems held by critical infrastructure entities</w:t>
            </w:r>
            <w:r>
              <w:t xml:space="preserve"> and</w:t>
            </w:r>
            <w:r w:rsidRPr="591A7590">
              <w:t xml:space="preserve"> can often be a point of entry for malicious actors. </w:t>
            </w:r>
          </w:p>
        </w:tc>
      </w:tr>
      <w:tr w:rsidR="00490823" w:rsidRPr="00940D7E" w14:paraId="58F1C572" w14:textId="77777777" w:rsidTr="00AE5255">
        <w:trPr>
          <w:trHeight w:val="935"/>
        </w:trPr>
        <w:tc>
          <w:tcPr>
            <w:tcW w:w="598" w:type="dxa"/>
            <w:shd w:val="clear" w:color="auto" w:fill="F2F2F2" w:themeFill="background1" w:themeFillShade="F2"/>
          </w:tcPr>
          <w:p w14:paraId="02748910" w14:textId="77777777" w:rsidR="00490823" w:rsidRPr="00DB0F47" w:rsidRDefault="00490823" w:rsidP="00490823">
            <w:pPr>
              <w:spacing w:before="120"/>
              <w:jc w:val="center"/>
              <w:rPr>
                <w:rFonts w:ascii="Arial" w:hAnsi="Arial" w:cs="Arial"/>
                <w:b/>
                <w:bCs/>
                <w:szCs w:val="20"/>
              </w:rPr>
            </w:pPr>
            <w:r w:rsidRPr="591A7590">
              <w:rPr>
                <w:rFonts w:ascii="Arial" w:hAnsi="Arial" w:cs="Arial"/>
                <w:b/>
                <w:bCs/>
                <w:szCs w:val="20"/>
              </w:rPr>
              <w:t>1.2</w:t>
            </w:r>
          </w:p>
        </w:tc>
        <w:tc>
          <w:tcPr>
            <w:tcW w:w="8995" w:type="dxa"/>
            <w:vAlign w:val="center"/>
          </w:tcPr>
          <w:p w14:paraId="4BBAD107" w14:textId="77777777" w:rsidR="00490823" w:rsidRPr="00400CBA" w:rsidRDefault="00490823" w:rsidP="00490823">
            <w:pPr>
              <w:pStyle w:val="Tablebody0"/>
            </w:pPr>
            <w:r w:rsidRPr="591A7590">
              <w:t xml:space="preserve">Businesses often face difficulties responding effectively in the aftermath of critical infrastructure incidents because of legal risks and government’s limited ability to support with post-incident consequence management. </w:t>
            </w:r>
          </w:p>
        </w:tc>
      </w:tr>
      <w:tr w:rsidR="00490823" w:rsidRPr="00940D7E" w14:paraId="2ACFA33C" w14:textId="77777777" w:rsidTr="00AE5255">
        <w:trPr>
          <w:trHeight w:val="935"/>
        </w:trPr>
        <w:tc>
          <w:tcPr>
            <w:tcW w:w="598" w:type="dxa"/>
            <w:shd w:val="clear" w:color="auto" w:fill="F2F2F2" w:themeFill="background1" w:themeFillShade="F2"/>
          </w:tcPr>
          <w:p w14:paraId="4E309755" w14:textId="77777777" w:rsidR="00490823" w:rsidRPr="00DB0F47" w:rsidRDefault="00490823" w:rsidP="00490823">
            <w:pPr>
              <w:keepLines/>
              <w:spacing w:before="120"/>
              <w:jc w:val="center"/>
              <w:rPr>
                <w:rFonts w:ascii="Arial" w:hAnsi="Arial" w:cs="Arial"/>
                <w:b/>
                <w:bCs/>
                <w:szCs w:val="20"/>
              </w:rPr>
            </w:pPr>
            <w:r w:rsidRPr="591A7590">
              <w:rPr>
                <w:rFonts w:ascii="Arial" w:hAnsi="Arial" w:cs="Arial"/>
                <w:b/>
                <w:bCs/>
                <w:szCs w:val="20"/>
              </w:rPr>
              <w:t>1.3</w:t>
            </w:r>
          </w:p>
        </w:tc>
        <w:tc>
          <w:tcPr>
            <w:tcW w:w="8995" w:type="dxa"/>
            <w:vAlign w:val="center"/>
          </w:tcPr>
          <w:p w14:paraId="392A6774" w14:textId="77777777" w:rsidR="00490823" w:rsidRPr="00400CBA" w:rsidRDefault="00490823" w:rsidP="00490823">
            <w:pPr>
              <w:pStyle w:val="Tablebody0"/>
            </w:pPr>
            <w:r w:rsidRPr="591A7590">
              <w:t xml:space="preserve">When an entity is unwilling to comply with the regulator’s recommendations to enhance an RMP, there is </w:t>
            </w:r>
            <w:r>
              <w:t>limited</w:t>
            </w:r>
            <w:r w:rsidRPr="591A7590">
              <w:t xml:space="preserve"> ability for the regulator to issue a direction that the entity remedy the deficient RMP</w:t>
            </w:r>
            <w:r>
              <w:t xml:space="preserve"> in a timely fashion</w:t>
            </w:r>
            <w:r w:rsidRPr="591A7590">
              <w:t xml:space="preserve">. </w:t>
            </w:r>
          </w:p>
        </w:tc>
      </w:tr>
    </w:tbl>
    <w:p w14:paraId="7AB60352" w14:textId="77777777" w:rsidR="00490823" w:rsidRDefault="00490823" w:rsidP="006C65D4">
      <w:pPr>
        <w:pStyle w:val="BodyText"/>
      </w:pPr>
      <w:r w:rsidRPr="00C3491C">
        <w:t>These gaps demonstrate the need to ensure that critical infrastructure entities apply an all-hazards approach.</w:t>
      </w:r>
      <w:r w:rsidRPr="00456869">
        <w:rPr>
          <w:rStyle w:val="FootnoteReference"/>
        </w:rPr>
        <w:footnoteReference w:id="8"/>
      </w:r>
      <w:r w:rsidRPr="00C3491C">
        <w:t xml:space="preserve"> </w:t>
      </w:r>
    </w:p>
    <w:p w14:paraId="33AA486A" w14:textId="661C76D6" w:rsidR="006C65D4" w:rsidRPr="00C3491C" w:rsidRDefault="006C65D4" w:rsidP="00C3491C">
      <w:pPr>
        <w:pStyle w:val="BodyText"/>
      </w:pPr>
      <w:r w:rsidRPr="00C3491C">
        <w:t xml:space="preserve">While there are a range of legislative frameworks (including the SOCI Act) in place that seek to uplift the security and resilience of critical infrastructure assets, </w:t>
      </w:r>
      <w:r w:rsidRPr="00C3491C">
        <w:rPr>
          <w:color w:val="2B579A"/>
          <w:shd w:val="clear" w:color="auto" w:fill="E6E6E6"/>
        </w:rPr>
        <w:fldChar w:fldCharType="begin"/>
      </w:r>
      <w:r w:rsidRPr="00C3491C">
        <w:instrText xml:space="preserve"> REF _Ref163736443 \h  \* MERGEFORMAT </w:instrText>
      </w:r>
      <w:r w:rsidRPr="00C3491C">
        <w:rPr>
          <w:color w:val="2B579A"/>
          <w:shd w:val="clear" w:color="auto" w:fill="E6E6E6"/>
        </w:rPr>
      </w:r>
      <w:r w:rsidRPr="00C3491C">
        <w:rPr>
          <w:color w:val="2B579A"/>
          <w:shd w:val="clear" w:color="auto" w:fill="E6E6E6"/>
        </w:rPr>
        <w:fldChar w:fldCharType="separate"/>
      </w:r>
      <w:r w:rsidR="00E8506B" w:rsidRPr="00E8506B">
        <w:t>Table 5</w:t>
      </w:r>
      <w:r w:rsidRPr="00C3491C">
        <w:rPr>
          <w:color w:val="2B579A"/>
          <w:shd w:val="clear" w:color="auto" w:fill="E6E6E6"/>
        </w:rPr>
        <w:fldChar w:fldCharType="end"/>
      </w:r>
      <w:r w:rsidRPr="00C3491C">
        <w:t xml:space="preserve"> below identifies why these regimes are not capable of addressing the problems highlighted above. These gaps have been identified through: </w:t>
      </w:r>
    </w:p>
    <w:p w14:paraId="26A8EC71" w14:textId="017CD4D6" w:rsidR="006C65D4" w:rsidRDefault="54C215C9" w:rsidP="4F26752A">
      <w:pPr>
        <w:pStyle w:val="ListParagraph"/>
        <w:contextualSpacing/>
        <w:rPr>
          <w:rFonts w:ascii="Arial" w:hAnsi="Arial" w:cs="Arial"/>
        </w:rPr>
      </w:pPr>
      <w:r w:rsidRPr="385C4F53">
        <w:rPr>
          <w:rFonts w:ascii="Arial" w:hAnsi="Arial" w:cs="Arial"/>
          <w:b/>
          <w:bCs/>
        </w:rPr>
        <w:t>Evaluating the efficacy of existing legislative frameworks</w:t>
      </w:r>
      <w:r w:rsidRPr="385C4F53">
        <w:rPr>
          <w:rFonts w:ascii="Arial" w:hAnsi="Arial" w:cs="Arial"/>
        </w:rPr>
        <w:t xml:space="preserve"> (including through Government-led reviews), in light of recent critical infrastructure incidents (such as the Optus and Medibank attacks). These reviews highlighted gaps that limit industry’s ability to prepare, prevent and respond to cyber incidents.</w:t>
      </w:r>
    </w:p>
    <w:p w14:paraId="39836E0A" w14:textId="77777777" w:rsidR="006C65D4" w:rsidRDefault="006C65D4" w:rsidP="00510557">
      <w:pPr>
        <w:pStyle w:val="ListParagraph"/>
        <w:numPr>
          <w:ilvl w:val="0"/>
          <w:numId w:val="21"/>
        </w:numPr>
        <w:contextualSpacing/>
        <w:rPr>
          <w:rFonts w:ascii="Arial" w:hAnsi="Arial" w:cs="Arial"/>
          <w:szCs w:val="20"/>
        </w:rPr>
      </w:pPr>
      <w:r>
        <w:rPr>
          <w:rFonts w:ascii="Arial" w:hAnsi="Arial" w:cs="Arial"/>
          <w:b/>
          <w:bCs/>
          <w:szCs w:val="20"/>
        </w:rPr>
        <w:t xml:space="preserve">Review of data related to critical infrastructure incidents. </w:t>
      </w:r>
      <w:r w:rsidRPr="00302A0C">
        <w:rPr>
          <w:rFonts w:ascii="Arial" w:hAnsi="Arial" w:cs="Arial"/>
          <w:szCs w:val="20"/>
        </w:rPr>
        <w:t xml:space="preserve">For example, as mentioned above, the 188 significant or relevant incidents identified through the MCIR in 2022-23 demonstrate opportunities to enhance the legislative frameworks related to the confidentiality, </w:t>
      </w:r>
      <w:r w:rsidRPr="00703417" w:rsidDel="00703417">
        <w:rPr>
          <w:rFonts w:ascii="Arial" w:hAnsi="Arial" w:cs="Arial"/>
          <w:szCs w:val="20"/>
        </w:rPr>
        <w:t>integrity</w:t>
      </w:r>
      <w:r w:rsidRPr="00703417">
        <w:rPr>
          <w:rFonts w:ascii="Arial" w:hAnsi="Arial" w:cs="Arial"/>
          <w:szCs w:val="20"/>
        </w:rPr>
        <w:t>,</w:t>
      </w:r>
      <w:r w:rsidRPr="00302A0C">
        <w:rPr>
          <w:rFonts w:ascii="Arial" w:hAnsi="Arial" w:cs="Arial"/>
          <w:szCs w:val="20"/>
        </w:rPr>
        <w:t xml:space="preserve"> or reliability of Australian critical infrastructure.</w:t>
      </w:r>
    </w:p>
    <w:p w14:paraId="022137F3" w14:textId="77777777" w:rsidR="006C65D4" w:rsidRPr="00302A0C" w:rsidRDefault="006C65D4" w:rsidP="00510557">
      <w:pPr>
        <w:pStyle w:val="ListParagraph"/>
        <w:numPr>
          <w:ilvl w:val="0"/>
          <w:numId w:val="21"/>
        </w:numPr>
        <w:contextualSpacing/>
        <w:rPr>
          <w:rFonts w:ascii="Arial" w:hAnsi="Arial" w:cs="Arial"/>
          <w:szCs w:val="20"/>
        </w:rPr>
      </w:pPr>
      <w:r>
        <w:rPr>
          <w:rFonts w:ascii="Arial" w:hAnsi="Arial" w:cs="Arial"/>
          <w:b/>
          <w:bCs/>
          <w:szCs w:val="20"/>
        </w:rPr>
        <w:t xml:space="preserve">Engagement with industry, </w:t>
      </w:r>
      <w:r>
        <w:rPr>
          <w:rFonts w:ascii="Arial" w:hAnsi="Arial" w:cs="Arial"/>
          <w:szCs w:val="20"/>
        </w:rPr>
        <w:t xml:space="preserve">including on the Consultation Paper and a draft version of this IA. This consultation has allowed the Department and industry to understand how existing legislative obligations work in practice, including areas of strength and identification of gaps. </w:t>
      </w:r>
    </w:p>
    <w:p w14:paraId="4F6C0F3D" w14:textId="3519F611" w:rsidR="006C65D4" w:rsidRPr="001707E4" w:rsidRDefault="006C65D4" w:rsidP="006C65D4">
      <w:pPr>
        <w:pStyle w:val="Caption"/>
        <w:rPr>
          <w:rFonts w:ascii="Calibri" w:hAnsi="Calibri" w:cs="Calibri"/>
        </w:rPr>
      </w:pPr>
      <w:bookmarkStart w:id="31" w:name="_Ref163736443"/>
      <w:r w:rsidRPr="009763A8">
        <w:rPr>
          <w:rFonts w:cstheme="minorHAnsi"/>
          <w:bCs/>
        </w:rPr>
        <w:t xml:space="preserve">Table </w:t>
      </w:r>
      <w:r w:rsidRPr="009763A8">
        <w:rPr>
          <w:rFonts w:cstheme="minorHAnsi"/>
          <w:b w:val="0"/>
          <w:bCs/>
          <w:color w:val="2B579A"/>
          <w:shd w:val="clear" w:color="auto" w:fill="E6E6E6"/>
        </w:rPr>
        <w:fldChar w:fldCharType="begin"/>
      </w:r>
      <w:r w:rsidRPr="009763A8">
        <w:rPr>
          <w:rFonts w:cstheme="minorHAnsi"/>
          <w:bCs/>
        </w:rPr>
        <w:instrText xml:space="preserve"> SEQ Table \* ARABIC </w:instrText>
      </w:r>
      <w:r w:rsidRPr="009763A8">
        <w:rPr>
          <w:rFonts w:cstheme="minorHAnsi"/>
          <w:b w:val="0"/>
          <w:bCs/>
          <w:color w:val="2B579A"/>
          <w:shd w:val="clear" w:color="auto" w:fill="E6E6E6"/>
        </w:rPr>
        <w:fldChar w:fldCharType="separate"/>
      </w:r>
      <w:r w:rsidR="00E8506B">
        <w:rPr>
          <w:rFonts w:cstheme="minorHAnsi"/>
          <w:bCs/>
          <w:noProof/>
        </w:rPr>
        <w:t>5</w:t>
      </w:r>
      <w:r w:rsidRPr="009763A8">
        <w:rPr>
          <w:rFonts w:cstheme="minorHAnsi"/>
          <w:b w:val="0"/>
          <w:bCs/>
          <w:color w:val="2B579A"/>
          <w:shd w:val="clear" w:color="auto" w:fill="E6E6E6"/>
        </w:rPr>
        <w:fldChar w:fldCharType="end"/>
      </w:r>
      <w:bookmarkEnd w:id="31"/>
      <w:r w:rsidRPr="001707E4">
        <w:rPr>
          <w:rFonts w:ascii="Calibri" w:hAnsi="Calibri" w:cs="Calibri"/>
        </w:rPr>
        <w:t xml:space="preserve"> </w:t>
      </w:r>
      <w:r w:rsidRPr="009763A8">
        <w:rPr>
          <w:rFonts w:cstheme="minorHAnsi"/>
          <w:b w:val="0"/>
        </w:rPr>
        <w:t>Overview of existing Commonwealth critical infrastructure legislation</w:t>
      </w:r>
    </w:p>
    <w:tbl>
      <w:tblPr>
        <w:tblStyle w:val="GridTable4-Accent11"/>
        <w:tblW w:w="9634" w:type="dxa"/>
        <w:tblBorders>
          <w:top w:val="none" w:sz="0" w:space="0" w:color="auto"/>
          <w:left w:val="none" w:sz="0" w:space="0" w:color="auto"/>
          <w:bottom w:val="single" w:sz="4" w:space="0" w:color="BFBFBF" w:themeColor="background2" w:themeShade="BF"/>
          <w:right w:val="none" w:sz="0" w:space="0" w:color="auto"/>
          <w:insideH w:val="single" w:sz="4" w:space="0" w:color="BFBFBF" w:themeColor="background2" w:themeShade="BF"/>
          <w:insideV w:val="none" w:sz="0" w:space="0" w:color="auto"/>
        </w:tblBorders>
        <w:tblLook w:val="0620" w:firstRow="1" w:lastRow="0" w:firstColumn="0" w:lastColumn="0" w:noHBand="1" w:noVBand="1"/>
      </w:tblPr>
      <w:tblGrid>
        <w:gridCol w:w="3342"/>
        <w:gridCol w:w="3006"/>
        <w:gridCol w:w="3286"/>
      </w:tblGrid>
      <w:tr w:rsidR="00D96C1C" w:rsidRPr="00940D7E" w14:paraId="2A4A2DFE" w14:textId="77777777" w:rsidTr="00AE5255">
        <w:trPr>
          <w:cnfStyle w:val="100000000000" w:firstRow="1" w:lastRow="0" w:firstColumn="0" w:lastColumn="0" w:oddVBand="0" w:evenVBand="0" w:oddHBand="0" w:evenHBand="0" w:firstRowFirstColumn="0" w:firstRowLastColumn="0" w:lastRowFirstColumn="0" w:lastRowLastColumn="0"/>
          <w:cantSplit/>
          <w:tblHeader/>
        </w:trPr>
        <w:tc>
          <w:tcPr>
            <w:tcW w:w="3342" w:type="dxa"/>
            <w:shd w:val="clear" w:color="auto" w:fill="034EA2" w:themeFill="accent1"/>
          </w:tcPr>
          <w:p w14:paraId="3B26A8D0" w14:textId="77777777" w:rsidR="00D96C1C" w:rsidRPr="00E86FA5" w:rsidRDefault="00D96C1C" w:rsidP="004C3259">
            <w:pPr>
              <w:keepNext/>
              <w:spacing w:before="120" w:after="120"/>
              <w:rPr>
                <w:rFonts w:ascii="Arial" w:eastAsia="Arial" w:hAnsi="Arial" w:cs="Arial"/>
                <w:b w:val="0"/>
                <w:bCs w:val="0"/>
                <w:szCs w:val="20"/>
              </w:rPr>
            </w:pPr>
            <w:r w:rsidRPr="591A7590">
              <w:rPr>
                <w:rFonts w:ascii="Arial" w:eastAsia="Arial" w:hAnsi="Arial" w:cs="Arial"/>
                <w:color w:val="FFFFFF" w:themeColor="background1"/>
                <w:szCs w:val="20"/>
              </w:rPr>
              <w:t>Overview of existing regulation</w:t>
            </w:r>
          </w:p>
        </w:tc>
        <w:tc>
          <w:tcPr>
            <w:tcW w:w="3006" w:type="dxa"/>
            <w:shd w:val="clear" w:color="auto" w:fill="034EA2" w:themeFill="accent1"/>
          </w:tcPr>
          <w:p w14:paraId="7F916635" w14:textId="7B5D08C7" w:rsidR="00D96C1C" w:rsidRPr="00E86FA5" w:rsidRDefault="00D96C1C" w:rsidP="004C3259">
            <w:pPr>
              <w:keepNext/>
              <w:spacing w:before="120" w:after="120"/>
              <w:rPr>
                <w:rFonts w:ascii="Arial" w:eastAsia="Arial" w:hAnsi="Arial" w:cs="Arial"/>
                <w:b w:val="0"/>
                <w:bCs w:val="0"/>
                <w:szCs w:val="20"/>
              </w:rPr>
            </w:pPr>
          </w:p>
        </w:tc>
        <w:tc>
          <w:tcPr>
            <w:tcW w:w="3286" w:type="dxa"/>
            <w:shd w:val="clear" w:color="auto" w:fill="034EA2" w:themeFill="accent1"/>
          </w:tcPr>
          <w:p w14:paraId="080B084D" w14:textId="77777777" w:rsidR="00D96C1C" w:rsidRPr="00E86FA5" w:rsidRDefault="00D96C1C" w:rsidP="004C3259">
            <w:pPr>
              <w:keepNext/>
              <w:spacing w:before="120" w:after="120"/>
              <w:rPr>
                <w:rFonts w:ascii="Arial" w:eastAsia="Arial" w:hAnsi="Arial" w:cs="Arial"/>
                <w:b w:val="0"/>
                <w:bCs w:val="0"/>
                <w:szCs w:val="20"/>
              </w:rPr>
            </w:pPr>
            <w:r w:rsidRPr="591A7590">
              <w:rPr>
                <w:rFonts w:ascii="Arial" w:eastAsia="Arial" w:hAnsi="Arial" w:cs="Arial"/>
                <w:color w:val="FFFFFF" w:themeColor="background1"/>
                <w:szCs w:val="20"/>
              </w:rPr>
              <w:t>Identified gap</w:t>
            </w:r>
          </w:p>
        </w:tc>
      </w:tr>
      <w:tr w:rsidR="006C65D4" w:rsidRPr="00940D7E" w14:paraId="4A7B49B2" w14:textId="77777777" w:rsidTr="00AE5255">
        <w:trPr>
          <w:cantSplit/>
        </w:trPr>
        <w:tc>
          <w:tcPr>
            <w:tcW w:w="3342" w:type="dxa"/>
            <w:shd w:val="clear" w:color="auto" w:fill="auto"/>
            <w:vAlign w:val="center"/>
          </w:tcPr>
          <w:p w14:paraId="7AD32FB4" w14:textId="77777777" w:rsidR="006C65D4" w:rsidRPr="00C31CFA" w:rsidRDefault="006C65D4" w:rsidP="004C3259">
            <w:pPr>
              <w:spacing w:before="120" w:after="120"/>
              <w:rPr>
                <w:rFonts w:ascii="Arial" w:eastAsia="MS Mincho" w:hAnsi="Arial" w:cs="Arial"/>
                <w:b/>
                <w:bCs/>
                <w:color w:val="000000"/>
                <w:szCs w:val="20"/>
                <w:lang w:val="en-US"/>
              </w:rPr>
            </w:pPr>
            <w:r w:rsidRPr="591A7590">
              <w:rPr>
                <w:rFonts w:ascii="Arial" w:eastAsia="MS Mincho" w:hAnsi="Arial" w:cs="Arial"/>
                <w:b/>
                <w:bCs/>
                <w:i/>
                <w:iCs/>
                <w:color w:val="000000" w:themeColor="text1"/>
                <w:szCs w:val="20"/>
              </w:rPr>
              <w:t>Security of Critical Infrastructure Act 2018</w:t>
            </w:r>
            <w:r w:rsidRPr="591A7590">
              <w:rPr>
                <w:rFonts w:ascii="Arial" w:eastAsia="MS Mincho" w:hAnsi="Arial" w:cs="Arial"/>
                <w:b/>
                <w:bCs/>
                <w:color w:val="000000" w:themeColor="text1"/>
                <w:szCs w:val="20"/>
              </w:rPr>
              <w:t xml:space="preserve"> (Cth)</w:t>
            </w:r>
          </w:p>
        </w:tc>
        <w:tc>
          <w:tcPr>
            <w:tcW w:w="3006" w:type="dxa"/>
            <w:shd w:val="clear" w:color="auto" w:fill="auto"/>
            <w:vAlign w:val="center"/>
          </w:tcPr>
          <w:p w14:paraId="12DA02B5" w14:textId="77777777" w:rsidR="006C65D4" w:rsidRPr="00E86FA5" w:rsidRDefault="006C65D4" w:rsidP="00456869">
            <w:pPr>
              <w:pStyle w:val="Tablebody0"/>
              <w:rPr>
                <w:color w:val="000000"/>
              </w:rPr>
            </w:pPr>
            <w:r w:rsidRPr="591A7590">
              <w:t>Establishes a framework for managing risks to national security related to 'critical infrastructure assets' by, among other mechanisms, creating a Register of Critical Infrastructure Assets.</w:t>
            </w:r>
          </w:p>
        </w:tc>
        <w:tc>
          <w:tcPr>
            <w:tcW w:w="3286" w:type="dxa"/>
            <w:shd w:val="clear" w:color="auto" w:fill="F2F2F2" w:themeFill="background2" w:themeFillShade="F2"/>
            <w:vAlign w:val="center"/>
          </w:tcPr>
          <w:p w14:paraId="50A68609" w14:textId="77777777" w:rsidR="006C65D4" w:rsidRDefault="006C65D4" w:rsidP="00456869">
            <w:pPr>
              <w:pStyle w:val="Tablebody0"/>
            </w:pPr>
            <w:r w:rsidRPr="591A7590">
              <w:t xml:space="preserve">In considering all </w:t>
            </w:r>
            <w:r>
              <w:t xml:space="preserve">current </w:t>
            </w:r>
            <w:r w:rsidRPr="591A7590">
              <w:t>SOCI</w:t>
            </w:r>
            <w:r w:rsidR="00B807DB">
              <w:t xml:space="preserve"> Act</w:t>
            </w:r>
            <w:r w:rsidRPr="591A7590">
              <w:t xml:space="preserve"> obligations, the Department and industry have had the opportunity to engage with and observe the operation of these obligations in practice. This includes the framework’s interaction with the various operating environments of each critical infrastructure asset, the application of other Australian legislative regimes and initial observations on industry education and compliance exercises.  </w:t>
            </w:r>
          </w:p>
          <w:p w14:paraId="1F70EE86" w14:textId="77777777" w:rsidR="006C65D4" w:rsidRPr="00E86FA5" w:rsidRDefault="006C65D4" w:rsidP="00456869">
            <w:pPr>
              <w:pStyle w:val="Tablebody0"/>
              <w:rPr>
                <w:rFonts w:eastAsia="Times New Roman"/>
                <w:lang w:eastAsia="en-AU"/>
              </w:rPr>
            </w:pPr>
            <w:r w:rsidRPr="591A7590">
              <w:t xml:space="preserve">While the SOCI </w:t>
            </w:r>
            <w:r>
              <w:t xml:space="preserve">Act </w:t>
            </w:r>
            <w:r w:rsidRPr="591A7590">
              <w:t>work</w:t>
            </w:r>
            <w:r>
              <w:t>s</w:t>
            </w:r>
            <w:r w:rsidRPr="591A7590">
              <w:t xml:space="preserve"> to uplift and maintain all-hazards risk management, recent incidents in Australia have highlighted gaps in the regime’s operation. These include lack of clarity in definition and gaps in enforcement powers, which are not currently contained in the Act.</w:t>
            </w:r>
          </w:p>
        </w:tc>
      </w:tr>
      <w:tr w:rsidR="00BD1B1D" w:rsidRPr="00940D7E" w14:paraId="1AB8940D" w14:textId="77777777" w:rsidTr="00AE5255">
        <w:trPr>
          <w:cantSplit/>
        </w:trPr>
        <w:tc>
          <w:tcPr>
            <w:tcW w:w="3342" w:type="dxa"/>
            <w:shd w:val="clear" w:color="auto" w:fill="auto"/>
            <w:vAlign w:val="center"/>
          </w:tcPr>
          <w:p w14:paraId="76C70249" w14:textId="77777777" w:rsidR="00BD1B1D" w:rsidRPr="00C31CFA" w:rsidRDefault="00BD1B1D" w:rsidP="00BD1B1D">
            <w:pPr>
              <w:spacing w:before="120" w:after="120"/>
              <w:rPr>
                <w:rFonts w:ascii="Arial" w:eastAsia="MS Mincho" w:hAnsi="Arial" w:cs="Arial"/>
                <w:b/>
                <w:bCs/>
                <w:color w:val="000000"/>
                <w:szCs w:val="20"/>
                <w:lang w:val="en-US"/>
              </w:rPr>
            </w:pPr>
            <w:r w:rsidRPr="591A7590">
              <w:rPr>
                <w:rFonts w:ascii="Arial" w:hAnsi="Arial" w:cs="Arial"/>
                <w:b/>
                <w:bCs/>
                <w:i/>
                <w:iCs/>
                <w:szCs w:val="20"/>
              </w:rPr>
              <w:t xml:space="preserve">Security Legislation Amendment (Critical Infrastructure) Act 2021 </w:t>
            </w:r>
            <w:r w:rsidRPr="591A7590">
              <w:rPr>
                <w:rFonts w:ascii="Arial" w:hAnsi="Arial" w:cs="Arial"/>
                <w:b/>
                <w:bCs/>
                <w:szCs w:val="20"/>
              </w:rPr>
              <w:t>(Cth)</w:t>
            </w:r>
          </w:p>
        </w:tc>
        <w:tc>
          <w:tcPr>
            <w:tcW w:w="3006" w:type="dxa"/>
            <w:shd w:val="clear" w:color="auto" w:fill="auto"/>
            <w:vAlign w:val="center"/>
          </w:tcPr>
          <w:p w14:paraId="4BAF9571" w14:textId="77777777" w:rsidR="00BD1B1D" w:rsidRPr="00E86FA5" w:rsidRDefault="00BD1B1D" w:rsidP="00BD1B1D">
            <w:pPr>
              <w:pStyle w:val="Tablebody0"/>
              <w:rPr>
                <w:color w:val="000000"/>
              </w:rPr>
            </w:pPr>
            <w:r w:rsidRPr="591A7590">
              <w:t xml:space="preserve">Established an enhanced framework for managing cybersecurity risks to an expanded list of 'critical infrastructure assets' by, among other mechanisms, including </w:t>
            </w:r>
            <w:r>
              <w:t>MCIR</w:t>
            </w:r>
            <w:r w:rsidRPr="591A7590">
              <w:t xml:space="preserve"> and Government Assistance powers.</w:t>
            </w:r>
          </w:p>
        </w:tc>
        <w:tc>
          <w:tcPr>
            <w:tcW w:w="3286" w:type="dxa"/>
            <w:shd w:val="clear" w:color="auto" w:fill="F2F2F2" w:themeFill="background2" w:themeFillShade="F2"/>
            <w:vAlign w:val="center"/>
          </w:tcPr>
          <w:p w14:paraId="5CA78597" w14:textId="77777777" w:rsidR="00BD1B1D" w:rsidRDefault="00BD1B1D" w:rsidP="00BD1B1D">
            <w:pPr>
              <w:pStyle w:val="Tablebody0"/>
            </w:pPr>
            <w:r w:rsidRPr="591A7590">
              <w:t xml:space="preserve">In considering all </w:t>
            </w:r>
            <w:r>
              <w:t xml:space="preserve">current </w:t>
            </w:r>
            <w:r w:rsidRPr="591A7590">
              <w:t>SOCI</w:t>
            </w:r>
            <w:r>
              <w:t xml:space="preserve"> Act</w:t>
            </w:r>
            <w:r w:rsidRPr="591A7590">
              <w:t xml:space="preserve"> obligations, the Department and industry have had the opportunity to engage with and observe the operation of these obligations in practice. This includes the framework’s interaction with the various operating environments of each critical infrastructure asset, the application of other Australian legislative regimes and initial observations on industry education and compliance exercises.  </w:t>
            </w:r>
          </w:p>
          <w:p w14:paraId="2A04F1AF" w14:textId="21BCCAF3" w:rsidR="00BD1B1D" w:rsidRPr="00E86FA5" w:rsidRDefault="00BD1B1D" w:rsidP="00BD1B1D">
            <w:pPr>
              <w:pStyle w:val="Tablebody0"/>
              <w:rPr>
                <w:rFonts w:eastAsia="Times New Roman"/>
                <w:lang w:eastAsia="en-AU"/>
              </w:rPr>
            </w:pPr>
            <w:r w:rsidRPr="591A7590">
              <w:t xml:space="preserve">While the SOCI </w:t>
            </w:r>
            <w:r>
              <w:t xml:space="preserve">Act </w:t>
            </w:r>
            <w:r w:rsidRPr="591A7590">
              <w:t>work</w:t>
            </w:r>
            <w:r>
              <w:t>s</w:t>
            </w:r>
            <w:r w:rsidRPr="591A7590">
              <w:t xml:space="preserve"> to uplift and maintain all-hazards risk management, recent incidents in Australia have highlighted gaps in the regime’s operation. These include lack of clarity in definition and gaps in enforcement powers, which are not currently contained in the Act.</w:t>
            </w:r>
          </w:p>
        </w:tc>
      </w:tr>
      <w:tr w:rsidR="00BD1B1D" w:rsidRPr="00940D7E" w14:paraId="262F1B5B" w14:textId="77777777" w:rsidTr="00AE5255">
        <w:trPr>
          <w:cantSplit/>
        </w:trPr>
        <w:tc>
          <w:tcPr>
            <w:tcW w:w="3342" w:type="dxa"/>
            <w:shd w:val="clear" w:color="auto" w:fill="auto"/>
            <w:vAlign w:val="center"/>
          </w:tcPr>
          <w:p w14:paraId="36148985" w14:textId="77777777" w:rsidR="00BD1B1D" w:rsidRPr="00C31CFA" w:rsidRDefault="00BD1B1D" w:rsidP="00BD1B1D">
            <w:pPr>
              <w:spacing w:before="120" w:after="120"/>
              <w:rPr>
                <w:rFonts w:ascii="Arial" w:eastAsia="MS Mincho" w:hAnsi="Arial" w:cs="Arial"/>
                <w:b/>
                <w:bCs/>
                <w:i/>
                <w:iCs/>
                <w:color w:val="000000"/>
                <w:szCs w:val="20"/>
                <w:lang w:val="en-US"/>
              </w:rPr>
            </w:pPr>
            <w:r w:rsidRPr="591A7590">
              <w:rPr>
                <w:rFonts w:ascii="Arial" w:hAnsi="Arial" w:cs="Arial"/>
                <w:b/>
                <w:bCs/>
                <w:i/>
                <w:iCs/>
                <w:szCs w:val="20"/>
              </w:rPr>
              <w:t>Security Legislation Amendment (Critical Infrastructure Protection) Act 2022</w:t>
            </w:r>
            <w:r w:rsidRPr="591A7590">
              <w:rPr>
                <w:rFonts w:ascii="Arial" w:hAnsi="Arial" w:cs="Arial"/>
                <w:b/>
                <w:bCs/>
                <w:szCs w:val="20"/>
              </w:rPr>
              <w:t xml:space="preserve"> (Cth)</w:t>
            </w:r>
          </w:p>
        </w:tc>
        <w:tc>
          <w:tcPr>
            <w:tcW w:w="3006" w:type="dxa"/>
            <w:shd w:val="clear" w:color="auto" w:fill="auto"/>
            <w:vAlign w:val="center"/>
          </w:tcPr>
          <w:p w14:paraId="4CEC8224" w14:textId="77777777" w:rsidR="00BD1B1D" w:rsidRPr="00E86FA5" w:rsidRDefault="00BD1B1D" w:rsidP="00BD1B1D">
            <w:pPr>
              <w:pStyle w:val="Tablebody0"/>
              <w:rPr>
                <w:b/>
                <w:bCs/>
                <w:color w:val="000000"/>
              </w:rPr>
            </w:pPr>
            <w:r w:rsidRPr="591A7590">
              <w:t>Introduced critical infrastructure risk management program obligations to require all hazards risk management for certain assets. Established the ability to designate the most important critical infrastructure assets as systems of national significan</w:t>
            </w:r>
            <w:r>
              <w:t>ce</w:t>
            </w:r>
            <w:r w:rsidRPr="591A7590">
              <w:t xml:space="preserve"> and apply enhanced cyber security obligations to these assets. </w:t>
            </w:r>
          </w:p>
        </w:tc>
        <w:tc>
          <w:tcPr>
            <w:tcW w:w="3286" w:type="dxa"/>
            <w:shd w:val="clear" w:color="auto" w:fill="F2F2F2" w:themeFill="background2" w:themeFillShade="F2"/>
            <w:vAlign w:val="center"/>
          </w:tcPr>
          <w:p w14:paraId="7A099CF7" w14:textId="77777777" w:rsidR="00BD1B1D" w:rsidRDefault="00BD1B1D" w:rsidP="00BD1B1D">
            <w:pPr>
              <w:pStyle w:val="Tablebody0"/>
            </w:pPr>
            <w:r w:rsidRPr="591A7590">
              <w:t xml:space="preserve">In considering all </w:t>
            </w:r>
            <w:r>
              <w:t xml:space="preserve">current </w:t>
            </w:r>
            <w:r w:rsidRPr="591A7590">
              <w:t>SOCI</w:t>
            </w:r>
            <w:r>
              <w:t xml:space="preserve"> Act</w:t>
            </w:r>
            <w:r w:rsidRPr="591A7590">
              <w:t xml:space="preserve"> obligations, the Department and industry have had the opportunity to engage with and observe the operation of these obligations in practice. This includes the framework’s interaction with the various operating environments of each critical infrastructure asset, the application of other Australian legislative regimes and initial observations on industry education and compliance exercises.  </w:t>
            </w:r>
          </w:p>
          <w:p w14:paraId="28497C37" w14:textId="5DD7BA0C" w:rsidR="00BD1B1D" w:rsidRPr="00E86FA5" w:rsidRDefault="00BD1B1D" w:rsidP="00BD1B1D">
            <w:pPr>
              <w:pStyle w:val="Tablebody0"/>
              <w:rPr>
                <w:rFonts w:eastAsia="Times New Roman"/>
                <w:lang w:eastAsia="en-AU"/>
              </w:rPr>
            </w:pPr>
            <w:r w:rsidRPr="591A7590">
              <w:t xml:space="preserve">While the SOCI </w:t>
            </w:r>
            <w:r>
              <w:t xml:space="preserve">Act </w:t>
            </w:r>
            <w:r w:rsidRPr="591A7590">
              <w:t>work</w:t>
            </w:r>
            <w:r>
              <w:t>s</w:t>
            </w:r>
            <w:r w:rsidRPr="591A7590">
              <w:t xml:space="preserve"> to uplift and maintain all-hazards risk management, recent incidents in Australia have highlighted gaps in the regime’s operation. These include lack of clarity in definition and gaps in enforcement powers, which are not currently contained in the Act.</w:t>
            </w:r>
          </w:p>
        </w:tc>
      </w:tr>
      <w:tr w:rsidR="00BD1B1D" w:rsidRPr="00940D7E" w14:paraId="6A7AFA72" w14:textId="77777777" w:rsidTr="00AE5255">
        <w:trPr>
          <w:cantSplit/>
        </w:trPr>
        <w:tc>
          <w:tcPr>
            <w:tcW w:w="3342" w:type="dxa"/>
            <w:shd w:val="clear" w:color="auto" w:fill="auto"/>
            <w:vAlign w:val="center"/>
          </w:tcPr>
          <w:p w14:paraId="78392F92" w14:textId="77777777" w:rsidR="00BD1B1D" w:rsidRPr="00C31CFA" w:rsidRDefault="00BD1B1D" w:rsidP="00BD1B1D">
            <w:pPr>
              <w:spacing w:before="120" w:after="120"/>
              <w:rPr>
                <w:rFonts w:ascii="Arial" w:eastAsia="MS Mincho" w:hAnsi="Arial" w:cs="Arial"/>
                <w:b/>
                <w:bCs/>
                <w:i/>
                <w:iCs/>
                <w:color w:val="000000"/>
                <w:szCs w:val="20"/>
                <w:lang w:val="en-US"/>
              </w:rPr>
            </w:pPr>
            <w:r w:rsidRPr="591A7590">
              <w:rPr>
                <w:rFonts w:ascii="Arial" w:hAnsi="Arial" w:cs="Arial"/>
                <w:b/>
                <w:bCs/>
                <w:i/>
                <w:iCs/>
                <w:szCs w:val="20"/>
              </w:rPr>
              <w:t>Foreign Acquisitions and Takeovers Act 1975</w:t>
            </w:r>
            <w:r w:rsidRPr="591A7590">
              <w:rPr>
                <w:rFonts w:ascii="Arial" w:hAnsi="Arial" w:cs="Arial"/>
                <w:b/>
                <w:bCs/>
                <w:szCs w:val="20"/>
              </w:rPr>
              <w:t xml:space="preserve"> (Cth) (‘FATA’)</w:t>
            </w:r>
          </w:p>
        </w:tc>
        <w:tc>
          <w:tcPr>
            <w:tcW w:w="3006" w:type="dxa"/>
            <w:shd w:val="clear" w:color="auto" w:fill="auto"/>
            <w:vAlign w:val="center"/>
          </w:tcPr>
          <w:p w14:paraId="44E2F91D" w14:textId="77777777" w:rsidR="00BD1B1D" w:rsidRPr="00E86FA5" w:rsidRDefault="00BD1B1D" w:rsidP="00BD1B1D">
            <w:pPr>
              <w:pStyle w:val="Tablebody0"/>
              <w:rPr>
                <w:color w:val="000000"/>
              </w:rPr>
            </w:pPr>
            <w:r w:rsidRPr="591A7590">
              <w:t>Sets out the circumstances and processes for decision making in relation to foreign investment applications - known as 'significant actions'. Under the FATA, the Treasurer (in consultation with other relevant bodies) may allow the action, impose conditions on the action, prohibit the action, or require that the action be undone.</w:t>
            </w:r>
          </w:p>
        </w:tc>
        <w:tc>
          <w:tcPr>
            <w:tcW w:w="3286" w:type="dxa"/>
            <w:shd w:val="clear" w:color="auto" w:fill="F2F2F2" w:themeFill="background2" w:themeFillShade="F2"/>
            <w:vAlign w:val="center"/>
          </w:tcPr>
          <w:p w14:paraId="527B97CA" w14:textId="77777777" w:rsidR="00BD1B1D" w:rsidRPr="00E86FA5" w:rsidRDefault="00BD1B1D" w:rsidP="00BD1B1D">
            <w:pPr>
              <w:pStyle w:val="Tablebody0"/>
              <w:rPr>
                <w:rFonts w:eastAsia="Times New Roman"/>
                <w:lang w:eastAsia="en-AU"/>
              </w:rPr>
            </w:pPr>
            <w:r>
              <w:t xml:space="preserve">The FATA is not designed to directly consider the risk management activities of Australia’s critical infrastructure and cannot address the identified gaps. Any amendments to the SOCI Act will complement the operation of the FATA. </w:t>
            </w:r>
          </w:p>
        </w:tc>
      </w:tr>
      <w:tr w:rsidR="00BD1B1D" w:rsidRPr="00940D7E" w14:paraId="58EA0C57" w14:textId="77777777" w:rsidTr="00AE5255">
        <w:trPr>
          <w:cantSplit/>
        </w:trPr>
        <w:tc>
          <w:tcPr>
            <w:tcW w:w="3342" w:type="dxa"/>
            <w:shd w:val="clear" w:color="auto" w:fill="auto"/>
            <w:vAlign w:val="center"/>
          </w:tcPr>
          <w:p w14:paraId="0AE6CDFF" w14:textId="77777777" w:rsidR="00BD1B1D" w:rsidRPr="00C31CFA" w:rsidRDefault="00BD1B1D" w:rsidP="00BD1B1D">
            <w:pPr>
              <w:spacing w:before="120" w:after="120"/>
              <w:rPr>
                <w:rFonts w:ascii="Arial" w:hAnsi="Arial" w:cs="Arial"/>
                <w:b/>
                <w:bCs/>
                <w:i/>
                <w:iCs/>
                <w:szCs w:val="20"/>
              </w:rPr>
            </w:pPr>
            <w:r w:rsidRPr="591A7590">
              <w:rPr>
                <w:rFonts w:ascii="Arial" w:hAnsi="Arial" w:cs="Arial"/>
                <w:b/>
                <w:bCs/>
                <w:i/>
                <w:iCs/>
                <w:szCs w:val="20"/>
              </w:rPr>
              <w:t xml:space="preserve">Privacy Act 1988 </w:t>
            </w:r>
            <w:r w:rsidRPr="00302A0C">
              <w:rPr>
                <w:rFonts w:ascii="Arial" w:hAnsi="Arial" w:cs="Arial"/>
                <w:b/>
                <w:szCs w:val="20"/>
              </w:rPr>
              <w:t>(Cth)</w:t>
            </w:r>
          </w:p>
        </w:tc>
        <w:tc>
          <w:tcPr>
            <w:tcW w:w="3006" w:type="dxa"/>
            <w:shd w:val="clear" w:color="auto" w:fill="auto"/>
            <w:vAlign w:val="center"/>
          </w:tcPr>
          <w:p w14:paraId="5379564D" w14:textId="77777777" w:rsidR="00BD1B1D" w:rsidRPr="00E86FA5" w:rsidRDefault="00BD1B1D" w:rsidP="00BD1B1D">
            <w:pPr>
              <w:pStyle w:val="Tablebody0"/>
            </w:pPr>
            <w:r w:rsidRPr="591A7590">
              <w:t xml:space="preserve">Promotes the protection of individuals’ privacy and provides regulations through 13 Australian Privacy Principles (APPs) for public and private APP entities with an annual turnover greater than 3 million dollars in relation to how personal information is handled. </w:t>
            </w:r>
          </w:p>
        </w:tc>
        <w:tc>
          <w:tcPr>
            <w:tcW w:w="3286" w:type="dxa"/>
            <w:shd w:val="clear" w:color="auto" w:fill="F2F2F2" w:themeFill="background2" w:themeFillShade="F2"/>
            <w:vAlign w:val="center"/>
          </w:tcPr>
          <w:p w14:paraId="70F09752" w14:textId="77777777" w:rsidR="00BD1B1D" w:rsidRPr="00E86FA5" w:rsidRDefault="00BD1B1D" w:rsidP="00BD1B1D">
            <w:pPr>
              <w:pStyle w:val="Tablebody0"/>
            </w:pPr>
            <w:r w:rsidRPr="591A7590">
              <w:t xml:space="preserve">The Privacy Act will remain the primary lever for the protection of personal information, given its unique ability to regulate the large-scale collection and distribution of data. </w:t>
            </w:r>
            <w:r>
              <w:rPr>
                <w:rStyle w:val="ui-provider"/>
              </w:rPr>
              <w:t>While personal privacy remains a key focus of the Privacy Act, business critical data in SOCI is necessarily extended to consider data relevant to the reliability, availability, confidentiality and integrity of an asset such as operational or research data.</w:t>
            </w:r>
          </w:p>
        </w:tc>
      </w:tr>
      <w:tr w:rsidR="00BD1B1D" w:rsidRPr="00940D7E" w14:paraId="5D028C12" w14:textId="77777777" w:rsidTr="00AE5255">
        <w:trPr>
          <w:cantSplit/>
        </w:trPr>
        <w:tc>
          <w:tcPr>
            <w:tcW w:w="3342" w:type="dxa"/>
            <w:shd w:val="clear" w:color="auto" w:fill="auto"/>
            <w:vAlign w:val="center"/>
          </w:tcPr>
          <w:p w14:paraId="25E840A5" w14:textId="77777777" w:rsidR="00BD1B1D" w:rsidRPr="00C31CFA" w:rsidRDefault="00BD1B1D" w:rsidP="00BD1B1D">
            <w:pPr>
              <w:spacing w:before="120" w:after="120"/>
              <w:rPr>
                <w:rFonts w:ascii="Arial" w:hAnsi="Arial" w:cs="Arial"/>
                <w:b/>
                <w:bCs/>
                <w:i/>
                <w:iCs/>
                <w:szCs w:val="20"/>
              </w:rPr>
            </w:pPr>
            <w:r w:rsidRPr="591A7590">
              <w:rPr>
                <w:rFonts w:ascii="Arial" w:hAnsi="Arial" w:cs="Arial"/>
                <w:b/>
                <w:bCs/>
                <w:i/>
                <w:iCs/>
                <w:szCs w:val="20"/>
              </w:rPr>
              <w:t xml:space="preserve">Aviation Transport Security Act 2004 </w:t>
            </w:r>
            <w:r w:rsidRPr="00302A0C">
              <w:rPr>
                <w:rFonts w:ascii="Arial" w:hAnsi="Arial" w:cs="Arial"/>
                <w:b/>
                <w:szCs w:val="20"/>
              </w:rPr>
              <w:t>(‘ATSA')</w:t>
            </w:r>
          </w:p>
        </w:tc>
        <w:tc>
          <w:tcPr>
            <w:tcW w:w="3006" w:type="dxa"/>
            <w:shd w:val="clear" w:color="auto" w:fill="auto"/>
            <w:vAlign w:val="center"/>
          </w:tcPr>
          <w:p w14:paraId="5A04C804" w14:textId="77777777" w:rsidR="00BD1B1D" w:rsidRPr="00E86FA5" w:rsidRDefault="00BD1B1D" w:rsidP="00BD1B1D">
            <w:pPr>
              <w:pStyle w:val="Tablebody0"/>
            </w:pPr>
            <w:r>
              <w:t>Establishes mechanisms to safeguard interference with aviation. The Act outlines ways in which the aviation industry must implement Transport Security Programs to set out how participants will manage security for their operations, as well as establishing reporting obligations in relation to any deemed aviation security incidents.</w:t>
            </w:r>
          </w:p>
        </w:tc>
        <w:tc>
          <w:tcPr>
            <w:tcW w:w="3286" w:type="dxa"/>
            <w:shd w:val="clear" w:color="auto" w:fill="F2F2F2" w:themeFill="background2" w:themeFillShade="F2"/>
            <w:vAlign w:val="center"/>
          </w:tcPr>
          <w:p w14:paraId="047A25A3" w14:textId="77777777" w:rsidR="00BD1B1D" w:rsidRPr="00E86FA5" w:rsidRDefault="00BD1B1D" w:rsidP="00BD1B1D">
            <w:pPr>
              <w:pStyle w:val="Tablebody0"/>
            </w:pPr>
            <w:r w:rsidRPr="3A9E9E7F">
              <w:t>The ATSA and MTOFSA do not currently impose an all-hazards approach to risk management</w:t>
            </w:r>
            <w:r>
              <w:t>. There is also no equivalent consequence management power in these Acts</w:t>
            </w:r>
            <w:r w:rsidRPr="3A9E9E7F">
              <w:t xml:space="preserve">. </w:t>
            </w:r>
          </w:p>
        </w:tc>
      </w:tr>
      <w:tr w:rsidR="005F7795" w:rsidRPr="00940D7E" w14:paraId="4D8C5E87" w14:textId="77777777" w:rsidTr="00AE5255">
        <w:trPr>
          <w:cantSplit/>
        </w:trPr>
        <w:tc>
          <w:tcPr>
            <w:tcW w:w="3342" w:type="dxa"/>
            <w:shd w:val="clear" w:color="auto" w:fill="auto"/>
            <w:vAlign w:val="center"/>
          </w:tcPr>
          <w:p w14:paraId="45C46EAC" w14:textId="77777777" w:rsidR="005F7795" w:rsidRPr="00C31CFA" w:rsidRDefault="005F7795" w:rsidP="005F7795">
            <w:pPr>
              <w:spacing w:before="120" w:after="120"/>
              <w:rPr>
                <w:rFonts w:ascii="Arial" w:hAnsi="Arial" w:cs="Arial"/>
                <w:b/>
                <w:bCs/>
                <w:i/>
                <w:iCs/>
                <w:szCs w:val="20"/>
              </w:rPr>
            </w:pPr>
            <w:r w:rsidRPr="591A7590">
              <w:rPr>
                <w:rFonts w:ascii="Arial" w:hAnsi="Arial" w:cs="Arial"/>
                <w:b/>
                <w:bCs/>
                <w:i/>
                <w:iCs/>
                <w:szCs w:val="20"/>
              </w:rPr>
              <w:t xml:space="preserve">Maritime Transport and Offshore Facilities Security Act 2003 </w:t>
            </w:r>
            <w:r w:rsidRPr="00302A0C">
              <w:rPr>
                <w:rFonts w:ascii="Arial" w:hAnsi="Arial" w:cs="Arial"/>
                <w:b/>
                <w:szCs w:val="20"/>
              </w:rPr>
              <w:t>(‘MTOFSA’)</w:t>
            </w:r>
          </w:p>
        </w:tc>
        <w:tc>
          <w:tcPr>
            <w:tcW w:w="3006" w:type="dxa"/>
            <w:shd w:val="clear" w:color="auto" w:fill="auto"/>
            <w:vAlign w:val="center"/>
          </w:tcPr>
          <w:p w14:paraId="1BD6980D" w14:textId="77777777" w:rsidR="005F7795" w:rsidRPr="00E86FA5" w:rsidRDefault="005F7795" w:rsidP="005F7795">
            <w:pPr>
              <w:pStyle w:val="Tablebody0"/>
            </w:pPr>
            <w:r w:rsidRPr="591A7590">
              <w:t xml:space="preserve">Provides safeguards against interference with maritime transport or offshore facilities.  Establishes a regulatory framework to develop and implement a security plan for ships, other maritime transport operations and offshore facilities to successfully achieve maritime security outcomes.  </w:t>
            </w:r>
          </w:p>
        </w:tc>
        <w:tc>
          <w:tcPr>
            <w:tcW w:w="3286" w:type="dxa"/>
            <w:shd w:val="clear" w:color="auto" w:fill="F2F2F2" w:themeFill="background2" w:themeFillShade="F2"/>
            <w:vAlign w:val="center"/>
          </w:tcPr>
          <w:p w14:paraId="1293DCDA" w14:textId="370DECC2" w:rsidR="005F7795" w:rsidRPr="00E86FA5" w:rsidRDefault="005F7795" w:rsidP="005F7795">
            <w:pPr>
              <w:pStyle w:val="Tablebody0"/>
            </w:pPr>
            <w:r w:rsidRPr="3A9E9E7F">
              <w:t>The ATSA and MTOFSA do not currently impose an all-hazards approach to risk management</w:t>
            </w:r>
            <w:r>
              <w:t>. There is also no equivalent consequence management power in these Acts</w:t>
            </w:r>
            <w:r w:rsidRPr="3A9E9E7F">
              <w:t xml:space="preserve">. </w:t>
            </w:r>
          </w:p>
        </w:tc>
      </w:tr>
      <w:tr w:rsidR="005F7795" w:rsidRPr="00940D7E" w14:paraId="09E769E8" w14:textId="77777777" w:rsidTr="00AE5255">
        <w:trPr>
          <w:cantSplit/>
        </w:trPr>
        <w:tc>
          <w:tcPr>
            <w:tcW w:w="3342" w:type="dxa"/>
            <w:shd w:val="clear" w:color="auto" w:fill="auto"/>
            <w:vAlign w:val="center"/>
          </w:tcPr>
          <w:p w14:paraId="1D1337E3" w14:textId="77777777" w:rsidR="005F7795" w:rsidRPr="00C31CFA" w:rsidRDefault="005F7795" w:rsidP="005F7795">
            <w:pPr>
              <w:spacing w:before="120" w:after="120"/>
              <w:rPr>
                <w:rFonts w:ascii="Arial" w:hAnsi="Arial" w:cs="Arial"/>
                <w:b/>
                <w:bCs/>
                <w:i/>
                <w:iCs/>
                <w:szCs w:val="20"/>
              </w:rPr>
            </w:pPr>
            <w:r w:rsidRPr="00302A0C">
              <w:rPr>
                <w:rFonts w:ascii="Arial" w:hAnsi="Arial" w:cs="Arial"/>
                <w:b/>
                <w:szCs w:val="20"/>
              </w:rPr>
              <w:t>Part 14 of the</w:t>
            </w:r>
            <w:r w:rsidRPr="591A7590">
              <w:rPr>
                <w:rFonts w:ascii="Arial" w:hAnsi="Arial" w:cs="Arial"/>
                <w:b/>
                <w:bCs/>
                <w:i/>
                <w:iCs/>
                <w:szCs w:val="20"/>
              </w:rPr>
              <w:t xml:space="preserve"> Telecommunications Act 1997</w:t>
            </w:r>
          </w:p>
        </w:tc>
        <w:tc>
          <w:tcPr>
            <w:tcW w:w="3006" w:type="dxa"/>
            <w:shd w:val="clear" w:color="auto" w:fill="auto"/>
            <w:vAlign w:val="center"/>
          </w:tcPr>
          <w:p w14:paraId="0553C6F3" w14:textId="77777777" w:rsidR="005F7795" w:rsidRPr="00E86FA5" w:rsidRDefault="005F7795" w:rsidP="005F7795">
            <w:pPr>
              <w:pStyle w:val="Tablebody0"/>
            </w:pPr>
            <w:r w:rsidRPr="591A7590">
              <w:t>Establishes a regulat</w:t>
            </w:r>
            <w:r>
              <w:t>ory</w:t>
            </w:r>
            <w:r w:rsidRPr="591A7590">
              <w:t xml:space="preserve"> framework for the security of telecommunications entities including carriers and service providers. </w:t>
            </w:r>
          </w:p>
        </w:tc>
        <w:tc>
          <w:tcPr>
            <w:tcW w:w="3286" w:type="dxa"/>
            <w:shd w:val="clear" w:color="auto" w:fill="F2F2F2" w:themeFill="background2" w:themeFillShade="F2"/>
            <w:vAlign w:val="center"/>
          </w:tcPr>
          <w:p w14:paraId="7A0416B0" w14:textId="77777777" w:rsidR="005F7795" w:rsidRPr="00E86FA5" w:rsidRDefault="005F7795" w:rsidP="005F7795">
            <w:pPr>
              <w:pStyle w:val="Tablebody0"/>
            </w:pPr>
            <w:r w:rsidRPr="591A7590">
              <w:t xml:space="preserve">The SOCI Act is currently limited in its application to the telecommunication sector. Any potential amendments to the SOCI Act will work to contribute to a clear single regulatory framework for </w:t>
            </w:r>
            <w:r>
              <w:t xml:space="preserve">the security of </w:t>
            </w:r>
            <w:r w:rsidRPr="591A7590">
              <w:t>telecommunications assets to address legislative complexities in security and risk mitigation for the sector.</w:t>
            </w:r>
          </w:p>
        </w:tc>
      </w:tr>
      <w:tr w:rsidR="005F7795" w:rsidRPr="00940D7E" w14:paraId="143CBB19" w14:textId="77777777" w:rsidTr="00AE5255">
        <w:trPr>
          <w:cantSplit/>
        </w:trPr>
        <w:tc>
          <w:tcPr>
            <w:tcW w:w="3342" w:type="dxa"/>
            <w:shd w:val="clear" w:color="auto" w:fill="auto"/>
            <w:vAlign w:val="center"/>
          </w:tcPr>
          <w:p w14:paraId="0DD6A873" w14:textId="77777777" w:rsidR="005F7795" w:rsidRDefault="005F7795" w:rsidP="005F7795">
            <w:pPr>
              <w:spacing w:before="120" w:after="120"/>
              <w:rPr>
                <w:rFonts w:ascii="Arial" w:hAnsi="Arial" w:cs="Arial"/>
                <w:b/>
                <w:bCs/>
                <w:i/>
                <w:iCs/>
                <w:szCs w:val="20"/>
              </w:rPr>
            </w:pPr>
            <w:r w:rsidRPr="591A7590">
              <w:rPr>
                <w:rFonts w:ascii="Arial" w:hAnsi="Arial" w:cs="Arial"/>
                <w:b/>
                <w:bCs/>
                <w:i/>
                <w:iCs/>
                <w:szCs w:val="20"/>
              </w:rPr>
              <w:t xml:space="preserve">National Emergency Declaration Act 2020 </w:t>
            </w:r>
            <w:r w:rsidRPr="00302A0C">
              <w:rPr>
                <w:rFonts w:ascii="Arial" w:hAnsi="Arial" w:cs="Arial"/>
                <w:b/>
                <w:szCs w:val="20"/>
              </w:rPr>
              <w:t>(‘NED’)</w:t>
            </w:r>
          </w:p>
        </w:tc>
        <w:tc>
          <w:tcPr>
            <w:tcW w:w="3006" w:type="dxa"/>
            <w:shd w:val="clear" w:color="auto" w:fill="auto"/>
            <w:vAlign w:val="center"/>
          </w:tcPr>
          <w:p w14:paraId="7F08FBF8" w14:textId="77777777" w:rsidR="005F7795" w:rsidRPr="00E86FA5" w:rsidRDefault="005F7795" w:rsidP="005F7795">
            <w:pPr>
              <w:pStyle w:val="Tablebody0"/>
            </w:pPr>
            <w:r w:rsidRPr="591A7590">
              <w:t>The Governor-General may make a declaration, called a national emergency declaration, on the advice of the Prime Minister, in circumstances where an event is causing harm that is nationally significant in Australia or in an Australian offshore area. In such instances, the declaration may cause certain provisions of Commonwealth laws to be modified including requirement of Government Departments to provide information to assist in preparing for, responding to or recovering from the emergency.</w:t>
            </w:r>
          </w:p>
        </w:tc>
        <w:tc>
          <w:tcPr>
            <w:tcW w:w="3286" w:type="dxa"/>
            <w:shd w:val="clear" w:color="auto" w:fill="F2F2F2" w:themeFill="background2" w:themeFillShade="F2"/>
            <w:vAlign w:val="center"/>
          </w:tcPr>
          <w:p w14:paraId="16B76224" w14:textId="77777777" w:rsidR="005F7795" w:rsidRPr="00631F6B" w:rsidRDefault="005F7795" w:rsidP="005F7795">
            <w:pPr>
              <w:pStyle w:val="Tablebody0"/>
              <w:rPr>
                <w:rFonts w:eastAsia="Times New Roman"/>
                <w:lang w:eastAsia="en-AU"/>
              </w:rPr>
            </w:pPr>
            <w:r w:rsidRPr="00631F6B">
              <w:rPr>
                <w:rFonts w:eastAsia="Times New Roman"/>
              </w:rPr>
              <w:t>The NED Act does not specifically address disruptions to critical infrastructure nor provide an avenue to support industry to manage national security risks in the aftermath of a critical infrastructure incident. Any potential amendments to the SOCI Act will complement the framework contained in the NED Act and streamline the exercise of existing national emergency powers</w:t>
            </w:r>
            <w:r w:rsidRPr="591A7590">
              <w:t xml:space="preserve">. </w:t>
            </w:r>
          </w:p>
        </w:tc>
      </w:tr>
    </w:tbl>
    <w:p w14:paraId="78E27483" w14:textId="77777777" w:rsidR="006C65D4" w:rsidRPr="006A08BD" w:rsidRDefault="0D3A4B62" w:rsidP="006A08BD">
      <w:pPr>
        <w:pStyle w:val="BodyText"/>
      </w:pPr>
      <w:r>
        <w:t>The legislative mechanisms and gaps highlighted above demonstrate the need for consistent</w:t>
      </w:r>
      <w:r w:rsidR="4BD12B10">
        <w:t xml:space="preserve"> </w:t>
      </w:r>
      <w:r>
        <w:t>consideration, and where appropriate, amendment of legislation, to mitigate risks arising from vulnerabilities in highly interconnected sectors. This is not unexpected, as observing the operation of and engaging with legislation in practice and in light of recent major cyber incidents, provides insights on how these instruments can capture and address all necessary circumstances.</w:t>
      </w:r>
    </w:p>
    <w:p w14:paraId="229CBBE7" w14:textId="77777777" w:rsidR="006C65D4" w:rsidRPr="00D340BC" w:rsidRDefault="006C65D4" w:rsidP="006C65D4">
      <w:pPr>
        <w:pStyle w:val="Heading2"/>
        <w:spacing w:before="120"/>
        <w:rPr>
          <w:rFonts w:ascii="Arial" w:hAnsi="Arial"/>
          <w:sz w:val="32"/>
          <w:szCs w:val="32"/>
        </w:rPr>
      </w:pPr>
      <w:bookmarkStart w:id="32" w:name="_1.1_Growing_number"/>
      <w:bookmarkStart w:id="33" w:name="_Toc164683824"/>
      <w:bookmarkStart w:id="34" w:name="_Toc176183925"/>
      <w:bookmarkEnd w:id="32"/>
      <w:r w:rsidRPr="2F6B7F1D">
        <w:rPr>
          <w:rFonts w:ascii="Arial" w:hAnsi="Arial"/>
        </w:rPr>
        <w:t>1.1 Growing number of cyber incidents which impact non-operational data storage systems held by critical infrastructure entities.</w:t>
      </w:r>
      <w:bookmarkEnd w:id="33"/>
      <w:bookmarkEnd w:id="34"/>
      <w:r w:rsidRPr="2F6B7F1D">
        <w:rPr>
          <w:rFonts w:ascii="Arial" w:hAnsi="Arial"/>
        </w:rPr>
        <w:t xml:space="preserve"> </w:t>
      </w:r>
    </w:p>
    <w:p w14:paraId="71E15F90" w14:textId="77777777" w:rsidR="006C65D4" w:rsidRDefault="006C65D4" w:rsidP="006A08BD">
      <w:pPr>
        <w:pStyle w:val="BodyText"/>
      </w:pPr>
      <w:r w:rsidRPr="591A7590">
        <w:t>Cyber incidents in Australia are increasing in frequency and complexity. The ASD’s analysis of Australia’s cyber threat landscape in 2022-23 identified critical infrastructure as a key target of malicious state and non-state cyber actors. The ASD’s Annual Cyber Threat Report states:</w:t>
      </w:r>
    </w:p>
    <w:p w14:paraId="6E1BFE90" w14:textId="77777777" w:rsidR="006C65D4" w:rsidRPr="00F409FB" w:rsidRDefault="0D3A4B62" w:rsidP="4C25AF0D">
      <w:pPr>
        <w:spacing w:before="120" w:after="120"/>
        <w:ind w:firstLine="720"/>
        <w:rPr>
          <w:rFonts w:ascii="Arial" w:hAnsi="Arial" w:cs="Arial"/>
          <w:color w:val="284B98"/>
        </w:rPr>
      </w:pPr>
      <w:r w:rsidRPr="4C25AF0D">
        <w:rPr>
          <w:rFonts w:ascii="Arial" w:hAnsi="Arial" w:cs="Arial"/>
          <w:color w:val="284B98"/>
        </w:rPr>
        <w:t>“</w:t>
      </w:r>
      <w:r w:rsidRPr="4C25AF0D">
        <w:rPr>
          <w:rFonts w:ascii="Arial" w:hAnsi="Arial" w:cs="Arial"/>
          <w:i/>
          <w:iCs/>
          <w:color w:val="284B98"/>
        </w:rPr>
        <w:t>Australian critical infrastructure was targeted via increasingly interconnected systems.</w:t>
      </w:r>
      <w:r w:rsidR="6459BCE6" w:rsidRPr="4C25AF0D">
        <w:rPr>
          <w:rFonts w:ascii="Arial" w:hAnsi="Arial" w:cs="Arial"/>
          <w:i/>
          <w:iCs/>
          <w:color w:val="284B98"/>
        </w:rPr>
        <w:t xml:space="preserve"> </w:t>
      </w:r>
      <w:r w:rsidR="006C65D4">
        <w:tab/>
      </w:r>
      <w:r w:rsidR="006C65D4">
        <w:tab/>
      </w:r>
      <w:r w:rsidRPr="4C25AF0D">
        <w:rPr>
          <w:rFonts w:ascii="Arial" w:hAnsi="Arial" w:cs="Arial"/>
          <w:i/>
          <w:iCs/>
          <w:color w:val="284B98"/>
        </w:rPr>
        <w:t xml:space="preserve">Operational technology connected to the internet and into corporate networks has provided </w:t>
      </w:r>
      <w:r w:rsidR="006C65D4">
        <w:tab/>
      </w:r>
      <w:r w:rsidRPr="4C25AF0D">
        <w:rPr>
          <w:rFonts w:ascii="Arial" w:hAnsi="Arial" w:cs="Arial"/>
          <w:i/>
          <w:iCs/>
          <w:color w:val="284B98"/>
        </w:rPr>
        <w:t>opportunities for malicious cyber actors to attack these systems.</w:t>
      </w:r>
      <w:r w:rsidRPr="4C25AF0D">
        <w:rPr>
          <w:rFonts w:ascii="Arial" w:hAnsi="Arial" w:cs="Arial"/>
          <w:color w:val="284B98"/>
        </w:rPr>
        <w:t>”</w:t>
      </w:r>
      <w:r w:rsidR="006C65D4" w:rsidRPr="4C25AF0D">
        <w:rPr>
          <w:rStyle w:val="FootnoteReference"/>
          <w:rFonts w:ascii="Arial" w:hAnsi="Arial" w:cs="Arial"/>
          <w:color w:val="284B98"/>
        </w:rPr>
        <w:footnoteReference w:id="9"/>
      </w:r>
    </w:p>
    <w:p w14:paraId="4301BFD7" w14:textId="77777777" w:rsidR="006C65D4" w:rsidRPr="00D51772" w:rsidRDefault="0D3A4B62" w:rsidP="4C25AF0D">
      <w:pPr>
        <w:pStyle w:val="BodyText"/>
        <w:rPr>
          <w:rFonts w:ascii="Arial" w:hAnsi="Arial" w:cs="Arial"/>
          <w:i/>
          <w:iCs/>
          <w:color w:val="284B98"/>
        </w:rPr>
      </w:pPr>
      <w:r>
        <w:t xml:space="preserve">The 2023-2030 Australian Cyber Security Strategy similarly identifies the need for a continued focus on critical infrastructure resilience: </w:t>
      </w:r>
    </w:p>
    <w:p w14:paraId="352979BE" w14:textId="77777777" w:rsidR="006C65D4" w:rsidRPr="00D51772" w:rsidRDefault="0D3A4B62" w:rsidP="00490823">
      <w:pPr>
        <w:pStyle w:val="BodyText"/>
        <w:ind w:firstLine="720"/>
        <w:rPr>
          <w:rFonts w:ascii="Arial" w:hAnsi="Arial" w:cs="Arial"/>
          <w:i/>
          <w:iCs/>
          <w:color w:val="284B98"/>
        </w:rPr>
      </w:pPr>
      <w:r w:rsidRPr="4C25AF0D">
        <w:rPr>
          <w:rFonts w:ascii="Arial" w:hAnsi="Arial" w:cs="Arial"/>
          <w:i/>
          <w:iCs/>
          <w:color w:val="284B98"/>
        </w:rPr>
        <w:t xml:space="preserve">“…in the face of heightened geopolitical risk, capable nation-state actors, and sophisticated </w:t>
      </w:r>
      <w:r w:rsidR="006C65D4">
        <w:tab/>
      </w:r>
      <w:r w:rsidRPr="4C25AF0D">
        <w:rPr>
          <w:rFonts w:ascii="Arial" w:hAnsi="Arial" w:cs="Arial"/>
          <w:i/>
          <w:iCs/>
          <w:color w:val="284B98"/>
        </w:rPr>
        <w:t xml:space="preserve">cybercriminals. Cyber incidents affecting critical infrastructure entities may cause cascading </w:t>
      </w:r>
      <w:r w:rsidR="006C65D4">
        <w:tab/>
      </w:r>
      <w:r w:rsidRPr="4C25AF0D">
        <w:rPr>
          <w:rFonts w:ascii="Arial" w:hAnsi="Arial" w:cs="Arial"/>
          <w:i/>
          <w:iCs/>
          <w:color w:val="284B98"/>
        </w:rPr>
        <w:t>impacts across the Australian economy due to our heavy reliance on their services.”</w:t>
      </w:r>
      <w:r w:rsidR="006C65D4" w:rsidRPr="4C25AF0D">
        <w:rPr>
          <w:rStyle w:val="FootnoteReference"/>
          <w:rFonts w:ascii="Arial" w:hAnsi="Arial" w:cs="Arial"/>
          <w:i/>
          <w:iCs/>
          <w:color w:val="284B98"/>
        </w:rPr>
        <w:footnoteReference w:id="10"/>
      </w:r>
    </w:p>
    <w:p w14:paraId="13303150" w14:textId="77777777" w:rsidR="006C65D4" w:rsidRDefault="006C65D4" w:rsidP="006A08BD">
      <w:pPr>
        <w:pStyle w:val="BodyText"/>
        <w:rPr>
          <w:b/>
          <w:i/>
          <w:iCs/>
          <w:color w:val="7F7F7F" w:themeColor="text2"/>
          <w:sz w:val="18"/>
          <w:szCs w:val="18"/>
        </w:rPr>
      </w:pPr>
      <w:r w:rsidRPr="591A7590">
        <w:t>The following case studies are two s</w:t>
      </w:r>
      <w:r>
        <w:t>ignificant</w:t>
      </w:r>
      <w:r w:rsidRPr="591A7590">
        <w:t xml:space="preserve"> examples of cyber-attacks which have recently occurred in Australia and demonstrate a clear imperative for decisive action to prevent the occurrence of similar future incidents. </w:t>
      </w:r>
    </w:p>
    <w:p w14:paraId="3AE081E2" w14:textId="1B03D2B0" w:rsidR="006C65D4" w:rsidRPr="00282A1F" w:rsidRDefault="54C215C9" w:rsidP="006C65D4">
      <w:pPr>
        <w:pStyle w:val="Caption"/>
        <w:rPr>
          <w:rFonts w:ascii="Calibri" w:hAnsi="Calibri" w:cs="Calibri"/>
        </w:rPr>
      </w:pPr>
      <w:r w:rsidRPr="385C4F53">
        <w:rPr>
          <w:rFonts w:ascii="Calibri" w:hAnsi="Calibri" w:cs="Calibri"/>
        </w:rPr>
        <w:t xml:space="preserve">Table </w:t>
      </w:r>
      <w:r w:rsidR="006C65D4" w:rsidRPr="385C4F53">
        <w:rPr>
          <w:rFonts w:ascii="Calibri" w:hAnsi="Calibri" w:cs="Calibri"/>
          <w:b w:val="0"/>
          <w:color w:val="2B579A"/>
        </w:rPr>
        <w:fldChar w:fldCharType="begin"/>
      </w:r>
      <w:r w:rsidR="006C65D4" w:rsidRPr="385C4F53">
        <w:rPr>
          <w:rFonts w:ascii="Calibri" w:hAnsi="Calibri" w:cs="Calibri"/>
        </w:rPr>
        <w:instrText xml:space="preserve"> SEQ Table \* ARABIC </w:instrText>
      </w:r>
      <w:r w:rsidR="006C65D4" w:rsidRPr="385C4F53">
        <w:rPr>
          <w:rFonts w:ascii="Calibri" w:hAnsi="Calibri" w:cs="Calibri"/>
          <w:b w:val="0"/>
          <w:color w:val="2B579A"/>
        </w:rPr>
        <w:fldChar w:fldCharType="separate"/>
      </w:r>
      <w:r w:rsidR="00E8506B">
        <w:rPr>
          <w:rFonts w:ascii="Calibri" w:hAnsi="Calibri" w:cs="Calibri"/>
          <w:noProof/>
        </w:rPr>
        <w:t>6</w:t>
      </w:r>
      <w:r w:rsidR="006C65D4" w:rsidRPr="385C4F53">
        <w:rPr>
          <w:rFonts w:ascii="Calibri" w:hAnsi="Calibri" w:cs="Calibri"/>
          <w:b w:val="0"/>
          <w:color w:val="2B579A"/>
        </w:rPr>
        <w:fldChar w:fldCharType="end"/>
      </w:r>
      <w:r w:rsidRPr="385C4F53">
        <w:rPr>
          <w:rFonts w:ascii="Calibri" w:hAnsi="Calibri" w:cs="Calibri"/>
        </w:rPr>
        <w:t xml:space="preserve"> </w:t>
      </w:r>
      <w:r w:rsidRPr="385C4F53">
        <w:rPr>
          <w:rFonts w:ascii="Calibri" w:hAnsi="Calibri" w:cs="Calibri"/>
          <w:b w:val="0"/>
        </w:rPr>
        <w:t xml:space="preserve">Overview of Medibank Cyber </w:t>
      </w:r>
      <w:r w:rsidR="002FB8FA" w:rsidRPr="385C4F53">
        <w:rPr>
          <w:rFonts w:ascii="Calibri" w:hAnsi="Calibri" w:cs="Calibri"/>
          <w:b w:val="0"/>
        </w:rPr>
        <w:t>Incident</w:t>
      </w:r>
    </w:p>
    <w:tbl>
      <w:tblPr>
        <w:tblStyle w:val="TableGrid"/>
        <w:tblW w:w="9571" w:type="dxa"/>
        <w:tblLook w:val="04A0" w:firstRow="1" w:lastRow="0" w:firstColumn="1" w:lastColumn="0" w:noHBand="0" w:noVBand="1"/>
      </w:tblPr>
      <w:tblGrid>
        <w:gridCol w:w="9571"/>
      </w:tblGrid>
      <w:tr w:rsidR="00BD1B1D" w:rsidRPr="00940D7E" w14:paraId="0EABAB0F" w14:textId="77777777" w:rsidTr="008432A2">
        <w:trPr>
          <w:trHeight w:val="471"/>
        </w:trPr>
        <w:tc>
          <w:tcPr>
            <w:tcW w:w="9571" w:type="dxa"/>
            <w:tcBorders>
              <w:top w:val="nil"/>
              <w:left w:val="nil"/>
              <w:bottom w:val="single" w:sz="4" w:space="0" w:color="5C676D" w:themeColor="accent3"/>
              <w:right w:val="nil"/>
            </w:tcBorders>
            <w:shd w:val="clear" w:color="auto" w:fill="284B98"/>
            <w:vAlign w:val="center"/>
          </w:tcPr>
          <w:p w14:paraId="49E09DAC" w14:textId="77777777" w:rsidR="00BD1B1D" w:rsidRPr="0052726C" w:rsidRDefault="00BD1B1D" w:rsidP="004C3259">
            <w:pPr>
              <w:spacing w:before="120" w:after="120"/>
              <w:rPr>
                <w:rFonts w:ascii="Arial" w:hAnsi="Arial" w:cs="Arial"/>
                <w:b/>
                <w:bCs/>
                <w:color w:val="FFFFFF" w:themeColor="background1"/>
                <w:szCs w:val="20"/>
                <w:highlight w:val="yellow"/>
              </w:rPr>
            </w:pPr>
            <w:r w:rsidRPr="591A7590">
              <w:rPr>
                <w:rFonts w:ascii="Arial" w:hAnsi="Arial" w:cs="Arial"/>
                <w:b/>
                <w:bCs/>
                <w:color w:val="FFFFFF" w:themeColor="background1"/>
                <w:szCs w:val="20"/>
              </w:rPr>
              <w:t xml:space="preserve">Medibank Cyber </w:t>
            </w:r>
            <w:r>
              <w:rPr>
                <w:rFonts w:ascii="Arial" w:hAnsi="Arial" w:cs="Arial"/>
                <w:b/>
                <w:bCs/>
                <w:color w:val="FFFFFF" w:themeColor="background1"/>
                <w:szCs w:val="20"/>
              </w:rPr>
              <w:t>Incident</w:t>
            </w:r>
          </w:p>
          <w:p w14:paraId="24AFFDE3" w14:textId="3DEB089F" w:rsidR="00BD1B1D" w:rsidRPr="0052726C" w:rsidRDefault="00BD1B1D" w:rsidP="004C3259">
            <w:pPr>
              <w:spacing w:before="120" w:after="120"/>
              <w:rPr>
                <w:rFonts w:ascii="Arial" w:hAnsi="Arial" w:cs="Arial"/>
                <w:b/>
                <w:bCs/>
                <w:color w:val="FFFFFF" w:themeColor="background1"/>
                <w:szCs w:val="20"/>
              </w:rPr>
            </w:pPr>
            <w:r>
              <w:rPr>
                <w:rFonts w:ascii="Arial" w:hAnsi="Arial" w:cs="Arial"/>
                <w:b/>
                <w:bCs/>
                <w:color w:val="FFFFFF" w:themeColor="background1"/>
                <w:szCs w:val="20"/>
              </w:rPr>
              <w:t>(</w:t>
            </w:r>
            <w:r w:rsidRPr="591A7590">
              <w:rPr>
                <w:rFonts w:ascii="Arial" w:hAnsi="Arial" w:cs="Arial"/>
                <w:b/>
                <w:bCs/>
                <w:color w:val="FFFFFF" w:themeColor="background1"/>
                <w:szCs w:val="20"/>
              </w:rPr>
              <w:t>Cyber</w:t>
            </w:r>
            <w:r>
              <w:rPr>
                <w:rFonts w:ascii="Arial" w:hAnsi="Arial" w:cs="Arial"/>
                <w:b/>
                <w:bCs/>
                <w:color w:val="FFFFFF" w:themeColor="background1"/>
                <w:szCs w:val="20"/>
              </w:rPr>
              <w:t>)</w:t>
            </w:r>
          </w:p>
        </w:tc>
      </w:tr>
      <w:tr w:rsidR="006C65D4" w:rsidRPr="00940D7E" w14:paraId="6524F3AE" w14:textId="77777777" w:rsidTr="008432A2">
        <w:trPr>
          <w:trHeight w:val="2600"/>
        </w:trPr>
        <w:tc>
          <w:tcPr>
            <w:tcW w:w="9571" w:type="dxa"/>
            <w:tcBorders>
              <w:top w:val="single" w:sz="4" w:space="0" w:color="5C676D" w:themeColor="accent3"/>
              <w:left w:val="nil"/>
              <w:bottom w:val="single" w:sz="4" w:space="0" w:color="5C676D" w:themeColor="accent3"/>
              <w:right w:val="nil"/>
            </w:tcBorders>
            <w:shd w:val="clear" w:color="auto" w:fill="FFFFFF" w:themeFill="background1"/>
          </w:tcPr>
          <w:p w14:paraId="6ACE1DC3" w14:textId="77777777" w:rsidR="006C65D4" w:rsidRPr="008C7181" w:rsidRDefault="006C65D4" w:rsidP="004C3259">
            <w:pPr>
              <w:spacing w:after="120"/>
              <w:rPr>
                <w:rFonts w:ascii="Arial" w:hAnsi="Arial" w:cs="Arial"/>
                <w:szCs w:val="20"/>
              </w:rPr>
            </w:pPr>
            <w:r w:rsidRPr="591A7590">
              <w:rPr>
                <w:rFonts w:ascii="Arial" w:hAnsi="Arial" w:cs="Arial"/>
                <w:b/>
                <w:bCs/>
                <w:szCs w:val="20"/>
              </w:rPr>
              <w:t>Situation:</w:t>
            </w:r>
            <w:r w:rsidRPr="008C7181">
              <w:rPr>
                <w:rFonts w:ascii="Arial" w:hAnsi="Arial" w:cs="Arial"/>
                <w:b/>
                <w:bCs/>
                <w:szCs w:val="20"/>
              </w:rPr>
              <w:t xml:space="preserve"> </w:t>
            </w:r>
            <w:r w:rsidRPr="008C7181">
              <w:rPr>
                <w:rFonts w:ascii="Arial" w:hAnsi="Arial" w:cs="Arial"/>
                <w:szCs w:val="20"/>
              </w:rPr>
              <w:t>On 13 October 2022, Medibank, an Australian medical insurer, de</w:t>
            </w:r>
            <w:r>
              <w:rPr>
                <w:rFonts w:ascii="Arial" w:hAnsi="Arial" w:cs="Arial"/>
                <w:szCs w:val="20"/>
              </w:rPr>
              <w:t>tected</w:t>
            </w:r>
            <w:r w:rsidRPr="008C7181">
              <w:rPr>
                <w:rFonts w:ascii="Arial" w:hAnsi="Arial" w:cs="Arial"/>
                <w:szCs w:val="20"/>
              </w:rPr>
              <w:t xml:space="preserve"> unusual activity on its internal systems. Medibank commenced an investigation into the activity, initially believing there was no evidence that any customer data had been compromised. However, Medibank was contacted by a hacker who claimed to have stolen 200GB of past and present customer data and threatened to release the information onto the dark web. After Medibank refused to pay a ransom, the hacker began releasing sensitive customer files on the dark web.</w:t>
            </w:r>
            <w:r w:rsidRPr="008C7181">
              <w:rPr>
                <w:rStyle w:val="FootnoteReference"/>
                <w:rFonts w:ascii="Arial" w:hAnsi="Arial" w:cs="Arial"/>
              </w:rPr>
              <w:footnoteReference w:id="11"/>
            </w:r>
            <w:r w:rsidRPr="008C7181">
              <w:rPr>
                <w:rFonts w:ascii="Arial" w:hAnsi="Arial" w:cs="Arial"/>
                <w:szCs w:val="20"/>
              </w:rPr>
              <w:t xml:space="preserve"> </w:t>
            </w:r>
          </w:p>
          <w:p w14:paraId="0058AE57" w14:textId="77777777" w:rsidR="006C65D4" w:rsidRPr="008C7181" w:rsidRDefault="000F7455" w:rsidP="004C3259">
            <w:pPr>
              <w:spacing w:after="120"/>
              <w:rPr>
                <w:rFonts w:ascii="Arial" w:hAnsi="Arial" w:cs="Arial"/>
                <w:szCs w:val="20"/>
              </w:rPr>
            </w:pPr>
            <w:r>
              <w:rPr>
                <w:rFonts w:ascii="Arial" w:hAnsi="Arial" w:cs="Arial"/>
                <w:szCs w:val="20"/>
              </w:rPr>
              <w:t>The Australian Federal Police identified the hackers as being linked to a Russian hacking group.</w:t>
            </w:r>
            <w:r>
              <w:rPr>
                <w:rStyle w:val="FootnoteReference"/>
                <w:rFonts w:ascii="Arial" w:hAnsi="Arial" w:cs="Arial"/>
                <w:szCs w:val="20"/>
              </w:rPr>
              <w:footnoteReference w:id="12"/>
            </w:r>
            <w:r>
              <w:rPr>
                <w:rFonts w:ascii="Arial" w:hAnsi="Arial" w:cs="Arial"/>
                <w:szCs w:val="20"/>
              </w:rPr>
              <w:t xml:space="preserve"> </w:t>
            </w:r>
            <w:r w:rsidR="006C65D4" w:rsidRPr="008C7181">
              <w:rPr>
                <w:rFonts w:ascii="Arial" w:hAnsi="Arial" w:cs="Arial"/>
                <w:szCs w:val="20"/>
              </w:rPr>
              <w:t>It was determined the hackers were able to infiltrate the network through use of a stolen username and password used by a third-party IT service provider.</w:t>
            </w:r>
            <w:r w:rsidR="00A75B84">
              <w:rPr>
                <w:rStyle w:val="FootnoteReference"/>
                <w:rFonts w:ascii="Arial" w:hAnsi="Arial" w:cs="Arial"/>
                <w:szCs w:val="20"/>
              </w:rPr>
              <w:footnoteReference w:id="13"/>
            </w:r>
            <w:r w:rsidR="006C65D4" w:rsidRPr="008C7181">
              <w:rPr>
                <w:rFonts w:ascii="Arial" w:hAnsi="Arial" w:cs="Arial"/>
                <w:szCs w:val="20"/>
              </w:rPr>
              <w:t xml:space="preserve"> The hackers then accessed Medibank’s network via a ‘misconfigured’ firewall, which did not require an additional digital certificate.</w:t>
            </w:r>
            <w:r w:rsidR="006C65D4" w:rsidRPr="008C7181">
              <w:rPr>
                <w:rStyle w:val="FootnoteReference"/>
                <w:rFonts w:ascii="Arial" w:hAnsi="Arial" w:cs="Arial"/>
              </w:rPr>
              <w:footnoteReference w:id="14"/>
            </w:r>
          </w:p>
        </w:tc>
      </w:tr>
      <w:tr w:rsidR="006C65D4" w:rsidRPr="00940D7E" w14:paraId="20A7CBCE" w14:textId="77777777" w:rsidTr="008432A2">
        <w:trPr>
          <w:trHeight w:val="2120"/>
        </w:trPr>
        <w:tc>
          <w:tcPr>
            <w:tcW w:w="9571" w:type="dxa"/>
            <w:tcBorders>
              <w:top w:val="single" w:sz="4" w:space="0" w:color="5C676D" w:themeColor="accent3"/>
              <w:left w:val="nil"/>
              <w:bottom w:val="single" w:sz="4" w:space="0" w:color="5C676D" w:themeColor="accent3"/>
              <w:right w:val="nil"/>
            </w:tcBorders>
            <w:shd w:val="clear" w:color="auto" w:fill="F2F2F2" w:themeFill="background1" w:themeFillShade="F2"/>
          </w:tcPr>
          <w:p w14:paraId="55A53D44" w14:textId="77777777" w:rsidR="006C65D4" w:rsidRPr="008C7181" w:rsidRDefault="006C65D4" w:rsidP="004C3259">
            <w:pPr>
              <w:spacing w:after="120"/>
              <w:rPr>
                <w:rFonts w:ascii="Arial" w:hAnsi="Arial" w:cs="Arial"/>
                <w:szCs w:val="20"/>
              </w:rPr>
            </w:pPr>
            <w:r w:rsidRPr="591A7590">
              <w:rPr>
                <w:rFonts w:ascii="Arial" w:hAnsi="Arial" w:cs="Arial"/>
                <w:b/>
                <w:bCs/>
                <w:szCs w:val="20"/>
              </w:rPr>
              <w:t>Outcome:</w:t>
            </w:r>
            <w:r w:rsidRPr="008C7181">
              <w:rPr>
                <w:rFonts w:ascii="Arial" w:hAnsi="Arial" w:cs="Arial"/>
                <w:b/>
                <w:bCs/>
                <w:szCs w:val="20"/>
              </w:rPr>
              <w:t xml:space="preserve"> </w:t>
            </w:r>
            <w:r w:rsidRPr="008C7181">
              <w:rPr>
                <w:rFonts w:ascii="Arial" w:hAnsi="Arial" w:cs="Arial"/>
                <w:szCs w:val="20"/>
              </w:rPr>
              <w:t>In the attack, 9.7 million records were stolen, including names, dates of birth, Medicare numbers, and sensitive medical information.</w:t>
            </w:r>
            <w:r w:rsidRPr="008C7181">
              <w:rPr>
                <w:rStyle w:val="FootnoteReference"/>
                <w:rFonts w:ascii="Arial" w:hAnsi="Arial" w:cs="Arial"/>
              </w:rPr>
              <w:footnoteReference w:id="15"/>
            </w:r>
            <w:r w:rsidRPr="008C7181">
              <w:rPr>
                <w:rFonts w:ascii="Arial" w:hAnsi="Arial" w:cs="Arial"/>
                <w:szCs w:val="20"/>
              </w:rPr>
              <w:t xml:space="preserve"> </w:t>
            </w:r>
            <w:r w:rsidR="00986982">
              <w:rPr>
                <w:rFonts w:ascii="Arial" w:hAnsi="Arial" w:cs="Arial"/>
                <w:szCs w:val="20"/>
              </w:rPr>
              <w:t>In a statement on its 2023 half-year results, Medi</w:t>
            </w:r>
            <w:r w:rsidR="00A17456">
              <w:rPr>
                <w:rFonts w:ascii="Arial" w:hAnsi="Arial" w:cs="Arial"/>
                <w:szCs w:val="20"/>
              </w:rPr>
              <w:t>bank indicated it continued to defend around 18 million perimeter cyber incidents per day.</w:t>
            </w:r>
            <w:r w:rsidR="00A17456">
              <w:rPr>
                <w:rStyle w:val="FootnoteReference"/>
                <w:rFonts w:ascii="Arial" w:hAnsi="Arial" w:cs="Arial"/>
                <w:szCs w:val="20"/>
              </w:rPr>
              <w:footnoteReference w:id="16"/>
            </w:r>
          </w:p>
          <w:p w14:paraId="3F2C46E0" w14:textId="77777777" w:rsidR="006C65D4" w:rsidRPr="008C7181" w:rsidRDefault="006C65D4" w:rsidP="004C3259">
            <w:pPr>
              <w:spacing w:after="120"/>
              <w:rPr>
                <w:rFonts w:ascii="Arial" w:hAnsi="Arial" w:cs="Arial"/>
                <w:szCs w:val="20"/>
              </w:rPr>
            </w:pPr>
            <w:r w:rsidRPr="008C7181">
              <w:rPr>
                <w:rFonts w:ascii="Arial" w:hAnsi="Arial" w:cs="Arial"/>
                <w:szCs w:val="20"/>
              </w:rPr>
              <w:t>In February 2023, Medibank reported a loss of almost 13,000 policy holders in the December quarter.</w:t>
            </w:r>
            <w:r w:rsidR="008A629A">
              <w:rPr>
                <w:rStyle w:val="FootnoteReference"/>
                <w:rFonts w:ascii="Arial" w:hAnsi="Arial" w:cs="Arial"/>
                <w:szCs w:val="20"/>
              </w:rPr>
              <w:footnoteReference w:id="17"/>
            </w:r>
            <w:r w:rsidRPr="008C7181">
              <w:rPr>
                <w:rFonts w:ascii="Arial" w:hAnsi="Arial" w:cs="Arial"/>
                <w:szCs w:val="20"/>
              </w:rPr>
              <w:t xml:space="preserve"> Notably, these figures do not contemplate the potential costs of forgone new customers, who may have chosen another policy provider given the reputational damage to Medibank. The company </w:t>
            </w:r>
            <w:r>
              <w:rPr>
                <w:rFonts w:ascii="Arial" w:hAnsi="Arial" w:cs="Arial"/>
                <w:szCs w:val="20"/>
              </w:rPr>
              <w:t xml:space="preserve">has </w:t>
            </w:r>
            <w:r w:rsidRPr="008C7181">
              <w:rPr>
                <w:rFonts w:ascii="Arial" w:hAnsi="Arial" w:cs="Arial"/>
                <w:szCs w:val="20"/>
              </w:rPr>
              <w:t>report</w:t>
            </w:r>
            <w:r>
              <w:rPr>
                <w:rFonts w:ascii="Arial" w:hAnsi="Arial" w:cs="Arial"/>
                <w:szCs w:val="20"/>
              </w:rPr>
              <w:t>ed</w:t>
            </w:r>
            <w:r w:rsidRPr="008C7181">
              <w:rPr>
                <w:rFonts w:ascii="Arial" w:hAnsi="Arial" w:cs="Arial"/>
                <w:szCs w:val="20"/>
              </w:rPr>
              <w:t xml:space="preserve"> it spent more than $26 million in strengthening its cyber defences between October 2022 and </w:t>
            </w:r>
            <w:r w:rsidR="0009426E">
              <w:rPr>
                <w:rFonts w:ascii="Arial" w:hAnsi="Arial" w:cs="Arial"/>
                <w:szCs w:val="20"/>
              </w:rPr>
              <w:t xml:space="preserve">December </w:t>
            </w:r>
            <w:r w:rsidR="00B84F01">
              <w:rPr>
                <w:rFonts w:ascii="Arial" w:hAnsi="Arial" w:cs="Arial"/>
                <w:szCs w:val="20"/>
              </w:rPr>
              <w:t>2022</w:t>
            </w:r>
            <w:r w:rsidRPr="008C7181">
              <w:rPr>
                <w:rFonts w:ascii="Arial" w:hAnsi="Arial" w:cs="Arial"/>
                <w:szCs w:val="20"/>
              </w:rPr>
              <w:t>.</w:t>
            </w:r>
            <w:r>
              <w:rPr>
                <w:rStyle w:val="FootnoteReference"/>
                <w:rFonts w:ascii="Arial" w:hAnsi="Arial" w:cs="Arial"/>
                <w:szCs w:val="20"/>
              </w:rPr>
              <w:footnoteReference w:id="18"/>
            </w:r>
            <w:r w:rsidR="00D250E8">
              <w:rPr>
                <w:rFonts w:ascii="Arial" w:hAnsi="Arial" w:cs="Arial"/>
                <w:szCs w:val="20"/>
              </w:rPr>
              <w:t xml:space="preserve"> </w:t>
            </w:r>
          </w:p>
        </w:tc>
      </w:tr>
    </w:tbl>
    <w:p w14:paraId="60425BCD" w14:textId="77777777" w:rsidR="006C65D4" w:rsidRDefault="006C65D4" w:rsidP="006C65D4">
      <w:pPr>
        <w:pStyle w:val="Caption"/>
        <w:rPr>
          <w:rFonts w:cs="Arial"/>
          <w:b w:val="0"/>
          <w:bCs/>
        </w:rPr>
      </w:pPr>
    </w:p>
    <w:p w14:paraId="6CC8A9A0" w14:textId="2909FC98" w:rsidR="006C65D4" w:rsidRPr="00282A1F" w:rsidRDefault="006C65D4" w:rsidP="006C65D4">
      <w:pPr>
        <w:pStyle w:val="Caption"/>
        <w:rPr>
          <w:rFonts w:ascii="Calibri" w:hAnsi="Calibri" w:cs="Calibri"/>
          <w:b w:val="0"/>
        </w:rPr>
      </w:pPr>
      <w:r w:rsidRPr="00282A1F" w:rsidDel="00FD5CFB">
        <w:rPr>
          <w:rFonts w:ascii="Calibri" w:hAnsi="Calibri" w:cs="Calibri"/>
          <w:bCs/>
        </w:rPr>
        <w:t xml:space="preserve">Table </w:t>
      </w:r>
      <w:r w:rsidRPr="00282A1F">
        <w:rPr>
          <w:rFonts w:ascii="Calibri" w:hAnsi="Calibri" w:cs="Calibri"/>
          <w:b w:val="0"/>
          <w:color w:val="2B579A"/>
          <w:shd w:val="clear" w:color="auto" w:fill="E6E6E6"/>
        </w:rPr>
        <w:fldChar w:fldCharType="begin"/>
      </w:r>
      <w:r w:rsidRPr="00282A1F">
        <w:rPr>
          <w:rFonts w:ascii="Calibri" w:hAnsi="Calibri" w:cs="Calibri"/>
        </w:rPr>
        <w:instrText xml:space="preserve"> SEQ Table \* ARABIC </w:instrText>
      </w:r>
      <w:r w:rsidRPr="00282A1F">
        <w:rPr>
          <w:rFonts w:ascii="Calibri" w:hAnsi="Calibri" w:cs="Calibri"/>
          <w:b w:val="0"/>
          <w:color w:val="2B579A"/>
          <w:shd w:val="clear" w:color="auto" w:fill="E6E6E6"/>
        </w:rPr>
        <w:fldChar w:fldCharType="separate"/>
      </w:r>
      <w:r w:rsidR="00E8506B">
        <w:rPr>
          <w:rFonts w:ascii="Calibri" w:hAnsi="Calibri" w:cs="Calibri"/>
          <w:noProof/>
        </w:rPr>
        <w:t>7</w:t>
      </w:r>
      <w:r w:rsidRPr="00282A1F">
        <w:rPr>
          <w:rFonts w:ascii="Calibri" w:hAnsi="Calibri" w:cs="Calibri"/>
          <w:b w:val="0"/>
          <w:color w:val="2B579A"/>
          <w:shd w:val="clear" w:color="auto" w:fill="E6E6E6"/>
        </w:rPr>
        <w:fldChar w:fldCharType="end"/>
      </w:r>
      <w:r w:rsidRPr="00282A1F">
        <w:rPr>
          <w:rFonts w:ascii="Calibri" w:hAnsi="Calibri" w:cs="Calibri"/>
        </w:rPr>
        <w:t xml:space="preserve"> </w:t>
      </w:r>
      <w:r w:rsidRPr="00282A1F">
        <w:rPr>
          <w:rFonts w:ascii="Calibri" w:hAnsi="Calibri" w:cs="Calibri"/>
          <w:b w:val="0"/>
        </w:rPr>
        <w:t>Overview of Optus Data Breach</w:t>
      </w:r>
    </w:p>
    <w:tbl>
      <w:tblPr>
        <w:tblStyle w:val="TableGrid"/>
        <w:tblW w:w="9616" w:type="dxa"/>
        <w:tblLook w:val="04A0" w:firstRow="1" w:lastRow="0" w:firstColumn="1" w:lastColumn="0" w:noHBand="0" w:noVBand="1"/>
      </w:tblPr>
      <w:tblGrid>
        <w:gridCol w:w="9616"/>
      </w:tblGrid>
      <w:tr w:rsidR="00BD1B1D" w:rsidRPr="00940D7E" w14:paraId="5728888A" w14:textId="77777777" w:rsidTr="008432A2">
        <w:trPr>
          <w:trHeight w:val="469"/>
        </w:trPr>
        <w:tc>
          <w:tcPr>
            <w:tcW w:w="9616" w:type="dxa"/>
            <w:tcBorders>
              <w:top w:val="nil"/>
              <w:left w:val="nil"/>
              <w:bottom w:val="single" w:sz="4" w:space="0" w:color="5C676D" w:themeColor="accent3"/>
              <w:right w:val="nil"/>
            </w:tcBorders>
            <w:shd w:val="clear" w:color="auto" w:fill="284B98"/>
            <w:vAlign w:val="center"/>
          </w:tcPr>
          <w:p w14:paraId="6A71084D" w14:textId="77777777" w:rsidR="00BD1B1D" w:rsidRPr="0052726C" w:rsidRDefault="00BD1B1D" w:rsidP="004C3259">
            <w:pPr>
              <w:rPr>
                <w:rFonts w:ascii="Arial" w:hAnsi="Arial" w:cs="Arial"/>
                <w:b/>
                <w:bCs/>
                <w:color w:val="FFFFFF" w:themeColor="background1"/>
                <w:szCs w:val="20"/>
                <w:highlight w:val="yellow"/>
              </w:rPr>
            </w:pPr>
            <w:r w:rsidRPr="591A7590">
              <w:rPr>
                <w:rFonts w:ascii="Arial" w:hAnsi="Arial" w:cs="Arial"/>
                <w:b/>
                <w:bCs/>
                <w:color w:val="FFFFFF" w:themeColor="background1"/>
                <w:szCs w:val="20"/>
              </w:rPr>
              <w:t>Optus Data Breach</w:t>
            </w:r>
          </w:p>
          <w:p w14:paraId="19AB2EA1" w14:textId="6E16C9A4" w:rsidR="00BD1B1D" w:rsidRPr="0052726C" w:rsidRDefault="00BD1B1D" w:rsidP="004C3259">
            <w:pPr>
              <w:spacing w:before="120" w:after="120"/>
              <w:rPr>
                <w:rFonts w:ascii="Arial" w:hAnsi="Arial" w:cs="Arial"/>
                <w:b/>
                <w:bCs/>
                <w:color w:val="FFFFFF" w:themeColor="background1"/>
                <w:szCs w:val="20"/>
              </w:rPr>
            </w:pPr>
            <w:r>
              <w:rPr>
                <w:rFonts w:ascii="Arial" w:hAnsi="Arial" w:cs="Arial"/>
                <w:b/>
                <w:bCs/>
                <w:color w:val="FFFFFF" w:themeColor="background1"/>
                <w:szCs w:val="20"/>
              </w:rPr>
              <w:t>(</w:t>
            </w:r>
            <w:r w:rsidRPr="591A7590">
              <w:rPr>
                <w:rFonts w:ascii="Arial" w:hAnsi="Arial" w:cs="Arial"/>
                <w:b/>
                <w:bCs/>
                <w:color w:val="FFFFFF" w:themeColor="background1"/>
                <w:szCs w:val="20"/>
              </w:rPr>
              <w:t>Cyber</w:t>
            </w:r>
            <w:r>
              <w:rPr>
                <w:rFonts w:ascii="Arial" w:hAnsi="Arial" w:cs="Arial"/>
                <w:b/>
                <w:bCs/>
                <w:color w:val="FFFFFF" w:themeColor="background1"/>
                <w:szCs w:val="20"/>
              </w:rPr>
              <w:t>)</w:t>
            </w:r>
          </w:p>
        </w:tc>
      </w:tr>
      <w:tr w:rsidR="006C65D4" w:rsidRPr="00940D7E" w14:paraId="41ABF192" w14:textId="77777777" w:rsidTr="008432A2">
        <w:trPr>
          <w:trHeight w:val="2902"/>
        </w:trPr>
        <w:tc>
          <w:tcPr>
            <w:tcW w:w="9616" w:type="dxa"/>
            <w:tcBorders>
              <w:top w:val="single" w:sz="4" w:space="0" w:color="5C676D" w:themeColor="accent3"/>
              <w:left w:val="nil"/>
              <w:bottom w:val="single" w:sz="4" w:space="0" w:color="5C676D" w:themeColor="accent3"/>
              <w:right w:val="nil"/>
            </w:tcBorders>
            <w:shd w:val="clear" w:color="auto" w:fill="FFFFFF" w:themeFill="background1"/>
          </w:tcPr>
          <w:p w14:paraId="490AFCDC" w14:textId="77777777" w:rsidR="006C65D4" w:rsidRPr="008C7181" w:rsidRDefault="006C65D4" w:rsidP="004C3259">
            <w:pPr>
              <w:pStyle w:val="NormalWeb"/>
              <w:shd w:val="clear" w:color="auto" w:fill="FFFFFF" w:themeFill="background1"/>
              <w:spacing w:before="120" w:beforeAutospacing="0" w:after="120" w:afterAutospacing="0"/>
              <w:rPr>
                <w:rFonts w:ascii="Arial" w:hAnsi="Arial" w:cs="Arial"/>
                <w:sz w:val="20"/>
                <w:szCs w:val="20"/>
              </w:rPr>
            </w:pPr>
            <w:r w:rsidRPr="591A7590">
              <w:rPr>
                <w:rFonts w:ascii="Arial" w:hAnsi="Arial" w:cs="Arial"/>
                <w:b/>
                <w:bCs/>
                <w:sz w:val="20"/>
                <w:szCs w:val="20"/>
              </w:rPr>
              <w:t xml:space="preserve">Situation: </w:t>
            </w:r>
            <w:r w:rsidRPr="591A7590">
              <w:rPr>
                <w:rFonts w:ascii="Arial" w:hAnsi="Arial" w:cs="Arial"/>
                <w:sz w:val="20"/>
                <w:szCs w:val="20"/>
              </w:rPr>
              <w:t>On 22 September 2022, Optus experienced a data breach that led to the unauthorised accessing of details for 11 million customers. The information accessed included customer names, dates of birth, phone numbers, email addresses, home addresses, driver’s licence and passport details, and Medicare ID numbers. The breach reportedly occurred as the result of a hacker accessing an ‘unauthenticated API endpoint’, meaning there was no requirement to ‘log in’</w:t>
            </w:r>
            <w:r>
              <w:rPr>
                <w:rFonts w:ascii="Arial" w:hAnsi="Arial" w:cs="Arial"/>
                <w:sz w:val="20"/>
                <w:szCs w:val="20"/>
              </w:rPr>
              <w:t xml:space="preserve">. </w:t>
            </w:r>
          </w:p>
          <w:p w14:paraId="45935EE3" w14:textId="77777777" w:rsidR="006C65D4" w:rsidRPr="008C7181" w:rsidRDefault="006C65D4" w:rsidP="004C3259">
            <w:pPr>
              <w:pStyle w:val="NormalWeb"/>
              <w:shd w:val="clear" w:color="auto" w:fill="FFFFFF" w:themeFill="background1"/>
              <w:spacing w:before="120" w:beforeAutospacing="0" w:after="120" w:afterAutospacing="0"/>
              <w:rPr>
                <w:rFonts w:ascii="Arial" w:hAnsi="Arial" w:cs="Arial"/>
                <w:sz w:val="20"/>
                <w:szCs w:val="20"/>
              </w:rPr>
            </w:pPr>
            <w:r w:rsidRPr="008C7181">
              <w:rPr>
                <w:rFonts w:ascii="Arial" w:hAnsi="Arial" w:cs="Arial"/>
                <w:sz w:val="20"/>
                <w:szCs w:val="20"/>
              </w:rPr>
              <w:t xml:space="preserve">The hacker demanded that Optus pay them US$1 million ransom, or data of the 11 million affected customers would be </w:t>
            </w:r>
            <w:r>
              <w:rPr>
                <w:rFonts w:ascii="Arial" w:hAnsi="Arial" w:cs="Arial"/>
                <w:sz w:val="20"/>
                <w:szCs w:val="20"/>
              </w:rPr>
              <w:t>published</w:t>
            </w:r>
            <w:r w:rsidRPr="008C7181">
              <w:rPr>
                <w:rFonts w:ascii="Arial" w:hAnsi="Arial" w:cs="Arial"/>
                <w:sz w:val="20"/>
                <w:szCs w:val="20"/>
              </w:rPr>
              <w:t>. The hacker then</w:t>
            </w:r>
            <w:r w:rsidRPr="00206C1E">
              <w:rPr>
                <w:rFonts w:ascii="Arial" w:hAnsi="Arial" w:cs="Arial"/>
                <w:sz w:val="20"/>
                <w:szCs w:val="20"/>
              </w:rPr>
              <w:t xml:space="preserve"> posted a text file of 10,000 customer data records on September 26, allowing other malicious actors to use the data in their own phishing campaigns.</w:t>
            </w:r>
            <w:r w:rsidRPr="008C7181">
              <w:rPr>
                <w:rFonts w:ascii="Arial" w:hAnsi="Arial" w:cs="Arial"/>
                <w:sz w:val="20"/>
                <w:szCs w:val="20"/>
              </w:rPr>
              <w:t xml:space="preserve"> </w:t>
            </w:r>
            <w:r w:rsidRPr="00206C1E">
              <w:rPr>
                <w:rFonts w:ascii="Arial" w:hAnsi="Arial" w:cs="Arial"/>
                <w:sz w:val="20"/>
                <w:szCs w:val="20"/>
              </w:rPr>
              <w:t>Victims of the breach reported on September 27 that they had been contacted with demands that they pay AU$2,000 or their data will be sold to other hacker</w:t>
            </w:r>
            <w:r w:rsidRPr="008C7181">
              <w:rPr>
                <w:rFonts w:ascii="Arial" w:hAnsi="Arial" w:cs="Arial"/>
                <w:sz w:val="20"/>
                <w:szCs w:val="20"/>
              </w:rPr>
              <w:t>s.</w:t>
            </w:r>
          </w:p>
        </w:tc>
      </w:tr>
      <w:tr w:rsidR="006C65D4" w:rsidRPr="00940D7E" w14:paraId="70801B73" w14:textId="77777777" w:rsidTr="008432A2">
        <w:trPr>
          <w:trHeight w:val="944"/>
        </w:trPr>
        <w:tc>
          <w:tcPr>
            <w:tcW w:w="9616" w:type="dxa"/>
            <w:tcBorders>
              <w:top w:val="single" w:sz="4" w:space="0" w:color="5C676D" w:themeColor="accent3"/>
              <w:left w:val="nil"/>
              <w:bottom w:val="single" w:sz="4" w:space="0" w:color="5C676D" w:themeColor="accent3"/>
              <w:right w:val="nil"/>
            </w:tcBorders>
            <w:shd w:val="clear" w:color="auto" w:fill="F2F2F2" w:themeFill="background1" w:themeFillShade="F2"/>
          </w:tcPr>
          <w:p w14:paraId="7C5F5656" w14:textId="77777777" w:rsidR="006C65D4" w:rsidRPr="0010437E" w:rsidRDefault="006C65D4" w:rsidP="004C3259">
            <w:pPr>
              <w:keepLines/>
              <w:spacing w:before="120" w:after="120"/>
              <w:rPr>
                <w:rFonts w:ascii="Arial" w:hAnsi="Arial" w:cs="Arial"/>
                <w:b/>
                <w:bCs/>
                <w:szCs w:val="20"/>
              </w:rPr>
            </w:pPr>
            <w:r w:rsidRPr="591A7590">
              <w:rPr>
                <w:rFonts w:ascii="Arial" w:hAnsi="Arial" w:cs="Arial"/>
                <w:b/>
                <w:bCs/>
                <w:szCs w:val="20"/>
              </w:rPr>
              <w:t>Outcome:</w:t>
            </w:r>
            <w:r w:rsidRPr="008C7181">
              <w:rPr>
                <w:rFonts w:ascii="Arial" w:hAnsi="Arial" w:cs="Arial"/>
                <w:b/>
                <w:bCs/>
                <w:szCs w:val="20"/>
              </w:rPr>
              <w:t xml:space="preserve"> </w:t>
            </w:r>
            <w:r w:rsidRPr="591A7590">
              <w:rPr>
                <w:rFonts w:ascii="Arial" w:hAnsi="Arial" w:cs="Arial"/>
                <w:szCs w:val="20"/>
              </w:rPr>
              <w:t>Optus has indicated the</w:t>
            </w:r>
            <w:r w:rsidR="00CA5137">
              <w:rPr>
                <w:rFonts w:ascii="Arial" w:hAnsi="Arial" w:cs="Arial"/>
                <w:szCs w:val="20"/>
              </w:rPr>
              <w:t xml:space="preserve"> company will incur costs</w:t>
            </w:r>
            <w:r w:rsidR="003C3441">
              <w:rPr>
                <w:rFonts w:ascii="Arial" w:hAnsi="Arial" w:cs="Arial"/>
                <w:szCs w:val="20"/>
              </w:rPr>
              <w:t xml:space="preserve"> of up to AU$1</w:t>
            </w:r>
            <w:r w:rsidR="00AC637C">
              <w:rPr>
                <w:rFonts w:ascii="Arial" w:hAnsi="Arial" w:cs="Arial"/>
                <w:szCs w:val="20"/>
              </w:rPr>
              <w:t>42</w:t>
            </w:r>
            <w:r w:rsidR="003C3441">
              <w:rPr>
                <w:rFonts w:ascii="Arial" w:hAnsi="Arial" w:cs="Arial"/>
                <w:szCs w:val="20"/>
              </w:rPr>
              <w:t xml:space="preserve"> million</w:t>
            </w:r>
            <w:r w:rsidR="00CA5137">
              <w:rPr>
                <w:rFonts w:ascii="Arial" w:hAnsi="Arial" w:cs="Arial"/>
                <w:szCs w:val="20"/>
              </w:rPr>
              <w:t xml:space="preserve"> as a result of the</w:t>
            </w:r>
            <w:r w:rsidRPr="591A7590">
              <w:rPr>
                <w:rFonts w:ascii="Arial" w:hAnsi="Arial" w:cs="Arial"/>
                <w:szCs w:val="20"/>
              </w:rPr>
              <w:t xml:space="preserve"> data breach</w:t>
            </w:r>
            <w:r w:rsidR="00CA5137">
              <w:rPr>
                <w:rFonts w:ascii="Arial" w:hAnsi="Arial" w:cs="Arial"/>
                <w:szCs w:val="20"/>
              </w:rPr>
              <w:t>, including the cost of commissioning an independent report into the incident by Deloitte</w:t>
            </w:r>
            <w:r w:rsidRPr="591A7590">
              <w:rPr>
                <w:rFonts w:ascii="Arial" w:hAnsi="Arial" w:cs="Arial"/>
                <w:szCs w:val="20"/>
              </w:rPr>
              <w:t>.</w:t>
            </w:r>
            <w:r w:rsidRPr="591A7590">
              <w:rPr>
                <w:rStyle w:val="FootnoteReference"/>
                <w:rFonts w:ascii="Arial" w:hAnsi="Arial" w:cs="Arial"/>
              </w:rPr>
              <w:footnoteReference w:id="19"/>
            </w:r>
            <w:r w:rsidRPr="591A7590">
              <w:rPr>
                <w:rFonts w:ascii="Arial" w:hAnsi="Arial" w:cs="Arial"/>
                <w:szCs w:val="20"/>
              </w:rPr>
              <w:t xml:space="preserve"> </w:t>
            </w:r>
          </w:p>
        </w:tc>
      </w:tr>
    </w:tbl>
    <w:p w14:paraId="7DA9EE81" w14:textId="77777777" w:rsidR="006C65D4" w:rsidRDefault="006C65D4" w:rsidP="006C65D4">
      <w:pPr>
        <w:spacing w:before="240" w:after="120"/>
        <w:rPr>
          <w:rFonts w:ascii="Arial" w:hAnsi="Arial" w:cs="Arial"/>
          <w:szCs w:val="20"/>
        </w:rPr>
      </w:pPr>
      <w:r>
        <w:rPr>
          <w:rFonts w:ascii="Arial" w:hAnsi="Arial" w:cs="Arial"/>
          <w:szCs w:val="20"/>
        </w:rPr>
        <w:t>T</w:t>
      </w:r>
      <w:r w:rsidRPr="591A7590">
        <w:rPr>
          <w:rFonts w:ascii="Arial" w:hAnsi="Arial" w:cs="Arial"/>
          <w:szCs w:val="20"/>
        </w:rPr>
        <w:t xml:space="preserve">hese incidents highlight the need to ensure critical infrastructure entities have adequate protections in place across non-operational data storage systems. </w:t>
      </w:r>
      <w:r>
        <w:rPr>
          <w:rFonts w:ascii="Arial" w:hAnsi="Arial" w:cs="Arial"/>
          <w:szCs w:val="20"/>
        </w:rPr>
        <w:t xml:space="preserve">While the existing SOCI Act framework includes requirements for risk management activities for data storage, the current definition of ‘critical asset’ does not include secondary systems. </w:t>
      </w:r>
    </w:p>
    <w:p w14:paraId="7B2FC212" w14:textId="77777777" w:rsidR="006C65D4" w:rsidRPr="00940D7E" w:rsidRDefault="006C65D4" w:rsidP="006C65D4">
      <w:pPr>
        <w:spacing w:before="120" w:after="120"/>
        <w:rPr>
          <w:rFonts w:ascii="Arial" w:hAnsi="Arial" w:cs="Arial"/>
          <w:szCs w:val="20"/>
        </w:rPr>
      </w:pPr>
      <w:r>
        <w:rPr>
          <w:rFonts w:ascii="Arial" w:hAnsi="Arial" w:cs="Arial"/>
          <w:szCs w:val="20"/>
        </w:rPr>
        <w:t>While the above scenarios did not impact the provision of essential services, t</w:t>
      </w:r>
      <w:r w:rsidRPr="591A7590">
        <w:rPr>
          <w:rFonts w:ascii="Arial" w:hAnsi="Arial" w:cs="Arial"/>
          <w:szCs w:val="20"/>
        </w:rPr>
        <w:t>he following hypothetical scenarios further demonstrate where the existing regulatory framework applies inconsistent data protections, leaving obligations subject to the interpretation of individual entities.</w:t>
      </w:r>
    </w:p>
    <w:p w14:paraId="75EDEF9D" w14:textId="77777777" w:rsidR="00BD1B1D" w:rsidRDefault="00BD1B1D" w:rsidP="006C65D4">
      <w:pPr>
        <w:pStyle w:val="Caption"/>
        <w:rPr>
          <w:rFonts w:ascii="Calibri" w:hAnsi="Calibri" w:cs="Calibri"/>
          <w:bCs/>
        </w:rPr>
      </w:pPr>
    </w:p>
    <w:p w14:paraId="6C795AA6" w14:textId="77777777" w:rsidR="00BD1B1D" w:rsidRDefault="00BD1B1D" w:rsidP="006C65D4">
      <w:pPr>
        <w:pStyle w:val="Caption"/>
        <w:rPr>
          <w:rFonts w:ascii="Calibri" w:hAnsi="Calibri" w:cs="Calibri"/>
          <w:bCs/>
        </w:rPr>
      </w:pPr>
    </w:p>
    <w:p w14:paraId="4FC14BB6" w14:textId="77777777" w:rsidR="00BD1B1D" w:rsidRPr="009763A8" w:rsidRDefault="00BD1B1D" w:rsidP="009763A8"/>
    <w:p w14:paraId="72352C70" w14:textId="5528206E" w:rsidR="006C65D4" w:rsidRPr="00344966" w:rsidRDefault="006C65D4" w:rsidP="006C65D4">
      <w:pPr>
        <w:pStyle w:val="Caption"/>
        <w:rPr>
          <w:rFonts w:ascii="Calibri" w:hAnsi="Calibri" w:cs="Calibri"/>
          <w:b w:val="0"/>
          <w:bCs/>
        </w:rPr>
      </w:pPr>
      <w:r w:rsidRPr="00344966">
        <w:rPr>
          <w:rFonts w:ascii="Calibri" w:hAnsi="Calibri" w:cs="Calibri"/>
          <w:bCs/>
        </w:rPr>
        <w:t xml:space="preserve">Table </w:t>
      </w:r>
      <w:r w:rsidRPr="00344966">
        <w:rPr>
          <w:rFonts w:ascii="Calibri" w:hAnsi="Calibri" w:cs="Calibri"/>
          <w:bCs/>
          <w:color w:val="2B579A"/>
          <w:shd w:val="clear" w:color="auto" w:fill="E6E6E6"/>
        </w:rPr>
        <w:fldChar w:fldCharType="begin"/>
      </w:r>
      <w:r w:rsidRPr="00344966">
        <w:rPr>
          <w:rFonts w:ascii="Calibri" w:hAnsi="Calibri" w:cs="Calibri"/>
          <w:bCs/>
        </w:rPr>
        <w:instrText xml:space="preserve"> SEQ Table \* ARABIC </w:instrText>
      </w:r>
      <w:r w:rsidRPr="00344966">
        <w:rPr>
          <w:rFonts w:ascii="Calibri" w:hAnsi="Calibri" w:cs="Calibri"/>
          <w:bCs/>
          <w:color w:val="2B579A"/>
          <w:shd w:val="clear" w:color="auto" w:fill="E6E6E6"/>
        </w:rPr>
        <w:fldChar w:fldCharType="separate"/>
      </w:r>
      <w:r w:rsidR="00E8506B">
        <w:rPr>
          <w:rFonts w:ascii="Calibri" w:hAnsi="Calibri" w:cs="Calibri"/>
          <w:bCs/>
          <w:noProof/>
        </w:rPr>
        <w:t>8</w:t>
      </w:r>
      <w:r w:rsidRPr="00344966">
        <w:rPr>
          <w:rFonts w:ascii="Calibri" w:hAnsi="Calibri" w:cs="Calibri"/>
          <w:bCs/>
          <w:color w:val="2B579A"/>
          <w:shd w:val="clear" w:color="auto" w:fill="E6E6E6"/>
        </w:rPr>
        <w:fldChar w:fldCharType="end"/>
      </w:r>
      <w:r w:rsidRPr="00344966">
        <w:rPr>
          <w:rFonts w:ascii="Calibri" w:hAnsi="Calibri" w:cs="Calibri"/>
          <w:bCs/>
        </w:rPr>
        <w:t xml:space="preserve"> </w:t>
      </w:r>
      <w:r w:rsidRPr="00344966">
        <w:rPr>
          <w:rFonts w:ascii="Calibri" w:hAnsi="Calibri" w:cs="Calibri"/>
          <w:b w:val="0"/>
          <w:bCs/>
        </w:rPr>
        <w:t>Hypothetical Scenario – Storage of operational data</w:t>
      </w:r>
    </w:p>
    <w:tbl>
      <w:tblPr>
        <w:tblStyle w:val="TableGrid"/>
        <w:tblW w:w="9639" w:type="dxa"/>
        <w:tblLook w:val="04A0" w:firstRow="1" w:lastRow="0" w:firstColumn="1" w:lastColumn="0" w:noHBand="0" w:noVBand="1"/>
      </w:tblPr>
      <w:tblGrid>
        <w:gridCol w:w="9639"/>
      </w:tblGrid>
      <w:tr w:rsidR="00BD1B1D" w:rsidRPr="00940D7E" w14:paraId="45DD9456" w14:textId="77777777" w:rsidTr="00BA16D0">
        <w:trPr>
          <w:trHeight w:val="461"/>
        </w:trPr>
        <w:tc>
          <w:tcPr>
            <w:tcW w:w="9639" w:type="dxa"/>
            <w:tcBorders>
              <w:top w:val="nil"/>
              <w:left w:val="nil"/>
              <w:bottom w:val="single" w:sz="4" w:space="0" w:color="5C676D" w:themeColor="accent3"/>
              <w:right w:val="nil"/>
            </w:tcBorders>
            <w:shd w:val="clear" w:color="auto" w:fill="284B98"/>
            <w:vAlign w:val="center"/>
          </w:tcPr>
          <w:p w14:paraId="4AC7BB68" w14:textId="77777777" w:rsidR="00BD1B1D" w:rsidRPr="0052726C" w:rsidRDefault="00BD1B1D" w:rsidP="004C3259">
            <w:pPr>
              <w:keepLines/>
              <w:spacing w:before="120" w:after="120"/>
              <w:rPr>
                <w:rFonts w:ascii="Arial" w:hAnsi="Arial" w:cs="Arial"/>
                <w:b/>
                <w:bCs/>
                <w:color w:val="FFFFFF" w:themeColor="background1"/>
                <w:szCs w:val="20"/>
                <w:highlight w:val="yellow"/>
              </w:rPr>
            </w:pPr>
            <w:r w:rsidRPr="591A7590">
              <w:rPr>
                <w:rFonts w:ascii="Arial" w:hAnsi="Arial" w:cs="Arial"/>
                <w:b/>
                <w:bCs/>
                <w:color w:val="FFFFFF" w:themeColor="background1"/>
                <w:szCs w:val="20"/>
              </w:rPr>
              <w:t>Storage of operational data</w:t>
            </w:r>
          </w:p>
          <w:p w14:paraId="22482C70" w14:textId="75D1B62A" w:rsidR="00BD1B1D" w:rsidRPr="0052726C" w:rsidRDefault="00BD1B1D" w:rsidP="004C3259">
            <w:pPr>
              <w:keepLines/>
              <w:spacing w:before="120" w:after="120"/>
              <w:rPr>
                <w:rFonts w:ascii="Arial" w:hAnsi="Arial" w:cs="Arial"/>
                <w:b/>
                <w:bCs/>
                <w:color w:val="FFFFFF" w:themeColor="background1"/>
                <w:szCs w:val="20"/>
              </w:rPr>
            </w:pPr>
            <w:r>
              <w:rPr>
                <w:rFonts w:ascii="Arial" w:hAnsi="Arial" w:cs="Arial"/>
                <w:b/>
                <w:bCs/>
                <w:color w:val="FFFFFF" w:themeColor="background1"/>
                <w:szCs w:val="20"/>
              </w:rPr>
              <w:t>(</w:t>
            </w:r>
            <w:r w:rsidRPr="591A7590">
              <w:rPr>
                <w:rFonts w:ascii="Arial" w:hAnsi="Arial" w:cs="Arial"/>
                <w:b/>
                <w:bCs/>
                <w:color w:val="FFFFFF" w:themeColor="background1"/>
                <w:szCs w:val="20"/>
              </w:rPr>
              <w:t>Hypothetical scenario</w:t>
            </w:r>
            <w:r>
              <w:rPr>
                <w:rFonts w:ascii="Arial" w:hAnsi="Arial" w:cs="Arial"/>
                <w:b/>
                <w:bCs/>
                <w:color w:val="FFFFFF" w:themeColor="background1"/>
                <w:szCs w:val="20"/>
              </w:rPr>
              <w:t>)</w:t>
            </w:r>
          </w:p>
        </w:tc>
      </w:tr>
      <w:tr w:rsidR="006C65D4" w:rsidRPr="00940D7E" w14:paraId="23306EBE" w14:textId="77777777" w:rsidTr="007C20BE">
        <w:tc>
          <w:tcPr>
            <w:tcW w:w="9639" w:type="dxa"/>
            <w:tcBorders>
              <w:top w:val="single" w:sz="4" w:space="0" w:color="5C676D" w:themeColor="accent3"/>
              <w:left w:val="nil"/>
              <w:bottom w:val="single" w:sz="4" w:space="0" w:color="5C676D" w:themeColor="accent3"/>
              <w:right w:val="nil"/>
            </w:tcBorders>
            <w:shd w:val="clear" w:color="auto" w:fill="FFFFFF" w:themeFill="background1"/>
            <w:vAlign w:val="center"/>
          </w:tcPr>
          <w:p w14:paraId="6090844D" w14:textId="77777777" w:rsidR="006C65D4" w:rsidRPr="00697029" w:rsidRDefault="006C65D4" w:rsidP="004C3259">
            <w:pPr>
              <w:keepLines/>
              <w:spacing w:before="120" w:after="120"/>
              <w:rPr>
                <w:rFonts w:ascii="Arial" w:hAnsi="Arial" w:cs="Arial"/>
                <w:szCs w:val="20"/>
              </w:rPr>
            </w:pPr>
            <w:r w:rsidRPr="591A7590">
              <w:rPr>
                <w:rFonts w:ascii="Arial" w:hAnsi="Arial" w:cs="Arial"/>
                <w:b/>
                <w:bCs/>
                <w:szCs w:val="20"/>
              </w:rPr>
              <w:t xml:space="preserve">Scenario: </w:t>
            </w:r>
            <w:r w:rsidRPr="591A7590">
              <w:rPr>
                <w:rFonts w:ascii="Arial" w:hAnsi="Arial" w:cs="Arial"/>
                <w:szCs w:val="20"/>
              </w:rPr>
              <w:t xml:space="preserve">A major port has operational data stored with a third-party data storage or processing provider (which is regulated under the SOCI Act). </w:t>
            </w:r>
          </w:p>
        </w:tc>
      </w:tr>
      <w:tr w:rsidR="006C65D4" w:rsidRPr="00940D7E" w14:paraId="0BF8A1BC" w14:textId="77777777" w:rsidTr="00344966">
        <w:tc>
          <w:tcPr>
            <w:tcW w:w="9639" w:type="dxa"/>
            <w:tcBorders>
              <w:top w:val="single" w:sz="4" w:space="0" w:color="5C676D" w:themeColor="accent3"/>
              <w:left w:val="nil"/>
              <w:bottom w:val="single" w:sz="4" w:space="0" w:color="5C676D" w:themeColor="accent3"/>
              <w:right w:val="nil"/>
            </w:tcBorders>
            <w:shd w:val="clear" w:color="auto" w:fill="F2F2F2" w:themeFill="background1" w:themeFillShade="F2"/>
            <w:vAlign w:val="center"/>
          </w:tcPr>
          <w:p w14:paraId="141530AA" w14:textId="77777777" w:rsidR="006C65D4" w:rsidRPr="00697029" w:rsidRDefault="006C65D4" w:rsidP="004C3259">
            <w:pPr>
              <w:keepLines/>
              <w:spacing w:before="120" w:after="120"/>
              <w:rPr>
                <w:rFonts w:ascii="Arial" w:hAnsi="Arial" w:cs="Arial"/>
                <w:b/>
                <w:bCs/>
                <w:szCs w:val="20"/>
              </w:rPr>
            </w:pPr>
            <w:r w:rsidRPr="591A7590">
              <w:rPr>
                <w:rFonts w:ascii="Arial" w:hAnsi="Arial" w:cs="Arial"/>
                <w:b/>
                <w:bCs/>
                <w:szCs w:val="20"/>
              </w:rPr>
              <w:t>Outcome:</w:t>
            </w:r>
            <w:r w:rsidRPr="591A7590">
              <w:rPr>
                <w:rFonts w:ascii="Arial" w:hAnsi="Arial" w:cs="Arial"/>
                <w:szCs w:val="20"/>
              </w:rPr>
              <w:t xml:space="preserve"> Under current legislative obligations, the data storage and processing entity contracted by the major port has obligations under the SOCI Act to protect the system that holds business critical data. If a breach occurred in this system, the data storage and processing entity has an existing obligation to report any data breaches under the </w:t>
            </w:r>
            <w:r>
              <w:rPr>
                <w:rFonts w:ascii="Arial" w:hAnsi="Arial" w:cs="Arial"/>
                <w:szCs w:val="20"/>
              </w:rPr>
              <w:t>MCIR</w:t>
            </w:r>
            <w:r w:rsidRPr="591A7590">
              <w:rPr>
                <w:rFonts w:ascii="Arial" w:hAnsi="Arial" w:cs="Arial"/>
                <w:szCs w:val="20"/>
              </w:rPr>
              <w:t xml:space="preserve"> in the SOCI Act. The requirements applicable to the third party, including </w:t>
            </w:r>
            <w:r>
              <w:rPr>
                <w:rFonts w:ascii="Arial" w:hAnsi="Arial" w:cs="Arial"/>
                <w:szCs w:val="20"/>
              </w:rPr>
              <w:t xml:space="preserve">a </w:t>
            </w:r>
            <w:r w:rsidRPr="591A7590">
              <w:rPr>
                <w:rFonts w:ascii="Arial" w:hAnsi="Arial" w:cs="Arial"/>
                <w:szCs w:val="20"/>
              </w:rPr>
              <w:t xml:space="preserve">reporting obligation, are clear and contribute to an enhanced ability for industry and Government to respond. </w:t>
            </w:r>
          </w:p>
        </w:tc>
      </w:tr>
    </w:tbl>
    <w:p w14:paraId="5C6150B5" w14:textId="51C0E033" w:rsidR="006C65D4" w:rsidRPr="00344966" w:rsidRDefault="006C65D4" w:rsidP="006C65D4">
      <w:pPr>
        <w:pStyle w:val="Caption"/>
        <w:rPr>
          <w:rFonts w:ascii="Calibri" w:hAnsi="Calibri" w:cs="Calibri"/>
          <w:bCs/>
        </w:rPr>
      </w:pPr>
      <w:r w:rsidRPr="00344966">
        <w:rPr>
          <w:rFonts w:ascii="Calibri" w:hAnsi="Calibri" w:cs="Calibri"/>
          <w:bCs/>
        </w:rPr>
        <w:t xml:space="preserve">Table </w:t>
      </w:r>
      <w:r w:rsidRPr="00344966">
        <w:rPr>
          <w:rFonts w:ascii="Calibri" w:hAnsi="Calibri" w:cs="Calibri"/>
          <w:bCs/>
          <w:color w:val="2B579A"/>
          <w:shd w:val="clear" w:color="auto" w:fill="E6E6E6"/>
        </w:rPr>
        <w:fldChar w:fldCharType="begin"/>
      </w:r>
      <w:r w:rsidRPr="00344966">
        <w:rPr>
          <w:rFonts w:ascii="Calibri" w:hAnsi="Calibri" w:cs="Calibri"/>
          <w:bCs/>
        </w:rPr>
        <w:instrText xml:space="preserve"> SEQ Table \* ARABIC </w:instrText>
      </w:r>
      <w:r w:rsidRPr="00344966">
        <w:rPr>
          <w:rFonts w:ascii="Calibri" w:hAnsi="Calibri" w:cs="Calibri"/>
          <w:bCs/>
          <w:color w:val="2B579A"/>
          <w:shd w:val="clear" w:color="auto" w:fill="E6E6E6"/>
        </w:rPr>
        <w:fldChar w:fldCharType="separate"/>
      </w:r>
      <w:r w:rsidR="00E8506B">
        <w:rPr>
          <w:rFonts w:ascii="Calibri" w:hAnsi="Calibri" w:cs="Calibri"/>
          <w:bCs/>
          <w:noProof/>
        </w:rPr>
        <w:t>9</w:t>
      </w:r>
      <w:r w:rsidRPr="00344966">
        <w:rPr>
          <w:rFonts w:ascii="Calibri" w:hAnsi="Calibri" w:cs="Calibri"/>
          <w:bCs/>
          <w:color w:val="2B579A"/>
          <w:shd w:val="clear" w:color="auto" w:fill="E6E6E6"/>
        </w:rPr>
        <w:fldChar w:fldCharType="end"/>
      </w:r>
      <w:r w:rsidRPr="00344966">
        <w:rPr>
          <w:rFonts w:ascii="Calibri" w:hAnsi="Calibri" w:cs="Calibri"/>
          <w:bCs/>
        </w:rPr>
        <w:t xml:space="preserve"> </w:t>
      </w:r>
      <w:r w:rsidRPr="00344966">
        <w:rPr>
          <w:rFonts w:ascii="Calibri" w:hAnsi="Calibri" w:cs="Calibri"/>
          <w:b w:val="0"/>
          <w:bCs/>
        </w:rPr>
        <w:t>Hypothetical Scenario – Storage of customer data</w:t>
      </w:r>
    </w:p>
    <w:tbl>
      <w:tblPr>
        <w:tblStyle w:val="TableGrid"/>
        <w:tblW w:w="9639" w:type="dxa"/>
        <w:tblLook w:val="04A0" w:firstRow="1" w:lastRow="0" w:firstColumn="1" w:lastColumn="0" w:noHBand="0" w:noVBand="1"/>
      </w:tblPr>
      <w:tblGrid>
        <w:gridCol w:w="9639"/>
      </w:tblGrid>
      <w:tr w:rsidR="00BD1B1D" w:rsidRPr="00940D7E" w14:paraId="60C24AD2" w14:textId="77777777" w:rsidTr="00D51E1C">
        <w:trPr>
          <w:trHeight w:val="461"/>
        </w:trPr>
        <w:tc>
          <w:tcPr>
            <w:tcW w:w="9639" w:type="dxa"/>
            <w:tcBorders>
              <w:top w:val="nil"/>
              <w:left w:val="nil"/>
              <w:bottom w:val="single" w:sz="4" w:space="0" w:color="5C676D" w:themeColor="accent3"/>
              <w:right w:val="nil"/>
            </w:tcBorders>
            <w:shd w:val="clear" w:color="auto" w:fill="284B98"/>
            <w:vAlign w:val="center"/>
          </w:tcPr>
          <w:p w14:paraId="0FB8DD6B" w14:textId="77777777" w:rsidR="00BD1B1D" w:rsidRPr="0052726C" w:rsidRDefault="00BD1B1D" w:rsidP="004C3259">
            <w:pPr>
              <w:spacing w:before="120" w:after="120"/>
              <w:rPr>
                <w:rFonts w:ascii="Arial" w:hAnsi="Arial" w:cs="Arial"/>
                <w:b/>
                <w:bCs/>
                <w:color w:val="FFFFFF" w:themeColor="background1"/>
                <w:szCs w:val="20"/>
                <w:highlight w:val="yellow"/>
              </w:rPr>
            </w:pPr>
            <w:r w:rsidRPr="591A7590">
              <w:rPr>
                <w:rFonts w:ascii="Arial" w:hAnsi="Arial" w:cs="Arial"/>
                <w:b/>
                <w:bCs/>
                <w:color w:val="FFFFFF" w:themeColor="background1"/>
                <w:szCs w:val="20"/>
              </w:rPr>
              <w:t>Storage of customer data</w:t>
            </w:r>
          </w:p>
          <w:p w14:paraId="7B35F9EF" w14:textId="485C5B7B" w:rsidR="00BD1B1D" w:rsidRPr="0052726C" w:rsidRDefault="00BD1B1D" w:rsidP="004C3259">
            <w:pPr>
              <w:spacing w:before="120" w:after="120"/>
              <w:rPr>
                <w:rFonts w:ascii="Arial" w:hAnsi="Arial" w:cs="Arial"/>
                <w:b/>
                <w:bCs/>
                <w:color w:val="FFFFFF" w:themeColor="background1"/>
                <w:szCs w:val="20"/>
              </w:rPr>
            </w:pPr>
            <w:r>
              <w:rPr>
                <w:rFonts w:ascii="Arial" w:hAnsi="Arial" w:cs="Arial"/>
                <w:b/>
                <w:bCs/>
                <w:color w:val="FFFFFF" w:themeColor="background1"/>
                <w:szCs w:val="20"/>
              </w:rPr>
              <w:t>(</w:t>
            </w:r>
            <w:r w:rsidRPr="591A7590">
              <w:rPr>
                <w:rFonts w:ascii="Arial" w:hAnsi="Arial" w:cs="Arial"/>
                <w:b/>
                <w:bCs/>
                <w:color w:val="FFFFFF" w:themeColor="background1"/>
                <w:szCs w:val="20"/>
              </w:rPr>
              <w:t>Hypothetical scenario</w:t>
            </w:r>
            <w:r>
              <w:rPr>
                <w:rFonts w:ascii="Arial" w:hAnsi="Arial" w:cs="Arial"/>
                <w:b/>
                <w:bCs/>
                <w:color w:val="FFFFFF" w:themeColor="background1"/>
                <w:szCs w:val="20"/>
              </w:rPr>
              <w:t>)</w:t>
            </w:r>
          </w:p>
        </w:tc>
      </w:tr>
      <w:tr w:rsidR="006C65D4" w:rsidRPr="00940D7E" w14:paraId="2FE70C3F" w14:textId="77777777" w:rsidTr="007C20BE">
        <w:tc>
          <w:tcPr>
            <w:tcW w:w="9639" w:type="dxa"/>
            <w:tcBorders>
              <w:top w:val="single" w:sz="4" w:space="0" w:color="5C676D" w:themeColor="accent3"/>
              <w:left w:val="nil"/>
              <w:bottom w:val="single" w:sz="4" w:space="0" w:color="5C676D" w:themeColor="accent3"/>
              <w:right w:val="nil"/>
            </w:tcBorders>
            <w:shd w:val="clear" w:color="auto" w:fill="FFFFFF" w:themeFill="background1"/>
            <w:vAlign w:val="center"/>
          </w:tcPr>
          <w:p w14:paraId="18BD4404" w14:textId="77777777" w:rsidR="006C65D4" w:rsidRPr="00697029" w:rsidRDefault="006C65D4" w:rsidP="004C3259">
            <w:pPr>
              <w:spacing w:before="120" w:after="120"/>
              <w:rPr>
                <w:rFonts w:ascii="Arial" w:hAnsi="Arial" w:cs="Arial"/>
                <w:szCs w:val="20"/>
              </w:rPr>
            </w:pPr>
            <w:r w:rsidRPr="591A7590">
              <w:rPr>
                <w:rFonts w:ascii="Arial" w:hAnsi="Arial" w:cs="Arial"/>
                <w:b/>
                <w:bCs/>
                <w:szCs w:val="20"/>
              </w:rPr>
              <w:t xml:space="preserve">Scenario: </w:t>
            </w:r>
            <w:r w:rsidRPr="591A7590">
              <w:rPr>
                <w:rFonts w:ascii="Arial" w:hAnsi="Arial" w:cs="Arial"/>
                <w:szCs w:val="20"/>
              </w:rPr>
              <w:t xml:space="preserve">A </w:t>
            </w:r>
            <w:r>
              <w:rPr>
                <w:rFonts w:ascii="Arial" w:hAnsi="Arial" w:cs="Arial"/>
                <w:szCs w:val="20"/>
              </w:rPr>
              <w:t>specified critical</w:t>
            </w:r>
            <w:r w:rsidRPr="591A7590">
              <w:rPr>
                <w:rFonts w:ascii="Arial" w:hAnsi="Arial" w:cs="Arial"/>
                <w:szCs w:val="20"/>
              </w:rPr>
              <w:t xml:space="preserve"> hospital has patient data stored within a data storage system to assist with the operations of the intensive care unit (which forms part of their existing critical infrastructure asset).</w:t>
            </w:r>
          </w:p>
        </w:tc>
      </w:tr>
      <w:tr w:rsidR="006C65D4" w:rsidRPr="00940D7E" w14:paraId="60FE733B" w14:textId="77777777" w:rsidTr="00344966">
        <w:tc>
          <w:tcPr>
            <w:tcW w:w="9639" w:type="dxa"/>
            <w:tcBorders>
              <w:top w:val="single" w:sz="4" w:space="0" w:color="5C676D" w:themeColor="accent3"/>
              <w:left w:val="nil"/>
              <w:bottom w:val="single" w:sz="4" w:space="0" w:color="5C676D" w:themeColor="accent3"/>
              <w:right w:val="nil"/>
            </w:tcBorders>
            <w:shd w:val="clear" w:color="auto" w:fill="F2F2F2" w:themeFill="background1" w:themeFillShade="F2"/>
            <w:vAlign w:val="center"/>
          </w:tcPr>
          <w:p w14:paraId="4DCD889B" w14:textId="77777777" w:rsidR="006C65D4" w:rsidRPr="00697029" w:rsidRDefault="006C65D4" w:rsidP="004C3259">
            <w:pPr>
              <w:spacing w:before="120" w:after="120"/>
              <w:rPr>
                <w:rFonts w:ascii="Arial" w:hAnsi="Arial" w:cs="Arial"/>
                <w:b/>
                <w:bCs/>
                <w:szCs w:val="20"/>
              </w:rPr>
            </w:pPr>
            <w:r w:rsidRPr="4E53CBE3">
              <w:rPr>
                <w:rFonts w:ascii="Arial" w:hAnsi="Arial" w:cs="Arial"/>
                <w:b/>
                <w:bCs/>
                <w:szCs w:val="20"/>
              </w:rPr>
              <w:t>Outcome:</w:t>
            </w:r>
            <w:r w:rsidRPr="4E53CBE3">
              <w:rPr>
                <w:rFonts w:ascii="Arial" w:hAnsi="Arial" w:cs="Arial"/>
                <w:szCs w:val="20"/>
              </w:rPr>
              <w:t xml:space="preserve"> If the data storage system was subject to an eligible data breach, the hospital would have an obligation under the Privacy Act to report the breach to affected persons and the Australian Information Commissioner. However, the format and application of the regulatory framework applicable to the designated hospital mean it is unclear whether the hospital should consider business critical data as part of their existing risk management obligations</w:t>
            </w:r>
            <w:r>
              <w:rPr>
                <w:rFonts w:ascii="Arial" w:hAnsi="Arial" w:cs="Arial"/>
                <w:szCs w:val="20"/>
              </w:rPr>
              <w:t xml:space="preserve"> or report it under the MCIR obligation</w:t>
            </w:r>
            <w:r w:rsidRPr="4E53CBE3">
              <w:rPr>
                <w:rFonts w:ascii="Arial" w:hAnsi="Arial" w:cs="Arial"/>
                <w:szCs w:val="20"/>
              </w:rPr>
              <w:t>.</w:t>
            </w:r>
            <w:r>
              <w:rPr>
                <w:rFonts w:ascii="Arial" w:hAnsi="Arial" w:cs="Arial"/>
                <w:szCs w:val="20"/>
              </w:rPr>
              <w:t xml:space="preserve"> An inability to access patient data may impact on the provision of essential services. </w:t>
            </w:r>
          </w:p>
        </w:tc>
      </w:tr>
    </w:tbl>
    <w:p w14:paraId="1C977EDE" w14:textId="77777777" w:rsidR="006C65D4" w:rsidRDefault="006C65D4" w:rsidP="006A08BD">
      <w:pPr>
        <w:pStyle w:val="BodyText"/>
      </w:pPr>
      <w:r>
        <w:t xml:space="preserve">Consultation with industry has highlighted issues which arise from ambiguities in the scope and obligations of businesses under the Act, including in relation to business critical data. </w:t>
      </w:r>
    </w:p>
    <w:p w14:paraId="7AEADBB8" w14:textId="77777777" w:rsidR="006C65D4" w:rsidRPr="00940D7E" w:rsidRDefault="006C65D4" w:rsidP="006A08BD">
      <w:pPr>
        <w:pStyle w:val="BodyText"/>
      </w:pPr>
      <w:r w:rsidRPr="591A7590">
        <w:t xml:space="preserve">Any requirements to capture secondary systems as part of risk management activities will be specifically designed to reduce the likelihood and severity of incidents of the kind described above and seek to address industry views on the ambiguities which arise under the existing regime. </w:t>
      </w:r>
    </w:p>
    <w:p w14:paraId="1EFC1037" w14:textId="77777777" w:rsidR="00DA2237" w:rsidRPr="0010570E" w:rsidRDefault="00DA2237" w:rsidP="00DA2237">
      <w:pPr>
        <w:pStyle w:val="Heading2"/>
        <w:spacing w:before="0"/>
        <w:rPr>
          <w:rFonts w:ascii="Arial" w:hAnsi="Arial"/>
        </w:rPr>
      </w:pPr>
      <w:bookmarkStart w:id="35" w:name="_Toc164683825"/>
      <w:bookmarkStart w:id="36" w:name="_Toc176183926"/>
      <w:r w:rsidRPr="2F6B7F1D">
        <w:rPr>
          <w:rFonts w:ascii="Arial" w:hAnsi="Arial"/>
        </w:rPr>
        <w:t>1.2 Businesses face difficulties responding effectively in the aftermath of an incident</w:t>
      </w:r>
      <w:bookmarkEnd w:id="35"/>
      <w:bookmarkEnd w:id="36"/>
      <w:r w:rsidRPr="2F6B7F1D">
        <w:rPr>
          <w:rFonts w:ascii="Arial" w:hAnsi="Arial"/>
        </w:rPr>
        <w:t xml:space="preserve"> </w:t>
      </w:r>
    </w:p>
    <w:p w14:paraId="4706D6E3" w14:textId="77777777" w:rsidR="00DA2237" w:rsidRDefault="00DA2237" w:rsidP="007C20BE">
      <w:pPr>
        <w:pStyle w:val="BodyText"/>
      </w:pPr>
      <w:r w:rsidRPr="591A7590">
        <w:t>All-hazards incidents</w:t>
      </w:r>
      <w:r>
        <w:t xml:space="preserve"> </w:t>
      </w:r>
      <w:r w:rsidRPr="591A7590">
        <w:t>have significant ongoing effects beyond the affected entity.</w:t>
      </w:r>
      <w:r w:rsidRPr="591A7590" w:rsidDel="005E7301">
        <w:t xml:space="preserve"> </w:t>
      </w:r>
      <w:r>
        <w:t>C</w:t>
      </w:r>
      <w:r w:rsidRPr="591A7590">
        <w:t xml:space="preserve">yber incidents may result in significant harms to individuals, organisations, and businesses, such as theft of sensitive data, substantial financial loses, reputational damage and loss of consumer confidence, as well as across the wider economy. </w:t>
      </w:r>
    </w:p>
    <w:p w14:paraId="6C6E9230" w14:textId="77777777" w:rsidR="00DA2237" w:rsidRDefault="00DA2237" w:rsidP="007C20BE">
      <w:pPr>
        <w:pStyle w:val="BodyText"/>
      </w:pPr>
      <w:r w:rsidRPr="591A7590">
        <w:t xml:space="preserve">While most critical infrastructure entities are willing to address the consequences of incidents impacting their assets, there can be legal or other restrictions which inhibit their ability to do so effectively and efficiently. Government reviews in the aftermath of the Optus and Medibank incidents (described above) highlighted the lack of a clear power to support </w:t>
      </w:r>
      <w:r>
        <w:t xml:space="preserve">in </w:t>
      </w:r>
      <w:r w:rsidRPr="591A7590" w:rsidDel="005E7301">
        <w:t xml:space="preserve">the </w:t>
      </w:r>
      <w:r w:rsidRPr="591A7590">
        <w:t>aftermath of an incident.</w:t>
      </w:r>
      <w:r w:rsidRPr="591A7590" w:rsidDel="005E7301">
        <w:t xml:space="preserve"> </w:t>
      </w:r>
      <w:r>
        <w:t>L</w:t>
      </w:r>
      <w:r w:rsidRPr="591A7590">
        <w:t xml:space="preserve">egal restrictions meant entities were not permitted to share information about affected customers to banks, in an effort to prevent financial fraud. Government was also without a legal power to direct entities to share this information. </w:t>
      </w:r>
    </w:p>
    <w:p w14:paraId="68EB1F77" w14:textId="30F181C1" w:rsidR="00DA2237" w:rsidRPr="0049544C" w:rsidRDefault="00DA2237" w:rsidP="007C20BE">
      <w:pPr>
        <w:pStyle w:val="BodyText"/>
      </w:pPr>
      <w:r w:rsidRPr="591A7590">
        <w:t xml:space="preserve">There are some legislative powers in place, in the SOCI Act and beyond, which may allow Government to intervene where there are risks to critical infrastructure assets. However, these powers do not currently extend to consequence management, as described in </w:t>
      </w:r>
      <w:r w:rsidRPr="00D84716">
        <w:rPr>
          <w:color w:val="2B579A"/>
          <w:shd w:val="clear" w:color="auto" w:fill="E6E6E6"/>
        </w:rPr>
        <w:fldChar w:fldCharType="begin"/>
      </w:r>
      <w:r w:rsidRPr="00D84716">
        <w:instrText xml:space="preserve"> REF _Ref163736514 \h  \* MERGEFORMAT </w:instrText>
      </w:r>
      <w:r w:rsidRPr="00D84716">
        <w:rPr>
          <w:color w:val="2B579A"/>
          <w:shd w:val="clear" w:color="auto" w:fill="E6E6E6"/>
        </w:rPr>
      </w:r>
      <w:r w:rsidRPr="00D84716">
        <w:rPr>
          <w:color w:val="2B579A"/>
          <w:shd w:val="clear" w:color="auto" w:fill="E6E6E6"/>
        </w:rPr>
        <w:fldChar w:fldCharType="separate"/>
      </w:r>
      <w:r w:rsidR="00E8506B" w:rsidRPr="00E8506B">
        <w:t xml:space="preserve">Table </w:t>
      </w:r>
      <w:r w:rsidR="00E8506B" w:rsidRPr="00E8506B">
        <w:rPr>
          <w:noProof/>
        </w:rPr>
        <w:t>10</w:t>
      </w:r>
      <w:r w:rsidRPr="00D84716">
        <w:rPr>
          <w:color w:val="2B579A"/>
          <w:shd w:val="clear" w:color="auto" w:fill="E6E6E6"/>
        </w:rPr>
        <w:fldChar w:fldCharType="end"/>
      </w:r>
      <w:r w:rsidRPr="591A7590">
        <w:t xml:space="preserve"> below. </w:t>
      </w:r>
    </w:p>
    <w:p w14:paraId="1F2304F4" w14:textId="28CE89E4" w:rsidR="00DA2237" w:rsidRPr="00344966" w:rsidRDefault="27357292" w:rsidP="00DA2237">
      <w:pPr>
        <w:pStyle w:val="Caption"/>
        <w:rPr>
          <w:rFonts w:ascii="Calibri" w:hAnsi="Calibri" w:cs="Calibri"/>
        </w:rPr>
      </w:pPr>
      <w:bookmarkStart w:id="37" w:name="_Ref163736514"/>
      <w:r w:rsidRPr="00344966">
        <w:rPr>
          <w:rFonts w:ascii="Calibri" w:hAnsi="Calibri" w:cs="Calibri"/>
          <w:bCs/>
        </w:rPr>
        <w:t xml:space="preserve">Table </w:t>
      </w:r>
      <w:r w:rsidR="00DA2237" w:rsidRPr="00344966">
        <w:rPr>
          <w:rFonts w:ascii="Calibri" w:hAnsi="Calibri" w:cs="Calibri"/>
          <w:color w:val="2B579A"/>
          <w:shd w:val="clear" w:color="auto" w:fill="E6E6E6"/>
        </w:rPr>
        <w:fldChar w:fldCharType="begin"/>
      </w:r>
      <w:r w:rsidR="00DA2237" w:rsidRPr="00344966">
        <w:rPr>
          <w:rFonts w:ascii="Calibri" w:hAnsi="Calibri" w:cs="Calibri"/>
        </w:rPr>
        <w:instrText xml:space="preserve"> SEQ Table \* ARABIC </w:instrText>
      </w:r>
      <w:r w:rsidR="00DA2237" w:rsidRPr="00344966">
        <w:rPr>
          <w:rFonts w:ascii="Calibri" w:hAnsi="Calibri" w:cs="Calibri"/>
          <w:color w:val="2B579A"/>
          <w:shd w:val="clear" w:color="auto" w:fill="E6E6E6"/>
        </w:rPr>
        <w:fldChar w:fldCharType="separate"/>
      </w:r>
      <w:r w:rsidR="00E8506B">
        <w:rPr>
          <w:rFonts w:ascii="Calibri" w:hAnsi="Calibri" w:cs="Calibri"/>
          <w:noProof/>
        </w:rPr>
        <w:t>10</w:t>
      </w:r>
      <w:r w:rsidR="00DA2237" w:rsidRPr="00344966">
        <w:rPr>
          <w:rFonts w:ascii="Calibri" w:hAnsi="Calibri" w:cs="Calibri"/>
          <w:color w:val="2B579A"/>
          <w:shd w:val="clear" w:color="auto" w:fill="E6E6E6"/>
        </w:rPr>
        <w:fldChar w:fldCharType="end"/>
      </w:r>
      <w:bookmarkEnd w:id="37"/>
      <w:r w:rsidRPr="00344966">
        <w:rPr>
          <w:rFonts w:ascii="Calibri" w:hAnsi="Calibri" w:cs="Calibri"/>
        </w:rPr>
        <w:t xml:space="preserve"> </w:t>
      </w:r>
      <w:r w:rsidRPr="00344966">
        <w:rPr>
          <w:rFonts w:ascii="Calibri" w:hAnsi="Calibri" w:cs="Calibri"/>
          <w:b w:val="0"/>
        </w:rPr>
        <w:t>Gaps in existing legislation for consequence management</w:t>
      </w:r>
    </w:p>
    <w:tbl>
      <w:tblPr>
        <w:tblStyle w:val="GridTable4-Accent11"/>
        <w:tblW w:w="9614" w:type="dxa"/>
        <w:tblBorders>
          <w:top w:val="none" w:sz="0" w:space="0" w:color="auto"/>
          <w:left w:val="none" w:sz="0" w:space="0" w:color="auto"/>
          <w:bottom w:val="single" w:sz="4" w:space="0" w:color="BFBFBF"/>
          <w:right w:val="none" w:sz="0" w:space="0" w:color="auto"/>
          <w:insideH w:val="single" w:sz="4" w:space="0" w:color="BFBFBF"/>
          <w:insideV w:val="none" w:sz="0" w:space="0" w:color="auto"/>
        </w:tblBorders>
        <w:tblLook w:val="0620" w:firstRow="1" w:lastRow="0" w:firstColumn="0" w:lastColumn="0" w:noHBand="1" w:noVBand="1"/>
      </w:tblPr>
      <w:tblGrid>
        <w:gridCol w:w="1770"/>
        <w:gridCol w:w="3914"/>
        <w:gridCol w:w="3930"/>
      </w:tblGrid>
      <w:tr w:rsidR="00BD1B1D" w:rsidRPr="00940D7E" w14:paraId="5AEEF90C" w14:textId="77777777" w:rsidTr="008432A2">
        <w:trPr>
          <w:cnfStyle w:val="100000000000" w:firstRow="1" w:lastRow="0" w:firstColumn="0" w:lastColumn="0" w:oddVBand="0" w:evenVBand="0" w:oddHBand="0" w:evenHBand="0" w:firstRowFirstColumn="0" w:firstRowLastColumn="0" w:lastRowFirstColumn="0" w:lastRowLastColumn="0"/>
          <w:trHeight w:val="477"/>
          <w:tblHeader/>
        </w:trPr>
        <w:tc>
          <w:tcPr>
            <w:tcW w:w="0" w:type="auto"/>
            <w:shd w:val="clear" w:color="auto" w:fill="034EA2" w:themeFill="accent1"/>
          </w:tcPr>
          <w:p w14:paraId="1FA5CAEE" w14:textId="6DA8D519" w:rsidR="00BD1B1D" w:rsidRPr="00631F6B" w:rsidRDefault="00BD1B1D" w:rsidP="004C3259">
            <w:pPr>
              <w:keepNext/>
              <w:spacing w:before="120" w:after="120"/>
              <w:rPr>
                <w:rFonts w:ascii="Arial" w:eastAsia="Arial" w:hAnsi="Arial" w:cs="Arial"/>
                <w:b w:val="0"/>
                <w:szCs w:val="20"/>
              </w:rPr>
            </w:pPr>
          </w:p>
        </w:tc>
        <w:tc>
          <w:tcPr>
            <w:tcW w:w="0" w:type="auto"/>
            <w:shd w:val="clear" w:color="auto" w:fill="034EA2" w:themeFill="accent1"/>
          </w:tcPr>
          <w:p w14:paraId="1D81CDA0" w14:textId="2F0D2A86" w:rsidR="00BD1B1D" w:rsidRPr="00631F6B" w:rsidRDefault="00BD1B1D" w:rsidP="004C3259">
            <w:pPr>
              <w:keepNext/>
              <w:spacing w:before="120" w:after="120"/>
              <w:rPr>
                <w:rFonts w:ascii="Arial" w:eastAsia="Arial" w:hAnsi="Arial" w:cs="Arial"/>
                <w:b w:val="0"/>
                <w:szCs w:val="20"/>
              </w:rPr>
            </w:pPr>
            <w:r w:rsidRPr="00631F6B">
              <w:rPr>
                <w:rFonts w:ascii="Arial" w:eastAsia="Arial" w:hAnsi="Arial" w:cs="Arial"/>
                <w:color w:val="FFFFFF" w:themeColor="background1"/>
                <w:szCs w:val="20"/>
              </w:rPr>
              <w:t>Overview of existing regulation</w:t>
            </w:r>
          </w:p>
        </w:tc>
        <w:tc>
          <w:tcPr>
            <w:tcW w:w="0" w:type="auto"/>
            <w:shd w:val="clear" w:color="auto" w:fill="034EA2" w:themeFill="accent1"/>
          </w:tcPr>
          <w:p w14:paraId="17BA2375" w14:textId="77777777" w:rsidR="00BD1B1D" w:rsidRPr="00631F6B" w:rsidRDefault="00BD1B1D" w:rsidP="004C3259">
            <w:pPr>
              <w:keepNext/>
              <w:spacing w:before="120" w:after="120"/>
              <w:rPr>
                <w:rFonts w:ascii="Arial" w:eastAsia="Arial" w:hAnsi="Arial" w:cs="Arial"/>
                <w:b w:val="0"/>
                <w:szCs w:val="20"/>
              </w:rPr>
            </w:pPr>
            <w:r w:rsidRPr="00631F6B">
              <w:rPr>
                <w:rFonts w:ascii="Arial" w:eastAsia="Arial" w:hAnsi="Arial" w:cs="Arial"/>
                <w:color w:val="FFFFFF" w:themeColor="background1"/>
                <w:szCs w:val="20"/>
              </w:rPr>
              <w:t>Identified gap</w:t>
            </w:r>
          </w:p>
        </w:tc>
      </w:tr>
      <w:tr w:rsidR="00DA2237" w:rsidRPr="00940D7E" w14:paraId="648C7F57" w14:textId="77777777" w:rsidTr="008432A2">
        <w:trPr>
          <w:trHeight w:val="5646"/>
        </w:trPr>
        <w:tc>
          <w:tcPr>
            <w:tcW w:w="0" w:type="auto"/>
            <w:shd w:val="clear" w:color="auto" w:fill="auto"/>
            <w:vAlign w:val="center"/>
          </w:tcPr>
          <w:p w14:paraId="1CD52E62" w14:textId="77777777" w:rsidR="00DA2237" w:rsidRPr="00631F6B" w:rsidRDefault="00DA2237" w:rsidP="004C3259">
            <w:pPr>
              <w:spacing w:before="120" w:after="120"/>
              <w:rPr>
                <w:rFonts w:ascii="Arial" w:eastAsia="MS Mincho" w:hAnsi="Arial" w:cs="Arial"/>
                <w:b/>
                <w:color w:val="000000"/>
                <w:szCs w:val="20"/>
                <w:lang w:val="en-US"/>
              </w:rPr>
            </w:pPr>
            <w:r w:rsidRPr="00631F6B">
              <w:rPr>
                <w:rFonts w:ascii="Arial" w:eastAsia="MS Mincho" w:hAnsi="Arial" w:cs="Arial"/>
                <w:b/>
                <w:i/>
                <w:color w:val="000000" w:themeColor="text1"/>
                <w:szCs w:val="20"/>
              </w:rPr>
              <w:t>Security of Critical Infrastructure Act 2018</w:t>
            </w:r>
            <w:r w:rsidRPr="00631F6B">
              <w:rPr>
                <w:rFonts w:ascii="Arial" w:eastAsia="MS Mincho" w:hAnsi="Arial" w:cs="Arial"/>
                <w:b/>
                <w:color w:val="000000" w:themeColor="text1"/>
                <w:szCs w:val="20"/>
              </w:rPr>
              <w:t xml:space="preserve"> (Cth)</w:t>
            </w:r>
          </w:p>
        </w:tc>
        <w:tc>
          <w:tcPr>
            <w:tcW w:w="0" w:type="auto"/>
            <w:shd w:val="clear" w:color="auto" w:fill="auto"/>
            <w:vAlign w:val="center"/>
          </w:tcPr>
          <w:p w14:paraId="39612418" w14:textId="77777777" w:rsidR="00DA2237" w:rsidRPr="00631F6B" w:rsidRDefault="00DA2237" w:rsidP="004C3259">
            <w:pPr>
              <w:spacing w:before="120" w:after="120"/>
              <w:rPr>
                <w:rFonts w:ascii="Arial" w:eastAsia="MS Mincho" w:hAnsi="Arial" w:cs="Arial"/>
                <w:color w:val="000000"/>
                <w:szCs w:val="20"/>
                <w:lang w:val="en-US"/>
              </w:rPr>
            </w:pPr>
            <w:r w:rsidRPr="00631F6B">
              <w:rPr>
                <w:rFonts w:ascii="Arial" w:eastAsia="MS Mincho" w:hAnsi="Arial" w:cs="Arial"/>
                <w:color w:val="000000" w:themeColor="text1"/>
                <w:szCs w:val="20"/>
              </w:rPr>
              <w:t>Part 3A contain</w:t>
            </w:r>
            <w:r>
              <w:rPr>
                <w:rFonts w:ascii="Arial" w:eastAsia="MS Mincho" w:hAnsi="Arial" w:cs="Arial"/>
                <w:color w:val="000000" w:themeColor="text1"/>
                <w:szCs w:val="20"/>
              </w:rPr>
              <w:t>s</w:t>
            </w:r>
            <w:r w:rsidRPr="00631F6B">
              <w:rPr>
                <w:rFonts w:ascii="Arial" w:eastAsia="MS Mincho" w:hAnsi="Arial" w:cs="Arial"/>
                <w:color w:val="000000" w:themeColor="text1"/>
                <w:szCs w:val="20"/>
              </w:rPr>
              <w:t xml:space="preserve"> government assistance measures which are designed to assist with the immediate response to serious cyber security incidents, where they pose a material risk to Australia’s national interests. The powers allow Government to support in defending critical infrastructure from incidents which may impact delivery of essential services.</w:t>
            </w:r>
          </w:p>
        </w:tc>
        <w:tc>
          <w:tcPr>
            <w:tcW w:w="0" w:type="auto"/>
            <w:shd w:val="clear" w:color="auto" w:fill="F2F2F2" w:themeFill="background2" w:themeFillShade="F2"/>
            <w:vAlign w:val="center"/>
          </w:tcPr>
          <w:p w14:paraId="5EB272ED" w14:textId="77777777" w:rsidR="00DA2237" w:rsidRPr="00631F6B" w:rsidRDefault="00DA2237" w:rsidP="004C3259">
            <w:pPr>
              <w:tabs>
                <w:tab w:val="num" w:pos="284"/>
              </w:tabs>
              <w:spacing w:before="120" w:after="120"/>
              <w:rPr>
                <w:rFonts w:ascii="Arial" w:eastAsia="Times New Roman" w:hAnsi="Arial" w:cs="Arial"/>
                <w:szCs w:val="20"/>
                <w:lang w:eastAsia="en-AU"/>
              </w:rPr>
            </w:pPr>
            <w:r w:rsidRPr="00631F6B">
              <w:rPr>
                <w:rFonts w:ascii="Arial" w:eastAsia="MS Mincho" w:hAnsi="Arial" w:cs="Arial"/>
                <w:color w:val="000000" w:themeColor="text1"/>
                <w:szCs w:val="20"/>
              </w:rPr>
              <w:t xml:space="preserve">The powers in Part 3A cannot be used for consequence management because they are limited in scope to the incident itself, not the consequences following an incident’s occurrence. The powers are not designed to manage secondary consequences, no matter the severity or scale of impact. </w:t>
            </w:r>
          </w:p>
          <w:p w14:paraId="7EEFCF80" w14:textId="77777777" w:rsidR="00DA2237" w:rsidRPr="00631F6B" w:rsidRDefault="00DA2237" w:rsidP="4F26752A">
            <w:pPr>
              <w:tabs>
                <w:tab w:val="num" w:pos="284"/>
              </w:tabs>
              <w:spacing w:before="120" w:after="120"/>
              <w:rPr>
                <w:rFonts w:ascii="Arial" w:eastAsia="Times New Roman" w:hAnsi="Arial" w:cs="Arial"/>
                <w:lang w:eastAsia="en-AU"/>
              </w:rPr>
            </w:pPr>
            <w:r w:rsidRPr="4F26752A">
              <w:rPr>
                <w:rFonts w:ascii="Arial" w:eastAsia="MS Mincho" w:hAnsi="Arial" w:cs="Arial"/>
                <w:color w:val="000000" w:themeColor="text1"/>
              </w:rPr>
              <w:t>It is the responsibility of critical infrastructure owners and operators to consider and plan for these risks and implement appropriate strategies to manage incidents impacting their assets.</w:t>
            </w:r>
          </w:p>
          <w:p w14:paraId="50F866CC" w14:textId="482AAD47" w:rsidR="00DA2237" w:rsidRPr="00631F6B" w:rsidRDefault="00DA2237" w:rsidP="4F26752A">
            <w:pPr>
              <w:tabs>
                <w:tab w:val="num" w:pos="284"/>
              </w:tabs>
              <w:spacing w:before="120" w:after="120"/>
              <w:rPr>
                <w:rFonts w:ascii="Arial" w:eastAsia="MS Mincho" w:hAnsi="Arial" w:cs="Arial"/>
                <w:color w:val="000000" w:themeColor="text1"/>
                <w:lang w:val="en-US"/>
              </w:rPr>
            </w:pPr>
            <w:r w:rsidRPr="4F26752A">
              <w:rPr>
                <w:rFonts w:ascii="Arial" w:eastAsia="MS Mincho" w:hAnsi="Arial" w:cs="Arial"/>
                <w:color w:val="000000" w:themeColor="text1"/>
              </w:rPr>
              <w:t xml:space="preserve">Further, Part 3A may only be used when a cyber-origin has been established </w:t>
            </w:r>
            <w:r w:rsidR="449EE44F" w:rsidRPr="4F26752A">
              <w:rPr>
                <w:rFonts w:ascii="Arial" w:eastAsia="MS Mincho" w:hAnsi="Arial" w:cs="Arial"/>
                <w:color w:val="000000" w:themeColor="text1"/>
              </w:rPr>
              <w:t xml:space="preserve">(rather than, for example, a natural hazard or personnel hazard) </w:t>
            </w:r>
            <w:r w:rsidRPr="4F26752A">
              <w:rPr>
                <w:rFonts w:ascii="Arial" w:eastAsia="MS Mincho" w:hAnsi="Arial" w:cs="Arial"/>
                <w:color w:val="000000" w:themeColor="text1"/>
              </w:rPr>
              <w:t>– something often difficult to achieve in a high intensity, time critical environment.</w:t>
            </w:r>
          </w:p>
        </w:tc>
      </w:tr>
      <w:tr w:rsidR="00DA2237" w:rsidRPr="00940D7E" w14:paraId="19341587" w14:textId="77777777" w:rsidTr="008432A2">
        <w:trPr>
          <w:trHeight w:val="3289"/>
        </w:trPr>
        <w:tc>
          <w:tcPr>
            <w:tcW w:w="0" w:type="auto"/>
            <w:shd w:val="clear" w:color="auto" w:fill="auto"/>
            <w:vAlign w:val="center"/>
          </w:tcPr>
          <w:p w14:paraId="7CFE27A2" w14:textId="77777777" w:rsidR="00DA2237" w:rsidRPr="00631F6B" w:rsidRDefault="00DA2237" w:rsidP="004C3259">
            <w:pPr>
              <w:spacing w:before="120" w:after="120"/>
              <w:rPr>
                <w:rFonts w:ascii="Arial" w:eastAsia="MS Mincho" w:hAnsi="Arial" w:cs="Arial"/>
                <w:color w:val="000000"/>
                <w:szCs w:val="20"/>
                <w:lang w:val="en-US"/>
              </w:rPr>
            </w:pPr>
            <w:r w:rsidRPr="00631F6B">
              <w:rPr>
                <w:rFonts w:ascii="Arial" w:eastAsia="MS Mincho" w:hAnsi="Arial" w:cs="Arial"/>
                <w:b/>
                <w:i/>
                <w:color w:val="000000" w:themeColor="text1"/>
                <w:szCs w:val="20"/>
              </w:rPr>
              <w:t>National Emergency Declaration Act 2020</w:t>
            </w:r>
            <w:r w:rsidRPr="00631F6B">
              <w:rPr>
                <w:rFonts w:ascii="Arial" w:eastAsia="MS Mincho" w:hAnsi="Arial" w:cs="Arial"/>
                <w:color w:val="000000" w:themeColor="text1"/>
                <w:szCs w:val="20"/>
              </w:rPr>
              <w:t xml:space="preserve"> </w:t>
            </w:r>
            <w:r w:rsidRPr="00631F6B">
              <w:rPr>
                <w:rFonts w:ascii="Arial" w:eastAsia="MS Mincho" w:hAnsi="Arial" w:cs="Arial"/>
                <w:b/>
                <w:color w:val="000000" w:themeColor="text1"/>
                <w:szCs w:val="20"/>
              </w:rPr>
              <w:t>(Cth)</w:t>
            </w:r>
          </w:p>
        </w:tc>
        <w:tc>
          <w:tcPr>
            <w:tcW w:w="0" w:type="auto"/>
            <w:shd w:val="clear" w:color="auto" w:fill="auto"/>
            <w:vAlign w:val="center"/>
          </w:tcPr>
          <w:p w14:paraId="3D437BCC" w14:textId="77777777" w:rsidR="00DA2237" w:rsidRPr="00631F6B" w:rsidRDefault="00DA2237" w:rsidP="004C3259">
            <w:pPr>
              <w:spacing w:before="120" w:after="120"/>
              <w:rPr>
                <w:rFonts w:ascii="Arial" w:eastAsia="MS Mincho" w:hAnsi="Arial" w:cs="Arial"/>
                <w:color w:val="000000"/>
                <w:szCs w:val="20"/>
                <w:lang w:val="en-US"/>
              </w:rPr>
            </w:pPr>
            <w:r w:rsidRPr="00631F6B">
              <w:rPr>
                <w:rFonts w:ascii="Arial" w:eastAsia="MS Mincho" w:hAnsi="Arial" w:cs="Arial"/>
                <w:color w:val="000000" w:themeColor="text1"/>
                <w:szCs w:val="20"/>
              </w:rPr>
              <w:t>Enables the Governor-General to make a national emergency declaration on the advice of the Prime Minister. It also allows a responsible Commonwealth Minister to streamline the exercise of existing national emergency powers listed in the NED Act.</w:t>
            </w:r>
          </w:p>
        </w:tc>
        <w:tc>
          <w:tcPr>
            <w:tcW w:w="0" w:type="auto"/>
            <w:shd w:val="clear" w:color="auto" w:fill="F2F2F2" w:themeFill="background2" w:themeFillShade="F2"/>
            <w:vAlign w:val="center"/>
          </w:tcPr>
          <w:p w14:paraId="60F10405" w14:textId="77777777" w:rsidR="00DA2237" w:rsidRPr="00631F6B" w:rsidRDefault="00DA2237" w:rsidP="004C3259">
            <w:pPr>
              <w:tabs>
                <w:tab w:val="num" w:pos="284"/>
              </w:tabs>
              <w:spacing w:before="120" w:after="120"/>
              <w:rPr>
                <w:rFonts w:ascii="Arial" w:eastAsia="Times New Roman" w:hAnsi="Arial" w:cs="Arial"/>
                <w:szCs w:val="20"/>
                <w:lang w:eastAsia="en-AU"/>
              </w:rPr>
            </w:pPr>
            <w:r w:rsidRPr="00631F6B">
              <w:rPr>
                <w:rFonts w:ascii="Arial" w:eastAsia="Times New Roman" w:hAnsi="Arial" w:cs="Arial"/>
                <w:szCs w:val="20"/>
              </w:rPr>
              <w:t xml:space="preserve">While the NED Act is designed to reduce red tape and the administrative burden of people affected by a national disaster, it does not specifically address consequence management in the aftermath of an incident. The NED Act and the ability for the Minister to streamline the exercise of existing national emergency powers (which includes part 3A of SOCI) could be used in tandem with amendments to enhance overall incident response. </w:t>
            </w:r>
          </w:p>
        </w:tc>
      </w:tr>
    </w:tbl>
    <w:p w14:paraId="7E2A8A1F" w14:textId="56709B9F" w:rsidR="00DA2237" w:rsidRDefault="00DA2237" w:rsidP="4F26752A">
      <w:pPr>
        <w:spacing w:before="120" w:after="120"/>
        <w:rPr>
          <w:rFonts w:ascii="Arial" w:hAnsi="Arial" w:cs="Arial"/>
        </w:rPr>
      </w:pPr>
      <w:r w:rsidRPr="4F26752A">
        <w:rPr>
          <w:rFonts w:ascii="Arial" w:hAnsi="Arial" w:cs="Arial"/>
        </w:rPr>
        <w:t xml:space="preserve">These gaps can have tangible impacts on timely incident management and recovery. This also directly effects the financial costs which might arise from an all-hazards incident, including costs to an individual, the </w:t>
      </w:r>
      <w:r w:rsidR="5B0DB89D" w:rsidRPr="4F26752A">
        <w:rPr>
          <w:rFonts w:ascii="Arial" w:hAnsi="Arial" w:cs="Arial"/>
        </w:rPr>
        <w:t>a</w:t>
      </w:r>
      <w:r w:rsidRPr="4F26752A">
        <w:rPr>
          <w:rFonts w:ascii="Arial" w:hAnsi="Arial" w:cs="Arial"/>
        </w:rPr>
        <w:t xml:space="preserve">ffected entity, and the Australian economy. The hypothetical scenarios set out below further demonstrate how the identified gaps in the existing legislative framework may affect industry and Government in practice. </w:t>
      </w:r>
    </w:p>
    <w:p w14:paraId="4101BC4D" w14:textId="0E1C6329" w:rsidR="00DA2237" w:rsidRPr="00344966" w:rsidRDefault="27357292" w:rsidP="00DA2237">
      <w:pPr>
        <w:pStyle w:val="Caption"/>
        <w:rPr>
          <w:rFonts w:ascii="Calibri" w:hAnsi="Calibri" w:cs="Calibri"/>
          <w:b w:val="0"/>
        </w:rPr>
      </w:pPr>
      <w:r w:rsidRPr="00344966">
        <w:rPr>
          <w:rFonts w:ascii="Calibri" w:hAnsi="Calibri" w:cs="Calibri"/>
          <w:bCs/>
        </w:rPr>
        <w:t xml:space="preserve">Table </w:t>
      </w:r>
      <w:r w:rsidR="00DA2237" w:rsidRPr="00344966">
        <w:rPr>
          <w:rFonts w:ascii="Calibri" w:hAnsi="Calibri" w:cs="Calibri"/>
          <w:color w:val="2B579A"/>
          <w:shd w:val="clear" w:color="auto" w:fill="E6E6E6"/>
        </w:rPr>
        <w:fldChar w:fldCharType="begin"/>
      </w:r>
      <w:r w:rsidR="00DA2237" w:rsidRPr="00344966">
        <w:rPr>
          <w:rFonts w:ascii="Calibri" w:hAnsi="Calibri" w:cs="Calibri"/>
        </w:rPr>
        <w:instrText xml:space="preserve"> SEQ Table \* ARABIC </w:instrText>
      </w:r>
      <w:r w:rsidR="00DA2237" w:rsidRPr="00344966">
        <w:rPr>
          <w:rFonts w:ascii="Calibri" w:hAnsi="Calibri" w:cs="Calibri"/>
          <w:color w:val="2B579A"/>
          <w:shd w:val="clear" w:color="auto" w:fill="E6E6E6"/>
        </w:rPr>
        <w:fldChar w:fldCharType="separate"/>
      </w:r>
      <w:r w:rsidR="00E8506B">
        <w:rPr>
          <w:rFonts w:ascii="Calibri" w:hAnsi="Calibri" w:cs="Calibri"/>
          <w:noProof/>
        </w:rPr>
        <w:t>11</w:t>
      </w:r>
      <w:r w:rsidR="00DA2237" w:rsidRPr="00344966">
        <w:rPr>
          <w:rFonts w:ascii="Calibri" w:hAnsi="Calibri" w:cs="Calibri"/>
          <w:color w:val="2B579A"/>
          <w:shd w:val="clear" w:color="auto" w:fill="E6E6E6"/>
        </w:rPr>
        <w:fldChar w:fldCharType="end"/>
      </w:r>
      <w:r w:rsidRPr="00344966">
        <w:rPr>
          <w:rFonts w:ascii="Calibri" w:hAnsi="Calibri" w:cs="Calibri"/>
          <w:b w:val="0"/>
          <w:bCs/>
        </w:rPr>
        <w:t xml:space="preserve"> </w:t>
      </w:r>
      <w:r w:rsidRPr="00344966">
        <w:rPr>
          <w:rFonts w:ascii="Calibri" w:hAnsi="Calibri" w:cs="Calibri"/>
          <w:b w:val="0"/>
        </w:rPr>
        <w:t>Hypothetical Scenario – Research data stolen from a university</w:t>
      </w:r>
    </w:p>
    <w:tbl>
      <w:tblPr>
        <w:tblStyle w:val="TableGrid"/>
        <w:tblW w:w="9487" w:type="dxa"/>
        <w:tblLook w:val="04A0" w:firstRow="1" w:lastRow="0" w:firstColumn="1" w:lastColumn="0" w:noHBand="0" w:noVBand="1"/>
      </w:tblPr>
      <w:tblGrid>
        <w:gridCol w:w="9487"/>
      </w:tblGrid>
      <w:tr w:rsidR="00BD1B1D" w:rsidRPr="00940D7E" w14:paraId="6B423EA4" w14:textId="77777777" w:rsidTr="00E6462B">
        <w:trPr>
          <w:trHeight w:val="468"/>
        </w:trPr>
        <w:tc>
          <w:tcPr>
            <w:tcW w:w="9487" w:type="dxa"/>
            <w:tcBorders>
              <w:top w:val="nil"/>
              <w:left w:val="nil"/>
              <w:bottom w:val="single" w:sz="4" w:space="0" w:color="5C676D" w:themeColor="accent3"/>
              <w:right w:val="nil"/>
            </w:tcBorders>
            <w:shd w:val="clear" w:color="auto" w:fill="284B98"/>
            <w:vAlign w:val="center"/>
          </w:tcPr>
          <w:p w14:paraId="0B1B613B" w14:textId="77777777" w:rsidR="00BD1B1D" w:rsidRPr="0052726C" w:rsidRDefault="00BD1B1D" w:rsidP="004C3259">
            <w:pPr>
              <w:spacing w:before="120" w:after="120"/>
              <w:rPr>
                <w:rFonts w:ascii="Arial" w:hAnsi="Arial" w:cs="Arial"/>
                <w:b/>
                <w:bCs/>
                <w:color w:val="FFFFFF" w:themeColor="background1"/>
                <w:szCs w:val="20"/>
              </w:rPr>
            </w:pPr>
            <w:r w:rsidRPr="3A9E9E7F">
              <w:rPr>
                <w:rFonts w:ascii="Arial" w:hAnsi="Arial" w:cs="Arial"/>
                <w:b/>
                <w:bCs/>
                <w:color w:val="FFFFFF" w:themeColor="background1"/>
                <w:szCs w:val="20"/>
              </w:rPr>
              <w:t>Research data stolen from a university</w:t>
            </w:r>
          </w:p>
          <w:p w14:paraId="26502258" w14:textId="16F81740" w:rsidR="00BD1B1D" w:rsidRPr="0052726C" w:rsidRDefault="00BD1B1D" w:rsidP="004C3259">
            <w:pPr>
              <w:spacing w:before="120" w:after="120"/>
              <w:rPr>
                <w:rFonts w:ascii="Arial" w:hAnsi="Arial" w:cs="Arial"/>
                <w:b/>
                <w:bCs/>
                <w:color w:val="FFFFFF" w:themeColor="background1"/>
                <w:szCs w:val="20"/>
              </w:rPr>
            </w:pPr>
            <w:r>
              <w:rPr>
                <w:rFonts w:ascii="Arial" w:hAnsi="Arial" w:cs="Arial"/>
                <w:b/>
                <w:bCs/>
                <w:color w:val="FFFFFF" w:themeColor="background1"/>
                <w:szCs w:val="20"/>
              </w:rPr>
              <w:t>(</w:t>
            </w:r>
            <w:r w:rsidRPr="591A7590">
              <w:rPr>
                <w:rFonts w:ascii="Arial" w:hAnsi="Arial" w:cs="Arial"/>
                <w:b/>
                <w:bCs/>
                <w:color w:val="FFFFFF" w:themeColor="background1"/>
                <w:szCs w:val="20"/>
              </w:rPr>
              <w:t>Hypothetical scenario</w:t>
            </w:r>
            <w:r>
              <w:rPr>
                <w:rFonts w:ascii="Arial" w:hAnsi="Arial" w:cs="Arial"/>
                <w:b/>
                <w:bCs/>
                <w:color w:val="FFFFFF" w:themeColor="background1"/>
                <w:szCs w:val="20"/>
              </w:rPr>
              <w:t>)</w:t>
            </w:r>
          </w:p>
        </w:tc>
      </w:tr>
      <w:tr w:rsidR="00DA2237" w:rsidRPr="00940D7E" w14:paraId="6AA893C8" w14:textId="77777777" w:rsidTr="00E6462B">
        <w:trPr>
          <w:trHeight w:val="305"/>
        </w:trPr>
        <w:tc>
          <w:tcPr>
            <w:tcW w:w="9487" w:type="dxa"/>
            <w:tcBorders>
              <w:top w:val="single" w:sz="4" w:space="0" w:color="5C676D" w:themeColor="accent3"/>
              <w:left w:val="nil"/>
              <w:bottom w:val="single" w:sz="4" w:space="0" w:color="5C676D" w:themeColor="accent3"/>
              <w:right w:val="nil"/>
            </w:tcBorders>
            <w:shd w:val="clear" w:color="auto" w:fill="FFFFFF" w:themeFill="background1"/>
          </w:tcPr>
          <w:p w14:paraId="676A0E04" w14:textId="77777777" w:rsidR="00DA2237" w:rsidRPr="008C7181" w:rsidRDefault="00DA2237" w:rsidP="004C3259">
            <w:pPr>
              <w:spacing w:before="120" w:after="120"/>
              <w:rPr>
                <w:rFonts w:ascii="Arial" w:hAnsi="Arial" w:cs="Arial"/>
                <w:szCs w:val="20"/>
              </w:rPr>
            </w:pPr>
            <w:r w:rsidRPr="3A9E9E7F">
              <w:rPr>
                <w:rFonts w:ascii="Arial" w:hAnsi="Arial" w:cs="Arial"/>
                <w:b/>
                <w:bCs/>
                <w:szCs w:val="20"/>
              </w:rPr>
              <w:t xml:space="preserve">Scenario: </w:t>
            </w:r>
            <w:r w:rsidRPr="3A9E9E7F">
              <w:rPr>
                <w:rFonts w:ascii="Arial" w:hAnsi="Arial" w:cs="Arial"/>
                <w:szCs w:val="20"/>
              </w:rPr>
              <w:t>As part of ongoing efforts to utilise Australian expertise for socioeconomic coercion, confidential research data could be stolen by compromising university research databases. Once stolen, this data could be used by state-based attackers to undermine other critical infrastructure systems. Malicious actors could use the stolen data to plan widespread attacks on critical services and cause disruption to functions of other critical infrastructure assets. While the university could investigate the incident and upgrade their cyber defences, the Government is uniquely placed to address the consequences for other critical infrastructure entities whose security could be impacted by the stolen data. The university may be unable to act as it does not have access to national communication channels or the asset register.</w:t>
            </w:r>
          </w:p>
        </w:tc>
      </w:tr>
      <w:tr w:rsidR="00DA2237" w:rsidRPr="00940D7E" w14:paraId="35FBA074" w14:textId="77777777" w:rsidTr="00E6462B">
        <w:trPr>
          <w:trHeight w:val="305"/>
        </w:trPr>
        <w:tc>
          <w:tcPr>
            <w:tcW w:w="9487" w:type="dxa"/>
            <w:tcBorders>
              <w:top w:val="single" w:sz="4" w:space="0" w:color="5C676D" w:themeColor="accent3"/>
              <w:left w:val="nil"/>
              <w:bottom w:val="single" w:sz="4" w:space="0" w:color="5C676D" w:themeColor="accent3"/>
              <w:right w:val="nil"/>
            </w:tcBorders>
            <w:shd w:val="clear" w:color="auto" w:fill="F2F2F2" w:themeFill="background1" w:themeFillShade="F2"/>
          </w:tcPr>
          <w:p w14:paraId="603A41D0" w14:textId="77777777" w:rsidR="00DA2237" w:rsidRPr="008C7181" w:rsidRDefault="00DA2237" w:rsidP="004C3259">
            <w:pPr>
              <w:spacing w:before="120" w:after="120" w:line="259" w:lineRule="auto"/>
              <w:rPr>
                <w:rFonts w:ascii="Arial" w:hAnsi="Arial" w:cs="Arial"/>
                <w:szCs w:val="20"/>
              </w:rPr>
            </w:pPr>
            <w:r w:rsidRPr="591A7590">
              <w:rPr>
                <w:rFonts w:ascii="Arial" w:hAnsi="Arial" w:cs="Arial"/>
                <w:b/>
                <w:bCs/>
                <w:szCs w:val="20"/>
              </w:rPr>
              <w:t xml:space="preserve">Outcome: </w:t>
            </w:r>
            <w:r w:rsidRPr="591A7590">
              <w:rPr>
                <w:rFonts w:ascii="Arial" w:hAnsi="Arial" w:cs="Arial"/>
                <w:szCs w:val="20"/>
              </w:rPr>
              <w:t xml:space="preserve">In this scenario, current government assistance powers would only allow the Government to issue directions </w:t>
            </w:r>
            <w:r>
              <w:rPr>
                <w:rFonts w:ascii="Arial" w:hAnsi="Arial" w:cs="Arial"/>
                <w:szCs w:val="20"/>
              </w:rPr>
              <w:t>in relation to the technical cyber incident</w:t>
            </w:r>
            <w:r w:rsidRPr="591A7590">
              <w:rPr>
                <w:rFonts w:ascii="Arial" w:hAnsi="Arial" w:cs="Arial"/>
                <w:szCs w:val="20"/>
              </w:rPr>
              <w:t xml:space="preserve">. A new consequence management power would be needed to issue directions to certain other critical infrastructure entities whose systems and critical functions have or will be disrupted due to the data breach. These directions could include directing those </w:t>
            </w:r>
            <w:r w:rsidRPr="00EC13F3">
              <w:rPr>
                <w:rFonts w:ascii="Arial" w:hAnsi="Arial" w:cs="Arial"/>
                <w:szCs w:val="20"/>
              </w:rPr>
              <w:t xml:space="preserve">specific </w:t>
            </w:r>
            <w:r w:rsidRPr="591A7590">
              <w:rPr>
                <w:rFonts w:ascii="Arial" w:hAnsi="Arial" w:cs="Arial"/>
                <w:szCs w:val="20"/>
              </w:rPr>
              <w:t>entities to upgrade information technology (IT) and operational technology (OT) security to address system vulnerabilities. If compliance with these directions would risk breaching existing contracts with IT and OT service providers, critical infrastructure entities would be able to rely on the SOCI Act’s immunity provisions to avoid civil liability for such breaches.</w:t>
            </w:r>
          </w:p>
        </w:tc>
      </w:tr>
      <w:tr w:rsidR="00361005" w:rsidRPr="00940D7E" w14:paraId="541CBA57" w14:textId="77777777" w:rsidTr="00E6462B">
        <w:trPr>
          <w:trHeight w:val="168"/>
        </w:trPr>
        <w:tc>
          <w:tcPr>
            <w:tcW w:w="9486" w:type="dxa"/>
            <w:tcBorders>
              <w:top w:val="nil"/>
              <w:left w:val="nil"/>
              <w:bottom w:val="nil"/>
              <w:right w:val="nil"/>
            </w:tcBorders>
            <w:shd w:val="clear" w:color="auto" w:fill="auto"/>
          </w:tcPr>
          <w:p w14:paraId="79FF5996" w14:textId="05706C8D" w:rsidR="00361005" w:rsidRPr="00344966" w:rsidRDefault="00361005" w:rsidP="004C3259">
            <w:pPr>
              <w:pStyle w:val="Caption"/>
              <w:rPr>
                <w:rFonts w:ascii="Calibri" w:hAnsi="Calibri" w:cs="Calibri"/>
                <w:b w:val="0"/>
              </w:rPr>
            </w:pPr>
            <w:r w:rsidRPr="00344966">
              <w:rPr>
                <w:rFonts w:ascii="Calibri" w:hAnsi="Calibri" w:cs="Calibri"/>
                <w:bCs/>
              </w:rPr>
              <w:t xml:space="preserve">Table </w:t>
            </w:r>
            <w:r w:rsidRPr="00344966">
              <w:rPr>
                <w:rFonts w:ascii="Calibri" w:hAnsi="Calibri" w:cs="Calibri"/>
                <w:color w:val="2B579A"/>
                <w:shd w:val="clear" w:color="auto" w:fill="E6E6E6"/>
              </w:rPr>
              <w:fldChar w:fldCharType="begin"/>
            </w:r>
            <w:r w:rsidRPr="00344966">
              <w:rPr>
                <w:rFonts w:ascii="Calibri" w:hAnsi="Calibri" w:cs="Calibri"/>
              </w:rPr>
              <w:instrText xml:space="preserve"> SEQ Table \* ARABIC </w:instrText>
            </w:r>
            <w:r w:rsidRPr="00344966">
              <w:rPr>
                <w:rFonts w:ascii="Calibri" w:hAnsi="Calibri" w:cs="Calibri"/>
                <w:color w:val="2B579A"/>
                <w:shd w:val="clear" w:color="auto" w:fill="E6E6E6"/>
              </w:rPr>
              <w:fldChar w:fldCharType="separate"/>
            </w:r>
            <w:r w:rsidR="00E8506B">
              <w:rPr>
                <w:rFonts w:ascii="Calibri" w:hAnsi="Calibri" w:cs="Calibri"/>
                <w:noProof/>
              </w:rPr>
              <w:t>12</w:t>
            </w:r>
            <w:r w:rsidRPr="00344966">
              <w:rPr>
                <w:rFonts w:ascii="Calibri" w:hAnsi="Calibri" w:cs="Calibri"/>
                <w:color w:val="2B579A"/>
                <w:shd w:val="clear" w:color="auto" w:fill="E6E6E6"/>
              </w:rPr>
              <w:fldChar w:fldCharType="end"/>
            </w:r>
            <w:r w:rsidRPr="00344966">
              <w:rPr>
                <w:rFonts w:ascii="Calibri" w:hAnsi="Calibri" w:cs="Calibri"/>
                <w:b w:val="0"/>
                <w:bCs/>
              </w:rPr>
              <w:t xml:space="preserve"> </w:t>
            </w:r>
            <w:r w:rsidRPr="00344966">
              <w:rPr>
                <w:rFonts w:ascii="Calibri" w:hAnsi="Calibri" w:cs="Calibri"/>
                <w:b w:val="0"/>
              </w:rPr>
              <w:t>Hypothetical Scenario – Disruptions caused from non-cyber hazards</w:t>
            </w:r>
          </w:p>
        </w:tc>
      </w:tr>
      <w:tr w:rsidR="00BD1B1D" w:rsidRPr="00940D7E" w14:paraId="354DE438" w14:textId="77777777" w:rsidTr="00E6462B">
        <w:trPr>
          <w:trHeight w:val="471"/>
        </w:trPr>
        <w:tc>
          <w:tcPr>
            <w:tcW w:w="9486" w:type="dxa"/>
            <w:tcBorders>
              <w:top w:val="nil"/>
              <w:left w:val="nil"/>
              <w:bottom w:val="single" w:sz="4" w:space="0" w:color="5C676D" w:themeColor="accent3"/>
              <w:right w:val="nil"/>
            </w:tcBorders>
            <w:shd w:val="clear" w:color="auto" w:fill="284B98"/>
            <w:vAlign w:val="center"/>
          </w:tcPr>
          <w:p w14:paraId="698DBFB9" w14:textId="77777777" w:rsidR="00BD1B1D" w:rsidRPr="0052726C" w:rsidRDefault="00BD1B1D" w:rsidP="004C3259">
            <w:pPr>
              <w:spacing w:before="120" w:after="120"/>
              <w:rPr>
                <w:rFonts w:ascii="Arial" w:hAnsi="Arial" w:cs="Arial"/>
                <w:b/>
                <w:bCs/>
                <w:color w:val="FFFFFF" w:themeColor="background1"/>
                <w:szCs w:val="20"/>
                <w:highlight w:val="yellow"/>
              </w:rPr>
            </w:pPr>
            <w:r w:rsidRPr="591A7590">
              <w:rPr>
                <w:rFonts w:ascii="Arial" w:hAnsi="Arial" w:cs="Arial"/>
                <w:b/>
                <w:bCs/>
                <w:color w:val="FFFFFF" w:themeColor="background1"/>
                <w:szCs w:val="20"/>
              </w:rPr>
              <w:t>Disruptions caused from non-cyber hazards</w:t>
            </w:r>
          </w:p>
          <w:p w14:paraId="5139E689" w14:textId="786DFA2D" w:rsidR="00BD1B1D" w:rsidRPr="0052726C" w:rsidRDefault="00BD1B1D" w:rsidP="004C3259">
            <w:pPr>
              <w:spacing w:before="120" w:after="120"/>
              <w:rPr>
                <w:rFonts w:ascii="Arial" w:hAnsi="Arial" w:cs="Arial"/>
                <w:b/>
                <w:bCs/>
                <w:color w:val="FFFFFF" w:themeColor="background1"/>
                <w:szCs w:val="20"/>
              </w:rPr>
            </w:pPr>
            <w:r>
              <w:rPr>
                <w:rFonts w:ascii="Arial" w:hAnsi="Arial" w:cs="Arial"/>
                <w:b/>
                <w:bCs/>
                <w:color w:val="FFFFFF" w:themeColor="background1"/>
                <w:szCs w:val="20"/>
              </w:rPr>
              <w:t>(</w:t>
            </w:r>
            <w:r w:rsidRPr="591A7590">
              <w:rPr>
                <w:rFonts w:ascii="Arial" w:hAnsi="Arial" w:cs="Arial"/>
                <w:b/>
                <w:bCs/>
                <w:color w:val="FFFFFF" w:themeColor="background1"/>
                <w:szCs w:val="20"/>
              </w:rPr>
              <w:t>Hypothetical scenario</w:t>
            </w:r>
            <w:r>
              <w:rPr>
                <w:rFonts w:ascii="Arial" w:hAnsi="Arial" w:cs="Arial"/>
                <w:b/>
                <w:bCs/>
                <w:color w:val="FFFFFF" w:themeColor="background1"/>
                <w:szCs w:val="20"/>
              </w:rPr>
              <w:t>)</w:t>
            </w:r>
          </w:p>
        </w:tc>
      </w:tr>
      <w:tr w:rsidR="00DA2237" w:rsidRPr="00940D7E" w14:paraId="1180FAFB" w14:textId="77777777" w:rsidTr="00E6462B">
        <w:trPr>
          <w:trHeight w:val="307"/>
        </w:trPr>
        <w:tc>
          <w:tcPr>
            <w:tcW w:w="9486" w:type="dxa"/>
            <w:tcBorders>
              <w:top w:val="single" w:sz="4" w:space="0" w:color="5C676D" w:themeColor="accent3"/>
              <w:left w:val="nil"/>
              <w:bottom w:val="single" w:sz="4" w:space="0" w:color="5C676D" w:themeColor="accent3"/>
              <w:right w:val="nil"/>
            </w:tcBorders>
            <w:shd w:val="clear" w:color="auto" w:fill="FFFFFF" w:themeFill="background2"/>
          </w:tcPr>
          <w:p w14:paraId="08391901" w14:textId="77777777" w:rsidR="00DA2237" w:rsidRPr="008C7181" w:rsidRDefault="00DA2237" w:rsidP="004C3259">
            <w:pPr>
              <w:spacing w:before="120" w:after="120"/>
              <w:rPr>
                <w:rFonts w:ascii="Arial" w:hAnsi="Arial" w:cs="Arial"/>
                <w:szCs w:val="20"/>
              </w:rPr>
            </w:pPr>
            <w:r w:rsidRPr="591A7590">
              <w:rPr>
                <w:rFonts w:ascii="Arial" w:hAnsi="Arial" w:cs="Arial"/>
                <w:b/>
                <w:bCs/>
                <w:szCs w:val="20"/>
              </w:rPr>
              <w:t xml:space="preserve">Scenario: </w:t>
            </w:r>
            <w:r w:rsidRPr="591A7590">
              <w:rPr>
                <w:rFonts w:ascii="Arial" w:hAnsi="Arial" w:cs="Arial"/>
                <w:szCs w:val="20"/>
              </w:rPr>
              <w:t xml:space="preserve">It is the middle of summer and energy generation is already operating near peak capacity. A malicious insider and issues-motived actor sabotages a gas pipeline near agricultural land, causing an uncontrolled release of gas and liquid fuels that results in cessation of gas to a large population. The critical infrastructure gas supplier is willing to cease the flow of gas to reduce physical hazards but cannot coordinate the delivery of gas from other sources, nor can it adequately address all health hazards caused by land contamination. </w:t>
            </w:r>
          </w:p>
        </w:tc>
      </w:tr>
      <w:tr w:rsidR="00DA2237" w:rsidRPr="00940D7E" w14:paraId="725CD0F8" w14:textId="77777777" w:rsidTr="00E6462B">
        <w:trPr>
          <w:trHeight w:val="307"/>
        </w:trPr>
        <w:tc>
          <w:tcPr>
            <w:tcW w:w="9486" w:type="dxa"/>
            <w:tcBorders>
              <w:top w:val="single" w:sz="4" w:space="0" w:color="5C676D" w:themeColor="accent3"/>
              <w:left w:val="nil"/>
              <w:bottom w:val="single" w:sz="4" w:space="0" w:color="5C676D" w:themeColor="accent3"/>
              <w:right w:val="nil"/>
            </w:tcBorders>
            <w:shd w:val="clear" w:color="auto" w:fill="F2F2F2" w:themeFill="background2" w:themeFillShade="F2"/>
          </w:tcPr>
          <w:p w14:paraId="1C292AD4" w14:textId="77777777" w:rsidR="00DA2237" w:rsidRPr="008C7181" w:rsidRDefault="00DA2237" w:rsidP="004C3259">
            <w:pPr>
              <w:spacing w:before="120" w:after="120"/>
              <w:rPr>
                <w:rFonts w:ascii="Arial" w:hAnsi="Arial" w:cs="Arial"/>
                <w:szCs w:val="20"/>
              </w:rPr>
            </w:pPr>
            <w:r w:rsidRPr="4E53CBE3">
              <w:rPr>
                <w:rFonts w:ascii="Arial" w:hAnsi="Arial" w:cs="Arial"/>
                <w:b/>
                <w:bCs/>
                <w:szCs w:val="20"/>
              </w:rPr>
              <w:t xml:space="preserve">Outcome: </w:t>
            </w:r>
            <w:r w:rsidRPr="4E53CBE3">
              <w:rPr>
                <w:rFonts w:ascii="Arial" w:hAnsi="Arial" w:cs="Arial"/>
                <w:szCs w:val="20"/>
              </w:rPr>
              <w:t>In this scenario, the Government may need to issue a ‘do not disturb’ / quarantine order for the contaminated area and, if the entity is unable or unwilling to cooperate, direct the entity to allow emergency access to sensitive land for decontamination efforts. Concurrently, the Government may need to coordinate alternate transport of critical liquid fuels to support the operation of other critical infrastructure sectors. Finally, the Government may need to redirect resources and issue prioritisation orders for electricity supply to households and hospitals if energy demand outstrips generation supply that may otherwise be supplemented by gas-powered redundancy. However, the current legislative framework (with no directions power available) limits Government’s ability to undertake actions of this kind.</w:t>
            </w:r>
          </w:p>
        </w:tc>
      </w:tr>
    </w:tbl>
    <w:p w14:paraId="6DC99EA5" w14:textId="77777777" w:rsidR="00DA2237" w:rsidRDefault="00DA2237" w:rsidP="00DA2237">
      <w:pPr>
        <w:spacing w:before="120" w:after="120"/>
        <w:rPr>
          <w:rFonts w:ascii="Arial" w:hAnsi="Arial" w:cs="Arial"/>
          <w:szCs w:val="20"/>
        </w:rPr>
      </w:pPr>
      <w:r>
        <w:rPr>
          <w:rFonts w:ascii="Arial" w:hAnsi="Arial" w:cs="Arial"/>
          <w:szCs w:val="20"/>
        </w:rPr>
        <w:t>Engagement with industry remains a key focus for the Department.</w:t>
      </w:r>
      <w:r w:rsidDel="008A5EC5">
        <w:rPr>
          <w:rFonts w:ascii="Arial" w:hAnsi="Arial" w:cs="Arial"/>
          <w:szCs w:val="20"/>
        </w:rPr>
        <w:t xml:space="preserve"> </w:t>
      </w:r>
      <w:r w:rsidRPr="591A7590">
        <w:rPr>
          <w:rFonts w:ascii="Arial" w:hAnsi="Arial" w:cs="Arial"/>
          <w:szCs w:val="20"/>
        </w:rPr>
        <w:t>The Department recognises that addressing these concerns requires flexibility and acknowledgement of the potentially significant flow-on impacts of an all-hazards incident, such as a cyber</w:t>
      </w:r>
      <w:r>
        <w:rPr>
          <w:rFonts w:ascii="Arial" w:hAnsi="Arial" w:cs="Arial"/>
          <w:szCs w:val="20"/>
        </w:rPr>
        <w:t xml:space="preserve"> </w:t>
      </w:r>
      <w:r w:rsidR="00254AE0">
        <w:rPr>
          <w:rFonts w:ascii="Arial" w:hAnsi="Arial" w:cs="Arial"/>
          <w:szCs w:val="20"/>
        </w:rPr>
        <w:t>incident</w:t>
      </w:r>
      <w:r w:rsidRPr="591A7590">
        <w:rPr>
          <w:rFonts w:ascii="Arial" w:hAnsi="Arial" w:cs="Arial"/>
          <w:szCs w:val="20"/>
        </w:rPr>
        <w:t xml:space="preserve"> or natural disaster. </w:t>
      </w:r>
    </w:p>
    <w:p w14:paraId="6AD81726" w14:textId="77777777" w:rsidR="00DA2237" w:rsidRPr="00631F6B" w:rsidRDefault="00DA2237" w:rsidP="00DA2237">
      <w:pPr>
        <w:pStyle w:val="Heading2"/>
        <w:rPr>
          <w:rFonts w:ascii="Arial" w:hAnsi="Arial"/>
        </w:rPr>
      </w:pPr>
      <w:bookmarkStart w:id="38" w:name="_Toc164683826"/>
      <w:bookmarkStart w:id="39" w:name="_Toc176183927"/>
      <w:r w:rsidRPr="098AE7E4">
        <w:rPr>
          <w:rFonts w:ascii="Arial" w:hAnsi="Arial"/>
        </w:rPr>
        <w:t>1.3 No ability for the regulator to issue a direction to an entity to remedy a deficient RMP</w:t>
      </w:r>
      <w:bookmarkEnd w:id="38"/>
      <w:bookmarkEnd w:id="39"/>
      <w:r w:rsidRPr="098AE7E4">
        <w:rPr>
          <w:rFonts w:ascii="Arial" w:hAnsi="Arial"/>
        </w:rPr>
        <w:t xml:space="preserve"> </w:t>
      </w:r>
    </w:p>
    <w:p w14:paraId="7EFD0CB4" w14:textId="77777777" w:rsidR="00DA2237" w:rsidRDefault="00DA2237" w:rsidP="00DA2237">
      <w:pPr>
        <w:pStyle w:val="BodyText"/>
      </w:pPr>
      <w:r w:rsidRPr="591A7590">
        <w:t xml:space="preserve">Since the SOCI Act’s introduction and its subsequent amendments, the Cyber and Infrastructure </w:t>
      </w:r>
      <w:r>
        <w:t xml:space="preserve">Security </w:t>
      </w:r>
      <w:r w:rsidRPr="591A7590">
        <w:t xml:space="preserve">Centre (CISC) and the Department have worked to support responsible entities, using the following principles: </w:t>
      </w:r>
    </w:p>
    <w:p w14:paraId="4CDD57FD" w14:textId="77777777" w:rsidR="00DA2237" w:rsidRPr="007A37E3" w:rsidRDefault="00DA2237" w:rsidP="00510557">
      <w:pPr>
        <w:pStyle w:val="ListParagraph"/>
        <w:numPr>
          <w:ilvl w:val="0"/>
          <w:numId w:val="21"/>
        </w:numPr>
        <w:contextualSpacing/>
        <w:rPr>
          <w:rFonts w:ascii="Arial" w:hAnsi="Arial" w:cs="Arial"/>
          <w:szCs w:val="20"/>
        </w:rPr>
      </w:pPr>
      <w:r w:rsidRPr="591A7590">
        <w:rPr>
          <w:rFonts w:ascii="Arial" w:hAnsi="Arial" w:cs="Arial"/>
          <w:b/>
          <w:bCs/>
          <w:szCs w:val="20"/>
        </w:rPr>
        <w:t>Promotion of voluntary compliance</w:t>
      </w:r>
      <w:r w:rsidRPr="591A7590">
        <w:rPr>
          <w:rFonts w:ascii="Arial" w:hAnsi="Arial" w:cs="Arial"/>
          <w:szCs w:val="20"/>
        </w:rPr>
        <w:t xml:space="preserve"> through effective engagement with industry and its regulators, with clear guidance on legislative requirements and how to comply. </w:t>
      </w:r>
    </w:p>
    <w:p w14:paraId="628575D3" w14:textId="77777777" w:rsidR="00DA2237" w:rsidRPr="007A37E3" w:rsidRDefault="00DA2237" w:rsidP="00510557">
      <w:pPr>
        <w:pStyle w:val="ListParagraph"/>
        <w:numPr>
          <w:ilvl w:val="0"/>
          <w:numId w:val="21"/>
        </w:numPr>
        <w:contextualSpacing/>
        <w:rPr>
          <w:rFonts w:ascii="Arial" w:hAnsi="Arial" w:cs="Arial"/>
          <w:szCs w:val="20"/>
        </w:rPr>
      </w:pPr>
      <w:r w:rsidRPr="591A7590">
        <w:rPr>
          <w:rFonts w:ascii="Arial" w:hAnsi="Arial" w:cs="Arial"/>
          <w:b/>
          <w:bCs/>
          <w:szCs w:val="20"/>
        </w:rPr>
        <w:t>Evidence-based compliance and enforcement actions</w:t>
      </w:r>
      <w:r w:rsidRPr="591A7590">
        <w:rPr>
          <w:rFonts w:ascii="Arial" w:hAnsi="Arial" w:cs="Arial"/>
          <w:szCs w:val="20"/>
        </w:rPr>
        <w:t xml:space="preserve"> that respond to the nature and seriousness of non-compliance and potential </w:t>
      </w:r>
      <w:r>
        <w:rPr>
          <w:rFonts w:ascii="Arial" w:hAnsi="Arial" w:cs="Arial"/>
          <w:szCs w:val="20"/>
        </w:rPr>
        <w:t xml:space="preserve">security </w:t>
      </w:r>
      <w:r w:rsidRPr="591A7590">
        <w:rPr>
          <w:rFonts w:ascii="Arial" w:hAnsi="Arial" w:cs="Arial"/>
          <w:szCs w:val="20"/>
        </w:rPr>
        <w:t>risk</w:t>
      </w:r>
      <w:r>
        <w:rPr>
          <w:rFonts w:ascii="Arial" w:hAnsi="Arial" w:cs="Arial"/>
          <w:szCs w:val="20"/>
        </w:rPr>
        <w:t>s</w:t>
      </w:r>
      <w:r w:rsidRPr="591A7590">
        <w:rPr>
          <w:rFonts w:ascii="Arial" w:hAnsi="Arial" w:cs="Arial"/>
          <w:szCs w:val="20"/>
        </w:rPr>
        <w:t xml:space="preserve"> to Australian critical infrastructure. </w:t>
      </w:r>
    </w:p>
    <w:p w14:paraId="35061597" w14:textId="77777777" w:rsidR="00DA2237" w:rsidRPr="007A37E3" w:rsidRDefault="00DA2237" w:rsidP="00510557">
      <w:pPr>
        <w:pStyle w:val="ListParagraph"/>
        <w:numPr>
          <w:ilvl w:val="0"/>
          <w:numId w:val="21"/>
        </w:numPr>
        <w:contextualSpacing/>
        <w:rPr>
          <w:rFonts w:ascii="Arial" w:hAnsi="Arial" w:cs="Arial"/>
          <w:szCs w:val="20"/>
        </w:rPr>
      </w:pPr>
      <w:r w:rsidRPr="591A7590">
        <w:rPr>
          <w:rFonts w:ascii="Arial" w:hAnsi="Arial" w:cs="Arial"/>
          <w:b/>
          <w:bCs/>
          <w:szCs w:val="20"/>
        </w:rPr>
        <w:t>Commitment to an industry and Government partnership</w:t>
      </w:r>
      <w:r w:rsidRPr="591A7590">
        <w:rPr>
          <w:rFonts w:ascii="Arial" w:hAnsi="Arial" w:cs="Arial"/>
          <w:szCs w:val="20"/>
        </w:rPr>
        <w:t>. T</w:t>
      </w:r>
      <w:r>
        <w:rPr>
          <w:rFonts w:ascii="Arial" w:hAnsi="Arial" w:cs="Arial"/>
          <w:szCs w:val="20"/>
        </w:rPr>
        <w:t>hrough the Trusted Information Sharing Network (TISN) t</w:t>
      </w:r>
      <w:r w:rsidRPr="591A7590">
        <w:rPr>
          <w:rFonts w:ascii="Arial" w:hAnsi="Arial" w:cs="Arial"/>
          <w:szCs w:val="20"/>
        </w:rPr>
        <w:t xml:space="preserve">he Department </w:t>
      </w:r>
      <w:r>
        <w:rPr>
          <w:rFonts w:ascii="Arial" w:hAnsi="Arial" w:cs="Arial"/>
          <w:szCs w:val="20"/>
        </w:rPr>
        <w:t>works</w:t>
      </w:r>
      <w:r w:rsidRPr="591A7590">
        <w:rPr>
          <w:rFonts w:ascii="Arial" w:hAnsi="Arial" w:cs="Arial"/>
          <w:szCs w:val="20"/>
        </w:rPr>
        <w:t xml:space="preserve"> closely with industry and other government bodies to share threat information </w:t>
      </w:r>
      <w:r>
        <w:rPr>
          <w:rFonts w:ascii="Arial" w:hAnsi="Arial" w:cs="Arial"/>
          <w:szCs w:val="20"/>
        </w:rPr>
        <w:t>and risk advisories</w:t>
      </w:r>
      <w:r w:rsidRPr="591A7590">
        <w:rPr>
          <w:rFonts w:ascii="Arial" w:hAnsi="Arial" w:cs="Arial"/>
          <w:szCs w:val="20"/>
        </w:rPr>
        <w:t xml:space="preserve"> </w:t>
      </w:r>
      <w:r>
        <w:rPr>
          <w:rFonts w:ascii="Arial" w:hAnsi="Arial" w:cs="Arial"/>
          <w:szCs w:val="20"/>
        </w:rPr>
        <w:t>with</w:t>
      </w:r>
      <w:r w:rsidRPr="591A7590">
        <w:rPr>
          <w:rFonts w:ascii="Arial" w:hAnsi="Arial" w:cs="Arial"/>
          <w:szCs w:val="20"/>
        </w:rPr>
        <w:t xml:space="preserve"> Australia’s critical infrastructure and work</w:t>
      </w:r>
      <w:r>
        <w:rPr>
          <w:rFonts w:ascii="Arial" w:hAnsi="Arial" w:cs="Arial"/>
          <w:szCs w:val="20"/>
        </w:rPr>
        <w:t>s</w:t>
      </w:r>
      <w:r w:rsidRPr="591A7590">
        <w:rPr>
          <w:rFonts w:ascii="Arial" w:hAnsi="Arial" w:cs="Arial"/>
          <w:szCs w:val="20"/>
        </w:rPr>
        <w:t xml:space="preserve"> collaboratively to </w:t>
      </w:r>
      <w:r>
        <w:rPr>
          <w:rFonts w:ascii="Arial" w:hAnsi="Arial" w:cs="Arial"/>
          <w:szCs w:val="20"/>
        </w:rPr>
        <w:t>collectively uplift the security and resilience of Australia’s critical infrastructure</w:t>
      </w:r>
      <w:r w:rsidRPr="591A7590">
        <w:rPr>
          <w:rFonts w:ascii="Arial" w:hAnsi="Arial" w:cs="Arial"/>
          <w:szCs w:val="20"/>
        </w:rPr>
        <w:t xml:space="preserve">. </w:t>
      </w:r>
    </w:p>
    <w:p w14:paraId="457717F3" w14:textId="77777777" w:rsidR="00DA2237" w:rsidRDefault="00DA2237" w:rsidP="00510557">
      <w:pPr>
        <w:pStyle w:val="ListParagraph"/>
        <w:numPr>
          <w:ilvl w:val="0"/>
          <w:numId w:val="21"/>
        </w:numPr>
        <w:contextualSpacing/>
        <w:rPr>
          <w:rFonts w:ascii="Arial" w:hAnsi="Arial" w:cs="Arial"/>
          <w:szCs w:val="20"/>
        </w:rPr>
      </w:pPr>
      <w:r w:rsidRPr="591A7590">
        <w:rPr>
          <w:rFonts w:ascii="Arial" w:hAnsi="Arial" w:cs="Arial"/>
          <w:b/>
          <w:bCs/>
          <w:szCs w:val="20"/>
        </w:rPr>
        <w:t>Commitment to transparency and reporting on compliance action</w:t>
      </w:r>
      <w:r w:rsidRPr="591A7590">
        <w:rPr>
          <w:rFonts w:ascii="Arial" w:hAnsi="Arial" w:cs="Arial"/>
          <w:szCs w:val="20"/>
        </w:rPr>
        <w:t xml:space="preserve">. The SOCI Act requires the Minister </w:t>
      </w:r>
      <w:r>
        <w:rPr>
          <w:rFonts w:ascii="Arial" w:hAnsi="Arial" w:cs="Arial"/>
          <w:szCs w:val="20"/>
        </w:rPr>
        <w:t>to</w:t>
      </w:r>
      <w:r w:rsidRPr="591A7590">
        <w:rPr>
          <w:rFonts w:ascii="Arial" w:hAnsi="Arial" w:cs="Arial"/>
          <w:szCs w:val="20"/>
        </w:rPr>
        <w:t xml:space="preserve"> table an annual report to Parliament, affording greater oversight to any decision or action taken under the SOCI Act or the regulations. </w:t>
      </w:r>
    </w:p>
    <w:p w14:paraId="04DE93CE" w14:textId="77777777" w:rsidR="00DA2237" w:rsidRDefault="00DA2237" w:rsidP="00510557">
      <w:pPr>
        <w:pStyle w:val="ListParagraph"/>
        <w:numPr>
          <w:ilvl w:val="0"/>
          <w:numId w:val="21"/>
        </w:numPr>
        <w:contextualSpacing/>
        <w:rPr>
          <w:rFonts w:ascii="Arial" w:hAnsi="Arial" w:cs="Arial"/>
          <w:szCs w:val="20"/>
        </w:rPr>
      </w:pPr>
      <w:r w:rsidRPr="591A7590">
        <w:rPr>
          <w:rFonts w:ascii="Arial" w:hAnsi="Arial" w:cs="Arial"/>
          <w:b/>
          <w:bCs/>
          <w:szCs w:val="20"/>
        </w:rPr>
        <w:t>Integrity, professionalism and procedural fairness to compliance and enforcement</w:t>
      </w:r>
      <w:r w:rsidRPr="591A7590">
        <w:rPr>
          <w:rFonts w:ascii="Arial" w:hAnsi="Arial" w:cs="Arial"/>
          <w:szCs w:val="20"/>
        </w:rPr>
        <w:t>. Compliance, monitoring, and enforcement activities will be undertaken with integrity, professionalism and with due regard to procedural fairness, privacy, and information sensitivity.</w:t>
      </w:r>
    </w:p>
    <w:p w14:paraId="69D90719" w14:textId="02EA44A6" w:rsidR="00DA2237" w:rsidRPr="00540343" w:rsidRDefault="00DA2237" w:rsidP="00DA2237">
      <w:pPr>
        <w:pStyle w:val="BodyText"/>
      </w:pPr>
      <w:r w:rsidRPr="591A7590">
        <w:t>These principles are complemented by a suite of existing regulatory options under the SOCI Act designed to address non-compliance</w:t>
      </w:r>
      <w:r w:rsidRPr="008F79FB">
        <w:t xml:space="preserve">. The specific legislative power, as well as the identified gap in its current application, is outlined in </w:t>
      </w:r>
      <w:r w:rsidRPr="00D84716">
        <w:rPr>
          <w:color w:val="2B579A"/>
          <w:shd w:val="clear" w:color="auto" w:fill="E6E6E6"/>
        </w:rPr>
        <w:fldChar w:fldCharType="begin"/>
      </w:r>
      <w:r w:rsidRPr="00D84716">
        <w:instrText xml:space="preserve"> REF _Ref163736575 \h  \* MERGEFORMAT </w:instrText>
      </w:r>
      <w:r w:rsidRPr="00D84716">
        <w:rPr>
          <w:color w:val="2B579A"/>
          <w:shd w:val="clear" w:color="auto" w:fill="E6E6E6"/>
        </w:rPr>
      </w:r>
      <w:r w:rsidRPr="00D84716">
        <w:rPr>
          <w:color w:val="2B579A"/>
          <w:shd w:val="clear" w:color="auto" w:fill="E6E6E6"/>
        </w:rPr>
        <w:fldChar w:fldCharType="separate"/>
      </w:r>
      <w:r w:rsidR="00E8506B" w:rsidRPr="00E8506B">
        <w:t xml:space="preserve">Table </w:t>
      </w:r>
      <w:r w:rsidR="00E8506B" w:rsidRPr="00E8506B">
        <w:rPr>
          <w:noProof/>
        </w:rPr>
        <w:t>13</w:t>
      </w:r>
      <w:r w:rsidRPr="00D84716">
        <w:rPr>
          <w:color w:val="2B579A"/>
          <w:shd w:val="clear" w:color="auto" w:fill="E6E6E6"/>
        </w:rPr>
        <w:fldChar w:fldCharType="end"/>
      </w:r>
      <w:r w:rsidRPr="008F79FB">
        <w:t xml:space="preserve"> below.</w:t>
      </w:r>
      <w:r w:rsidRPr="591A7590">
        <w:t xml:space="preserve"> </w:t>
      </w:r>
    </w:p>
    <w:p w14:paraId="45F22BF0" w14:textId="65B96244" w:rsidR="00DA2237" w:rsidRPr="00344966" w:rsidRDefault="00DA2237" w:rsidP="00DA2237">
      <w:pPr>
        <w:pStyle w:val="Caption"/>
        <w:rPr>
          <w:rFonts w:ascii="Calibri" w:hAnsi="Calibri" w:cs="Calibri"/>
          <w:b w:val="0"/>
        </w:rPr>
      </w:pPr>
      <w:bookmarkStart w:id="40" w:name="_Ref163736575"/>
      <w:r w:rsidRPr="00344966">
        <w:rPr>
          <w:rFonts w:ascii="Calibri" w:hAnsi="Calibri" w:cs="Calibri"/>
          <w:bCs/>
        </w:rPr>
        <w:t xml:space="preserve">Table </w:t>
      </w:r>
      <w:r w:rsidRPr="00344966">
        <w:rPr>
          <w:rFonts w:ascii="Calibri" w:hAnsi="Calibri" w:cs="Calibri"/>
          <w:bCs/>
          <w:color w:val="2B579A"/>
          <w:shd w:val="clear" w:color="auto" w:fill="E6E6E6"/>
        </w:rPr>
        <w:fldChar w:fldCharType="begin"/>
      </w:r>
      <w:r w:rsidRPr="00344966">
        <w:rPr>
          <w:rFonts w:ascii="Calibri" w:hAnsi="Calibri" w:cs="Calibri"/>
          <w:bCs/>
        </w:rPr>
        <w:instrText xml:space="preserve"> SEQ Table \* ARABIC </w:instrText>
      </w:r>
      <w:r w:rsidRPr="00344966">
        <w:rPr>
          <w:rFonts w:ascii="Calibri" w:hAnsi="Calibri" w:cs="Calibri"/>
          <w:bCs/>
          <w:color w:val="2B579A"/>
          <w:shd w:val="clear" w:color="auto" w:fill="E6E6E6"/>
        </w:rPr>
        <w:fldChar w:fldCharType="separate"/>
      </w:r>
      <w:r w:rsidR="00E8506B">
        <w:rPr>
          <w:rFonts w:ascii="Calibri" w:hAnsi="Calibri" w:cs="Calibri"/>
          <w:bCs/>
          <w:noProof/>
        </w:rPr>
        <w:t>13</w:t>
      </w:r>
      <w:r w:rsidRPr="00344966">
        <w:rPr>
          <w:rFonts w:ascii="Calibri" w:hAnsi="Calibri" w:cs="Calibri"/>
          <w:bCs/>
          <w:color w:val="2B579A"/>
          <w:shd w:val="clear" w:color="auto" w:fill="E6E6E6"/>
        </w:rPr>
        <w:fldChar w:fldCharType="end"/>
      </w:r>
      <w:bookmarkEnd w:id="40"/>
      <w:r w:rsidRPr="00344966">
        <w:rPr>
          <w:rFonts w:ascii="Calibri" w:hAnsi="Calibri" w:cs="Calibri"/>
        </w:rPr>
        <w:t xml:space="preserve"> </w:t>
      </w:r>
      <w:r w:rsidRPr="00344966">
        <w:rPr>
          <w:rFonts w:ascii="Calibri" w:hAnsi="Calibri" w:cs="Calibri"/>
          <w:b w:val="0"/>
        </w:rPr>
        <w:t>Gaps in existing legislation</w:t>
      </w:r>
    </w:p>
    <w:tbl>
      <w:tblPr>
        <w:tblStyle w:val="GridTable4-Accent11"/>
        <w:tblW w:w="9634" w:type="dxa"/>
        <w:tblBorders>
          <w:top w:val="none" w:sz="0" w:space="0" w:color="auto"/>
          <w:left w:val="none" w:sz="0" w:space="0" w:color="auto"/>
          <w:bottom w:val="single" w:sz="4" w:space="0" w:color="BFBFBF"/>
          <w:right w:val="none" w:sz="0" w:space="0" w:color="auto"/>
          <w:insideH w:val="single" w:sz="4" w:space="0" w:color="BFBFBF"/>
          <w:insideV w:val="none" w:sz="0" w:space="0" w:color="auto"/>
        </w:tblBorders>
        <w:tblLook w:val="0620" w:firstRow="1" w:lastRow="0" w:firstColumn="0" w:lastColumn="0" w:noHBand="1" w:noVBand="1"/>
      </w:tblPr>
      <w:tblGrid>
        <w:gridCol w:w="2405"/>
        <w:gridCol w:w="3260"/>
        <w:gridCol w:w="3969"/>
      </w:tblGrid>
      <w:tr w:rsidR="00BA13B2" w:rsidRPr="00940D7E" w14:paraId="6C61D4E7" w14:textId="77777777" w:rsidTr="00BA13B2">
        <w:trPr>
          <w:cnfStyle w:val="100000000000" w:firstRow="1" w:lastRow="0" w:firstColumn="0" w:lastColumn="0" w:oddVBand="0" w:evenVBand="0" w:oddHBand="0" w:evenHBand="0" w:firstRowFirstColumn="0" w:firstRowLastColumn="0" w:lastRowFirstColumn="0" w:lastRowLastColumn="0"/>
          <w:cantSplit/>
          <w:tblHeader/>
        </w:trPr>
        <w:tc>
          <w:tcPr>
            <w:tcW w:w="2405" w:type="dxa"/>
            <w:shd w:val="clear" w:color="auto" w:fill="034EA2" w:themeFill="accent1"/>
          </w:tcPr>
          <w:p w14:paraId="5F15D2C1" w14:textId="01041A4B" w:rsidR="005F7795" w:rsidRPr="00631F6B" w:rsidRDefault="005F7795" w:rsidP="004C3259">
            <w:pPr>
              <w:keepNext/>
              <w:spacing w:before="120" w:after="120"/>
              <w:rPr>
                <w:rFonts w:ascii="Arial" w:eastAsia="Arial" w:hAnsi="Arial" w:cs="Arial"/>
                <w:b w:val="0"/>
                <w:szCs w:val="20"/>
              </w:rPr>
            </w:pPr>
          </w:p>
        </w:tc>
        <w:tc>
          <w:tcPr>
            <w:tcW w:w="3260" w:type="dxa"/>
            <w:shd w:val="clear" w:color="auto" w:fill="034EA2" w:themeFill="accent1"/>
          </w:tcPr>
          <w:p w14:paraId="768C7891" w14:textId="6F3E9146" w:rsidR="005F7795" w:rsidRPr="00631F6B" w:rsidRDefault="005F7795" w:rsidP="004C3259">
            <w:pPr>
              <w:keepNext/>
              <w:spacing w:before="120" w:after="120"/>
              <w:rPr>
                <w:rFonts w:ascii="Arial" w:eastAsia="Arial" w:hAnsi="Arial" w:cs="Arial"/>
                <w:b w:val="0"/>
                <w:szCs w:val="20"/>
              </w:rPr>
            </w:pPr>
            <w:r w:rsidRPr="00631F6B">
              <w:rPr>
                <w:rFonts w:ascii="Arial" w:eastAsia="Arial" w:hAnsi="Arial" w:cs="Arial"/>
                <w:color w:val="FFFFFF" w:themeColor="background1"/>
                <w:szCs w:val="20"/>
              </w:rPr>
              <w:t>Overview of existing regulation</w:t>
            </w:r>
          </w:p>
        </w:tc>
        <w:tc>
          <w:tcPr>
            <w:tcW w:w="3969" w:type="dxa"/>
            <w:shd w:val="clear" w:color="auto" w:fill="034EA2" w:themeFill="accent1"/>
          </w:tcPr>
          <w:p w14:paraId="05FA3F7A" w14:textId="77777777" w:rsidR="005F7795" w:rsidRPr="00631F6B" w:rsidRDefault="005F7795" w:rsidP="004C3259">
            <w:pPr>
              <w:keepNext/>
              <w:spacing w:before="120" w:after="120"/>
              <w:rPr>
                <w:rFonts w:ascii="Arial" w:eastAsia="Arial" w:hAnsi="Arial" w:cs="Arial"/>
                <w:b w:val="0"/>
                <w:szCs w:val="20"/>
              </w:rPr>
            </w:pPr>
            <w:r w:rsidRPr="00631F6B">
              <w:rPr>
                <w:rFonts w:ascii="Arial" w:eastAsia="Arial" w:hAnsi="Arial" w:cs="Arial"/>
                <w:color w:val="FFFFFF" w:themeColor="background1"/>
                <w:szCs w:val="20"/>
              </w:rPr>
              <w:t>Identified gap</w:t>
            </w:r>
          </w:p>
        </w:tc>
      </w:tr>
      <w:tr w:rsidR="00BA13B2" w:rsidRPr="00940D7E" w14:paraId="4DFD1CB2" w14:textId="77777777" w:rsidTr="00BA13B2">
        <w:trPr>
          <w:cantSplit/>
        </w:trPr>
        <w:tc>
          <w:tcPr>
            <w:tcW w:w="2405" w:type="dxa"/>
            <w:shd w:val="clear" w:color="auto" w:fill="auto"/>
            <w:vAlign w:val="center"/>
          </w:tcPr>
          <w:p w14:paraId="00319ADB" w14:textId="77777777" w:rsidR="00DA2237" w:rsidRPr="00631F6B" w:rsidRDefault="00DA2237" w:rsidP="004C3259">
            <w:pPr>
              <w:spacing w:before="120" w:after="120"/>
              <w:rPr>
                <w:rFonts w:ascii="Arial" w:eastAsia="MS Mincho" w:hAnsi="Arial" w:cs="Arial"/>
                <w:b/>
                <w:color w:val="000000"/>
                <w:szCs w:val="20"/>
                <w:lang w:val="en-US"/>
              </w:rPr>
            </w:pPr>
            <w:r w:rsidRPr="00631F6B">
              <w:rPr>
                <w:rFonts w:ascii="Arial" w:eastAsia="MS Mincho" w:hAnsi="Arial" w:cs="Arial"/>
                <w:b/>
                <w:i/>
                <w:color w:val="000000" w:themeColor="text1"/>
                <w:szCs w:val="20"/>
              </w:rPr>
              <w:t>Security of Critical Infrastructure Act 2018</w:t>
            </w:r>
            <w:r w:rsidRPr="00631F6B">
              <w:rPr>
                <w:rFonts w:ascii="Arial" w:eastAsia="MS Mincho" w:hAnsi="Arial" w:cs="Arial"/>
                <w:b/>
                <w:color w:val="000000" w:themeColor="text1"/>
                <w:szCs w:val="20"/>
              </w:rPr>
              <w:t xml:space="preserve"> (Cth)</w:t>
            </w:r>
          </w:p>
        </w:tc>
        <w:tc>
          <w:tcPr>
            <w:tcW w:w="3260" w:type="dxa"/>
            <w:shd w:val="clear" w:color="auto" w:fill="auto"/>
            <w:vAlign w:val="center"/>
          </w:tcPr>
          <w:p w14:paraId="0A0E7DA2" w14:textId="77777777" w:rsidR="00DA2237" w:rsidRPr="00631F6B" w:rsidRDefault="00DA2237" w:rsidP="00487C09">
            <w:pPr>
              <w:pStyle w:val="Tablebody0"/>
              <w:rPr>
                <w:color w:val="000000"/>
              </w:rPr>
            </w:pPr>
            <w:r w:rsidRPr="591A7590">
              <w:t>Section 37 of the SOCI Act permits the Secretary of Home Affairs to require that an entity produce any document that is relevant to compliance with the Act or determining whether a power should be exercised</w:t>
            </w:r>
            <w:r>
              <w:t>, which may include its RMP</w:t>
            </w:r>
            <w:r w:rsidRPr="591A7590">
              <w:t xml:space="preserve">. </w:t>
            </w:r>
          </w:p>
        </w:tc>
        <w:tc>
          <w:tcPr>
            <w:tcW w:w="3969" w:type="dxa"/>
            <w:shd w:val="clear" w:color="auto" w:fill="F2F2F2" w:themeFill="background2" w:themeFillShade="F2"/>
            <w:vAlign w:val="center"/>
          </w:tcPr>
          <w:p w14:paraId="68F65A8F" w14:textId="1674D638" w:rsidR="00DA2237" w:rsidRPr="00631F6B" w:rsidRDefault="00DA2237" w:rsidP="00487C09">
            <w:pPr>
              <w:pStyle w:val="Tablebody0"/>
              <w:rPr>
                <w:rFonts w:eastAsia="Times New Roman"/>
                <w:lang w:eastAsia="en-AU"/>
              </w:rPr>
            </w:pPr>
            <w:r>
              <w:t>When an entity fails to maintain adequate risk preparedness and mitigation in their RMP, they cannot be directed to take specific actions to improve their RMP or other risk management related practice without an enforceable undertaking being sought</w:t>
            </w:r>
            <w:r w:rsidR="0DAD39F6">
              <w:t xml:space="preserve"> (see below discussion of enforceable undertakings)</w:t>
            </w:r>
            <w:r>
              <w:t>. This represents a gap in the graduated regulatory powers available to the regulator.</w:t>
            </w:r>
          </w:p>
        </w:tc>
      </w:tr>
    </w:tbl>
    <w:p w14:paraId="5DF2A814" w14:textId="07249A3C" w:rsidR="004614F4" w:rsidRPr="003E55AD" w:rsidRDefault="00DA2237" w:rsidP="00DA2237">
      <w:pPr>
        <w:pStyle w:val="BodyText"/>
      </w:pPr>
      <w:r>
        <w:t xml:space="preserve">The identified gap above makes it challenging for the SOCI Act to achieve its intent of embedding preparation, prevention, and mitigation activities into the business-as-usual operations. </w:t>
      </w:r>
      <w:r w:rsidR="004614F4" w:rsidRPr="001F362F">
        <w:t xml:space="preserve">The CISC is currently undertaking trial audits of critical infrastructure entity compliance with SOCI Act obligations. Early findings are that a significant proportion of entities are not fully compliant with the existing CIRMP obligation, </w:t>
      </w:r>
      <w:r w:rsidR="003E55AD">
        <w:t>which suggests there will be a need for appropriate intervention powers to ensure compliance and effective risk mitigation. T</w:t>
      </w:r>
      <w:r w:rsidR="004614F4" w:rsidRPr="001F362F">
        <w:t xml:space="preserve">he </w:t>
      </w:r>
      <w:r w:rsidR="003E55AD">
        <w:t xml:space="preserve">full extent of this </w:t>
      </w:r>
      <w:r w:rsidR="004614F4" w:rsidRPr="001F362F">
        <w:t xml:space="preserve">level of non-compliance is yet to be established. </w:t>
      </w:r>
    </w:p>
    <w:p w14:paraId="0242B3C8" w14:textId="4AF02D9D" w:rsidR="00DA2237" w:rsidRPr="00120759" w:rsidRDefault="003E55AD" w:rsidP="00DA2237">
      <w:pPr>
        <w:pStyle w:val="BodyText"/>
      </w:pPr>
      <w:r>
        <w:t xml:space="preserve">Under </w:t>
      </w:r>
      <w:r w:rsidR="00DA2237">
        <w:t>the status quo, the Department is limited to pursuing an enforceable undertaking when compelling an entity to address deficient risk management practices</w:t>
      </w:r>
      <w:r w:rsidR="006950C1">
        <w:t xml:space="preserve"> in the following</w:t>
      </w:r>
      <w:r w:rsidR="3F1DD15D">
        <w:t xml:space="preserve"> example</w:t>
      </w:r>
      <w:r w:rsidR="00DA2237">
        <w:t>:</w:t>
      </w:r>
    </w:p>
    <w:p w14:paraId="53F7AE56" w14:textId="77777777" w:rsidR="00DA2237" w:rsidRPr="00120759" w:rsidRDefault="00DA2237" w:rsidP="00510557">
      <w:pPr>
        <w:pStyle w:val="ListParagraph"/>
        <w:numPr>
          <w:ilvl w:val="0"/>
          <w:numId w:val="21"/>
        </w:numPr>
        <w:contextualSpacing/>
        <w:rPr>
          <w:rFonts w:ascii="Arial" w:hAnsi="Arial" w:cs="Arial"/>
          <w:szCs w:val="20"/>
        </w:rPr>
      </w:pPr>
      <w:r w:rsidRPr="591A7590">
        <w:rPr>
          <w:rFonts w:ascii="Arial" w:hAnsi="Arial" w:cs="Arial"/>
          <w:szCs w:val="20"/>
        </w:rPr>
        <w:t>Where the entity is not meeting or taking reasonable steps to meet required maturity levels of prescribed cyber security frameworks</w:t>
      </w:r>
      <w:r>
        <w:rPr>
          <w:rFonts w:ascii="Arial" w:hAnsi="Arial" w:cs="Arial"/>
          <w:szCs w:val="20"/>
        </w:rPr>
        <w:t>;</w:t>
      </w:r>
    </w:p>
    <w:p w14:paraId="5FE7F94D" w14:textId="77777777" w:rsidR="00DA2237" w:rsidRPr="00120759" w:rsidRDefault="00DA2237" w:rsidP="00510557">
      <w:pPr>
        <w:pStyle w:val="ListParagraph"/>
        <w:numPr>
          <w:ilvl w:val="0"/>
          <w:numId w:val="21"/>
        </w:numPr>
        <w:contextualSpacing/>
        <w:rPr>
          <w:rFonts w:ascii="Arial" w:hAnsi="Arial" w:cs="Arial"/>
          <w:szCs w:val="20"/>
        </w:rPr>
      </w:pPr>
      <w:r w:rsidRPr="591A7590">
        <w:rPr>
          <w:rFonts w:ascii="Arial" w:hAnsi="Arial" w:cs="Arial"/>
          <w:szCs w:val="20"/>
        </w:rPr>
        <w:t xml:space="preserve">Where an entity does not have a process in place to assess the suitability of critical workers that have access to critical components of a critical infrastructure asset; </w:t>
      </w:r>
      <w:r>
        <w:rPr>
          <w:rFonts w:ascii="Arial" w:hAnsi="Arial" w:cs="Arial"/>
          <w:szCs w:val="20"/>
        </w:rPr>
        <w:t>and</w:t>
      </w:r>
    </w:p>
    <w:p w14:paraId="6153EA91" w14:textId="77777777" w:rsidR="00DA2237" w:rsidRPr="006559BB" w:rsidRDefault="00DA2237" w:rsidP="00510557">
      <w:pPr>
        <w:pStyle w:val="ListParagraph"/>
        <w:numPr>
          <w:ilvl w:val="0"/>
          <w:numId w:val="21"/>
        </w:numPr>
        <w:contextualSpacing/>
        <w:rPr>
          <w:rFonts w:ascii="Arial" w:hAnsi="Arial" w:cs="Arial"/>
          <w:szCs w:val="20"/>
        </w:rPr>
      </w:pPr>
      <w:r w:rsidRPr="591A7590">
        <w:rPr>
          <w:rFonts w:ascii="Arial" w:hAnsi="Arial" w:cs="Arial"/>
          <w:szCs w:val="20"/>
        </w:rPr>
        <w:t xml:space="preserve">Where the entity has failed to consider and minimise risks in the threat landscape that pose a potential risk to their asset, the Secretary may direct the entity to consider those risks. For example, if an electricity distributor has failed to minimise the threat posed by cyber-attacks on their operational technology. </w:t>
      </w:r>
    </w:p>
    <w:p w14:paraId="6B5AB695" w14:textId="3EDD8BFC" w:rsidR="00DA2237" w:rsidRDefault="00DA2237" w:rsidP="00DA2237">
      <w:pPr>
        <w:pStyle w:val="BodyText"/>
      </w:pPr>
      <w:r>
        <w:t xml:space="preserve">While an enforceable undertaking offers some avenue for recourse where there is a deficient RMP, </w:t>
      </w:r>
      <w:r w:rsidR="009E674F">
        <w:t xml:space="preserve">there are substantial costs and </w:t>
      </w:r>
      <w:r w:rsidR="002A4D1E">
        <w:t xml:space="preserve">lead times, for both entities and the Department, associated with </w:t>
      </w:r>
      <w:r>
        <w:t xml:space="preserve">attaining an undertaking, due to the procedural matters it involves. </w:t>
      </w:r>
      <w:r w:rsidR="00993F90">
        <w:t xml:space="preserve">An enforceable undertaking </w:t>
      </w:r>
      <w:r>
        <w:t xml:space="preserve">also removes the discretion which may be desirable when an entity is considering how to respond to a direction to address a deficient RMP. </w:t>
      </w:r>
    </w:p>
    <w:p w14:paraId="121B6047" w14:textId="77777777" w:rsidR="00DA2237" w:rsidRPr="001F362F" w:rsidRDefault="00DA2237" w:rsidP="001F362F">
      <w:pPr>
        <w:contextualSpacing/>
        <w:rPr>
          <w:rFonts w:ascii="Arial" w:hAnsi="Arial" w:cs="Arial"/>
          <w:szCs w:val="20"/>
        </w:rPr>
      </w:pPr>
      <w:r w:rsidRPr="001F362F">
        <w:rPr>
          <w:rFonts w:ascii="Arial" w:hAnsi="Arial" w:cs="Arial"/>
          <w:szCs w:val="20"/>
        </w:rPr>
        <w:t xml:space="preserve">In addition, an enforceable undertaking: </w:t>
      </w:r>
    </w:p>
    <w:p w14:paraId="3F4937DE" w14:textId="77777777" w:rsidR="00DA2237" w:rsidRDefault="00DA2237" w:rsidP="00510557">
      <w:pPr>
        <w:pStyle w:val="ListParagraph"/>
        <w:numPr>
          <w:ilvl w:val="0"/>
          <w:numId w:val="21"/>
        </w:numPr>
        <w:contextualSpacing/>
        <w:rPr>
          <w:rFonts w:ascii="Arial" w:hAnsi="Arial" w:cs="Arial"/>
          <w:szCs w:val="20"/>
        </w:rPr>
      </w:pPr>
      <w:r>
        <w:rPr>
          <w:rFonts w:ascii="Arial" w:hAnsi="Arial" w:cs="Arial"/>
          <w:szCs w:val="20"/>
        </w:rPr>
        <w:t xml:space="preserve">Cannot be compelled by the Department. It instead relies on the entity providing a written undertaking to the Department. </w:t>
      </w:r>
    </w:p>
    <w:p w14:paraId="76F122B3" w14:textId="77777777" w:rsidR="00DA2237" w:rsidRDefault="00DA2237" w:rsidP="00510557">
      <w:pPr>
        <w:pStyle w:val="ListParagraph"/>
        <w:numPr>
          <w:ilvl w:val="0"/>
          <w:numId w:val="21"/>
        </w:numPr>
        <w:contextualSpacing/>
        <w:rPr>
          <w:rFonts w:ascii="Arial" w:hAnsi="Arial" w:cs="Arial"/>
          <w:szCs w:val="20"/>
        </w:rPr>
      </w:pPr>
      <w:r>
        <w:rPr>
          <w:rFonts w:ascii="Arial" w:hAnsi="Arial" w:cs="Arial"/>
          <w:szCs w:val="20"/>
        </w:rPr>
        <w:t xml:space="preserve">Is unlikely to be provided by an entity with a deficient RMP and therefore, cannot be enforced by the Department. </w:t>
      </w:r>
    </w:p>
    <w:p w14:paraId="5D6376FB" w14:textId="64F30164" w:rsidR="005317FB" w:rsidRDefault="00993F90" w:rsidP="00DA2237">
      <w:pPr>
        <w:pStyle w:val="BodyText"/>
        <w:rPr>
          <w:rFonts w:ascii="Arial" w:hAnsi="Arial" w:cs="Arial"/>
          <w:szCs w:val="20"/>
        </w:rPr>
      </w:pPr>
      <w:r>
        <w:rPr>
          <w:rFonts w:ascii="Arial" w:hAnsi="Arial" w:cs="Arial"/>
          <w:szCs w:val="20"/>
        </w:rPr>
        <w:t>When</w:t>
      </w:r>
      <w:r w:rsidR="00DA2237" w:rsidRPr="00477565">
        <w:rPr>
          <w:rFonts w:ascii="Arial" w:hAnsi="Arial" w:cs="Arial"/>
          <w:szCs w:val="20"/>
        </w:rPr>
        <w:t xml:space="preserve"> an entity makes an </w:t>
      </w:r>
      <w:r w:rsidR="00DA2237" w:rsidRPr="00E54412">
        <w:rPr>
          <w:rFonts w:ascii="Arial" w:hAnsi="Arial" w:cs="Arial"/>
          <w:szCs w:val="20"/>
        </w:rPr>
        <w:t>enforceable</w:t>
      </w:r>
      <w:r w:rsidR="00DA2237" w:rsidRPr="00477565">
        <w:rPr>
          <w:rFonts w:ascii="Arial" w:hAnsi="Arial" w:cs="Arial"/>
          <w:szCs w:val="20"/>
        </w:rPr>
        <w:t xml:space="preserve"> undertaking and later fails to comply, the process of enforcement </w:t>
      </w:r>
      <w:r>
        <w:rPr>
          <w:rFonts w:ascii="Arial" w:hAnsi="Arial" w:cs="Arial"/>
          <w:szCs w:val="20"/>
        </w:rPr>
        <w:t xml:space="preserve">creates additional time and cost burdens. </w:t>
      </w:r>
      <w:r w:rsidR="00DA2237" w:rsidRPr="00477565">
        <w:rPr>
          <w:rFonts w:ascii="Arial" w:hAnsi="Arial" w:cs="Arial"/>
          <w:szCs w:val="20"/>
        </w:rPr>
        <w:t xml:space="preserve"> </w:t>
      </w:r>
      <w:r w:rsidR="005317FB">
        <w:rPr>
          <w:rFonts w:ascii="Arial" w:hAnsi="Arial" w:cs="Arial"/>
          <w:szCs w:val="20"/>
        </w:rPr>
        <w:t>This is because:</w:t>
      </w:r>
    </w:p>
    <w:p w14:paraId="56DAA972" w14:textId="0EE3E5B0" w:rsidR="005317FB" w:rsidRPr="001F362F" w:rsidRDefault="002F6496" w:rsidP="001F362F">
      <w:pPr>
        <w:pStyle w:val="BodyText"/>
        <w:numPr>
          <w:ilvl w:val="0"/>
          <w:numId w:val="114"/>
        </w:numPr>
      </w:pPr>
      <w:r>
        <w:rPr>
          <w:rFonts w:ascii="Arial" w:hAnsi="Arial" w:cs="Arial"/>
          <w:szCs w:val="20"/>
        </w:rPr>
        <w:t>The</w:t>
      </w:r>
      <w:r w:rsidR="00DA2237" w:rsidRPr="00477565">
        <w:rPr>
          <w:rFonts w:ascii="Arial" w:hAnsi="Arial" w:cs="Arial"/>
          <w:szCs w:val="20"/>
        </w:rPr>
        <w:t xml:space="preserve"> Department may first seek </w:t>
      </w:r>
      <w:r w:rsidR="00DA2237" w:rsidRPr="00302A0C">
        <w:rPr>
          <w:rFonts w:ascii="Arial" w:eastAsiaTheme="minorHAnsi" w:hAnsi="Arial" w:cs="Arial"/>
          <w:szCs w:val="20"/>
        </w:rPr>
        <w:t>to resolve the matter through consultation in appropriate cases</w:t>
      </w:r>
      <w:r w:rsidR="004F465D">
        <w:rPr>
          <w:rFonts w:ascii="Arial" w:eastAsiaTheme="minorHAnsi" w:hAnsi="Arial" w:cs="Arial"/>
          <w:szCs w:val="20"/>
        </w:rPr>
        <w:t xml:space="preserve">, which is a time consuming process for both the Department and relevant entity. </w:t>
      </w:r>
    </w:p>
    <w:p w14:paraId="00CAB7FF" w14:textId="6809EB4B" w:rsidR="00D86BE7" w:rsidRPr="001F362F" w:rsidRDefault="00DA2237" w:rsidP="001F362F">
      <w:pPr>
        <w:pStyle w:val="BodyText"/>
        <w:numPr>
          <w:ilvl w:val="0"/>
          <w:numId w:val="114"/>
        </w:numPr>
      </w:pPr>
      <w:r w:rsidRPr="00302A0C">
        <w:rPr>
          <w:rFonts w:ascii="Arial" w:eastAsiaTheme="minorHAnsi" w:hAnsi="Arial" w:cs="Arial"/>
          <w:szCs w:val="20"/>
        </w:rPr>
        <w:t>Where</w:t>
      </w:r>
      <w:r w:rsidR="004F465D">
        <w:rPr>
          <w:rFonts w:ascii="Arial" w:eastAsiaTheme="minorHAnsi" w:hAnsi="Arial" w:cs="Arial"/>
          <w:szCs w:val="20"/>
        </w:rPr>
        <w:t xml:space="preserve"> consultation is</w:t>
      </w:r>
      <w:r w:rsidRPr="00302A0C">
        <w:rPr>
          <w:rFonts w:ascii="Arial" w:eastAsiaTheme="minorHAnsi" w:hAnsi="Arial" w:cs="Arial"/>
          <w:szCs w:val="20"/>
        </w:rPr>
        <w:t xml:space="preserve"> not appropriate or where no resolution is possible, the Department may proceed to apply to the Federal Court to make appropriate orders to enforce the terms of the undertaking</w:t>
      </w:r>
      <w:r>
        <w:rPr>
          <w:rFonts w:ascii="Arial" w:hAnsi="Arial" w:cs="Arial"/>
          <w:szCs w:val="20"/>
        </w:rPr>
        <w:t xml:space="preserve">. </w:t>
      </w:r>
      <w:r w:rsidR="00D86BE7">
        <w:rPr>
          <w:rFonts w:ascii="Arial" w:hAnsi="Arial" w:cs="Arial"/>
          <w:szCs w:val="20"/>
        </w:rPr>
        <w:t>The procedural matters involved in seeking appropriate orders</w:t>
      </w:r>
      <w:r w:rsidR="000760B3">
        <w:rPr>
          <w:rFonts w:ascii="Arial" w:hAnsi="Arial" w:cs="Arial"/>
          <w:szCs w:val="20"/>
        </w:rPr>
        <w:t xml:space="preserve">, including </w:t>
      </w:r>
      <w:r w:rsidR="00721D28">
        <w:rPr>
          <w:rFonts w:ascii="Arial" w:hAnsi="Arial" w:cs="Arial"/>
          <w:szCs w:val="20"/>
        </w:rPr>
        <w:t xml:space="preserve">delays in court proceedings, will also add </w:t>
      </w:r>
      <w:r w:rsidR="00D86BE7">
        <w:rPr>
          <w:rFonts w:ascii="Arial" w:hAnsi="Arial" w:cs="Arial"/>
          <w:szCs w:val="20"/>
        </w:rPr>
        <w:t>additional time and cost burdens</w:t>
      </w:r>
      <w:r w:rsidR="00D86BE7" w:rsidRPr="001F362F">
        <w:t>.</w:t>
      </w:r>
      <w:r w:rsidR="00D86BE7">
        <w:t xml:space="preserve"> </w:t>
      </w:r>
    </w:p>
    <w:p w14:paraId="1FFD20C4" w14:textId="5E23F65D" w:rsidR="0079338B" w:rsidRDefault="00DA2237" w:rsidP="001F362F">
      <w:pPr>
        <w:pStyle w:val="BodyText"/>
        <w:numPr>
          <w:ilvl w:val="0"/>
          <w:numId w:val="114"/>
        </w:numPr>
      </w:pPr>
      <w:r>
        <w:rPr>
          <w:rFonts w:ascii="Arial" w:hAnsi="Arial" w:cs="Arial"/>
          <w:szCs w:val="20"/>
        </w:rPr>
        <w:t xml:space="preserve">In the course of </w:t>
      </w:r>
      <w:r w:rsidR="00D86BE7">
        <w:rPr>
          <w:rFonts w:ascii="Arial" w:hAnsi="Arial" w:cs="Arial"/>
          <w:szCs w:val="20"/>
        </w:rPr>
        <w:t>seeking to enforce the undertaking</w:t>
      </w:r>
      <w:r>
        <w:rPr>
          <w:rFonts w:ascii="Arial" w:hAnsi="Arial" w:cs="Arial"/>
          <w:szCs w:val="20"/>
        </w:rPr>
        <w:t>, risks arising from the deficient RMP may have already materialise</w:t>
      </w:r>
      <w:r w:rsidR="00D86BE7">
        <w:rPr>
          <w:rFonts w:ascii="Arial" w:hAnsi="Arial" w:cs="Arial"/>
          <w:szCs w:val="20"/>
        </w:rPr>
        <w:t>d, creat</w:t>
      </w:r>
      <w:r w:rsidR="00144A31">
        <w:rPr>
          <w:rFonts w:ascii="Arial" w:hAnsi="Arial" w:cs="Arial"/>
          <w:szCs w:val="20"/>
        </w:rPr>
        <w:t xml:space="preserve">ing potential harms for industry and Australia at large. </w:t>
      </w:r>
    </w:p>
    <w:p w14:paraId="1BCD322D" w14:textId="5BADF6BD" w:rsidR="00FD52CC" w:rsidRPr="00EB4ED7" w:rsidRDefault="00FD52CC" w:rsidP="0079338B">
      <w:pPr>
        <w:pStyle w:val="BodyText"/>
      </w:pPr>
      <w:r w:rsidRPr="591A7590">
        <w:br w:type="page"/>
      </w:r>
    </w:p>
    <w:p w14:paraId="2A0AB9A6" w14:textId="77777777" w:rsidR="00487C09" w:rsidRPr="00490823" w:rsidRDefault="00487C09" w:rsidP="00510557">
      <w:pPr>
        <w:pStyle w:val="Heading1"/>
        <w:widowControl/>
        <w:numPr>
          <w:ilvl w:val="0"/>
          <w:numId w:val="26"/>
        </w:numPr>
        <w:spacing w:before="240" w:after="120" w:line="259" w:lineRule="auto"/>
        <w:ind w:left="426" w:hanging="426"/>
        <w:rPr>
          <w:rFonts w:ascii="Arial" w:hAnsi="Arial"/>
          <w:sz w:val="32"/>
          <w:szCs w:val="32"/>
        </w:rPr>
      </w:pPr>
      <w:bookmarkStart w:id="41" w:name="_Toc164683827"/>
      <w:bookmarkStart w:id="42" w:name="_Toc176183928"/>
      <w:r w:rsidRPr="00490823">
        <w:rPr>
          <w:rFonts w:ascii="Arial" w:hAnsi="Arial"/>
          <w:sz w:val="32"/>
          <w:szCs w:val="32"/>
        </w:rPr>
        <w:t>What are the objectives, why is government intervention needed to achieve them, and how will success be measured?</w:t>
      </w:r>
      <w:bookmarkEnd w:id="41"/>
      <w:bookmarkEnd w:id="42"/>
    </w:p>
    <w:p w14:paraId="7880CBD9" w14:textId="77777777" w:rsidR="00487C09" w:rsidRDefault="00487C09" w:rsidP="00487C09">
      <w:pPr>
        <w:pStyle w:val="Heading2"/>
        <w:rPr>
          <w:rFonts w:ascii="Arial" w:hAnsi="Arial"/>
        </w:rPr>
      </w:pPr>
      <w:bookmarkStart w:id="43" w:name="_Toc176183929"/>
      <w:bookmarkStart w:id="44" w:name="_Toc164683828"/>
      <w:r w:rsidRPr="2F6B7F1D" w:rsidDel="00D55B36">
        <w:rPr>
          <w:rFonts w:ascii="Arial" w:hAnsi="Arial"/>
        </w:rPr>
        <w:t xml:space="preserve">2.1 </w:t>
      </w:r>
      <w:r>
        <w:rPr>
          <w:rFonts w:ascii="Arial" w:hAnsi="Arial"/>
        </w:rPr>
        <w:t>What are the objectives?</w:t>
      </w:r>
      <w:bookmarkEnd w:id="43"/>
      <w:r>
        <w:rPr>
          <w:rFonts w:ascii="Arial" w:hAnsi="Arial"/>
        </w:rPr>
        <w:t xml:space="preserve"> </w:t>
      </w:r>
    </w:p>
    <w:p w14:paraId="00194D08" w14:textId="3037FE8A" w:rsidR="00487C09" w:rsidRDefault="00487C09" w:rsidP="00487C09">
      <w:pPr>
        <w:pStyle w:val="BodyText"/>
      </w:pPr>
      <w:r w:rsidRPr="591A7590">
        <w:t>There are several specific objectives for Government intervention, aligned with the three problem elements identified in Section 1. These are outlined in</w:t>
      </w:r>
      <w:r>
        <w:t xml:space="preserve"> the </w:t>
      </w:r>
      <w:r w:rsidR="006F37A7">
        <w:t>T</w:t>
      </w:r>
      <w:r>
        <w:t xml:space="preserve">able 14 below. </w:t>
      </w:r>
    </w:p>
    <w:p w14:paraId="65ACCF7F" w14:textId="55A0A674" w:rsidR="00487C09" w:rsidRPr="00344966" w:rsidRDefault="00487C09" w:rsidP="00487C09">
      <w:pPr>
        <w:pStyle w:val="Caption"/>
        <w:rPr>
          <w:rFonts w:ascii="Calibri" w:hAnsi="Calibri" w:cs="Calibri"/>
        </w:rPr>
      </w:pPr>
      <w:bookmarkStart w:id="45" w:name="_Ref167357024"/>
      <w:r w:rsidRPr="00344966">
        <w:rPr>
          <w:rFonts w:ascii="Calibri" w:hAnsi="Calibri" w:cs="Calibri"/>
          <w:bCs/>
        </w:rPr>
        <w:t xml:space="preserve">Table </w:t>
      </w:r>
      <w:r w:rsidRPr="00344966">
        <w:rPr>
          <w:rFonts w:ascii="Calibri" w:hAnsi="Calibri" w:cs="Calibri"/>
          <w:color w:val="2B579A"/>
          <w:shd w:val="clear" w:color="auto" w:fill="E6E6E6"/>
        </w:rPr>
        <w:fldChar w:fldCharType="begin"/>
      </w:r>
      <w:r w:rsidRPr="00344966">
        <w:rPr>
          <w:rFonts w:ascii="Calibri" w:hAnsi="Calibri" w:cs="Calibri"/>
        </w:rPr>
        <w:instrText xml:space="preserve"> SEQ Table \* ARABIC </w:instrText>
      </w:r>
      <w:r w:rsidRPr="00344966">
        <w:rPr>
          <w:rFonts w:ascii="Calibri" w:hAnsi="Calibri" w:cs="Calibri"/>
          <w:color w:val="2B579A"/>
          <w:shd w:val="clear" w:color="auto" w:fill="E6E6E6"/>
        </w:rPr>
        <w:fldChar w:fldCharType="separate"/>
      </w:r>
      <w:r w:rsidR="00E8506B">
        <w:rPr>
          <w:rFonts w:ascii="Calibri" w:hAnsi="Calibri" w:cs="Calibri"/>
          <w:noProof/>
        </w:rPr>
        <w:t>14</w:t>
      </w:r>
      <w:r w:rsidRPr="00344966">
        <w:rPr>
          <w:rFonts w:ascii="Calibri" w:hAnsi="Calibri" w:cs="Calibri"/>
          <w:color w:val="2B579A"/>
          <w:shd w:val="clear" w:color="auto" w:fill="E6E6E6"/>
        </w:rPr>
        <w:fldChar w:fldCharType="end"/>
      </w:r>
      <w:bookmarkEnd w:id="45"/>
      <w:r w:rsidRPr="00344966">
        <w:rPr>
          <w:rFonts w:ascii="Calibri" w:hAnsi="Calibri" w:cs="Calibri"/>
        </w:rPr>
        <w:t xml:space="preserve"> </w:t>
      </w:r>
      <w:r w:rsidRPr="00344966">
        <w:rPr>
          <w:rFonts w:ascii="Calibri" w:hAnsi="Calibri" w:cs="Calibri"/>
          <w:b w:val="0"/>
        </w:rPr>
        <w:t>Identified problems and Government objectives</w:t>
      </w:r>
    </w:p>
    <w:tbl>
      <w:tblPr>
        <w:tblStyle w:val="TableGridLight"/>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89"/>
        <w:gridCol w:w="3896"/>
        <w:gridCol w:w="4554"/>
      </w:tblGrid>
      <w:tr w:rsidR="005F7795" w:rsidRPr="00940D7E" w14:paraId="5DB0E5FD" w14:textId="77777777" w:rsidTr="009763A8">
        <w:trPr>
          <w:trHeight w:val="312"/>
        </w:trPr>
        <w:tc>
          <w:tcPr>
            <w:tcW w:w="1189" w:type="dxa"/>
            <w:shd w:val="clear" w:color="auto" w:fill="284B98"/>
            <w:vAlign w:val="center"/>
          </w:tcPr>
          <w:p w14:paraId="48D22D3F" w14:textId="15716C9E" w:rsidR="005F7795" w:rsidRPr="00F1701F" w:rsidRDefault="005F7795" w:rsidP="004C3259">
            <w:pPr>
              <w:rPr>
                <w:rFonts w:ascii="Arial" w:hAnsi="Arial" w:cs="Arial"/>
                <w:b/>
                <w:bCs/>
                <w:color w:val="FFFFFF" w:themeColor="background1"/>
                <w:szCs w:val="20"/>
              </w:rPr>
            </w:pPr>
          </w:p>
        </w:tc>
        <w:tc>
          <w:tcPr>
            <w:tcW w:w="3896" w:type="dxa"/>
            <w:shd w:val="clear" w:color="auto" w:fill="284B98"/>
            <w:vAlign w:val="center"/>
          </w:tcPr>
          <w:p w14:paraId="31A11FB1" w14:textId="5F12A2D4" w:rsidR="005F7795" w:rsidRPr="00F1701F" w:rsidRDefault="005F7795" w:rsidP="004C3259">
            <w:pPr>
              <w:rPr>
                <w:rFonts w:ascii="Arial" w:hAnsi="Arial" w:cs="Arial"/>
                <w:b/>
                <w:bCs/>
                <w:color w:val="FFFFFF" w:themeColor="background1"/>
                <w:szCs w:val="20"/>
              </w:rPr>
            </w:pPr>
            <w:r w:rsidRPr="591A7590">
              <w:rPr>
                <w:rFonts w:ascii="Arial" w:hAnsi="Arial" w:cs="Arial"/>
                <w:b/>
                <w:bCs/>
                <w:color w:val="FFFFFF" w:themeColor="background1"/>
                <w:szCs w:val="20"/>
              </w:rPr>
              <w:t>What is the problem?</w:t>
            </w:r>
          </w:p>
        </w:tc>
        <w:tc>
          <w:tcPr>
            <w:tcW w:w="4554" w:type="dxa"/>
            <w:shd w:val="clear" w:color="auto" w:fill="284B98"/>
          </w:tcPr>
          <w:p w14:paraId="0D49A7A4" w14:textId="77777777" w:rsidR="005F7795" w:rsidRDefault="005F7795" w:rsidP="004C3259">
            <w:pPr>
              <w:rPr>
                <w:rFonts w:ascii="Arial" w:hAnsi="Arial" w:cs="Arial"/>
                <w:b/>
                <w:bCs/>
                <w:color w:val="FFFFFF" w:themeColor="background1"/>
                <w:szCs w:val="20"/>
              </w:rPr>
            </w:pPr>
            <w:r w:rsidRPr="591A7590">
              <w:rPr>
                <w:rFonts w:ascii="Arial" w:hAnsi="Arial" w:cs="Arial"/>
                <w:b/>
                <w:bCs/>
                <w:color w:val="FFFFFF" w:themeColor="background1"/>
                <w:szCs w:val="20"/>
              </w:rPr>
              <w:t>What are Government’s objectives?</w:t>
            </w:r>
          </w:p>
        </w:tc>
      </w:tr>
      <w:tr w:rsidR="00487C09" w:rsidRPr="00940D7E" w14:paraId="3CC61BB8" w14:textId="77777777" w:rsidTr="009763A8">
        <w:trPr>
          <w:trHeight w:val="312"/>
        </w:trPr>
        <w:tc>
          <w:tcPr>
            <w:tcW w:w="1189" w:type="dxa"/>
            <w:shd w:val="clear" w:color="auto" w:fill="F2F2F2" w:themeFill="background1" w:themeFillShade="F2"/>
            <w:vAlign w:val="center"/>
          </w:tcPr>
          <w:p w14:paraId="66740994" w14:textId="77777777" w:rsidR="00487C09" w:rsidRPr="00DB0F47" w:rsidRDefault="00487C09" w:rsidP="004C3259">
            <w:pPr>
              <w:spacing w:after="120"/>
              <w:rPr>
                <w:rFonts w:ascii="Arial" w:hAnsi="Arial" w:cs="Arial"/>
                <w:b/>
                <w:bCs/>
                <w:szCs w:val="20"/>
              </w:rPr>
            </w:pPr>
            <w:r w:rsidRPr="591A7590">
              <w:rPr>
                <w:rFonts w:ascii="Arial" w:hAnsi="Arial" w:cs="Arial"/>
                <w:b/>
                <w:bCs/>
                <w:szCs w:val="20"/>
              </w:rPr>
              <w:t>1.1</w:t>
            </w:r>
          </w:p>
        </w:tc>
        <w:tc>
          <w:tcPr>
            <w:tcW w:w="3896" w:type="dxa"/>
            <w:vAlign w:val="center"/>
          </w:tcPr>
          <w:p w14:paraId="0CA05779" w14:textId="77777777" w:rsidR="00487C09" w:rsidRPr="00400CBA" w:rsidRDefault="00487C09" w:rsidP="00487C09">
            <w:pPr>
              <w:pStyle w:val="Tablebody0"/>
            </w:pPr>
            <w:r w:rsidRPr="591A7590">
              <w:t xml:space="preserve">There is a growing number of cyber incidents which impact non-operational data storage systems held by critical infrastructure entities, which can often be a point of entry for malicious actors. </w:t>
            </w:r>
          </w:p>
        </w:tc>
        <w:tc>
          <w:tcPr>
            <w:tcW w:w="4554" w:type="dxa"/>
            <w:vAlign w:val="center"/>
          </w:tcPr>
          <w:p w14:paraId="7E48753A" w14:textId="77777777" w:rsidR="00487C09" w:rsidRPr="00C45D0A" w:rsidRDefault="00487C09" w:rsidP="00487C09">
            <w:pPr>
              <w:pStyle w:val="Tablebody0"/>
            </w:pPr>
            <w:r w:rsidRPr="591A7590">
              <w:t xml:space="preserve">Ensure </w:t>
            </w:r>
            <w:r w:rsidRPr="591A7590">
              <w:rPr>
                <w:b/>
                <w:bCs/>
              </w:rPr>
              <w:t>consistent</w:t>
            </w:r>
            <w:r w:rsidRPr="591A7590">
              <w:t xml:space="preserve"> capture of secondary systems where vulnerabilities could have a relevant impact on critical infrastructure. </w:t>
            </w:r>
          </w:p>
        </w:tc>
      </w:tr>
      <w:tr w:rsidR="00487C09" w:rsidRPr="00940D7E" w14:paraId="3398EA2F" w14:textId="77777777" w:rsidTr="009763A8">
        <w:trPr>
          <w:trHeight w:val="312"/>
        </w:trPr>
        <w:tc>
          <w:tcPr>
            <w:tcW w:w="1189" w:type="dxa"/>
            <w:shd w:val="clear" w:color="auto" w:fill="F2F2F2" w:themeFill="background1" w:themeFillShade="F2"/>
            <w:vAlign w:val="center"/>
          </w:tcPr>
          <w:p w14:paraId="1722402E" w14:textId="77777777" w:rsidR="00487C09" w:rsidRPr="00DB0F47" w:rsidRDefault="00487C09" w:rsidP="004C3259">
            <w:pPr>
              <w:spacing w:after="120"/>
              <w:rPr>
                <w:rFonts w:ascii="Arial" w:hAnsi="Arial" w:cs="Arial"/>
                <w:b/>
                <w:bCs/>
                <w:szCs w:val="20"/>
              </w:rPr>
            </w:pPr>
            <w:r w:rsidRPr="591A7590">
              <w:rPr>
                <w:rFonts w:ascii="Arial" w:hAnsi="Arial" w:cs="Arial"/>
                <w:b/>
                <w:bCs/>
                <w:szCs w:val="20"/>
              </w:rPr>
              <w:t>1.2</w:t>
            </w:r>
          </w:p>
        </w:tc>
        <w:tc>
          <w:tcPr>
            <w:tcW w:w="3896" w:type="dxa"/>
            <w:vAlign w:val="center"/>
          </w:tcPr>
          <w:p w14:paraId="1804F27D" w14:textId="77777777" w:rsidR="00487C09" w:rsidRPr="00400CBA" w:rsidRDefault="00487C09" w:rsidP="00487C09">
            <w:pPr>
              <w:pStyle w:val="Tablebody0"/>
            </w:pPr>
            <w:r w:rsidRPr="591A7590">
              <w:t xml:space="preserve">Businesses often face difficulties responding effectively in the aftermath of significant incidents because of legal risks and government’s limited ability to support with post-incident consequence management. </w:t>
            </w:r>
          </w:p>
        </w:tc>
        <w:tc>
          <w:tcPr>
            <w:tcW w:w="4554" w:type="dxa"/>
            <w:vAlign w:val="center"/>
          </w:tcPr>
          <w:p w14:paraId="10D76DB8" w14:textId="77777777" w:rsidR="00487C09" w:rsidRPr="00C45D0A" w:rsidRDefault="00487C09" w:rsidP="00487C09">
            <w:pPr>
              <w:pStyle w:val="Tablebody0"/>
            </w:pPr>
            <w:r w:rsidRPr="591A7590">
              <w:t xml:space="preserve">Enable a </w:t>
            </w:r>
            <w:r w:rsidRPr="591A7590">
              <w:rPr>
                <w:b/>
                <w:bCs/>
              </w:rPr>
              <w:t>coordinated,</w:t>
            </w:r>
            <w:r w:rsidRPr="591A7590">
              <w:t xml:space="preserve"> </w:t>
            </w:r>
            <w:r w:rsidRPr="591A7590">
              <w:rPr>
                <w:b/>
                <w:bCs/>
              </w:rPr>
              <w:t>agile, industry-led response</w:t>
            </w:r>
            <w:r w:rsidRPr="591A7590">
              <w:t xml:space="preserve"> to incidents with appropriate support from government where necessary. </w:t>
            </w:r>
          </w:p>
        </w:tc>
      </w:tr>
      <w:tr w:rsidR="00487C09" w:rsidRPr="00940D7E" w14:paraId="038AD15B" w14:textId="77777777" w:rsidTr="009763A8">
        <w:trPr>
          <w:trHeight w:val="312"/>
        </w:trPr>
        <w:tc>
          <w:tcPr>
            <w:tcW w:w="1189" w:type="dxa"/>
            <w:shd w:val="clear" w:color="auto" w:fill="F2F2F2" w:themeFill="background1" w:themeFillShade="F2"/>
            <w:vAlign w:val="center"/>
          </w:tcPr>
          <w:p w14:paraId="0C5CEBB6" w14:textId="77777777" w:rsidR="00487C09" w:rsidRPr="00DB0F47" w:rsidRDefault="00487C09" w:rsidP="004C3259">
            <w:pPr>
              <w:keepLines/>
              <w:spacing w:after="120"/>
              <w:rPr>
                <w:rFonts w:ascii="Arial" w:hAnsi="Arial" w:cs="Arial"/>
                <w:b/>
                <w:bCs/>
                <w:szCs w:val="20"/>
              </w:rPr>
            </w:pPr>
            <w:r w:rsidRPr="591A7590">
              <w:rPr>
                <w:rFonts w:ascii="Arial" w:hAnsi="Arial" w:cs="Arial"/>
                <w:b/>
                <w:bCs/>
                <w:szCs w:val="20"/>
              </w:rPr>
              <w:t>1.3</w:t>
            </w:r>
          </w:p>
        </w:tc>
        <w:tc>
          <w:tcPr>
            <w:tcW w:w="3896" w:type="dxa"/>
            <w:vAlign w:val="center"/>
          </w:tcPr>
          <w:p w14:paraId="63CB6867" w14:textId="77777777" w:rsidR="00487C09" w:rsidRPr="00400CBA" w:rsidRDefault="00487C09" w:rsidP="00487C09">
            <w:pPr>
              <w:pStyle w:val="Tablebody0"/>
            </w:pPr>
            <w:r w:rsidRPr="591A7590">
              <w:t xml:space="preserve">When an entity is unwilling to comply with the regulator’s recommendations to enhance </w:t>
            </w:r>
            <w:r>
              <w:t xml:space="preserve">an RMP, </w:t>
            </w:r>
            <w:r w:rsidRPr="591A7590">
              <w:t xml:space="preserve">there is </w:t>
            </w:r>
            <w:r>
              <w:t>limited</w:t>
            </w:r>
            <w:r w:rsidRPr="591A7590">
              <w:t xml:space="preserve"> ability for the regulator to issue a direction that the entity remedy the deficient RMP</w:t>
            </w:r>
            <w:r>
              <w:t xml:space="preserve"> in a timely fashion</w:t>
            </w:r>
            <w:r w:rsidRPr="591A7590">
              <w:t xml:space="preserve">. </w:t>
            </w:r>
          </w:p>
        </w:tc>
        <w:tc>
          <w:tcPr>
            <w:tcW w:w="4554" w:type="dxa"/>
            <w:vAlign w:val="center"/>
          </w:tcPr>
          <w:p w14:paraId="0D71159B" w14:textId="77777777" w:rsidR="00487C09" w:rsidRPr="00D17C9D" w:rsidRDefault="00487C09" w:rsidP="00487C09">
            <w:pPr>
              <w:pStyle w:val="Tablebody0"/>
            </w:pPr>
            <w:r w:rsidRPr="591A7590">
              <w:rPr>
                <w:b/>
                <w:bCs/>
              </w:rPr>
              <w:t>Clarify and enhance</w:t>
            </w:r>
            <w:r w:rsidRPr="591A7590">
              <w:t xml:space="preserve"> the security standards applicable to critical infrastructure. </w:t>
            </w:r>
          </w:p>
          <w:p w14:paraId="46569B26" w14:textId="77777777" w:rsidR="00487C09" w:rsidRPr="00C45D0A" w:rsidRDefault="00487C09" w:rsidP="00487C09">
            <w:pPr>
              <w:pStyle w:val="Tablebody0"/>
            </w:pPr>
            <w:r w:rsidRPr="591A7590">
              <w:t xml:space="preserve">Enable an </w:t>
            </w:r>
            <w:r w:rsidRPr="591A7590">
              <w:rPr>
                <w:b/>
                <w:bCs/>
              </w:rPr>
              <w:t>agile, industry-led</w:t>
            </w:r>
            <w:r w:rsidRPr="591A7590">
              <w:t xml:space="preserve"> </w:t>
            </w:r>
            <w:r w:rsidRPr="591A7590">
              <w:rPr>
                <w:b/>
                <w:bCs/>
              </w:rPr>
              <w:t>response</w:t>
            </w:r>
            <w:r w:rsidRPr="591A7590">
              <w:t xml:space="preserve"> to incidents with appropriate support from government where necessary.</w:t>
            </w:r>
          </w:p>
        </w:tc>
      </w:tr>
    </w:tbl>
    <w:p w14:paraId="7F8E4DA5" w14:textId="77777777" w:rsidR="00487C09" w:rsidRDefault="00487C09" w:rsidP="00487C09">
      <w:pPr>
        <w:pStyle w:val="BodyText"/>
      </w:pPr>
      <w:r w:rsidRPr="009F5B9F">
        <w:t>The justification for Government intervention to achieve these objectives, as well as measures of success, are discussed throughout this section.</w:t>
      </w:r>
    </w:p>
    <w:p w14:paraId="1145BEFC" w14:textId="77777777" w:rsidR="00487C09" w:rsidRDefault="00487C09" w:rsidP="00487C09">
      <w:pPr>
        <w:pStyle w:val="BodyText"/>
      </w:pPr>
      <w:r>
        <w:t xml:space="preserve">There may be some barriers to Government achieving the objectives outlined above, including: </w:t>
      </w:r>
    </w:p>
    <w:p w14:paraId="3BBC8FC1" w14:textId="35AB565E" w:rsidR="00487C09" w:rsidRPr="00302A0C" w:rsidRDefault="00487C09" w:rsidP="00B03B7A">
      <w:pPr>
        <w:pStyle w:val="ListParagraph"/>
        <w:numPr>
          <w:ilvl w:val="0"/>
          <w:numId w:val="115"/>
        </w:numPr>
        <w:contextualSpacing/>
        <w:rPr>
          <w:rFonts w:ascii="Arial" w:hAnsi="Arial" w:cs="Arial"/>
        </w:rPr>
      </w:pPr>
      <w:r w:rsidRPr="4F26752A">
        <w:rPr>
          <w:rFonts w:ascii="Arial" w:hAnsi="Arial" w:cs="Arial"/>
          <w:b/>
          <w:bCs/>
        </w:rPr>
        <w:t>Governance and policy barriers</w:t>
      </w:r>
      <w:r w:rsidRPr="4F26752A">
        <w:rPr>
          <w:rFonts w:ascii="Arial" w:hAnsi="Arial" w:cs="Arial"/>
        </w:rPr>
        <w:t xml:space="preserve">, including processes and procedures which may be required to precede both Government intervention and commencement of Government action </w:t>
      </w:r>
    </w:p>
    <w:p w14:paraId="4BE3C085" w14:textId="0E250E60" w:rsidR="00487C09" w:rsidRDefault="00487C09" w:rsidP="00B03B7A">
      <w:pPr>
        <w:pStyle w:val="ListParagraph"/>
        <w:numPr>
          <w:ilvl w:val="0"/>
          <w:numId w:val="115"/>
        </w:numPr>
        <w:contextualSpacing/>
        <w:rPr>
          <w:rFonts w:ascii="Arial" w:hAnsi="Arial" w:cs="Arial"/>
        </w:rPr>
      </w:pPr>
      <w:r w:rsidRPr="4F26752A">
        <w:rPr>
          <w:rFonts w:ascii="Arial" w:hAnsi="Arial" w:cs="Arial"/>
          <w:b/>
          <w:bCs/>
        </w:rPr>
        <w:t>Resource barriers</w:t>
      </w:r>
      <w:r w:rsidRPr="4F26752A">
        <w:rPr>
          <w:rFonts w:ascii="Arial" w:hAnsi="Arial" w:cs="Arial"/>
        </w:rPr>
        <w:t>, including financial and personnel challenges</w:t>
      </w:r>
      <w:r w:rsidR="60C804AC" w:rsidRPr="4F26752A">
        <w:rPr>
          <w:rFonts w:ascii="Arial" w:hAnsi="Arial" w:cs="Arial"/>
        </w:rPr>
        <w:t xml:space="preserve"> for responsible entities</w:t>
      </w:r>
      <w:r w:rsidRPr="4F26752A">
        <w:rPr>
          <w:rFonts w:ascii="Arial" w:hAnsi="Arial" w:cs="Arial"/>
        </w:rPr>
        <w:t xml:space="preserve">, which may impede Government’s ability to quickly take action to achieve its objectives. </w:t>
      </w:r>
    </w:p>
    <w:p w14:paraId="7B5D8D3F" w14:textId="77777777" w:rsidR="00487C09" w:rsidRPr="00302A0C" w:rsidRDefault="00487C09" w:rsidP="00510557">
      <w:pPr>
        <w:pStyle w:val="ListParagraph"/>
        <w:numPr>
          <w:ilvl w:val="0"/>
          <w:numId w:val="21"/>
        </w:numPr>
        <w:contextualSpacing/>
      </w:pPr>
      <w:r w:rsidRPr="00302A0C">
        <w:rPr>
          <w:rFonts w:ascii="Arial" w:hAnsi="Arial" w:cs="Arial"/>
          <w:b/>
          <w:szCs w:val="20"/>
        </w:rPr>
        <w:t>Stakeholder environment barriers</w:t>
      </w:r>
      <w:r>
        <w:rPr>
          <w:rFonts w:ascii="Arial" w:hAnsi="Arial" w:cs="Arial"/>
          <w:szCs w:val="20"/>
        </w:rPr>
        <w:t>. While Government is committed to an ongoing, genuine dialogue with industry and relations are strong, a potential lack of trust from industry stakeholders may limit industry’s willingness to collaborate with Government on critical infrastructure matters.</w:t>
      </w:r>
    </w:p>
    <w:p w14:paraId="4F00AF69" w14:textId="77777777" w:rsidR="00487C09" w:rsidRDefault="00487C09" w:rsidP="00487C09">
      <w:pPr>
        <w:pStyle w:val="Heading2"/>
        <w:spacing w:before="0"/>
        <w:rPr>
          <w:rFonts w:ascii="Arial" w:hAnsi="Arial"/>
        </w:rPr>
      </w:pPr>
      <w:bookmarkStart w:id="46" w:name="_Toc176183930"/>
      <w:r>
        <w:rPr>
          <w:rFonts w:ascii="Arial" w:hAnsi="Arial"/>
        </w:rPr>
        <w:t xml:space="preserve">2.2 </w:t>
      </w:r>
      <w:r w:rsidRPr="2F6B7F1D">
        <w:rPr>
          <w:rFonts w:ascii="Arial" w:hAnsi="Arial"/>
        </w:rPr>
        <w:t>Why should Government intervene?</w:t>
      </w:r>
      <w:bookmarkEnd w:id="44"/>
      <w:bookmarkEnd w:id="46"/>
    </w:p>
    <w:p w14:paraId="68561CFE" w14:textId="150D10FA" w:rsidR="004C3259" w:rsidRDefault="00487C09" w:rsidP="004C3259">
      <w:pPr>
        <w:pStyle w:val="BodyText"/>
      </w:pPr>
      <w:r w:rsidRPr="591A7590">
        <w:t xml:space="preserve">Section 1 has highlighted gaps in the existing regulatory framework which may leave Australia’s critical infrastructure vulnerable in a rapidly changing risk environment. </w:t>
      </w:r>
      <w:r>
        <w:t xml:space="preserve">There is direct alignment between these identified gaps and Government’s objectives for the regulation of critical infrastructure, as </w:t>
      </w:r>
      <w:r w:rsidRPr="000C71B5">
        <w:t xml:space="preserve">identified in </w:t>
      </w:r>
      <w:r w:rsidRPr="00C22327">
        <w:t xml:space="preserve">the </w:t>
      </w:r>
      <w:r w:rsidRPr="00C22327">
        <w:rPr>
          <w:color w:val="2B579A"/>
          <w:shd w:val="clear" w:color="auto" w:fill="E6E6E6"/>
        </w:rPr>
        <w:fldChar w:fldCharType="begin"/>
      </w:r>
      <w:r w:rsidRPr="00C22327">
        <w:instrText xml:space="preserve"> REF _Ref167357024 \h </w:instrText>
      </w:r>
      <w:r w:rsidRPr="00302A0C">
        <w:instrText xml:space="preserve"> \* MERGEFORMAT </w:instrText>
      </w:r>
      <w:r w:rsidRPr="00C22327">
        <w:rPr>
          <w:color w:val="2B579A"/>
          <w:shd w:val="clear" w:color="auto" w:fill="E6E6E6"/>
        </w:rPr>
      </w:r>
      <w:r w:rsidRPr="00C22327">
        <w:rPr>
          <w:color w:val="2B579A"/>
          <w:shd w:val="clear" w:color="auto" w:fill="E6E6E6"/>
        </w:rPr>
        <w:fldChar w:fldCharType="separate"/>
      </w:r>
      <w:r w:rsidR="00E8506B" w:rsidRPr="00E8506B">
        <w:t>Table 14</w:t>
      </w:r>
      <w:r w:rsidRPr="00C22327">
        <w:rPr>
          <w:color w:val="2B579A"/>
          <w:shd w:val="clear" w:color="auto" w:fill="E6E6E6"/>
        </w:rPr>
        <w:fldChar w:fldCharType="end"/>
      </w:r>
      <w:r w:rsidRPr="00C22327">
        <w:t xml:space="preserve"> above.</w:t>
      </w:r>
      <w:r>
        <w:t xml:space="preserve"> </w:t>
      </w:r>
    </w:p>
    <w:p w14:paraId="4AA331E9" w14:textId="77777777" w:rsidR="00487C09" w:rsidRDefault="10E78058" w:rsidP="004C3259">
      <w:pPr>
        <w:pStyle w:val="BodyText"/>
      </w:pPr>
      <w:r>
        <w:t>To</w:t>
      </w:r>
      <w:r w:rsidR="00487C09">
        <w:t xml:space="preserve"> achieve these objectives, Government should intervene because: </w:t>
      </w:r>
    </w:p>
    <w:p w14:paraId="71BE9839" w14:textId="77777777" w:rsidR="00487C09" w:rsidRPr="00302A0C" w:rsidRDefault="00487C09" w:rsidP="00510557">
      <w:pPr>
        <w:pStyle w:val="ListParagraph"/>
        <w:numPr>
          <w:ilvl w:val="0"/>
          <w:numId w:val="29"/>
        </w:numPr>
        <w:spacing w:before="0" w:line="240" w:lineRule="auto"/>
        <w:rPr>
          <w:rFonts w:ascii="Arial" w:hAnsi="Arial" w:cs="Arial"/>
          <w:szCs w:val="20"/>
        </w:rPr>
      </w:pPr>
      <w:r w:rsidRPr="00302A0C">
        <w:rPr>
          <w:rFonts w:ascii="Arial" w:hAnsi="Arial" w:cs="Arial"/>
          <w:b/>
          <w:szCs w:val="20"/>
        </w:rPr>
        <w:t xml:space="preserve">Government maintains a unique ability to regulate across </w:t>
      </w:r>
      <w:r w:rsidR="00254AE0">
        <w:rPr>
          <w:rFonts w:ascii="Arial" w:hAnsi="Arial" w:cs="Arial"/>
          <w:b/>
          <w:szCs w:val="20"/>
        </w:rPr>
        <w:t>sectors</w:t>
      </w:r>
      <w:r w:rsidRPr="00302A0C">
        <w:rPr>
          <w:rFonts w:ascii="Arial" w:hAnsi="Arial" w:cs="Arial"/>
          <w:szCs w:val="20"/>
        </w:rPr>
        <w:t xml:space="preserve">; </w:t>
      </w:r>
    </w:p>
    <w:p w14:paraId="37E2C815" w14:textId="62263400" w:rsidR="00487C09" w:rsidRPr="00302A0C" w:rsidRDefault="00487C09" w:rsidP="001F362F">
      <w:pPr>
        <w:pStyle w:val="ListParagraph"/>
        <w:numPr>
          <w:ilvl w:val="0"/>
          <w:numId w:val="29"/>
        </w:numPr>
        <w:spacing w:before="0" w:line="240" w:lineRule="auto"/>
        <w:rPr>
          <w:rFonts w:ascii="Arial" w:hAnsi="Arial" w:cs="Arial"/>
        </w:rPr>
      </w:pPr>
      <w:r w:rsidRPr="4F26752A">
        <w:rPr>
          <w:rFonts w:ascii="Arial" w:hAnsi="Arial" w:cs="Arial"/>
          <w:b/>
          <w:bCs/>
        </w:rPr>
        <w:t>Government already holds primary responsibility for regulating Australia’s critical infrastructure</w:t>
      </w:r>
      <w:r w:rsidR="00460062">
        <w:rPr>
          <w:rStyle w:val="FootnoteReference"/>
          <w:rFonts w:ascii="Arial" w:hAnsi="Arial" w:cs="Arial"/>
          <w:b/>
          <w:bCs/>
        </w:rPr>
        <w:footnoteReference w:id="20"/>
      </w:r>
      <w:r w:rsidRPr="4F26752A">
        <w:rPr>
          <w:rFonts w:ascii="Arial" w:hAnsi="Arial" w:cs="Arial"/>
        </w:rPr>
        <w:t xml:space="preserve"> including, where possible, working in partnership with industry to ensure regulated entities understand and manage their own risk; and </w:t>
      </w:r>
    </w:p>
    <w:p w14:paraId="12228D65" w14:textId="77777777" w:rsidR="00487C09" w:rsidRDefault="00487C09" w:rsidP="00510557">
      <w:pPr>
        <w:pStyle w:val="ListParagraph"/>
        <w:numPr>
          <w:ilvl w:val="0"/>
          <w:numId w:val="29"/>
        </w:numPr>
        <w:spacing w:before="0" w:line="240" w:lineRule="auto"/>
        <w:rPr>
          <w:rFonts w:ascii="Arial" w:hAnsi="Arial" w:cs="Arial"/>
          <w:szCs w:val="20"/>
        </w:rPr>
      </w:pPr>
      <w:r w:rsidRPr="00302A0C">
        <w:rPr>
          <w:rFonts w:ascii="Arial" w:hAnsi="Arial" w:cs="Arial"/>
          <w:b/>
          <w:szCs w:val="20"/>
        </w:rPr>
        <w:t xml:space="preserve">Government can use its </w:t>
      </w:r>
      <w:r w:rsidR="00254AE0">
        <w:rPr>
          <w:rFonts w:ascii="Arial" w:hAnsi="Arial" w:cs="Arial"/>
          <w:b/>
          <w:szCs w:val="20"/>
        </w:rPr>
        <w:t xml:space="preserve">convening power to support industry responses </w:t>
      </w:r>
      <w:r>
        <w:rPr>
          <w:rFonts w:ascii="Arial" w:hAnsi="Arial" w:cs="Arial"/>
          <w:b/>
          <w:bCs/>
          <w:szCs w:val="20"/>
        </w:rPr>
        <w:t xml:space="preserve">and </w:t>
      </w:r>
      <w:r w:rsidRPr="00302A0C">
        <w:rPr>
          <w:rFonts w:ascii="Arial" w:hAnsi="Arial" w:cs="Arial"/>
          <w:b/>
          <w:szCs w:val="20"/>
        </w:rPr>
        <w:t>oversight to intervene</w:t>
      </w:r>
      <w:r>
        <w:rPr>
          <w:rFonts w:ascii="Arial" w:hAnsi="Arial" w:cs="Arial"/>
          <w:szCs w:val="20"/>
        </w:rPr>
        <w:t xml:space="preserve"> (where necessary) to ensure vulnerabilities in critical infrastructure assets are proactively detected, </w:t>
      </w:r>
      <w:r w:rsidDel="004E3215">
        <w:rPr>
          <w:rFonts w:ascii="Arial" w:hAnsi="Arial" w:cs="Arial"/>
          <w:szCs w:val="20"/>
        </w:rPr>
        <w:t>prevented</w:t>
      </w:r>
      <w:r>
        <w:rPr>
          <w:rFonts w:ascii="Arial" w:hAnsi="Arial" w:cs="Arial"/>
          <w:szCs w:val="20"/>
        </w:rPr>
        <w:t>, and resolved.</w:t>
      </w:r>
    </w:p>
    <w:p w14:paraId="4E0A15CD" w14:textId="6C29D3D9" w:rsidR="00DF34C6" w:rsidRDefault="00782F50" w:rsidP="004C3259">
      <w:pPr>
        <w:pStyle w:val="BodyText"/>
      </w:pPr>
      <w:r>
        <w:t>While self-regu</w:t>
      </w:r>
      <w:r w:rsidR="0064179C">
        <w:t xml:space="preserve">lation </w:t>
      </w:r>
      <w:r w:rsidR="00DF34C6">
        <w:t>by industry has been considered</w:t>
      </w:r>
      <w:r w:rsidR="0064179C">
        <w:t xml:space="preserve"> as an alternative to government action, the nature of Australia’s critical infrastructure</w:t>
      </w:r>
      <w:r w:rsidR="008C3EBE">
        <w:t xml:space="preserve"> sectors</w:t>
      </w:r>
      <w:r w:rsidR="0064179C">
        <w:t xml:space="preserve"> mean it is </w:t>
      </w:r>
      <w:r w:rsidR="00DF34C6">
        <w:t>not a viable option in this case. This is because:</w:t>
      </w:r>
    </w:p>
    <w:p w14:paraId="1BE038BF" w14:textId="1AA7433F" w:rsidR="00DF34C6" w:rsidRDefault="00DF34C6" w:rsidP="00DF34C6">
      <w:pPr>
        <w:pStyle w:val="BodyText"/>
        <w:numPr>
          <w:ilvl w:val="0"/>
          <w:numId w:val="101"/>
        </w:numPr>
      </w:pPr>
      <w:r>
        <w:t xml:space="preserve">In order to be effective, regulation of critical infrastructure (including regulatory standards and the extent to which risks must be mitigated and managed) must be consistent across all sectors. </w:t>
      </w:r>
    </w:p>
    <w:p w14:paraId="65EB1CC2" w14:textId="7F5823BE" w:rsidR="006D66DC" w:rsidRDefault="00487C09" w:rsidP="00DF34C6">
      <w:pPr>
        <w:pStyle w:val="BodyText"/>
        <w:numPr>
          <w:ilvl w:val="0"/>
          <w:numId w:val="101"/>
        </w:numPr>
      </w:pPr>
      <w:r>
        <w:t xml:space="preserve">Self-regulation by industry may lead to inconsistent approaches to risk management and </w:t>
      </w:r>
      <w:r w:rsidR="007F0912">
        <w:t xml:space="preserve">therefore </w:t>
      </w:r>
      <w:r>
        <w:t xml:space="preserve">varying levels of resilience across Australia’s critical infrastructure. </w:t>
      </w:r>
    </w:p>
    <w:p w14:paraId="393099D8" w14:textId="77777777" w:rsidR="00672683" w:rsidRDefault="006D66DC" w:rsidP="00DF34C6">
      <w:pPr>
        <w:pStyle w:val="BodyText"/>
        <w:numPr>
          <w:ilvl w:val="0"/>
          <w:numId w:val="101"/>
        </w:numPr>
      </w:pPr>
      <w:r>
        <w:t xml:space="preserve">The nature of the reforms analysed in this IA </w:t>
      </w:r>
      <w:r w:rsidR="00C429E5">
        <w:t xml:space="preserve">relate to amendments to an existing ecosystem of regulation, which involves (and relies on) Government intervention. </w:t>
      </w:r>
      <w:r w:rsidR="00672683">
        <w:t xml:space="preserve">This includes the crucial ability of Government to identify and correct severe deficiencies in industry’s approach to risk management. </w:t>
      </w:r>
    </w:p>
    <w:p w14:paraId="08E5A8B2" w14:textId="7EA9ED2C" w:rsidR="007F0912" w:rsidRDefault="00672683" w:rsidP="00B03B7A">
      <w:pPr>
        <w:pStyle w:val="BodyText"/>
        <w:numPr>
          <w:ilvl w:val="0"/>
          <w:numId w:val="101"/>
        </w:numPr>
        <w:tabs>
          <w:tab w:val="clear" w:pos="340"/>
          <w:tab w:val="num" w:pos="284"/>
        </w:tabs>
        <w:ind w:left="284" w:hanging="284"/>
      </w:pPr>
      <w:r>
        <w:t>Therefore, ongoing Government intervention</w:t>
      </w:r>
      <w:r w:rsidR="007F0912">
        <w:t xml:space="preserve"> through</w:t>
      </w:r>
      <w:r w:rsidR="00487C09">
        <w:t xml:space="preserve"> Government’s whole-of-sector remit</w:t>
      </w:r>
      <w:r>
        <w:t>,</w:t>
      </w:r>
      <w:r w:rsidR="00487C09">
        <w:t xml:space="preserve"> can </w:t>
      </w:r>
      <w:r>
        <w:t xml:space="preserve">effectively </w:t>
      </w:r>
      <w:r w:rsidR="00487C09">
        <w:t>mitigate the potential impacts of disruption on Australia’s social and economic stability, defence, and national security</w:t>
      </w:r>
      <w:r w:rsidR="00202162">
        <w:t xml:space="preserve">. </w:t>
      </w:r>
    </w:p>
    <w:p w14:paraId="0B7DB025" w14:textId="1241D343" w:rsidR="00487C09" w:rsidRPr="00302A0C" w:rsidRDefault="00487C09" w:rsidP="007F0912">
      <w:pPr>
        <w:pStyle w:val="BodyText"/>
      </w:pPr>
      <w:r>
        <w:t xml:space="preserve">Despite the need for Government intervention, the Department prioritises cooperation with industry to support optimal outcomes. This includes, for example, recognising that industry is best placed to assess specific risks, alongside Government who (as regulator) prescribes a baseline level of risk management and accountability. </w:t>
      </w:r>
    </w:p>
    <w:p w14:paraId="6FDB3A61" w14:textId="77777777" w:rsidR="00487C09" w:rsidRPr="007155C5" w:rsidRDefault="00487C09" w:rsidP="004C3259">
      <w:pPr>
        <w:pStyle w:val="BodyText"/>
      </w:pPr>
      <w:r>
        <w:t xml:space="preserve">In order to support industry and operate effectively in the current threat environment, </w:t>
      </w:r>
      <w:r w:rsidRPr="591A7590">
        <w:t>Government</w:t>
      </w:r>
      <w:r w:rsidRPr="591A7590" w:rsidDel="00984805">
        <w:t xml:space="preserve"> </w:t>
      </w:r>
      <w:r>
        <w:t>must</w:t>
      </w:r>
      <w:r w:rsidRPr="591A7590">
        <w:t xml:space="preserve"> be equipped with the right tools to enable preparation, prevention, and recovery in the event of an all-hazards incident. This threat environment gives rise to a need for Government to intervene to ensure: </w:t>
      </w:r>
    </w:p>
    <w:p w14:paraId="485B8B42" w14:textId="77777777" w:rsidR="00487C09" w:rsidRDefault="00487C09" w:rsidP="00510557">
      <w:pPr>
        <w:pStyle w:val="ListParagraph"/>
        <w:numPr>
          <w:ilvl w:val="0"/>
          <w:numId w:val="21"/>
        </w:numPr>
        <w:contextualSpacing/>
        <w:rPr>
          <w:rFonts w:ascii="Arial" w:hAnsi="Arial" w:cs="Arial"/>
          <w:szCs w:val="20"/>
        </w:rPr>
      </w:pPr>
      <w:r w:rsidRPr="591A7590">
        <w:rPr>
          <w:rFonts w:ascii="Arial" w:hAnsi="Arial" w:cs="Arial"/>
          <w:b/>
          <w:bCs/>
          <w:szCs w:val="20"/>
        </w:rPr>
        <w:t>Clarity:</w:t>
      </w:r>
      <w:r w:rsidRPr="591A7590">
        <w:rPr>
          <w:rFonts w:ascii="Arial" w:hAnsi="Arial" w:cs="Arial"/>
          <w:szCs w:val="20"/>
        </w:rPr>
        <w:t xml:space="preserve"> The security standards of critical infrastructure need to be clarified and enhanced, particularly within the telecommunications sector;</w:t>
      </w:r>
    </w:p>
    <w:p w14:paraId="7AFA2BBB" w14:textId="77777777" w:rsidR="00487C09" w:rsidRPr="007155C5" w:rsidRDefault="00487C09" w:rsidP="00510557">
      <w:pPr>
        <w:pStyle w:val="ListParagraph"/>
        <w:numPr>
          <w:ilvl w:val="0"/>
          <w:numId w:val="21"/>
        </w:numPr>
        <w:contextualSpacing/>
        <w:rPr>
          <w:rFonts w:ascii="Arial" w:hAnsi="Arial" w:cs="Arial"/>
          <w:szCs w:val="20"/>
        </w:rPr>
      </w:pPr>
      <w:r w:rsidRPr="591A7590">
        <w:rPr>
          <w:rFonts w:ascii="Arial" w:hAnsi="Arial" w:cs="Arial"/>
          <w:b/>
          <w:bCs/>
          <w:szCs w:val="20"/>
        </w:rPr>
        <w:t>Consistency:</w:t>
      </w:r>
      <w:r w:rsidRPr="591A7590">
        <w:rPr>
          <w:rFonts w:ascii="Arial" w:hAnsi="Arial" w:cs="Arial"/>
          <w:szCs w:val="20"/>
        </w:rPr>
        <w:t xml:space="preserve"> The application of the SOCI Act needs to consistently capture the secondary systems where vulnerabilities could have a relevant impact on critical infrastructure; and</w:t>
      </w:r>
    </w:p>
    <w:p w14:paraId="6A6C8D15" w14:textId="77777777" w:rsidR="00487C09" w:rsidRPr="007155C5" w:rsidRDefault="00487C09" w:rsidP="00510557">
      <w:pPr>
        <w:pStyle w:val="ListParagraph"/>
        <w:numPr>
          <w:ilvl w:val="0"/>
          <w:numId w:val="21"/>
        </w:numPr>
        <w:contextualSpacing/>
        <w:rPr>
          <w:rFonts w:ascii="Arial" w:hAnsi="Arial" w:cs="Arial"/>
          <w:szCs w:val="20"/>
        </w:rPr>
      </w:pPr>
      <w:r w:rsidRPr="007155C5">
        <w:rPr>
          <w:rFonts w:ascii="Arial" w:hAnsi="Arial" w:cs="Arial"/>
          <w:b/>
          <w:bCs/>
          <w:szCs w:val="20"/>
        </w:rPr>
        <w:t>Coordination:</w:t>
      </w:r>
      <w:r w:rsidRPr="007155C5">
        <w:rPr>
          <w:rFonts w:ascii="Arial" w:hAnsi="Arial" w:cs="Arial"/>
          <w:szCs w:val="20"/>
        </w:rPr>
        <w:t xml:space="preserve"> The SOCI Act needs to enable an agile, industry-led response to incidents with appropriate support from government when necessary.</w:t>
      </w:r>
      <w:r>
        <w:rPr>
          <w:rStyle w:val="FootnoteReference"/>
          <w:rFonts w:ascii="Arial" w:hAnsi="Arial" w:cs="Arial"/>
          <w:szCs w:val="20"/>
        </w:rPr>
        <w:footnoteReference w:id="21"/>
      </w:r>
    </w:p>
    <w:p w14:paraId="616D4B0C" w14:textId="77777777" w:rsidR="00487C09" w:rsidRDefault="00487C09" w:rsidP="004C3259">
      <w:pPr>
        <w:pStyle w:val="BodyText"/>
      </w:pPr>
      <w:r w:rsidRPr="591A7590">
        <w:t xml:space="preserve">Government has, and continues to, prioritise close consultation (and where possible, co-design) with industry on any proposed reforms to the critical infrastructure regulatory environment. This has included: </w:t>
      </w:r>
    </w:p>
    <w:p w14:paraId="38E50532" w14:textId="77777777" w:rsidR="00487C09" w:rsidRDefault="00487C09" w:rsidP="00510557">
      <w:pPr>
        <w:pStyle w:val="ListParagraph"/>
        <w:numPr>
          <w:ilvl w:val="0"/>
          <w:numId w:val="21"/>
        </w:numPr>
        <w:contextualSpacing/>
        <w:rPr>
          <w:rFonts w:ascii="Arial" w:hAnsi="Arial" w:cs="Arial"/>
          <w:szCs w:val="20"/>
        </w:rPr>
      </w:pPr>
      <w:r w:rsidRPr="591A7590">
        <w:rPr>
          <w:rFonts w:ascii="Arial" w:hAnsi="Arial" w:cs="Arial"/>
          <w:szCs w:val="20"/>
        </w:rPr>
        <w:t>Previous consultation on the SLACI Act and the SLACIP Act, including publication of a consultation paper, acceptance of submissions and conversations with more than 2,000 industry participants</w:t>
      </w:r>
      <w:r>
        <w:rPr>
          <w:rFonts w:ascii="Arial" w:hAnsi="Arial" w:cs="Arial"/>
          <w:szCs w:val="20"/>
        </w:rPr>
        <w:t>.</w:t>
      </w:r>
      <w:r w:rsidRPr="591A7590">
        <w:rPr>
          <w:rFonts w:ascii="Arial" w:hAnsi="Arial" w:cs="Arial"/>
          <w:szCs w:val="20"/>
        </w:rPr>
        <w:t xml:space="preserve"> </w:t>
      </w:r>
    </w:p>
    <w:p w14:paraId="45050FFA" w14:textId="541F7BB0" w:rsidR="00487C09" w:rsidRPr="0090210C" w:rsidRDefault="00487C09" w:rsidP="0090210C">
      <w:pPr>
        <w:pStyle w:val="ListParagraph"/>
        <w:numPr>
          <w:ilvl w:val="0"/>
          <w:numId w:val="21"/>
        </w:numPr>
        <w:contextualSpacing/>
        <w:rPr>
          <w:rFonts w:ascii="Arial" w:hAnsi="Arial" w:cs="Arial"/>
          <w:szCs w:val="20"/>
        </w:rPr>
      </w:pPr>
      <w:r w:rsidRPr="0090210C">
        <w:rPr>
          <w:rFonts w:ascii="Arial" w:hAnsi="Arial" w:cs="Arial"/>
          <w:szCs w:val="20"/>
        </w:rPr>
        <w:t>Consultation on and co-design of</w:t>
      </w:r>
      <w:r w:rsidR="59E9D06B" w:rsidRPr="0090210C">
        <w:rPr>
          <w:rFonts w:ascii="Arial" w:hAnsi="Arial" w:cs="Arial"/>
          <w:szCs w:val="20"/>
        </w:rPr>
        <w:t xml:space="preserve"> the </w:t>
      </w:r>
      <w:hyperlink r:id="rId10" w:history="1">
        <w:r w:rsidR="59E9D06B" w:rsidRPr="0090210C">
          <w:rPr>
            <w:szCs w:val="20"/>
          </w:rPr>
          <w:t>Critical Infrastructure Risk Management Program</w:t>
        </w:r>
      </w:hyperlink>
      <w:r w:rsidR="59E9D06B" w:rsidRPr="0090210C">
        <w:rPr>
          <w:rFonts w:ascii="Arial" w:hAnsi="Arial" w:cs="Arial"/>
          <w:szCs w:val="20"/>
        </w:rPr>
        <w:t xml:space="preserve"> (</w:t>
      </w:r>
      <w:r w:rsidRPr="0090210C">
        <w:rPr>
          <w:rFonts w:ascii="Arial" w:hAnsi="Arial" w:cs="Arial"/>
          <w:szCs w:val="20"/>
        </w:rPr>
        <w:t>CIRMP rules</w:t>
      </w:r>
      <w:r w:rsidR="5242A4D9" w:rsidRPr="0090210C">
        <w:rPr>
          <w:rFonts w:ascii="Arial" w:hAnsi="Arial" w:cs="Arial"/>
          <w:szCs w:val="20"/>
        </w:rPr>
        <w:t>)</w:t>
      </w:r>
      <w:r w:rsidRPr="0090210C">
        <w:rPr>
          <w:rFonts w:ascii="Arial" w:hAnsi="Arial" w:cs="Arial"/>
          <w:szCs w:val="20"/>
        </w:rPr>
        <w:t xml:space="preserve">, through several sector-agnostic town halls, sector-specific workshops, and sector-specific information sessions. </w:t>
      </w:r>
    </w:p>
    <w:p w14:paraId="6E42C83A" w14:textId="44ACE4D6" w:rsidR="00487C09" w:rsidRPr="0090210C" w:rsidRDefault="00487C09" w:rsidP="0090210C">
      <w:pPr>
        <w:pStyle w:val="ListParagraph"/>
        <w:numPr>
          <w:ilvl w:val="0"/>
          <w:numId w:val="21"/>
        </w:numPr>
        <w:contextualSpacing/>
        <w:rPr>
          <w:rFonts w:ascii="Arial" w:hAnsi="Arial" w:cs="Arial"/>
          <w:szCs w:val="20"/>
        </w:rPr>
      </w:pPr>
      <w:r w:rsidRPr="0090210C">
        <w:rPr>
          <w:rFonts w:ascii="Arial" w:hAnsi="Arial" w:cs="Arial"/>
          <w:szCs w:val="20"/>
        </w:rPr>
        <w:t>Co-design included collaboration between Government and industry to agree on key items for codification through rules. This also included the collection of data from industry to support quantification of the costs associated with RMP compliance.</w:t>
      </w:r>
    </w:p>
    <w:p w14:paraId="1308542E" w14:textId="77777777" w:rsidR="00487C09" w:rsidRDefault="00487C09" w:rsidP="00510557">
      <w:pPr>
        <w:pStyle w:val="ListParagraph"/>
        <w:numPr>
          <w:ilvl w:val="0"/>
          <w:numId w:val="28"/>
        </w:numPr>
        <w:spacing w:before="0" w:line="240" w:lineRule="auto"/>
        <w:rPr>
          <w:rFonts w:ascii="Arial" w:hAnsi="Arial" w:cs="Arial"/>
          <w:szCs w:val="20"/>
        </w:rPr>
      </w:pPr>
      <w:r w:rsidRPr="591A7590">
        <w:rPr>
          <w:rFonts w:ascii="Arial" w:hAnsi="Arial" w:cs="Arial"/>
          <w:szCs w:val="20"/>
        </w:rPr>
        <w:t>Formal consultation on the CIRMP rules was undertaken for a 45 day period and included acceptance of submissions and conversations with industry participants.</w:t>
      </w:r>
    </w:p>
    <w:p w14:paraId="41922CF9" w14:textId="77777777" w:rsidR="00487C09" w:rsidRDefault="00487C09" w:rsidP="004C3259">
      <w:pPr>
        <w:pStyle w:val="BodyText"/>
      </w:pPr>
      <w:r w:rsidRPr="591A7590">
        <w:t xml:space="preserve">Through consultation, Government gathered feedback to actively understand stakeholder concerns, seeking to address these through refinements to regulatory proposals. For example, in consulting on the </w:t>
      </w:r>
      <w:r>
        <w:t>p</w:t>
      </w:r>
      <w:r w:rsidRPr="591A7590">
        <w:t xml:space="preserve">ositive </w:t>
      </w:r>
      <w:r>
        <w:t>s</w:t>
      </w:r>
      <w:r w:rsidRPr="591A7590">
        <w:t xml:space="preserve">ecurity </w:t>
      </w:r>
      <w:r>
        <w:t>o</w:t>
      </w:r>
      <w:r w:rsidRPr="591A7590">
        <w:t>bligations (PSOs) now contained in the SOCI Act, stakeholders expressed their concerns on the potential for duplication of existing regulatory frameworks. In response, Government developed ‘on switches’ for PSOs, to ensure obligations were only imposed in cases where th</w:t>
      </w:r>
      <w:r>
        <w:t>ere</w:t>
      </w:r>
      <w:r w:rsidRPr="591A7590">
        <w:t xml:space="preserve"> is </w:t>
      </w:r>
      <w:bookmarkStart w:id="47" w:name="_Int_jchG6izW"/>
      <w:r w:rsidRPr="591A7590">
        <w:t>no</w:t>
      </w:r>
      <w:bookmarkEnd w:id="47"/>
      <w:r w:rsidRPr="591A7590">
        <w:t xml:space="preserve"> existing, comparable regulatory framework. </w:t>
      </w:r>
    </w:p>
    <w:p w14:paraId="1FD41225" w14:textId="77777777" w:rsidR="00487C09" w:rsidRPr="007155C5" w:rsidRDefault="00487C09" w:rsidP="004C3259">
      <w:pPr>
        <w:pStyle w:val="BodyText"/>
      </w:pPr>
      <w:r w:rsidRPr="591A7590">
        <w:t>For details on Government’s approach to consultation on the current reform package, see section 5.</w:t>
      </w:r>
    </w:p>
    <w:p w14:paraId="25C8C612" w14:textId="77777777" w:rsidR="00487C09" w:rsidRDefault="00487C09" w:rsidP="004C3259">
      <w:pPr>
        <w:pStyle w:val="BodyText"/>
      </w:pPr>
      <w:r w:rsidRPr="591A7590">
        <w:t xml:space="preserve">Government’s established mechanisms for industry engagement and cooperation, focused on ensuring all-hazard risks are appropriately managed, continue to support the case for Government’s ongoing intervention: </w:t>
      </w:r>
    </w:p>
    <w:p w14:paraId="226375F6" w14:textId="77777777" w:rsidR="00487C09" w:rsidRPr="00BE75E3" w:rsidRDefault="00487C09" w:rsidP="00510557">
      <w:pPr>
        <w:pStyle w:val="ListParagraph"/>
        <w:numPr>
          <w:ilvl w:val="0"/>
          <w:numId w:val="21"/>
        </w:numPr>
        <w:contextualSpacing/>
        <w:rPr>
          <w:rFonts w:ascii="Arial" w:hAnsi="Arial" w:cs="Arial"/>
          <w:szCs w:val="20"/>
        </w:rPr>
      </w:pPr>
      <w:r w:rsidRPr="00BE75E3">
        <w:rPr>
          <w:rFonts w:ascii="Arial" w:hAnsi="Arial" w:cs="Arial"/>
          <w:b/>
          <w:bCs/>
          <w:szCs w:val="20"/>
        </w:rPr>
        <w:t>The Critical Infrastructure Resilience Strategy</w:t>
      </w:r>
      <w:r w:rsidRPr="00BE75E3">
        <w:rPr>
          <w:rFonts w:ascii="Arial" w:hAnsi="Arial" w:cs="Arial"/>
          <w:szCs w:val="20"/>
        </w:rPr>
        <w:t xml:space="preserve"> (the CIRS)</w:t>
      </w:r>
      <w:r>
        <w:rPr>
          <w:rFonts w:ascii="Arial" w:hAnsi="Arial" w:cs="Arial"/>
          <w:szCs w:val="20"/>
        </w:rPr>
        <w:t xml:space="preserve"> provides a national framework for guiding Australia to enhanced critical infrastructure security and resilience</w:t>
      </w:r>
      <w:r w:rsidRPr="00BE75E3">
        <w:rPr>
          <w:rFonts w:ascii="Arial" w:hAnsi="Arial" w:cs="Arial"/>
          <w:szCs w:val="20"/>
        </w:rPr>
        <w:t>.</w:t>
      </w:r>
      <w:r>
        <w:rPr>
          <w:rFonts w:ascii="Arial" w:hAnsi="Arial" w:cs="Arial"/>
          <w:szCs w:val="20"/>
        </w:rPr>
        <w:t xml:space="preserve"> The CIRS includes an overarching vision for critical infrastructure, the impacts of changes in operating environments on critical infrastructure, and points of alignment between the Strategy and existing work across government, to enable achievement of objectives.</w:t>
      </w:r>
      <w:r>
        <w:rPr>
          <w:rStyle w:val="FootnoteReference"/>
          <w:rFonts w:ascii="Arial" w:hAnsi="Arial" w:cs="Arial"/>
          <w:szCs w:val="20"/>
        </w:rPr>
        <w:footnoteReference w:id="22"/>
      </w:r>
      <w:r w:rsidRPr="00BE75E3">
        <w:rPr>
          <w:rFonts w:ascii="Arial" w:hAnsi="Arial" w:cs="Arial"/>
          <w:szCs w:val="20"/>
        </w:rPr>
        <w:t xml:space="preserve"> </w:t>
      </w:r>
    </w:p>
    <w:p w14:paraId="5CB1148A" w14:textId="77777777" w:rsidR="00487C09" w:rsidRPr="00BE75E3" w:rsidRDefault="00487C09" w:rsidP="00510557">
      <w:pPr>
        <w:pStyle w:val="ListParagraph"/>
        <w:numPr>
          <w:ilvl w:val="0"/>
          <w:numId w:val="21"/>
        </w:numPr>
        <w:contextualSpacing/>
        <w:rPr>
          <w:rFonts w:ascii="Arial" w:hAnsi="Arial" w:cs="Arial"/>
          <w:szCs w:val="20"/>
        </w:rPr>
      </w:pPr>
      <w:r w:rsidRPr="00BE75E3">
        <w:rPr>
          <w:rFonts w:ascii="Arial" w:hAnsi="Arial" w:cs="Arial"/>
          <w:b/>
          <w:bCs/>
          <w:szCs w:val="20"/>
        </w:rPr>
        <w:t>The TISN</w:t>
      </w:r>
      <w:r w:rsidRPr="00BE75E3">
        <w:rPr>
          <w:rFonts w:ascii="Arial" w:hAnsi="Arial" w:cs="Arial"/>
          <w:szCs w:val="20"/>
        </w:rPr>
        <w:t xml:space="preserve"> is Government’s primary tool for business-government information sharing and resilience-building initiatives on critical infrastructure. The TISN provides a platform for industry and government representatives to share information that enhances mutual understanding and application of organisational resilience and contribute to achievement of the CI</w:t>
      </w:r>
      <w:r>
        <w:rPr>
          <w:rFonts w:ascii="Arial" w:hAnsi="Arial" w:cs="Arial"/>
          <w:szCs w:val="20"/>
        </w:rPr>
        <w:t>R</w:t>
      </w:r>
      <w:r w:rsidRPr="00BE75E3">
        <w:rPr>
          <w:rFonts w:ascii="Arial" w:hAnsi="Arial" w:cs="Arial"/>
          <w:szCs w:val="20"/>
        </w:rPr>
        <w:t>S.</w:t>
      </w:r>
      <w:r w:rsidRPr="00BE75E3">
        <w:rPr>
          <w:rStyle w:val="FootnoteReference"/>
          <w:rFonts w:ascii="Arial" w:hAnsi="Arial" w:cs="Arial"/>
          <w:szCs w:val="20"/>
        </w:rPr>
        <w:footnoteReference w:id="23"/>
      </w:r>
    </w:p>
    <w:p w14:paraId="106DD87D" w14:textId="77777777" w:rsidR="00487C09" w:rsidRDefault="00487C09" w:rsidP="00510557">
      <w:pPr>
        <w:pStyle w:val="ListParagraph"/>
        <w:numPr>
          <w:ilvl w:val="0"/>
          <w:numId w:val="21"/>
        </w:numPr>
        <w:contextualSpacing/>
        <w:rPr>
          <w:rFonts w:ascii="Arial" w:hAnsi="Arial" w:cs="Arial"/>
          <w:szCs w:val="20"/>
        </w:rPr>
      </w:pPr>
      <w:r w:rsidRPr="254D9782">
        <w:rPr>
          <w:rFonts w:ascii="Arial" w:hAnsi="Arial" w:cs="Arial"/>
          <w:b/>
          <w:bCs/>
          <w:szCs w:val="20"/>
        </w:rPr>
        <w:t>The C</w:t>
      </w:r>
      <w:r w:rsidRPr="00487C09">
        <w:rPr>
          <w:rFonts w:ascii="Arial" w:hAnsi="Arial" w:cs="Arial"/>
          <w:b/>
          <w:szCs w:val="20"/>
        </w:rPr>
        <w:t>ISC</w:t>
      </w:r>
      <w:r>
        <w:rPr>
          <w:rFonts w:ascii="Arial" w:hAnsi="Arial" w:cs="Arial"/>
          <w:b/>
          <w:szCs w:val="20"/>
        </w:rPr>
        <w:t xml:space="preserve"> </w:t>
      </w:r>
      <w:r w:rsidRPr="00487C09">
        <w:rPr>
          <w:rFonts w:ascii="Arial" w:hAnsi="Arial" w:cs="Arial"/>
          <w:szCs w:val="20"/>
        </w:rPr>
        <w:t>is</w:t>
      </w:r>
      <w:r w:rsidRPr="254D9782">
        <w:rPr>
          <w:rFonts w:ascii="Arial" w:hAnsi="Arial" w:cs="Arial"/>
          <w:szCs w:val="20"/>
        </w:rPr>
        <w:t xml:space="preserve"> responsible for </w:t>
      </w:r>
      <w:r>
        <w:rPr>
          <w:rFonts w:ascii="Arial" w:hAnsi="Arial" w:cs="Arial"/>
          <w:szCs w:val="20"/>
        </w:rPr>
        <w:t>regulating the existing all-hazards critical infrastructure regime</w:t>
      </w:r>
      <w:r w:rsidRPr="254D9782">
        <w:rPr>
          <w:rFonts w:ascii="Arial" w:hAnsi="Arial" w:cs="Arial"/>
          <w:szCs w:val="20"/>
        </w:rPr>
        <w:t xml:space="preserve">, indicates Government’s commitment to </w:t>
      </w:r>
      <w:r>
        <w:rPr>
          <w:rFonts w:ascii="Arial" w:hAnsi="Arial" w:cs="Arial"/>
          <w:szCs w:val="20"/>
        </w:rPr>
        <w:t>working with asset owners and operators through engagement, partnerships, advice, exercises, modelling and regulation</w:t>
      </w:r>
      <w:r w:rsidRPr="254D9782">
        <w:rPr>
          <w:rFonts w:ascii="Arial" w:hAnsi="Arial" w:cs="Arial"/>
          <w:szCs w:val="20"/>
        </w:rPr>
        <w:t>.</w:t>
      </w:r>
      <w:r>
        <w:rPr>
          <w:rStyle w:val="FootnoteReference"/>
          <w:rFonts w:ascii="Arial" w:hAnsi="Arial" w:cs="Arial"/>
          <w:szCs w:val="20"/>
        </w:rPr>
        <w:footnoteReference w:id="24"/>
      </w:r>
      <w:r w:rsidRPr="254D9782">
        <w:rPr>
          <w:rFonts w:ascii="Arial" w:hAnsi="Arial" w:cs="Arial"/>
          <w:szCs w:val="20"/>
        </w:rPr>
        <w:t xml:space="preserve">  </w:t>
      </w:r>
    </w:p>
    <w:p w14:paraId="6116EB88" w14:textId="77777777" w:rsidR="00487C09" w:rsidRDefault="00487C09" w:rsidP="004C3259">
      <w:pPr>
        <w:pStyle w:val="BodyText"/>
      </w:pPr>
      <w:r w:rsidRPr="591A7590">
        <w:t>In addition, Government’s continued involvement with critical infrastructure matters through review and amendment of the applicable regulatory regime, aligns with each of the key objectives in the CI</w:t>
      </w:r>
      <w:r>
        <w:t>R</w:t>
      </w:r>
      <w:r w:rsidRPr="591A7590">
        <w:t>S, including</w:t>
      </w:r>
      <w:r>
        <w:t xml:space="preserve"> to</w:t>
      </w:r>
      <w:r w:rsidRPr="591A7590">
        <w:t xml:space="preserve">: </w:t>
      </w:r>
    </w:p>
    <w:p w14:paraId="47569C1E" w14:textId="77777777" w:rsidR="00487C09" w:rsidRPr="00490823" w:rsidRDefault="00487C09" w:rsidP="00510557">
      <w:pPr>
        <w:pStyle w:val="ListParagraph"/>
        <w:numPr>
          <w:ilvl w:val="0"/>
          <w:numId w:val="21"/>
        </w:numPr>
        <w:contextualSpacing/>
        <w:rPr>
          <w:rFonts w:ascii="Arial" w:hAnsi="Arial" w:cs="Arial"/>
          <w:bCs/>
          <w:szCs w:val="20"/>
        </w:rPr>
      </w:pPr>
      <w:r w:rsidRPr="00490823">
        <w:rPr>
          <w:rFonts w:ascii="Arial" w:hAnsi="Arial" w:cs="Arial"/>
          <w:bCs/>
          <w:szCs w:val="20"/>
        </w:rPr>
        <w:t>Support critical infrastructure owners and operators to effectively manage risks to the continuity of their operations through mature risk-based and resilient approaches.</w:t>
      </w:r>
    </w:p>
    <w:p w14:paraId="60B01153" w14:textId="77777777" w:rsidR="00487C09" w:rsidRPr="00490823" w:rsidRDefault="00487C09" w:rsidP="00510557">
      <w:pPr>
        <w:pStyle w:val="ListParagraph"/>
        <w:numPr>
          <w:ilvl w:val="0"/>
          <w:numId w:val="21"/>
        </w:numPr>
        <w:contextualSpacing/>
        <w:rPr>
          <w:rFonts w:ascii="Arial" w:hAnsi="Arial" w:cs="Arial"/>
          <w:bCs/>
          <w:szCs w:val="20"/>
        </w:rPr>
      </w:pPr>
      <w:r w:rsidRPr="00490823">
        <w:rPr>
          <w:rFonts w:ascii="Arial" w:hAnsi="Arial" w:cs="Arial"/>
          <w:bCs/>
          <w:szCs w:val="20"/>
        </w:rPr>
        <w:t xml:space="preserve">Deliver initiatives through strong industry-government partnerships. </w:t>
      </w:r>
    </w:p>
    <w:p w14:paraId="5D95829B" w14:textId="77777777" w:rsidR="00487C09" w:rsidRPr="00490823" w:rsidRDefault="00487C09" w:rsidP="00510557">
      <w:pPr>
        <w:pStyle w:val="ListParagraph"/>
        <w:numPr>
          <w:ilvl w:val="0"/>
          <w:numId w:val="21"/>
        </w:numPr>
        <w:contextualSpacing/>
        <w:rPr>
          <w:rFonts w:ascii="Arial" w:hAnsi="Arial" w:cs="Arial"/>
          <w:szCs w:val="20"/>
        </w:rPr>
      </w:pPr>
      <w:r w:rsidRPr="00490823">
        <w:rPr>
          <w:rFonts w:ascii="Arial" w:hAnsi="Arial" w:cs="Arial"/>
          <w:bCs/>
          <w:szCs w:val="20"/>
        </w:rPr>
        <w:t>Support critical infrastructure owners and operators to strengthen their security and resilience</w:t>
      </w:r>
      <w:r w:rsidRPr="00490823">
        <w:rPr>
          <w:rFonts w:ascii="Arial" w:hAnsi="Arial" w:cs="Arial"/>
          <w:szCs w:val="20"/>
        </w:rPr>
        <w:t xml:space="preserve"> through regulatory frameworks, </w:t>
      </w:r>
      <w:r w:rsidRPr="00490823" w:rsidDel="009A688F">
        <w:rPr>
          <w:rFonts w:ascii="Arial" w:hAnsi="Arial" w:cs="Arial"/>
          <w:szCs w:val="20"/>
        </w:rPr>
        <w:t>tools</w:t>
      </w:r>
      <w:r w:rsidRPr="00490823">
        <w:rPr>
          <w:rFonts w:ascii="Arial" w:hAnsi="Arial" w:cs="Arial"/>
          <w:szCs w:val="20"/>
        </w:rPr>
        <w:t xml:space="preserve">, and improved collaboration. </w:t>
      </w:r>
    </w:p>
    <w:p w14:paraId="4BC04BE6" w14:textId="77777777" w:rsidR="00487C09" w:rsidRDefault="00487C09" w:rsidP="00487C09">
      <w:pPr>
        <w:pStyle w:val="Heading2"/>
        <w:spacing w:before="0"/>
        <w:rPr>
          <w:rFonts w:ascii="Arial" w:hAnsi="Arial"/>
        </w:rPr>
      </w:pPr>
      <w:bookmarkStart w:id="48" w:name="_Toc176183931"/>
      <w:bookmarkStart w:id="49" w:name="_Toc164683829"/>
      <w:r w:rsidRPr="2F6B7F1D">
        <w:rPr>
          <w:rFonts w:ascii="Arial" w:hAnsi="Arial"/>
        </w:rPr>
        <w:t>2.</w:t>
      </w:r>
      <w:r>
        <w:rPr>
          <w:rFonts w:ascii="Arial" w:hAnsi="Arial"/>
        </w:rPr>
        <w:t>3 How will success be measured?</w:t>
      </w:r>
      <w:bookmarkEnd w:id="48"/>
      <w:r>
        <w:rPr>
          <w:rFonts w:ascii="Arial" w:hAnsi="Arial"/>
        </w:rPr>
        <w:t xml:space="preserve"> </w:t>
      </w:r>
    </w:p>
    <w:p w14:paraId="699D8DFD" w14:textId="13545676" w:rsidR="00C6639B" w:rsidRDefault="00487C09" w:rsidP="002619A4">
      <w:pPr>
        <w:pStyle w:val="BodyText"/>
      </w:pPr>
      <w:r w:rsidRPr="00302A0C">
        <w:rPr>
          <w:rFonts w:eastAsiaTheme="minorHAnsi"/>
        </w:rPr>
        <w:t xml:space="preserve">Measuring the success of </w:t>
      </w:r>
      <w:r w:rsidRPr="001E58E6">
        <w:rPr>
          <w:rFonts w:eastAsiaTheme="minorHAnsi"/>
        </w:rPr>
        <w:t>Government’s</w:t>
      </w:r>
      <w:r w:rsidRPr="00302A0C">
        <w:rPr>
          <w:rFonts w:eastAsiaTheme="minorHAnsi"/>
        </w:rPr>
        <w:t xml:space="preserve"> intervention and the broader reform</w:t>
      </w:r>
      <w:r>
        <w:rPr>
          <w:rFonts w:eastAsiaTheme="minorHAnsi"/>
        </w:rPr>
        <w:t xml:space="preserve"> package </w:t>
      </w:r>
      <w:r w:rsidRPr="00302A0C">
        <w:rPr>
          <w:rFonts w:eastAsiaTheme="minorHAnsi"/>
        </w:rPr>
        <w:t xml:space="preserve">will allow the Government to identify and communicate </w:t>
      </w:r>
      <w:r>
        <w:rPr>
          <w:rFonts w:eastAsiaTheme="minorHAnsi"/>
        </w:rPr>
        <w:t xml:space="preserve">to the Australian community on its chosen regulatory approach. This includes clearly articulating the linkages between the SOCI regime, Government’s objectives for intervention, and the relevant measure of success (as outlined in the table below). </w:t>
      </w:r>
      <w:bookmarkEnd w:id="49"/>
      <w:r w:rsidR="00414D86">
        <w:t xml:space="preserve">The indicators and evidence of success outlined below will also underpin evaluation of the chosen option in IA </w:t>
      </w:r>
      <w:hyperlink w:anchor="_How_will_you" w:history="1">
        <w:r w:rsidR="00414D86" w:rsidRPr="003312B2">
          <w:rPr>
            <w:rStyle w:val="Hyperlink"/>
          </w:rPr>
          <w:t>Question 7</w:t>
        </w:r>
      </w:hyperlink>
      <w:r w:rsidR="00592DA6">
        <w:t>, to ensure these linkages are prioritised in the implementation and evaluation stages.</w:t>
      </w:r>
    </w:p>
    <w:p w14:paraId="5C5D0C42" w14:textId="4D620589" w:rsidR="00487C09" w:rsidRPr="001B308E" w:rsidRDefault="00487C09" w:rsidP="00487C09">
      <w:pPr>
        <w:pStyle w:val="Caption"/>
        <w:rPr>
          <w:rFonts w:ascii="Calibri" w:hAnsi="Calibri" w:cs="Calibri"/>
          <w:b w:val="0"/>
        </w:rPr>
      </w:pPr>
      <w:r w:rsidRPr="001B308E">
        <w:rPr>
          <w:rFonts w:ascii="Calibri" w:hAnsi="Calibri" w:cs="Calibri"/>
          <w:bCs/>
        </w:rPr>
        <w:t xml:space="preserve">Table </w:t>
      </w:r>
      <w:r w:rsidRPr="001B308E">
        <w:rPr>
          <w:rFonts w:ascii="Calibri" w:hAnsi="Calibri" w:cs="Calibri"/>
          <w:color w:val="2B579A"/>
          <w:shd w:val="clear" w:color="auto" w:fill="E6E6E6"/>
        </w:rPr>
        <w:fldChar w:fldCharType="begin"/>
      </w:r>
      <w:r w:rsidRPr="001B308E">
        <w:rPr>
          <w:rFonts w:ascii="Calibri" w:hAnsi="Calibri" w:cs="Calibri"/>
        </w:rPr>
        <w:instrText xml:space="preserve"> SEQ Table \* ARABIC </w:instrText>
      </w:r>
      <w:r w:rsidRPr="001B308E">
        <w:rPr>
          <w:rFonts w:ascii="Calibri" w:hAnsi="Calibri" w:cs="Calibri"/>
          <w:color w:val="2B579A"/>
          <w:shd w:val="clear" w:color="auto" w:fill="E6E6E6"/>
        </w:rPr>
        <w:fldChar w:fldCharType="separate"/>
      </w:r>
      <w:r w:rsidR="00E8506B">
        <w:rPr>
          <w:rFonts w:ascii="Calibri" w:hAnsi="Calibri" w:cs="Calibri"/>
          <w:noProof/>
        </w:rPr>
        <w:t>15</w:t>
      </w:r>
      <w:r w:rsidRPr="001B308E">
        <w:rPr>
          <w:rFonts w:ascii="Calibri" w:hAnsi="Calibri" w:cs="Calibri"/>
          <w:color w:val="2B579A"/>
          <w:shd w:val="clear" w:color="auto" w:fill="E6E6E6"/>
        </w:rPr>
        <w:fldChar w:fldCharType="end"/>
      </w:r>
      <w:r w:rsidRPr="001B308E">
        <w:rPr>
          <w:rFonts w:ascii="Calibri" w:hAnsi="Calibri" w:cs="Calibri"/>
          <w:b w:val="0"/>
        </w:rPr>
        <w:t xml:space="preserve"> Identified problems and Government objectives</w:t>
      </w:r>
    </w:p>
    <w:tbl>
      <w:tblPr>
        <w:tblStyle w:val="TableGridLight"/>
        <w:tblW w:w="534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81"/>
        <w:gridCol w:w="3584"/>
        <w:gridCol w:w="3575"/>
      </w:tblGrid>
      <w:tr w:rsidR="00487C09" w:rsidRPr="00940D7E" w14:paraId="45FE0CE8" w14:textId="77777777" w:rsidTr="009763A8">
        <w:trPr>
          <w:trHeight w:val="300"/>
        </w:trPr>
        <w:tc>
          <w:tcPr>
            <w:tcW w:w="1287" w:type="pct"/>
            <w:shd w:val="clear" w:color="auto" w:fill="284B98"/>
            <w:vAlign w:val="center"/>
          </w:tcPr>
          <w:p w14:paraId="78AC28A6" w14:textId="77777777" w:rsidR="00487C09" w:rsidRPr="00F1701F" w:rsidRDefault="00487C09" w:rsidP="004C3259">
            <w:pPr>
              <w:rPr>
                <w:rFonts w:ascii="Arial" w:hAnsi="Arial" w:cs="Arial"/>
                <w:b/>
                <w:bCs/>
                <w:color w:val="FFFFFF" w:themeColor="background1"/>
                <w:szCs w:val="20"/>
              </w:rPr>
            </w:pPr>
            <w:r>
              <w:rPr>
                <w:rFonts w:ascii="Arial" w:hAnsi="Arial" w:cs="Arial"/>
                <w:b/>
                <w:bCs/>
                <w:color w:val="FFFFFF" w:themeColor="background1"/>
                <w:szCs w:val="20"/>
              </w:rPr>
              <w:t>Government objectives</w:t>
            </w:r>
          </w:p>
        </w:tc>
        <w:tc>
          <w:tcPr>
            <w:tcW w:w="1859" w:type="pct"/>
            <w:shd w:val="clear" w:color="auto" w:fill="284B98"/>
            <w:vAlign w:val="center"/>
          </w:tcPr>
          <w:p w14:paraId="7FA05EFD" w14:textId="77777777" w:rsidR="00487C09" w:rsidRDefault="00487C09" w:rsidP="004C3259">
            <w:pPr>
              <w:rPr>
                <w:rFonts w:ascii="Arial" w:hAnsi="Arial" w:cs="Arial"/>
                <w:b/>
                <w:bCs/>
                <w:color w:val="FFFFFF" w:themeColor="background1"/>
                <w:szCs w:val="20"/>
              </w:rPr>
            </w:pPr>
            <w:r>
              <w:rPr>
                <w:rFonts w:ascii="Arial" w:hAnsi="Arial" w:cs="Arial"/>
                <w:b/>
                <w:bCs/>
                <w:color w:val="FFFFFF" w:themeColor="background1"/>
                <w:szCs w:val="20"/>
              </w:rPr>
              <w:t>Indicator of success</w:t>
            </w:r>
          </w:p>
        </w:tc>
        <w:tc>
          <w:tcPr>
            <w:tcW w:w="1854" w:type="pct"/>
            <w:shd w:val="clear" w:color="auto" w:fill="284B98"/>
            <w:vAlign w:val="center"/>
          </w:tcPr>
          <w:p w14:paraId="46690553" w14:textId="77777777" w:rsidR="00487C09" w:rsidRDefault="00487C09" w:rsidP="004C3259">
            <w:pPr>
              <w:rPr>
                <w:rFonts w:ascii="Arial" w:hAnsi="Arial" w:cs="Arial"/>
                <w:b/>
                <w:bCs/>
                <w:color w:val="FFFFFF" w:themeColor="background1"/>
                <w:szCs w:val="20"/>
              </w:rPr>
            </w:pPr>
            <w:r>
              <w:rPr>
                <w:rFonts w:ascii="Arial" w:hAnsi="Arial" w:cs="Arial"/>
                <w:b/>
                <w:bCs/>
                <w:color w:val="FFFFFF" w:themeColor="background1"/>
                <w:szCs w:val="20"/>
              </w:rPr>
              <w:t>Evidence of Success</w:t>
            </w:r>
          </w:p>
        </w:tc>
      </w:tr>
      <w:tr w:rsidR="00487C09" w:rsidRPr="00940D7E" w14:paraId="05BD6650" w14:textId="77777777" w:rsidTr="009763A8">
        <w:trPr>
          <w:trHeight w:val="300"/>
        </w:trPr>
        <w:tc>
          <w:tcPr>
            <w:tcW w:w="1287" w:type="pct"/>
            <w:shd w:val="clear" w:color="auto" w:fill="F2F2F2" w:themeFill="background1" w:themeFillShade="F2"/>
            <w:vAlign w:val="center"/>
          </w:tcPr>
          <w:p w14:paraId="3E41EC42" w14:textId="77777777" w:rsidR="00487C09" w:rsidRPr="00400CBA" w:rsidRDefault="00487C09" w:rsidP="00487C09">
            <w:pPr>
              <w:pStyle w:val="Tablebody0"/>
            </w:pPr>
            <w:r w:rsidRPr="591A7590">
              <w:t xml:space="preserve">Ensure </w:t>
            </w:r>
            <w:r w:rsidRPr="591A7590">
              <w:rPr>
                <w:b/>
                <w:bCs/>
              </w:rPr>
              <w:t>consistent</w:t>
            </w:r>
            <w:r w:rsidRPr="591A7590">
              <w:t xml:space="preserve"> capture of secondary systems where vulnerabilities could have a relevant impact on critical infrastructure.</w:t>
            </w:r>
          </w:p>
        </w:tc>
        <w:tc>
          <w:tcPr>
            <w:tcW w:w="1859" w:type="pct"/>
            <w:vAlign w:val="center"/>
          </w:tcPr>
          <w:p w14:paraId="021180DD" w14:textId="77777777" w:rsidR="00487C09" w:rsidRPr="00302A0C" w:rsidRDefault="00487C09" w:rsidP="00487C09">
            <w:pPr>
              <w:pStyle w:val="Tablebody0"/>
            </w:pPr>
            <w:r>
              <w:t xml:space="preserve">All relevant secondary systems are captured by regulation, reducing the risk of adverse impacts on critical infrastructure. </w:t>
            </w:r>
          </w:p>
        </w:tc>
        <w:tc>
          <w:tcPr>
            <w:tcW w:w="1854" w:type="pct"/>
          </w:tcPr>
          <w:p w14:paraId="74894C70" w14:textId="77777777" w:rsidR="00487C09" w:rsidRDefault="00487C09" w:rsidP="00487C09">
            <w:pPr>
              <w:pStyle w:val="Tablebody0"/>
            </w:pPr>
            <w:r w:rsidRPr="00302A0C">
              <w:t xml:space="preserve">Industry reporting on approaches to risk management for secondary systems. Specifically: </w:t>
            </w:r>
          </w:p>
          <w:p w14:paraId="524660B2" w14:textId="77777777" w:rsidR="00487C09" w:rsidRDefault="00487C09" w:rsidP="00510557">
            <w:pPr>
              <w:pStyle w:val="ListParagraph"/>
              <w:numPr>
                <w:ilvl w:val="0"/>
                <w:numId w:val="30"/>
              </w:numPr>
              <w:spacing w:before="0" w:line="240" w:lineRule="auto"/>
              <w:rPr>
                <w:rFonts w:ascii="Arial" w:hAnsi="Arial" w:cs="Arial"/>
                <w:szCs w:val="20"/>
              </w:rPr>
            </w:pPr>
            <w:r>
              <w:rPr>
                <w:rFonts w:ascii="Arial" w:hAnsi="Arial" w:cs="Arial"/>
                <w:szCs w:val="20"/>
              </w:rPr>
              <w:t xml:space="preserve">A stronger understanding of the need to capture secondary systems and the indicators of malicious attacks; and </w:t>
            </w:r>
          </w:p>
          <w:p w14:paraId="70F86EBE" w14:textId="77777777" w:rsidR="00487C09" w:rsidRPr="00302A0C" w:rsidRDefault="00487C09" w:rsidP="00510557">
            <w:pPr>
              <w:pStyle w:val="ListParagraph"/>
              <w:numPr>
                <w:ilvl w:val="0"/>
                <w:numId w:val="30"/>
              </w:numPr>
              <w:spacing w:before="0" w:line="240" w:lineRule="auto"/>
              <w:rPr>
                <w:rFonts w:ascii="Arial" w:hAnsi="Arial" w:cs="Arial"/>
                <w:szCs w:val="20"/>
              </w:rPr>
            </w:pPr>
            <w:r>
              <w:rPr>
                <w:rFonts w:ascii="Arial" w:hAnsi="Arial" w:cs="Arial"/>
                <w:szCs w:val="20"/>
              </w:rPr>
              <w:t xml:space="preserve">A reduction in the number of (or severity of) critical infrastructure attacks arising through secondary systems. </w:t>
            </w:r>
          </w:p>
        </w:tc>
      </w:tr>
      <w:tr w:rsidR="00487C09" w:rsidRPr="00940D7E" w14:paraId="702EB287" w14:textId="77777777" w:rsidTr="009763A8">
        <w:trPr>
          <w:trHeight w:val="300"/>
        </w:trPr>
        <w:tc>
          <w:tcPr>
            <w:tcW w:w="1287" w:type="pct"/>
            <w:shd w:val="clear" w:color="auto" w:fill="F2F2F2" w:themeFill="background1" w:themeFillShade="F2"/>
            <w:vAlign w:val="center"/>
          </w:tcPr>
          <w:p w14:paraId="4E0AC522" w14:textId="77777777" w:rsidR="00487C09" w:rsidRPr="00400CBA" w:rsidRDefault="00487C09" w:rsidP="00487C09">
            <w:pPr>
              <w:pStyle w:val="Tablebody0"/>
              <w:rPr>
                <w:rFonts w:ascii="Arial" w:hAnsi="Arial" w:cs="Arial"/>
              </w:rPr>
            </w:pPr>
            <w:r w:rsidRPr="591A7590">
              <w:rPr>
                <w:rFonts w:ascii="Arial" w:hAnsi="Arial" w:cs="Arial"/>
              </w:rPr>
              <w:t xml:space="preserve">Enable a </w:t>
            </w:r>
            <w:r w:rsidRPr="591A7590">
              <w:rPr>
                <w:rFonts w:ascii="Arial" w:hAnsi="Arial" w:cs="Arial"/>
                <w:b/>
                <w:bCs/>
              </w:rPr>
              <w:t>coordinated,</w:t>
            </w:r>
            <w:r w:rsidRPr="591A7590">
              <w:rPr>
                <w:rFonts w:ascii="Arial" w:hAnsi="Arial" w:cs="Arial"/>
              </w:rPr>
              <w:t xml:space="preserve"> </w:t>
            </w:r>
            <w:r w:rsidRPr="591A7590">
              <w:rPr>
                <w:rFonts w:ascii="Arial" w:hAnsi="Arial" w:cs="Arial"/>
                <w:b/>
                <w:bCs/>
              </w:rPr>
              <w:t>agile, industry-led response</w:t>
            </w:r>
            <w:r w:rsidRPr="591A7590">
              <w:rPr>
                <w:rFonts w:ascii="Arial" w:hAnsi="Arial" w:cs="Arial"/>
              </w:rPr>
              <w:t xml:space="preserve"> to incidents with appropriate support from government where necessary.</w:t>
            </w:r>
          </w:p>
        </w:tc>
        <w:tc>
          <w:tcPr>
            <w:tcW w:w="1859" w:type="pct"/>
            <w:vAlign w:val="center"/>
          </w:tcPr>
          <w:p w14:paraId="0E397A6D" w14:textId="77777777" w:rsidR="00487C09" w:rsidRPr="00302A0C" w:rsidRDefault="00487C09" w:rsidP="00487C09">
            <w:pPr>
              <w:pStyle w:val="Tablebody0"/>
              <w:rPr>
                <w:rFonts w:ascii="Arial" w:hAnsi="Arial" w:cs="Arial"/>
              </w:rPr>
            </w:pPr>
            <w:r>
              <w:rPr>
                <w:rFonts w:ascii="Arial" w:hAnsi="Arial" w:cs="Arial"/>
              </w:rPr>
              <w:t xml:space="preserve">Industry are equipped and informed to deal with incidents, including when to seek Government support. </w:t>
            </w:r>
          </w:p>
        </w:tc>
        <w:tc>
          <w:tcPr>
            <w:tcW w:w="1854" w:type="pct"/>
          </w:tcPr>
          <w:p w14:paraId="4E1A6F9A" w14:textId="77777777" w:rsidR="00487C09" w:rsidRDefault="00487C09" w:rsidP="00487C09">
            <w:pPr>
              <w:pStyle w:val="Tablebody0"/>
            </w:pPr>
            <w:r w:rsidRPr="009F5B9F">
              <w:t xml:space="preserve">Industry reporting on approaches to </w:t>
            </w:r>
            <w:r>
              <w:t>incident response management</w:t>
            </w:r>
            <w:r w:rsidRPr="009F5B9F">
              <w:t xml:space="preserve">. Specifically: </w:t>
            </w:r>
          </w:p>
          <w:p w14:paraId="67385623" w14:textId="77777777" w:rsidR="00487C09" w:rsidRDefault="00487C09" w:rsidP="00510557">
            <w:pPr>
              <w:pStyle w:val="ListParagraph"/>
              <w:numPr>
                <w:ilvl w:val="0"/>
                <w:numId w:val="31"/>
              </w:numPr>
              <w:spacing w:before="0" w:line="240" w:lineRule="auto"/>
              <w:rPr>
                <w:rFonts w:ascii="Arial" w:hAnsi="Arial" w:cs="Arial"/>
                <w:szCs w:val="20"/>
              </w:rPr>
            </w:pPr>
            <w:r>
              <w:rPr>
                <w:rFonts w:ascii="Arial" w:hAnsi="Arial" w:cs="Arial"/>
                <w:szCs w:val="20"/>
              </w:rPr>
              <w:t xml:space="preserve">A stronger understanding of the ways in which industry can best respond; and </w:t>
            </w:r>
          </w:p>
          <w:p w14:paraId="774D6BD5" w14:textId="77777777" w:rsidR="00487C09" w:rsidRPr="00302A0C" w:rsidRDefault="00487C09" w:rsidP="00510557">
            <w:pPr>
              <w:pStyle w:val="ListParagraph"/>
              <w:numPr>
                <w:ilvl w:val="0"/>
                <w:numId w:val="31"/>
              </w:numPr>
              <w:spacing w:before="0" w:line="240" w:lineRule="auto"/>
              <w:rPr>
                <w:rFonts w:ascii="Arial" w:hAnsi="Arial" w:cs="Arial"/>
                <w:szCs w:val="20"/>
              </w:rPr>
            </w:pPr>
            <w:r>
              <w:rPr>
                <w:rFonts w:ascii="Arial" w:hAnsi="Arial" w:cs="Arial"/>
                <w:szCs w:val="20"/>
              </w:rPr>
              <w:t xml:space="preserve">A flexible and transparent approach to interactions with Government, including leveraging Government support at appropriate points. </w:t>
            </w:r>
          </w:p>
        </w:tc>
      </w:tr>
      <w:tr w:rsidR="00487C09" w:rsidRPr="00940D7E" w14:paraId="640D06EB" w14:textId="77777777" w:rsidTr="009763A8">
        <w:trPr>
          <w:trHeight w:val="300"/>
        </w:trPr>
        <w:tc>
          <w:tcPr>
            <w:tcW w:w="1287" w:type="pct"/>
            <w:shd w:val="clear" w:color="auto" w:fill="F2F2F2" w:themeFill="background1" w:themeFillShade="F2"/>
            <w:vAlign w:val="center"/>
          </w:tcPr>
          <w:p w14:paraId="4A83D177" w14:textId="77777777" w:rsidR="00487C09" w:rsidRPr="00400CBA" w:rsidRDefault="00487C09" w:rsidP="004C3259">
            <w:pPr>
              <w:spacing w:after="120"/>
              <w:rPr>
                <w:rFonts w:ascii="Arial" w:hAnsi="Arial" w:cs="Arial"/>
                <w:szCs w:val="20"/>
              </w:rPr>
            </w:pPr>
            <w:r w:rsidRPr="00302A0C">
              <w:rPr>
                <w:rFonts w:ascii="Arial" w:hAnsi="Arial" w:cs="Arial"/>
                <w:b/>
                <w:szCs w:val="20"/>
              </w:rPr>
              <w:t>Clarify and enhance</w:t>
            </w:r>
            <w:r w:rsidRPr="00302A0C">
              <w:rPr>
                <w:rFonts w:ascii="Arial" w:hAnsi="Arial" w:cs="Arial"/>
                <w:szCs w:val="20"/>
              </w:rPr>
              <w:t xml:space="preserve"> the security standards applicable to critical infrastructure. </w:t>
            </w:r>
          </w:p>
        </w:tc>
        <w:tc>
          <w:tcPr>
            <w:tcW w:w="1859" w:type="pct"/>
            <w:vAlign w:val="center"/>
          </w:tcPr>
          <w:p w14:paraId="3E0795C7" w14:textId="77777777" w:rsidR="00487C09" w:rsidRPr="000D0D7F" w:rsidRDefault="00487C09" w:rsidP="004C3259">
            <w:pPr>
              <w:spacing w:after="120"/>
            </w:pPr>
            <w:r w:rsidRPr="00302A0C">
              <w:rPr>
                <w:rFonts w:ascii="Arial" w:hAnsi="Arial" w:cs="Arial"/>
                <w:szCs w:val="20"/>
              </w:rPr>
              <w:t xml:space="preserve">Industry have a clear view on applicable standards. </w:t>
            </w:r>
          </w:p>
        </w:tc>
        <w:tc>
          <w:tcPr>
            <w:tcW w:w="1854" w:type="pct"/>
          </w:tcPr>
          <w:p w14:paraId="4409BB13" w14:textId="77777777" w:rsidR="00487C09" w:rsidRPr="000D0D7F" w:rsidRDefault="00487C09" w:rsidP="00487C09">
            <w:pPr>
              <w:pStyle w:val="Tablebody0"/>
            </w:pPr>
            <w:r w:rsidRPr="000D0D7F">
              <w:t xml:space="preserve">Industry reporting on applicable standards. Specifically: </w:t>
            </w:r>
          </w:p>
          <w:p w14:paraId="445AA231" w14:textId="77777777" w:rsidR="00487C09" w:rsidRPr="00302A0C" w:rsidRDefault="00487C09" w:rsidP="00510557">
            <w:pPr>
              <w:pStyle w:val="ListParagraph"/>
              <w:numPr>
                <w:ilvl w:val="0"/>
                <w:numId w:val="20"/>
              </w:numPr>
              <w:spacing w:before="0" w:line="240" w:lineRule="auto"/>
              <w:rPr>
                <w:rFonts w:ascii="Arial" w:hAnsi="Arial" w:cs="Arial"/>
                <w:szCs w:val="20"/>
              </w:rPr>
            </w:pPr>
            <w:r w:rsidRPr="00302A0C">
              <w:rPr>
                <w:rFonts w:ascii="Arial" w:hAnsi="Arial" w:cs="Arial"/>
                <w:szCs w:val="20"/>
              </w:rPr>
              <w:t xml:space="preserve">An ability to clearly identify, implement and comply with standards applicable to their relevant asset. </w:t>
            </w:r>
          </w:p>
        </w:tc>
      </w:tr>
    </w:tbl>
    <w:p w14:paraId="4E49B4BA" w14:textId="5DCFB306" w:rsidR="00A567AB" w:rsidRDefault="00487C09" w:rsidP="00487C09">
      <w:pPr>
        <w:pStyle w:val="BodyText"/>
      </w:pPr>
      <w:r>
        <w:t>Consideration of these objectives and measures of success has supported the development of options</w:t>
      </w:r>
      <w:r w:rsidR="004A5AC4">
        <w:t xml:space="preserve">. </w:t>
      </w:r>
      <w:r w:rsidR="00EC48A6">
        <w:t xml:space="preserve"> </w:t>
      </w:r>
    </w:p>
    <w:p w14:paraId="763248EC" w14:textId="77777777" w:rsidR="009B0AC7" w:rsidRDefault="009B0AC7">
      <w:pPr>
        <w:spacing w:before="80" w:after="80"/>
        <w:rPr>
          <w:rFonts w:ascii="Arial" w:eastAsia="Times New Roman" w:hAnsi="Arial" w:cs="Arial"/>
          <w:b/>
          <w:bCs/>
          <w:sz w:val="32"/>
          <w:szCs w:val="32"/>
          <w:lang w:eastAsia="en-AU"/>
        </w:rPr>
      </w:pPr>
      <w:bookmarkStart w:id="50" w:name="_Toc164683830"/>
      <w:r>
        <w:rPr>
          <w:rFonts w:ascii="Arial" w:hAnsi="Arial"/>
          <w:sz w:val="32"/>
          <w:szCs w:val="32"/>
        </w:rPr>
        <w:br w:type="page"/>
      </w:r>
    </w:p>
    <w:p w14:paraId="7CA72187" w14:textId="3F107A58" w:rsidR="004C3259" w:rsidRPr="001B308E" w:rsidRDefault="004C3259" w:rsidP="00510557">
      <w:pPr>
        <w:pStyle w:val="Heading1"/>
        <w:widowControl/>
        <w:numPr>
          <w:ilvl w:val="0"/>
          <w:numId w:val="26"/>
        </w:numPr>
        <w:spacing w:after="0" w:line="240" w:lineRule="auto"/>
        <w:rPr>
          <w:rFonts w:ascii="Arial" w:hAnsi="Arial"/>
          <w:sz w:val="32"/>
          <w:szCs w:val="32"/>
        </w:rPr>
      </w:pPr>
      <w:bookmarkStart w:id="51" w:name="_Toc176183932"/>
      <w:r w:rsidRPr="001B308E">
        <w:rPr>
          <w:rFonts w:ascii="Arial" w:hAnsi="Arial"/>
          <w:sz w:val="32"/>
          <w:szCs w:val="32"/>
        </w:rPr>
        <w:t>What policy options are you considering?</w:t>
      </w:r>
      <w:bookmarkEnd w:id="50"/>
      <w:bookmarkEnd w:id="51"/>
      <w:r w:rsidRPr="001B308E">
        <w:rPr>
          <w:rFonts w:ascii="Arial" w:hAnsi="Arial"/>
          <w:sz w:val="32"/>
          <w:szCs w:val="32"/>
        </w:rPr>
        <w:t xml:space="preserve"> </w:t>
      </w:r>
    </w:p>
    <w:p w14:paraId="32BE2FB4" w14:textId="77777777" w:rsidR="004C3259" w:rsidRPr="00E3796B" w:rsidRDefault="004C3259" w:rsidP="004C3259">
      <w:pPr>
        <w:pStyle w:val="BodyText"/>
      </w:pPr>
      <w:r w:rsidRPr="591A7590">
        <w:t xml:space="preserve">Three options are being considered in response to the identified problem elements: </w:t>
      </w:r>
    </w:p>
    <w:p w14:paraId="4538E960" w14:textId="77777777" w:rsidR="004C3259" w:rsidRPr="00DA5A8B" w:rsidRDefault="004C3259" w:rsidP="00510557">
      <w:pPr>
        <w:pStyle w:val="ListParagraph"/>
        <w:numPr>
          <w:ilvl w:val="0"/>
          <w:numId w:val="21"/>
        </w:numPr>
        <w:contextualSpacing/>
        <w:rPr>
          <w:rFonts w:ascii="Arial" w:hAnsi="Arial" w:cs="Arial"/>
          <w:szCs w:val="20"/>
        </w:rPr>
      </w:pPr>
      <w:r w:rsidRPr="591A7590">
        <w:rPr>
          <w:rFonts w:ascii="Arial" w:hAnsi="Arial" w:cs="Arial"/>
          <w:b/>
          <w:bCs/>
          <w:szCs w:val="20"/>
        </w:rPr>
        <w:t>Option 1:</w:t>
      </w:r>
      <w:r w:rsidRPr="591A7590">
        <w:rPr>
          <w:rFonts w:ascii="Arial" w:hAnsi="Arial" w:cs="Arial"/>
          <w:szCs w:val="20"/>
        </w:rPr>
        <w:t xml:space="preserve"> Maintain the </w:t>
      </w:r>
      <w:r w:rsidRPr="591A7590" w:rsidDel="00BE1DB9">
        <w:rPr>
          <w:rFonts w:ascii="Arial" w:hAnsi="Arial" w:cs="Arial"/>
          <w:szCs w:val="20"/>
        </w:rPr>
        <w:t>status quo</w:t>
      </w:r>
      <w:r w:rsidRPr="591A7590">
        <w:rPr>
          <w:rFonts w:ascii="Arial" w:hAnsi="Arial" w:cs="Arial"/>
          <w:szCs w:val="20"/>
        </w:rPr>
        <w:t xml:space="preserve">. </w:t>
      </w:r>
    </w:p>
    <w:p w14:paraId="335DF1AD" w14:textId="77777777" w:rsidR="004C3259" w:rsidRPr="00490823" w:rsidRDefault="004C3259" w:rsidP="00510557">
      <w:pPr>
        <w:pStyle w:val="ListParagraph"/>
        <w:numPr>
          <w:ilvl w:val="0"/>
          <w:numId w:val="21"/>
        </w:numPr>
        <w:contextualSpacing/>
        <w:rPr>
          <w:rFonts w:ascii="Arial" w:hAnsi="Arial" w:cs="Arial"/>
          <w:b/>
          <w:bCs/>
          <w:szCs w:val="20"/>
        </w:rPr>
      </w:pPr>
      <w:r w:rsidRPr="591A7590">
        <w:rPr>
          <w:rFonts w:ascii="Arial" w:hAnsi="Arial" w:cs="Arial"/>
          <w:b/>
          <w:bCs/>
          <w:szCs w:val="20"/>
        </w:rPr>
        <w:t>Option 2:</w:t>
      </w:r>
      <w:r w:rsidRPr="00490823">
        <w:rPr>
          <w:rFonts w:ascii="Arial" w:hAnsi="Arial" w:cs="Arial"/>
          <w:b/>
          <w:bCs/>
          <w:szCs w:val="20"/>
        </w:rPr>
        <w:t xml:space="preserve"> </w:t>
      </w:r>
      <w:r w:rsidRPr="00490823">
        <w:rPr>
          <w:rFonts w:ascii="Arial" w:hAnsi="Arial" w:cs="Arial"/>
          <w:bCs/>
          <w:szCs w:val="20"/>
        </w:rPr>
        <w:t>Amend the SOCI Act to</w:t>
      </w:r>
      <w:r w:rsidRPr="00490823">
        <w:rPr>
          <w:rFonts w:ascii="Arial" w:hAnsi="Arial" w:cs="Arial"/>
          <w:b/>
          <w:bCs/>
          <w:szCs w:val="20"/>
        </w:rPr>
        <w:t>:</w:t>
      </w:r>
    </w:p>
    <w:p w14:paraId="360D3F9B" w14:textId="55C27721" w:rsidR="004C3259" w:rsidRDefault="004C3259" w:rsidP="00510557">
      <w:pPr>
        <w:pStyle w:val="ListParagraph"/>
        <w:numPr>
          <w:ilvl w:val="0"/>
          <w:numId w:val="32"/>
        </w:numPr>
        <w:spacing w:before="0" w:line="240" w:lineRule="auto"/>
        <w:rPr>
          <w:rFonts w:ascii="Arial" w:hAnsi="Arial" w:cs="Arial"/>
          <w:szCs w:val="20"/>
        </w:rPr>
      </w:pPr>
      <w:r w:rsidRPr="591A7590">
        <w:rPr>
          <w:rFonts w:ascii="Arial" w:hAnsi="Arial" w:cs="Arial"/>
          <w:szCs w:val="20"/>
        </w:rPr>
        <w:t>Ensure capture of</w:t>
      </w:r>
      <w:r>
        <w:rPr>
          <w:rFonts w:ascii="Arial" w:hAnsi="Arial" w:cs="Arial"/>
          <w:szCs w:val="20"/>
        </w:rPr>
        <w:t xml:space="preserve"> systems holding</w:t>
      </w:r>
      <w:r w:rsidRPr="591A7590">
        <w:rPr>
          <w:rFonts w:ascii="Arial" w:hAnsi="Arial" w:cs="Arial"/>
          <w:szCs w:val="20"/>
        </w:rPr>
        <w:t xml:space="preserve"> ‘business critical data’</w:t>
      </w:r>
      <w:r>
        <w:rPr>
          <w:rFonts w:ascii="Arial" w:hAnsi="Arial" w:cs="Arial"/>
          <w:szCs w:val="20"/>
        </w:rPr>
        <w:t>, where vulnerabilities could have a ‘relevant impact’ on the asset,</w:t>
      </w:r>
      <w:r w:rsidRPr="591A7590">
        <w:rPr>
          <w:rFonts w:ascii="Arial" w:hAnsi="Arial" w:cs="Arial"/>
          <w:szCs w:val="20"/>
        </w:rPr>
        <w:t xml:space="preserve"> in relevant definitions in the Act and RMP rules</w:t>
      </w:r>
      <w:r w:rsidR="00C01C91">
        <w:rPr>
          <w:rFonts w:ascii="Arial" w:hAnsi="Arial" w:cs="Arial"/>
          <w:szCs w:val="20"/>
        </w:rPr>
        <w:t xml:space="preserve"> as required</w:t>
      </w:r>
      <w:r w:rsidRPr="591A7590">
        <w:rPr>
          <w:rFonts w:ascii="Arial" w:hAnsi="Arial" w:cs="Arial"/>
          <w:szCs w:val="20"/>
        </w:rPr>
        <w:t>.</w:t>
      </w:r>
    </w:p>
    <w:p w14:paraId="354DFB45" w14:textId="77777777" w:rsidR="004C3259" w:rsidRDefault="004C3259" w:rsidP="00510557">
      <w:pPr>
        <w:pStyle w:val="ListParagraph"/>
        <w:numPr>
          <w:ilvl w:val="0"/>
          <w:numId w:val="32"/>
        </w:numPr>
        <w:spacing w:before="0" w:line="240" w:lineRule="auto"/>
        <w:rPr>
          <w:rFonts w:ascii="Arial" w:hAnsi="Arial" w:cs="Arial"/>
          <w:szCs w:val="20"/>
        </w:rPr>
      </w:pPr>
      <w:r w:rsidRPr="591A7590">
        <w:rPr>
          <w:rFonts w:ascii="Arial" w:hAnsi="Arial" w:cs="Arial"/>
          <w:szCs w:val="20"/>
        </w:rPr>
        <w:t xml:space="preserve">Legislate an all-hazards power, </w:t>
      </w:r>
      <w:r>
        <w:rPr>
          <w:rFonts w:ascii="Arial" w:hAnsi="Arial" w:cs="Arial"/>
          <w:szCs w:val="20"/>
        </w:rPr>
        <w:t>which may be authorised by</w:t>
      </w:r>
      <w:r w:rsidRPr="591A7590">
        <w:rPr>
          <w:rFonts w:ascii="Arial" w:hAnsi="Arial" w:cs="Arial"/>
          <w:szCs w:val="20"/>
        </w:rPr>
        <w:t xml:space="preserve"> the Minister </w:t>
      </w:r>
      <w:r>
        <w:rPr>
          <w:rFonts w:ascii="Arial" w:hAnsi="Arial" w:cs="Arial"/>
          <w:szCs w:val="20"/>
        </w:rPr>
        <w:t xml:space="preserve">as a last resort, </w:t>
      </w:r>
      <w:r w:rsidRPr="591A7590">
        <w:rPr>
          <w:rFonts w:ascii="Arial" w:hAnsi="Arial" w:cs="Arial"/>
          <w:szCs w:val="20"/>
        </w:rPr>
        <w:t>where there is no existing power available to support a fast and effective response.</w:t>
      </w:r>
    </w:p>
    <w:p w14:paraId="0BAD575E" w14:textId="77777777" w:rsidR="004C3259" w:rsidRPr="00470765" w:rsidRDefault="004C3259" w:rsidP="00510557">
      <w:pPr>
        <w:pStyle w:val="ListParagraph"/>
        <w:numPr>
          <w:ilvl w:val="0"/>
          <w:numId w:val="32"/>
        </w:numPr>
        <w:spacing w:before="0" w:line="240" w:lineRule="auto"/>
        <w:rPr>
          <w:rFonts w:ascii="Arial" w:hAnsi="Arial" w:cs="Arial"/>
          <w:szCs w:val="20"/>
        </w:rPr>
      </w:pPr>
      <w:r w:rsidRPr="591A7590">
        <w:rPr>
          <w:rFonts w:ascii="Arial" w:hAnsi="Arial" w:cs="Arial"/>
          <w:szCs w:val="20"/>
        </w:rPr>
        <w:t xml:space="preserve">Introduce a formal, written directions power to address seriously deficient RMPs. </w:t>
      </w:r>
    </w:p>
    <w:p w14:paraId="13FD67B3" w14:textId="77777777" w:rsidR="004C3259" w:rsidRPr="00D938EB" w:rsidRDefault="004C3259" w:rsidP="00510557">
      <w:pPr>
        <w:pStyle w:val="ListParagraph"/>
        <w:numPr>
          <w:ilvl w:val="0"/>
          <w:numId w:val="21"/>
        </w:numPr>
        <w:contextualSpacing/>
        <w:rPr>
          <w:rFonts w:ascii="Arial" w:hAnsi="Arial" w:cs="Arial"/>
          <w:szCs w:val="20"/>
        </w:rPr>
      </w:pPr>
      <w:r w:rsidRPr="591A7590">
        <w:rPr>
          <w:rFonts w:ascii="Arial" w:hAnsi="Arial" w:cs="Arial"/>
          <w:b/>
          <w:bCs/>
          <w:szCs w:val="20"/>
        </w:rPr>
        <w:t>Option 3:</w:t>
      </w:r>
      <w:r w:rsidRPr="591A7590">
        <w:rPr>
          <w:rFonts w:ascii="Arial" w:hAnsi="Arial" w:cs="Arial"/>
          <w:szCs w:val="20"/>
        </w:rPr>
        <w:t xml:space="preserve"> Enhance collaboration with industry, through use of the TISN, to support industry in filling the gaps identified in Section 1, on a voluntary basis. </w:t>
      </w:r>
    </w:p>
    <w:p w14:paraId="7B7FFA7E" w14:textId="77777777" w:rsidR="004C3259" w:rsidRDefault="004C3259" w:rsidP="004C3259">
      <w:pPr>
        <w:pStyle w:val="BodyText"/>
      </w:pPr>
      <w:r w:rsidRPr="591A7590">
        <w:t xml:space="preserve">Each option is described in detail below, including implementation considerations as applicable. </w:t>
      </w:r>
    </w:p>
    <w:p w14:paraId="77B9A403" w14:textId="77777777" w:rsidR="004C3259" w:rsidRPr="00302A0C" w:rsidRDefault="004C3259" w:rsidP="00791FA3">
      <w:pPr>
        <w:pStyle w:val="Subheading"/>
      </w:pPr>
      <w:r w:rsidRPr="00302A0C">
        <w:t xml:space="preserve">Development of options </w:t>
      </w:r>
    </w:p>
    <w:p w14:paraId="27D60B31" w14:textId="77777777" w:rsidR="004C3259" w:rsidRDefault="004C3259" w:rsidP="004C3259">
      <w:pPr>
        <w:spacing w:after="120"/>
        <w:rPr>
          <w:rFonts w:ascii="Arial" w:hAnsi="Arial" w:cs="Arial"/>
          <w:szCs w:val="20"/>
        </w:rPr>
      </w:pPr>
      <w:r>
        <w:rPr>
          <w:rFonts w:ascii="Arial" w:hAnsi="Arial" w:cs="Arial"/>
          <w:szCs w:val="20"/>
        </w:rPr>
        <w:t xml:space="preserve">Options analysed in this IA have been developed with reference to the following: </w:t>
      </w:r>
    </w:p>
    <w:p w14:paraId="59781344" w14:textId="77777777" w:rsidR="004C3259" w:rsidRDefault="004C3259" w:rsidP="00510557">
      <w:pPr>
        <w:pStyle w:val="ListParagraph"/>
        <w:numPr>
          <w:ilvl w:val="0"/>
          <w:numId w:val="21"/>
        </w:numPr>
        <w:contextualSpacing/>
        <w:rPr>
          <w:rFonts w:ascii="Arial" w:hAnsi="Arial" w:cs="Arial"/>
          <w:szCs w:val="20"/>
        </w:rPr>
      </w:pPr>
      <w:r w:rsidRPr="00302A0C">
        <w:rPr>
          <w:rFonts w:ascii="Arial" w:hAnsi="Arial" w:cs="Arial"/>
          <w:b/>
          <w:szCs w:val="20"/>
        </w:rPr>
        <w:t>Ongoing monitoring and evaluation of the existing regulatory framework</w:t>
      </w:r>
      <w:r>
        <w:rPr>
          <w:rFonts w:ascii="Arial" w:hAnsi="Arial" w:cs="Arial"/>
          <w:szCs w:val="20"/>
        </w:rPr>
        <w:t xml:space="preserve">, in order to identify gaps and consider mechanisms (regulatory or otherwise) which may be capable of filling these gaps. Mechanisms such as the TISN allow Government to be informed by industry’s views of current and emerging threats, including areas where legislative frameworks can be strengthened. </w:t>
      </w:r>
    </w:p>
    <w:p w14:paraId="6E8807F1" w14:textId="77777777" w:rsidR="004C3259" w:rsidRDefault="004C3259" w:rsidP="00510557">
      <w:pPr>
        <w:pStyle w:val="ListParagraph"/>
        <w:numPr>
          <w:ilvl w:val="0"/>
          <w:numId w:val="21"/>
        </w:numPr>
        <w:contextualSpacing/>
        <w:rPr>
          <w:rFonts w:ascii="Arial" w:hAnsi="Arial" w:cs="Arial"/>
          <w:szCs w:val="20"/>
        </w:rPr>
      </w:pPr>
      <w:r>
        <w:rPr>
          <w:rFonts w:ascii="Arial" w:hAnsi="Arial" w:cs="Arial"/>
          <w:b/>
          <w:bCs/>
          <w:szCs w:val="20"/>
        </w:rPr>
        <w:t xml:space="preserve">Consistent engagement with industry, </w:t>
      </w:r>
      <w:r>
        <w:rPr>
          <w:rFonts w:ascii="Arial" w:hAnsi="Arial" w:cs="Arial"/>
          <w:szCs w:val="20"/>
        </w:rPr>
        <w:t xml:space="preserve">to enhance Government’s understanding of how existing regulatory frameworks are operating in practice, and industry’s level of understanding of these frameworks. This has allowed for identification of areas where legislation can be clarified or simplified. </w:t>
      </w:r>
    </w:p>
    <w:p w14:paraId="73A5AC7F" w14:textId="77777777" w:rsidR="004C3259" w:rsidRDefault="004C3259" w:rsidP="00510557">
      <w:pPr>
        <w:pStyle w:val="ListParagraph"/>
        <w:numPr>
          <w:ilvl w:val="0"/>
          <w:numId w:val="21"/>
        </w:numPr>
        <w:contextualSpacing/>
        <w:rPr>
          <w:rFonts w:ascii="Arial" w:hAnsi="Arial" w:cs="Arial"/>
          <w:szCs w:val="20"/>
        </w:rPr>
      </w:pPr>
      <w:r>
        <w:rPr>
          <w:rFonts w:ascii="Arial" w:hAnsi="Arial" w:cs="Arial"/>
          <w:b/>
          <w:bCs/>
          <w:szCs w:val="20"/>
        </w:rPr>
        <w:t xml:space="preserve">Consideration of how other governments have responded to critical infrastructure risks. </w:t>
      </w:r>
      <w:r>
        <w:rPr>
          <w:rFonts w:ascii="Arial" w:hAnsi="Arial" w:cs="Arial"/>
          <w:szCs w:val="20"/>
        </w:rPr>
        <w:t>For example, the United Kingdom's (UK) National Cyber Security Centre has similarly identified an ‘enduring and significant’ threat to critical infrastructure, requiring the UK Government to consider acceleration of critical infrastructure-related regulatory matters.</w:t>
      </w:r>
      <w:r>
        <w:rPr>
          <w:rStyle w:val="FootnoteReference"/>
          <w:rFonts w:ascii="Arial" w:hAnsi="Arial" w:cs="Arial"/>
          <w:szCs w:val="20"/>
        </w:rPr>
        <w:footnoteReference w:id="25"/>
      </w:r>
      <w:r>
        <w:rPr>
          <w:rFonts w:ascii="Arial" w:hAnsi="Arial" w:cs="Arial"/>
          <w:szCs w:val="20"/>
        </w:rPr>
        <w:t xml:space="preserve"> </w:t>
      </w:r>
    </w:p>
    <w:p w14:paraId="35D77F65" w14:textId="77777777" w:rsidR="004C3259" w:rsidRPr="00302A0C" w:rsidRDefault="004C3259" w:rsidP="009622DF">
      <w:pPr>
        <w:pStyle w:val="BodyText"/>
      </w:pPr>
      <w:r>
        <w:t xml:space="preserve">In addition to the above considerations, options have been formulated to reflect a range of viable proposals which consider both non-regulatory and regulatory courses of action, with reference to the need to limit (where possible) the regulatory burden on industry. </w:t>
      </w:r>
    </w:p>
    <w:p w14:paraId="273F17E4" w14:textId="77777777" w:rsidR="004C3259" w:rsidRPr="00B874AB" w:rsidRDefault="004C3259" w:rsidP="004C3259">
      <w:pPr>
        <w:pStyle w:val="Heading2"/>
        <w:spacing w:before="0"/>
        <w:rPr>
          <w:rFonts w:ascii="Arial" w:hAnsi="Arial"/>
        </w:rPr>
      </w:pPr>
      <w:bookmarkStart w:id="52" w:name="_Toc164683831"/>
      <w:bookmarkStart w:id="53" w:name="_Toc176183933"/>
      <w:r w:rsidRPr="4F26752A">
        <w:rPr>
          <w:rFonts w:ascii="Arial" w:hAnsi="Arial"/>
        </w:rPr>
        <w:t>3.1 Option 1: Maintain the status quo</w:t>
      </w:r>
      <w:bookmarkEnd w:id="52"/>
      <w:bookmarkEnd w:id="53"/>
    </w:p>
    <w:p w14:paraId="3A844345" w14:textId="77777777" w:rsidR="004C3259" w:rsidRDefault="004C3259" w:rsidP="009622DF">
      <w:pPr>
        <w:pStyle w:val="BodyText"/>
      </w:pPr>
      <w:r w:rsidRPr="667B69DA">
        <w:t>Option 1 involves no regulatory action or legislative change to the SOCI Act or broader regime. Existing legislation, regulations, standards,</w:t>
      </w:r>
      <w:r w:rsidR="00737694">
        <w:t xml:space="preserve"> guidelines,</w:t>
      </w:r>
      <w:r w:rsidRPr="667B69DA">
        <w:t xml:space="preserve"> industry engagement strategies</w:t>
      </w:r>
      <w:r w:rsidR="00737694">
        <w:t>, including through the TISN and CISC social media channels</w:t>
      </w:r>
      <w:r w:rsidRPr="667B69DA">
        <w:t xml:space="preserve"> relating to critical infrastructure would remain. </w:t>
      </w:r>
    </w:p>
    <w:p w14:paraId="3EAACD64" w14:textId="6F37D02F" w:rsidR="006E09EE" w:rsidRDefault="00DE3E5F" w:rsidP="009622DF">
      <w:pPr>
        <w:pStyle w:val="BodyText"/>
      </w:pPr>
      <w:hyperlink w:anchor="_What_is_the">
        <w:r w:rsidR="007D0DC8" w:rsidRPr="098AE7E4">
          <w:rPr>
            <w:rStyle w:val="Hyperlink"/>
          </w:rPr>
          <w:t>Section 1</w:t>
        </w:r>
      </w:hyperlink>
      <w:r w:rsidR="007D0DC8">
        <w:t xml:space="preserve"> of this IA describes status quo regulatory arrangements and </w:t>
      </w:r>
      <w:r w:rsidR="00B24636">
        <w:t xml:space="preserve">the </w:t>
      </w:r>
      <w:r w:rsidR="007D0DC8">
        <w:t xml:space="preserve">identified gaps in these arrangements. </w:t>
      </w:r>
      <w:r w:rsidR="00851E3E">
        <w:t xml:space="preserve">If Option 1 were pursued, the problems identified in Section 1 and described </w:t>
      </w:r>
      <w:r w:rsidR="006E09EE">
        <w:t xml:space="preserve">in Table </w:t>
      </w:r>
      <w:r w:rsidR="00E93A49">
        <w:t>1</w:t>
      </w:r>
      <w:r w:rsidR="6ED46F9A">
        <w:t>6</w:t>
      </w:r>
      <w:r w:rsidR="006E09EE">
        <w:t xml:space="preserve"> </w:t>
      </w:r>
      <w:r w:rsidR="00851E3E">
        <w:t>below would persist</w:t>
      </w:r>
      <w:r w:rsidR="006E09EE">
        <w:t xml:space="preserve">. </w:t>
      </w:r>
    </w:p>
    <w:p w14:paraId="4A74DA53" w14:textId="431B0D54" w:rsidR="00FE0112" w:rsidRDefault="00FE0112" w:rsidP="00240AFB">
      <w:pPr>
        <w:pStyle w:val="Caption"/>
      </w:pPr>
      <w:r>
        <w:t xml:space="preserve">Table </w:t>
      </w:r>
      <w:r>
        <w:fldChar w:fldCharType="begin"/>
      </w:r>
      <w:r>
        <w:instrText>SEQ Table \* ARABIC</w:instrText>
      </w:r>
      <w:r>
        <w:fldChar w:fldCharType="separate"/>
      </w:r>
      <w:r w:rsidR="00E8506B">
        <w:rPr>
          <w:noProof/>
        </w:rPr>
        <w:t>16</w:t>
      </w:r>
      <w:r>
        <w:fldChar w:fldCharType="end"/>
      </w:r>
      <w:r>
        <w:t xml:space="preserve"> </w:t>
      </w:r>
      <w:r w:rsidRPr="002619A4">
        <w:rPr>
          <w:b w:val="0"/>
          <w:bCs/>
        </w:rPr>
        <w:t>Impact of inaction under the status quo</w:t>
      </w:r>
    </w:p>
    <w:tbl>
      <w:tblPr>
        <w:tblStyle w:val="TableGridLight"/>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48"/>
        <w:gridCol w:w="5591"/>
      </w:tblGrid>
      <w:tr w:rsidR="007C1305" w14:paraId="3EFC9931" w14:textId="77777777" w:rsidTr="009763A8">
        <w:trPr>
          <w:trHeight w:val="300"/>
        </w:trPr>
        <w:tc>
          <w:tcPr>
            <w:tcW w:w="0" w:type="auto"/>
            <w:shd w:val="clear" w:color="auto" w:fill="034EA2" w:themeFill="accent1"/>
            <w:vAlign w:val="center"/>
          </w:tcPr>
          <w:p w14:paraId="5801EE93" w14:textId="4405FA33" w:rsidR="006E09EE" w:rsidRDefault="006E09EE">
            <w:pPr>
              <w:rPr>
                <w:rFonts w:ascii="Arial" w:hAnsi="Arial" w:cs="Arial"/>
                <w:b/>
                <w:bCs/>
                <w:color w:val="FFFFFF" w:themeColor="background1"/>
                <w:szCs w:val="20"/>
              </w:rPr>
            </w:pPr>
            <w:r>
              <w:rPr>
                <w:rFonts w:ascii="Arial" w:hAnsi="Arial" w:cs="Arial"/>
                <w:b/>
                <w:bCs/>
                <w:color w:val="FFFFFF" w:themeColor="background1"/>
                <w:szCs w:val="20"/>
              </w:rPr>
              <w:t>Status Quo Arrangement</w:t>
            </w:r>
          </w:p>
        </w:tc>
        <w:tc>
          <w:tcPr>
            <w:tcW w:w="5591" w:type="dxa"/>
            <w:shd w:val="clear" w:color="auto" w:fill="034EA2" w:themeFill="accent1"/>
            <w:vAlign w:val="center"/>
          </w:tcPr>
          <w:p w14:paraId="5D2A68A0" w14:textId="1E4452C9" w:rsidR="006E09EE" w:rsidRDefault="006E09EE">
            <w:pPr>
              <w:rPr>
                <w:rFonts w:ascii="Arial" w:hAnsi="Arial" w:cs="Arial"/>
                <w:b/>
                <w:bCs/>
                <w:color w:val="FFFFFF" w:themeColor="background1"/>
                <w:szCs w:val="20"/>
              </w:rPr>
            </w:pPr>
            <w:r>
              <w:rPr>
                <w:rFonts w:ascii="Arial" w:hAnsi="Arial" w:cs="Arial"/>
                <w:b/>
                <w:bCs/>
                <w:color w:val="FFFFFF" w:themeColor="background1"/>
                <w:szCs w:val="20"/>
              </w:rPr>
              <w:t xml:space="preserve">Impact of </w:t>
            </w:r>
            <w:r w:rsidR="00333488">
              <w:rPr>
                <w:rFonts w:ascii="Arial" w:hAnsi="Arial" w:cs="Arial"/>
                <w:b/>
                <w:bCs/>
                <w:color w:val="FFFFFF" w:themeColor="background1"/>
                <w:szCs w:val="20"/>
              </w:rPr>
              <w:t xml:space="preserve">Inaction </w:t>
            </w:r>
          </w:p>
        </w:tc>
      </w:tr>
      <w:tr w:rsidR="00333488" w14:paraId="573D0EFD" w14:textId="77777777" w:rsidTr="009763A8">
        <w:trPr>
          <w:trHeight w:val="300"/>
        </w:trPr>
        <w:tc>
          <w:tcPr>
            <w:tcW w:w="0" w:type="auto"/>
            <w:shd w:val="clear" w:color="auto" w:fill="F2F2F2" w:themeFill="background2" w:themeFillShade="F2"/>
            <w:vAlign w:val="center"/>
          </w:tcPr>
          <w:p w14:paraId="3C56DDCD" w14:textId="2A6E6BE3" w:rsidR="00333488" w:rsidRDefault="00333488">
            <w:pPr>
              <w:rPr>
                <w:rFonts w:ascii="Arial" w:hAnsi="Arial" w:cs="Arial"/>
                <w:b/>
                <w:bCs/>
                <w:color w:val="FFFFFF" w:themeColor="background1"/>
                <w:szCs w:val="20"/>
              </w:rPr>
            </w:pPr>
            <w:r w:rsidRPr="591A7590">
              <w:t>There is a growing number of cyber incidents which impact non-operational data storage systems held by critical infrastructure entities</w:t>
            </w:r>
            <w:r>
              <w:t xml:space="preserve"> and</w:t>
            </w:r>
            <w:r w:rsidRPr="591A7590">
              <w:t xml:space="preserve"> can often be a point of entry for malicious actors.</w:t>
            </w:r>
          </w:p>
        </w:tc>
        <w:tc>
          <w:tcPr>
            <w:tcW w:w="5591" w:type="dxa"/>
            <w:shd w:val="clear" w:color="auto" w:fill="auto"/>
            <w:vAlign w:val="center"/>
          </w:tcPr>
          <w:p w14:paraId="6B87E3DA" w14:textId="0318DD1A" w:rsidR="00333488" w:rsidRDefault="74F50EF5" w:rsidP="002619A4">
            <w:pPr>
              <w:pStyle w:val="BodyText"/>
              <w:spacing w:line="240" w:lineRule="auto"/>
            </w:pPr>
            <w:r>
              <w:t xml:space="preserve">Under the status quo, no action would be taken to ensure these systems are adequately protected. This means </w:t>
            </w:r>
            <w:r w:rsidR="2C940339">
              <w:t xml:space="preserve">cyber incidents may arise on an increasing basis, including through intervention of malicious actors, </w:t>
            </w:r>
            <w:r w:rsidR="3ECF8D1C">
              <w:t xml:space="preserve">impacting on the stability of critical infrastructure data and leading to the compromise of sensitive data. </w:t>
            </w:r>
          </w:p>
        </w:tc>
      </w:tr>
      <w:tr w:rsidR="00D04147" w14:paraId="653E43DE" w14:textId="77777777" w:rsidTr="009763A8">
        <w:trPr>
          <w:trHeight w:val="300"/>
        </w:trPr>
        <w:tc>
          <w:tcPr>
            <w:tcW w:w="0" w:type="auto"/>
            <w:shd w:val="clear" w:color="auto" w:fill="F2F2F2" w:themeFill="background2" w:themeFillShade="F2"/>
            <w:vAlign w:val="center"/>
          </w:tcPr>
          <w:p w14:paraId="3E574DA5" w14:textId="084BBE3D" w:rsidR="00D04147" w:rsidRPr="591A7590" w:rsidRDefault="00D04147">
            <w:r>
              <w:t xml:space="preserve">Business often </w:t>
            </w:r>
            <w:r w:rsidRPr="591A7590">
              <w:t>face difficulties responding effectively in the aftermath of critical infrastructure incidents because of legal risks and government’s limited ability to support with post-incident consequence management.</w:t>
            </w:r>
          </w:p>
        </w:tc>
        <w:tc>
          <w:tcPr>
            <w:tcW w:w="5591" w:type="dxa"/>
            <w:shd w:val="clear" w:color="auto" w:fill="auto"/>
            <w:vAlign w:val="center"/>
          </w:tcPr>
          <w:p w14:paraId="364A8E34" w14:textId="18ECC961" w:rsidR="00D04147" w:rsidRDefault="00D04147" w:rsidP="002619A4">
            <w:pPr>
              <w:pStyle w:val="BodyText"/>
              <w:spacing w:line="240" w:lineRule="auto"/>
            </w:pPr>
            <w:r>
              <w:t xml:space="preserve">Under the status quo, no action would be taken to enhance government’s ability to support industry in the aftermath of an incident. This means the </w:t>
            </w:r>
            <w:r w:rsidR="001D2F26">
              <w:t xml:space="preserve">time and cost burdens associated with an incident will continue to be borne by industry, with flow on effects to critical </w:t>
            </w:r>
            <w:r w:rsidR="00C01C91">
              <w:t>services used, and relied upon,</w:t>
            </w:r>
            <w:r w:rsidR="001D2F26">
              <w:t xml:space="preserve"> by Australians.</w:t>
            </w:r>
            <w:r>
              <w:t xml:space="preserve"> </w:t>
            </w:r>
          </w:p>
        </w:tc>
      </w:tr>
      <w:tr w:rsidR="001D2F26" w14:paraId="63A55BF6" w14:textId="77777777" w:rsidTr="009763A8">
        <w:trPr>
          <w:trHeight w:val="300"/>
        </w:trPr>
        <w:tc>
          <w:tcPr>
            <w:tcW w:w="0" w:type="auto"/>
            <w:shd w:val="clear" w:color="auto" w:fill="F2F2F2" w:themeFill="background2" w:themeFillShade="F2"/>
            <w:vAlign w:val="center"/>
          </w:tcPr>
          <w:p w14:paraId="4B710F07" w14:textId="03DEBD7D" w:rsidR="001D2F26" w:rsidRDefault="001D2F26">
            <w:r w:rsidRPr="591A7590">
              <w:t xml:space="preserve">When an entity is unwilling to comply with the regulator’s recommendations to enhance an RMP, there is </w:t>
            </w:r>
            <w:r>
              <w:t>limited</w:t>
            </w:r>
            <w:r w:rsidRPr="591A7590">
              <w:t xml:space="preserve"> ability for the regulator to issue a direction that the entity remedy the deficient RMP</w:t>
            </w:r>
            <w:r>
              <w:t xml:space="preserve"> in a timely fashion</w:t>
            </w:r>
            <w:r w:rsidRPr="591A7590">
              <w:t>.</w:t>
            </w:r>
          </w:p>
        </w:tc>
        <w:tc>
          <w:tcPr>
            <w:tcW w:w="5591" w:type="dxa"/>
            <w:shd w:val="clear" w:color="auto" w:fill="auto"/>
            <w:vAlign w:val="center"/>
          </w:tcPr>
          <w:p w14:paraId="4B5A5616" w14:textId="0B2C550E" w:rsidR="001D2F26" w:rsidRDefault="001D2F26" w:rsidP="002619A4">
            <w:pPr>
              <w:pStyle w:val="BodyText"/>
              <w:spacing w:line="240" w:lineRule="auto"/>
            </w:pPr>
            <w:r>
              <w:t>Under the status quo</w:t>
            </w:r>
            <w:r w:rsidR="00BE472A">
              <w:t xml:space="preserve">, this limited ability to intervene through a direction would continue. This means that </w:t>
            </w:r>
            <w:r w:rsidR="00590ECE">
              <w:t xml:space="preserve">there is an ongoing risk that </w:t>
            </w:r>
            <w:r w:rsidR="000E391F">
              <w:t xml:space="preserve">vulnerabilities arising from a deficient RMP will materialise, with </w:t>
            </w:r>
            <w:r w:rsidR="00FE0112">
              <w:t xml:space="preserve">potentially significant impacts (costs, data compromise and service disruption) for the relevant entities and Australia as a whole. </w:t>
            </w:r>
          </w:p>
        </w:tc>
      </w:tr>
    </w:tbl>
    <w:p w14:paraId="7F1585CE" w14:textId="28619EDD" w:rsidR="004C3259" w:rsidRPr="00DA5A8B" w:rsidRDefault="00FE0112" w:rsidP="009622DF">
      <w:pPr>
        <w:pStyle w:val="BodyText"/>
      </w:pPr>
      <w:r>
        <w:t>As described in the table above</w:t>
      </w:r>
      <w:r w:rsidR="004C3259">
        <w:t>,</w:t>
      </w:r>
      <w:r>
        <w:t xml:space="preserve"> under Option 1,</w:t>
      </w:r>
      <w:r w:rsidR="004C3259">
        <w:t xml:space="preserve"> current risks arising from the existing threat environment would </w:t>
      </w:r>
      <w:r w:rsidR="00B24636">
        <w:t xml:space="preserve">continue to exist and possibly </w:t>
      </w:r>
      <w:r w:rsidR="00FC6CE3">
        <w:t>increase. T</w:t>
      </w:r>
      <w:r w:rsidR="004C3259">
        <w:t xml:space="preserve">hese risks have manifested in the realisation of significant incidents, such as the </w:t>
      </w:r>
      <w:hyperlink w:anchor="_1.1_Growing_number" w:history="1">
        <w:r w:rsidR="004C3259" w:rsidRPr="007368A9">
          <w:rPr>
            <w:rStyle w:val="Hyperlink"/>
          </w:rPr>
          <w:t>Optus</w:t>
        </w:r>
      </w:hyperlink>
      <w:r w:rsidR="004C3259">
        <w:t xml:space="preserve"> and </w:t>
      </w:r>
      <w:hyperlink w:anchor="_1.1_Growing_number" w:history="1">
        <w:r w:rsidR="004C3259" w:rsidRPr="007368A9">
          <w:rPr>
            <w:rStyle w:val="Hyperlink"/>
          </w:rPr>
          <w:t>Medibank</w:t>
        </w:r>
      </w:hyperlink>
      <w:r w:rsidR="004C3259">
        <w:t xml:space="preserve"> data breaches. Where no action is taken to address these risks, there is an ongoing threat of these occurrences, with widespread (or potentially more severe) impacts. Similarly, smaller scale incidents may occur more frequently, with impacts accumulating to industry, </w:t>
      </w:r>
      <w:r w:rsidR="004C3259" w:rsidDel="00CE2A30">
        <w:t>individuals</w:t>
      </w:r>
      <w:r w:rsidR="004C3259">
        <w:t xml:space="preserve">, and government over time. </w:t>
      </w:r>
    </w:p>
    <w:p w14:paraId="77BB2492" w14:textId="77777777" w:rsidR="004C3259" w:rsidRDefault="004C3259" w:rsidP="004C3259">
      <w:pPr>
        <w:pStyle w:val="Heading2"/>
        <w:spacing w:before="0"/>
        <w:rPr>
          <w:rFonts w:ascii="Arial" w:hAnsi="Arial"/>
        </w:rPr>
      </w:pPr>
      <w:bookmarkStart w:id="54" w:name="_Toc164683832"/>
      <w:bookmarkStart w:id="55" w:name="_Toc176183934"/>
      <w:r w:rsidRPr="2F6B7F1D">
        <w:rPr>
          <w:rFonts w:ascii="Arial" w:hAnsi="Arial"/>
        </w:rPr>
        <w:t>3.2 Option 2: Amend the SOCI Act</w:t>
      </w:r>
      <w:bookmarkEnd w:id="54"/>
      <w:bookmarkEnd w:id="55"/>
    </w:p>
    <w:p w14:paraId="6176F53D" w14:textId="77777777" w:rsidR="004C3259" w:rsidRPr="00A10336" w:rsidRDefault="004C3259" w:rsidP="009622DF">
      <w:pPr>
        <w:pStyle w:val="BodyText"/>
      </w:pPr>
      <w:r w:rsidRPr="591A7590">
        <w:t xml:space="preserve">Option 2 involves three </w:t>
      </w:r>
      <w:r>
        <w:t>reform measures</w:t>
      </w:r>
      <w:r w:rsidRPr="591A7590">
        <w:t xml:space="preserve"> to the SOCI Act which would require mandatory compliance from industry. Option 2 does not contemplate capture of any additional critical infrastructure sectors or assets beyond those currently required to comply with the SOCI Act. </w:t>
      </w:r>
      <w:r w:rsidR="007F47D2">
        <w:t>However, existing industry engagement strategies, including through the TISN and CISC social media channels</w:t>
      </w:r>
      <w:r w:rsidR="007F47D2" w:rsidRPr="667B69DA">
        <w:t xml:space="preserve"> relating to critical infrastructure would remain.</w:t>
      </w:r>
    </w:p>
    <w:p w14:paraId="2BAB1D46" w14:textId="775A8CD2" w:rsidR="004C3259" w:rsidRPr="001B308E" w:rsidRDefault="004C3259" w:rsidP="4F26752A">
      <w:pPr>
        <w:pStyle w:val="Heading3"/>
        <w:spacing w:before="0" w:line="240" w:lineRule="auto"/>
        <w:rPr>
          <w:rFonts w:ascii="Arial" w:hAnsi="Arial" w:cs="Arial"/>
          <w:sz w:val="24"/>
          <w:szCs w:val="24"/>
        </w:rPr>
      </w:pPr>
      <w:bookmarkStart w:id="56" w:name="_Toc176182542"/>
      <w:r w:rsidRPr="4F26752A">
        <w:rPr>
          <w:rFonts w:ascii="Arial" w:hAnsi="Arial" w:cs="Arial"/>
          <w:sz w:val="24"/>
          <w:szCs w:val="24"/>
        </w:rPr>
        <w:t>3.2.1 Measure 1: Protecting Critical Infrastructure – Data systems and business critical data</w:t>
      </w:r>
      <w:bookmarkEnd w:id="56"/>
    </w:p>
    <w:p w14:paraId="5E8EC06C" w14:textId="77777777" w:rsidR="004C3259" w:rsidRDefault="004C3259" w:rsidP="009622DF">
      <w:pPr>
        <w:pStyle w:val="BodyText"/>
      </w:pPr>
      <w:r w:rsidRPr="591A7590">
        <w:t xml:space="preserve">Measure 1 involves amendment to two definitions: </w:t>
      </w:r>
    </w:p>
    <w:p w14:paraId="2578DFB4" w14:textId="77777777" w:rsidR="004C3259" w:rsidRDefault="004C3259" w:rsidP="00510557">
      <w:pPr>
        <w:pStyle w:val="ListParagraph"/>
        <w:numPr>
          <w:ilvl w:val="0"/>
          <w:numId w:val="21"/>
        </w:numPr>
        <w:contextualSpacing/>
      </w:pPr>
      <w:r w:rsidRPr="2F6B7F1D">
        <w:t xml:space="preserve">The definition of all critical infrastructure assets in the SOCI Act; and </w:t>
      </w:r>
    </w:p>
    <w:p w14:paraId="292AC885" w14:textId="77777777" w:rsidR="004C3259" w:rsidRDefault="004C3259" w:rsidP="00510557">
      <w:pPr>
        <w:pStyle w:val="ListParagraph"/>
        <w:numPr>
          <w:ilvl w:val="0"/>
          <w:numId w:val="21"/>
        </w:numPr>
        <w:contextualSpacing/>
      </w:pPr>
      <w:r w:rsidRPr="591A7590">
        <w:t>The definition of ‘material risk’ in s</w:t>
      </w:r>
      <w:r>
        <w:t xml:space="preserve"> </w:t>
      </w:r>
      <w:r w:rsidRPr="591A7590">
        <w:t xml:space="preserve">6 of </w:t>
      </w:r>
      <w:r w:rsidRPr="00F85C22">
        <w:t>the CIRMP rules and other sector</w:t>
      </w:r>
      <w:r w:rsidRPr="591A7590">
        <w:t>-specific RMPs.</w:t>
      </w:r>
    </w:p>
    <w:p w14:paraId="695B5EC5" w14:textId="77777777" w:rsidR="004C3259" w:rsidRDefault="004C3259" w:rsidP="009622DF">
      <w:pPr>
        <w:pStyle w:val="BodyText"/>
      </w:pPr>
      <w:r>
        <w:t xml:space="preserve">The practical implications of these changes are described in the hypothetical scenario below. </w:t>
      </w:r>
    </w:p>
    <w:p w14:paraId="714F9E34" w14:textId="2EE85E5C" w:rsidR="004C3259" w:rsidRPr="001B308E" w:rsidRDefault="004C3259" w:rsidP="004C3259">
      <w:pPr>
        <w:pStyle w:val="Caption"/>
        <w:rPr>
          <w:rFonts w:ascii="Calibri" w:hAnsi="Calibri" w:cs="Calibri"/>
          <w:b w:val="0"/>
        </w:rPr>
      </w:pPr>
      <w:r w:rsidRPr="001B308E">
        <w:rPr>
          <w:rFonts w:ascii="Calibri" w:hAnsi="Calibri" w:cs="Calibri"/>
        </w:rPr>
        <w:t xml:space="preserve">Table </w:t>
      </w:r>
      <w:r w:rsidR="001707E4" w:rsidRPr="001B308E">
        <w:rPr>
          <w:rFonts w:ascii="Calibri" w:hAnsi="Calibri" w:cs="Calibri"/>
          <w:color w:val="2B579A"/>
          <w:shd w:val="clear" w:color="auto" w:fill="E6E6E6"/>
        </w:rPr>
        <w:fldChar w:fldCharType="begin"/>
      </w:r>
      <w:r w:rsidR="001707E4" w:rsidRPr="001B308E">
        <w:rPr>
          <w:rFonts w:ascii="Calibri" w:hAnsi="Calibri" w:cs="Calibri"/>
        </w:rPr>
        <w:instrText xml:space="preserve"> SEQ Table \* ARABIC </w:instrText>
      </w:r>
      <w:r w:rsidR="001707E4" w:rsidRPr="001B308E">
        <w:rPr>
          <w:rFonts w:ascii="Calibri" w:hAnsi="Calibri" w:cs="Calibri"/>
          <w:color w:val="2B579A"/>
          <w:shd w:val="clear" w:color="auto" w:fill="E6E6E6"/>
        </w:rPr>
        <w:fldChar w:fldCharType="separate"/>
      </w:r>
      <w:r w:rsidR="00E8506B">
        <w:rPr>
          <w:rFonts w:ascii="Calibri" w:hAnsi="Calibri" w:cs="Calibri"/>
          <w:noProof/>
        </w:rPr>
        <w:t>17</w:t>
      </w:r>
      <w:r w:rsidR="001707E4" w:rsidRPr="001B308E">
        <w:rPr>
          <w:rFonts w:ascii="Calibri" w:hAnsi="Calibri" w:cs="Calibri"/>
          <w:color w:val="2B579A"/>
          <w:shd w:val="clear" w:color="auto" w:fill="E6E6E6"/>
        </w:rPr>
        <w:fldChar w:fldCharType="end"/>
      </w:r>
      <w:r w:rsidRPr="001B308E">
        <w:rPr>
          <w:rFonts w:ascii="Calibri" w:hAnsi="Calibri" w:cs="Calibri"/>
          <w:b w:val="0"/>
        </w:rPr>
        <w:t xml:space="preserve"> Hypothetical scenario - operation of Measure 1</w:t>
      </w:r>
    </w:p>
    <w:tbl>
      <w:tblPr>
        <w:tblStyle w:val="TableGrid"/>
        <w:tblW w:w="9639" w:type="dxa"/>
        <w:tblLook w:val="04A0" w:firstRow="1" w:lastRow="0" w:firstColumn="1" w:lastColumn="0" w:noHBand="0" w:noVBand="1"/>
      </w:tblPr>
      <w:tblGrid>
        <w:gridCol w:w="9639"/>
      </w:tblGrid>
      <w:tr w:rsidR="00BD1B1D" w:rsidRPr="00940D7E" w14:paraId="455AA99E" w14:textId="77777777" w:rsidTr="009763A8">
        <w:trPr>
          <w:trHeight w:val="461"/>
        </w:trPr>
        <w:tc>
          <w:tcPr>
            <w:tcW w:w="9639" w:type="dxa"/>
            <w:tcBorders>
              <w:top w:val="nil"/>
              <w:left w:val="nil"/>
              <w:bottom w:val="single" w:sz="4" w:space="0" w:color="5C676D" w:themeColor="accent3"/>
              <w:right w:val="nil"/>
            </w:tcBorders>
            <w:shd w:val="clear" w:color="auto" w:fill="284B98"/>
            <w:vAlign w:val="center"/>
          </w:tcPr>
          <w:p w14:paraId="2864FD6B" w14:textId="4488B9D9" w:rsidR="00BD1B1D" w:rsidRPr="00C87EA3" w:rsidRDefault="00BD1B1D" w:rsidP="004C3259">
            <w:pPr>
              <w:keepLines/>
              <w:spacing w:before="120" w:after="120"/>
              <w:rPr>
                <w:rFonts w:ascii="Arial" w:hAnsi="Arial" w:cs="Arial"/>
                <w:b/>
                <w:bCs/>
                <w:color w:val="FFFFFF" w:themeColor="background1"/>
                <w:szCs w:val="20"/>
                <w:highlight w:val="yellow"/>
              </w:rPr>
            </w:pPr>
            <w:r w:rsidRPr="591A7590">
              <w:rPr>
                <w:rFonts w:ascii="Arial" w:hAnsi="Arial" w:cs="Arial"/>
                <w:b/>
                <w:bCs/>
                <w:color w:val="FFFFFF" w:themeColor="background1"/>
                <w:szCs w:val="20"/>
              </w:rPr>
              <w:t>Storage of customer data</w:t>
            </w:r>
            <w:r w:rsidR="00C87EA3">
              <w:rPr>
                <w:rFonts w:ascii="Arial" w:hAnsi="Arial" w:cs="Arial"/>
                <w:b/>
                <w:bCs/>
                <w:color w:val="FFFFFF" w:themeColor="background1"/>
                <w:szCs w:val="20"/>
              </w:rPr>
              <w:t xml:space="preserve"> </w:t>
            </w:r>
            <w:r>
              <w:rPr>
                <w:rFonts w:ascii="Arial" w:hAnsi="Arial" w:cs="Arial"/>
                <w:b/>
                <w:bCs/>
                <w:color w:val="FFFFFF" w:themeColor="background1"/>
                <w:szCs w:val="20"/>
              </w:rPr>
              <w:t>(</w:t>
            </w:r>
            <w:r w:rsidRPr="591A7590">
              <w:rPr>
                <w:rFonts w:ascii="Arial" w:hAnsi="Arial" w:cs="Arial"/>
                <w:b/>
                <w:bCs/>
                <w:color w:val="FFFFFF" w:themeColor="background1"/>
                <w:szCs w:val="20"/>
              </w:rPr>
              <w:t>Hypothetical scenario</w:t>
            </w:r>
            <w:r>
              <w:rPr>
                <w:rFonts w:ascii="Arial" w:hAnsi="Arial" w:cs="Arial"/>
                <w:b/>
                <w:bCs/>
                <w:color w:val="FFFFFF" w:themeColor="background1"/>
                <w:szCs w:val="20"/>
              </w:rPr>
              <w:t>)</w:t>
            </w:r>
          </w:p>
        </w:tc>
      </w:tr>
      <w:tr w:rsidR="004C3259" w:rsidRPr="00940D7E" w14:paraId="5E27A885" w14:textId="77777777" w:rsidTr="009763A8">
        <w:tc>
          <w:tcPr>
            <w:tcW w:w="9639" w:type="dxa"/>
            <w:tcBorders>
              <w:top w:val="single" w:sz="4" w:space="0" w:color="5C676D" w:themeColor="accent3"/>
              <w:left w:val="nil"/>
              <w:bottom w:val="single" w:sz="4" w:space="0" w:color="5C676D" w:themeColor="accent3"/>
              <w:right w:val="nil"/>
            </w:tcBorders>
            <w:shd w:val="clear" w:color="auto" w:fill="FFFFFF" w:themeFill="background1"/>
            <w:vAlign w:val="center"/>
          </w:tcPr>
          <w:p w14:paraId="4229F1A2" w14:textId="77777777" w:rsidR="004C3259" w:rsidRPr="00697029" w:rsidRDefault="004C3259" w:rsidP="004C3259">
            <w:pPr>
              <w:keepLines/>
              <w:spacing w:before="120" w:after="120"/>
              <w:rPr>
                <w:rFonts w:ascii="Arial" w:hAnsi="Arial" w:cs="Arial"/>
                <w:szCs w:val="20"/>
              </w:rPr>
            </w:pPr>
            <w:r w:rsidRPr="591A7590">
              <w:rPr>
                <w:rFonts w:ascii="Arial" w:hAnsi="Arial" w:cs="Arial"/>
                <w:b/>
                <w:bCs/>
                <w:szCs w:val="20"/>
              </w:rPr>
              <w:t xml:space="preserve">Scenario: </w:t>
            </w:r>
            <w:r w:rsidRPr="591A7590">
              <w:rPr>
                <w:rFonts w:ascii="Arial" w:hAnsi="Arial" w:cs="Arial"/>
                <w:szCs w:val="20"/>
              </w:rPr>
              <w:t xml:space="preserve">A </w:t>
            </w:r>
            <w:r>
              <w:rPr>
                <w:rFonts w:ascii="Arial" w:hAnsi="Arial" w:cs="Arial"/>
                <w:szCs w:val="20"/>
              </w:rPr>
              <w:t>specified critical</w:t>
            </w:r>
            <w:r w:rsidRPr="591A7590">
              <w:rPr>
                <w:rFonts w:ascii="Arial" w:hAnsi="Arial" w:cs="Arial"/>
                <w:szCs w:val="20"/>
              </w:rPr>
              <w:t xml:space="preserve"> hospital has patient data stored within a data storage system to assist with the operations of the intensive care unit (which forms part of their existing critical infrastructure asset).</w:t>
            </w:r>
          </w:p>
        </w:tc>
      </w:tr>
      <w:tr w:rsidR="004C3259" w:rsidRPr="00940D7E" w14:paraId="614C0F64" w14:textId="77777777" w:rsidTr="009763A8">
        <w:tc>
          <w:tcPr>
            <w:tcW w:w="9639" w:type="dxa"/>
            <w:tcBorders>
              <w:top w:val="single" w:sz="4" w:space="0" w:color="5C676D" w:themeColor="accent3"/>
              <w:left w:val="nil"/>
              <w:bottom w:val="single" w:sz="4" w:space="0" w:color="5C676D" w:themeColor="accent3"/>
              <w:right w:val="nil"/>
            </w:tcBorders>
            <w:shd w:val="clear" w:color="auto" w:fill="F2F2F2" w:themeFill="background1" w:themeFillShade="F2"/>
            <w:vAlign w:val="center"/>
          </w:tcPr>
          <w:p w14:paraId="3278D9E6" w14:textId="77777777" w:rsidR="004C3259" w:rsidRPr="00697029" w:rsidRDefault="004C3259" w:rsidP="004C3259">
            <w:pPr>
              <w:keepLines/>
              <w:spacing w:before="120" w:after="120"/>
              <w:rPr>
                <w:rFonts w:ascii="Arial" w:hAnsi="Arial" w:cs="Arial"/>
                <w:b/>
                <w:bCs/>
                <w:szCs w:val="20"/>
              </w:rPr>
            </w:pPr>
            <w:r>
              <w:rPr>
                <w:rFonts w:ascii="Arial" w:hAnsi="Arial" w:cs="Arial"/>
                <w:b/>
                <w:bCs/>
                <w:szCs w:val="20"/>
              </w:rPr>
              <w:t xml:space="preserve">Current </w:t>
            </w:r>
            <w:r w:rsidRPr="4E53CBE3">
              <w:rPr>
                <w:rFonts w:ascii="Arial" w:hAnsi="Arial" w:cs="Arial"/>
                <w:b/>
                <w:bCs/>
                <w:szCs w:val="20"/>
              </w:rPr>
              <w:t>Outcome:</w:t>
            </w:r>
            <w:r w:rsidRPr="4E53CBE3">
              <w:rPr>
                <w:rFonts w:ascii="Arial" w:hAnsi="Arial" w:cs="Arial"/>
                <w:szCs w:val="20"/>
              </w:rPr>
              <w:t xml:space="preserve"> If the data storage system was subject to an eligible data breach, the hospital would have an obligation under the Privacy Act to report the breach to affected persons and the Australian Information Commissioner. However, the format and application of the regulatory framework applicable to the designated hospital mean it is unclear whether the hospital should consider business critical data as part of their existing risk management obligations</w:t>
            </w:r>
            <w:r>
              <w:rPr>
                <w:rFonts w:ascii="Arial" w:hAnsi="Arial" w:cs="Arial"/>
                <w:szCs w:val="20"/>
              </w:rPr>
              <w:t xml:space="preserve"> or report it under the MCIR obligation</w:t>
            </w:r>
            <w:r w:rsidRPr="4E53CBE3">
              <w:rPr>
                <w:rFonts w:ascii="Arial" w:hAnsi="Arial" w:cs="Arial"/>
                <w:szCs w:val="20"/>
              </w:rPr>
              <w:t>.</w:t>
            </w:r>
            <w:r>
              <w:rPr>
                <w:rFonts w:ascii="Arial" w:hAnsi="Arial" w:cs="Arial"/>
                <w:szCs w:val="20"/>
              </w:rPr>
              <w:t xml:space="preserve"> An inability to access patient data may impact on the provision of essential services. </w:t>
            </w:r>
          </w:p>
        </w:tc>
      </w:tr>
      <w:tr w:rsidR="004C3259" w:rsidRPr="00940D7E" w14:paraId="52E146BD" w14:textId="77777777" w:rsidTr="009763A8">
        <w:tc>
          <w:tcPr>
            <w:tcW w:w="9639" w:type="dxa"/>
            <w:tcBorders>
              <w:top w:val="single" w:sz="4" w:space="0" w:color="5C676D" w:themeColor="accent3"/>
              <w:left w:val="nil"/>
              <w:bottom w:val="single" w:sz="4" w:space="0" w:color="5C676D" w:themeColor="accent3"/>
              <w:right w:val="nil"/>
            </w:tcBorders>
            <w:shd w:val="clear" w:color="auto" w:fill="D9E2F3"/>
            <w:vAlign w:val="center"/>
          </w:tcPr>
          <w:p w14:paraId="3DF74A11" w14:textId="77777777" w:rsidR="004C3259" w:rsidRPr="00302A0C" w:rsidRDefault="004C3259" w:rsidP="004C3259">
            <w:pPr>
              <w:keepLines/>
              <w:spacing w:before="120" w:after="120"/>
              <w:rPr>
                <w:rFonts w:ascii="Arial" w:hAnsi="Arial" w:cs="Arial"/>
                <w:szCs w:val="20"/>
              </w:rPr>
            </w:pPr>
            <w:r>
              <w:rPr>
                <w:rFonts w:ascii="Arial" w:hAnsi="Arial" w:cs="Arial"/>
                <w:b/>
                <w:bCs/>
                <w:szCs w:val="20"/>
              </w:rPr>
              <w:t xml:space="preserve">Operation of Measure 1: </w:t>
            </w:r>
            <w:r>
              <w:rPr>
                <w:rFonts w:ascii="Arial" w:hAnsi="Arial" w:cs="Arial"/>
                <w:szCs w:val="20"/>
              </w:rPr>
              <w:t xml:space="preserve">If Measure 1 is implemented, the hospital would have an obligation to include the patient data storage system in its all-hazards risk mitigation activities. This requirement may reduce the risk of a data breach in the first instance. It would also provide clarity for the hospital that, depending on the nature of the breach, reporting under the MCIR obligation would apply. This would allow for relevant incident recovery activities to take place, limiting the impact on the provision of essential hospital services. </w:t>
            </w:r>
          </w:p>
        </w:tc>
      </w:tr>
    </w:tbl>
    <w:p w14:paraId="2763B553" w14:textId="77777777" w:rsidR="004C3259" w:rsidRPr="00302A0C" w:rsidRDefault="004C3259" w:rsidP="009622DF">
      <w:pPr>
        <w:pStyle w:val="BodyText"/>
      </w:pPr>
      <w:r>
        <w:t xml:space="preserve">The proposed definitional changes are described in further detail below. </w:t>
      </w:r>
    </w:p>
    <w:p w14:paraId="373003E0" w14:textId="77777777" w:rsidR="004C3259" w:rsidRPr="000017ED" w:rsidRDefault="004C3259" w:rsidP="004C3259">
      <w:pPr>
        <w:pStyle w:val="Heading4"/>
        <w:spacing w:before="0"/>
        <w:rPr>
          <w:rFonts w:ascii="Arial" w:hAnsi="Arial" w:cs="Arial"/>
        </w:rPr>
      </w:pPr>
      <w:r w:rsidRPr="591A7590">
        <w:rPr>
          <w:rFonts w:ascii="Arial" w:hAnsi="Arial" w:cs="Arial"/>
        </w:rPr>
        <w:t>Asset definition</w:t>
      </w:r>
    </w:p>
    <w:p w14:paraId="4811703B" w14:textId="77777777" w:rsidR="004C3259" w:rsidRDefault="004C3259" w:rsidP="009622DF">
      <w:pPr>
        <w:pStyle w:val="BodyText"/>
      </w:pPr>
      <w:r w:rsidRPr="2F6B7F1D">
        <w:t>The amendment would see the inclusion of certain data storage systems which hold ‘business critical data’ in the definition of all critical infrastructure assets in the SOCI Act. This amendment would:</w:t>
      </w:r>
    </w:p>
    <w:p w14:paraId="600B68B0" w14:textId="77777777" w:rsidR="00490823" w:rsidRDefault="00490823" w:rsidP="00510557">
      <w:pPr>
        <w:pStyle w:val="ListParagraph"/>
        <w:numPr>
          <w:ilvl w:val="0"/>
          <w:numId w:val="21"/>
        </w:numPr>
        <w:contextualSpacing/>
      </w:pPr>
      <w:r w:rsidRPr="591A7590">
        <w:t xml:space="preserve">Mandate that all asset classes consider data storage systems which hold ‘business critical data’ as part of their broader critical infrastructure asset, where vulnerabilities in these systems could have a ‘relevant impact’ on critical infrastructure. </w:t>
      </w:r>
    </w:p>
    <w:p w14:paraId="30BC1F4D" w14:textId="77777777" w:rsidR="00490823" w:rsidRDefault="00490823" w:rsidP="00510557">
      <w:pPr>
        <w:pStyle w:val="ListParagraph"/>
        <w:numPr>
          <w:ilvl w:val="0"/>
          <w:numId w:val="21"/>
        </w:numPr>
        <w:contextualSpacing/>
      </w:pPr>
      <w:r w:rsidRPr="591A7590">
        <w:t>Enable business critical data storage systems to be considered as an asset by other relevant definitions in the SOCI Act, including the definition of an explicit material risk under the CIRMP (see below).</w:t>
      </w:r>
    </w:p>
    <w:p w14:paraId="3C098E03" w14:textId="77777777" w:rsidR="004C3259" w:rsidRDefault="004C3259" w:rsidP="00BC0EBF">
      <w:pPr>
        <w:pStyle w:val="BodyText"/>
      </w:pPr>
      <w:r w:rsidRPr="591A7590">
        <w:t>This change would only impact critical infrastructure assets which are captured by existing asset class definitions contained in the SOCI Act.</w:t>
      </w:r>
    </w:p>
    <w:p w14:paraId="5599D60A" w14:textId="77777777" w:rsidR="004C3259" w:rsidRPr="006E1053" w:rsidRDefault="004C3259" w:rsidP="004C3259">
      <w:pPr>
        <w:pStyle w:val="Heading4"/>
        <w:spacing w:before="0"/>
        <w:rPr>
          <w:rFonts w:ascii="Arial" w:hAnsi="Arial" w:cs="Arial"/>
        </w:rPr>
      </w:pPr>
      <w:r w:rsidRPr="591A7590">
        <w:rPr>
          <w:rFonts w:ascii="Arial" w:hAnsi="Arial" w:cs="Arial"/>
        </w:rPr>
        <w:t>Material risk definition</w:t>
      </w:r>
    </w:p>
    <w:p w14:paraId="09B52C61" w14:textId="77777777" w:rsidR="004C3259" w:rsidRDefault="004C3259" w:rsidP="00BC0EBF">
      <w:pPr>
        <w:pStyle w:val="BodyText"/>
      </w:pPr>
      <w:r w:rsidRPr="591A7590">
        <w:t>This amendment extends ‘material risks’ to include risks to data storage systems which hold ‘business critical data’ and the systems which access that data. This amendment would:</w:t>
      </w:r>
    </w:p>
    <w:p w14:paraId="06744A8D" w14:textId="77777777" w:rsidR="00BE0AFA" w:rsidRPr="00292A83" w:rsidRDefault="00BE0AFA" w:rsidP="00510557">
      <w:pPr>
        <w:pStyle w:val="ListParagraph"/>
        <w:numPr>
          <w:ilvl w:val="0"/>
          <w:numId w:val="21"/>
        </w:numPr>
        <w:contextualSpacing/>
      </w:pPr>
      <w:r w:rsidRPr="591A7590">
        <w:t>Not change existing requirements for critical infrastructure entities to consider cyber and information hazards or other hazard domains.</w:t>
      </w:r>
    </w:p>
    <w:p w14:paraId="365CB760" w14:textId="77777777" w:rsidR="00BE0AFA" w:rsidRPr="00292A83" w:rsidRDefault="00BE0AFA" w:rsidP="00510557">
      <w:pPr>
        <w:pStyle w:val="ListParagraph"/>
        <w:numPr>
          <w:ilvl w:val="0"/>
          <w:numId w:val="21"/>
        </w:numPr>
        <w:contextualSpacing/>
      </w:pPr>
      <w:r w:rsidRPr="591A7590">
        <w:t>Ensure protection of data storage systems holding ‘business critical data’ is considered as part of all-hazard risk mitigation, which may include consideration of physical infrastructure security.</w:t>
      </w:r>
    </w:p>
    <w:p w14:paraId="1DF3A18A" w14:textId="77777777" w:rsidR="004C3259" w:rsidRDefault="004C3259" w:rsidP="00BC0EBF">
      <w:pPr>
        <w:pStyle w:val="BodyText"/>
      </w:pPr>
      <w:r w:rsidRPr="588BFF1F">
        <w:t>The RMP obligation would remain</w:t>
      </w:r>
      <w:r w:rsidRPr="588BFF1F" w:rsidDel="00466268">
        <w:t xml:space="preserve"> </w:t>
      </w:r>
      <w:r w:rsidRPr="588BFF1F">
        <w:t xml:space="preserve">a principles-based obligation. This means industry can choose their means of compliance with the RMP obligation. Industry remains required to consider other federal, state and territory regulations and ensure attestations </w:t>
      </w:r>
      <w:r>
        <w:t>or documents</w:t>
      </w:r>
      <w:r w:rsidRPr="588BFF1F">
        <w:t xml:space="preserve"> used to comply with the obligation can be produced on request. </w:t>
      </w:r>
      <w:r>
        <w:t>This</w:t>
      </w:r>
      <w:r w:rsidRPr="588BFF1F">
        <w:t xml:space="preserve"> amendment will extend to any future sector-specific RMPs beyond the current CIRMP, to </w:t>
      </w:r>
      <w:r>
        <w:t xml:space="preserve">preserve </w:t>
      </w:r>
      <w:r w:rsidRPr="588BFF1F">
        <w:t>the efficacy and intended scope of the SOCI Act.</w:t>
      </w:r>
    </w:p>
    <w:p w14:paraId="2688DF6F" w14:textId="77777777" w:rsidR="004C3259" w:rsidRDefault="004C3259" w:rsidP="00BC0EBF">
      <w:pPr>
        <w:pStyle w:val="BodyText"/>
      </w:pPr>
      <w:r w:rsidRPr="588BFF1F">
        <w:t xml:space="preserve">The proposed amendments to the above definitions </w:t>
      </w:r>
      <w:r>
        <w:t>will require</w:t>
      </w:r>
      <w:r w:rsidRPr="588BFF1F">
        <w:t xml:space="preserve"> </w:t>
      </w:r>
      <w:r w:rsidR="00A23176">
        <w:t>captured</w:t>
      </w:r>
      <w:r w:rsidRPr="588BFF1F">
        <w:t xml:space="preserve"> critical infrastructure entities to: </w:t>
      </w:r>
    </w:p>
    <w:p w14:paraId="6BF076EB" w14:textId="77777777" w:rsidR="00BE0AFA" w:rsidRDefault="00BE0AFA" w:rsidP="00510557">
      <w:pPr>
        <w:pStyle w:val="ListParagraph"/>
        <w:numPr>
          <w:ilvl w:val="0"/>
          <w:numId w:val="21"/>
        </w:numPr>
        <w:contextualSpacing/>
      </w:pPr>
      <w:r w:rsidRPr="2F6B7F1D">
        <w:t>consider how threat actors could exploit vulnerabilities in systems holding business critical data;</w:t>
      </w:r>
    </w:p>
    <w:p w14:paraId="030F0E29" w14:textId="77777777" w:rsidR="00BE0AFA" w:rsidRDefault="00BE0AFA" w:rsidP="00510557">
      <w:pPr>
        <w:pStyle w:val="ListParagraph"/>
        <w:numPr>
          <w:ilvl w:val="0"/>
          <w:numId w:val="21"/>
        </w:numPr>
        <w:contextualSpacing/>
      </w:pPr>
      <w:r w:rsidRPr="591A7590">
        <w:t>implement controls to mitigate or eliminate risk, prior to risks being realised;</w:t>
      </w:r>
    </w:p>
    <w:p w14:paraId="739EE6E0" w14:textId="77777777" w:rsidR="00BE0AFA" w:rsidRDefault="00BE0AFA" w:rsidP="00510557">
      <w:pPr>
        <w:pStyle w:val="ListParagraph"/>
        <w:numPr>
          <w:ilvl w:val="0"/>
          <w:numId w:val="21"/>
        </w:numPr>
        <w:contextualSpacing/>
      </w:pPr>
      <w:r w:rsidRPr="591A7590">
        <w:t>proactively identify and control against risks to their data storage assets as part of their CIRMP obligation;</w:t>
      </w:r>
    </w:p>
    <w:p w14:paraId="320C111F" w14:textId="77777777" w:rsidR="00BE0AFA" w:rsidRDefault="00BE0AFA" w:rsidP="00510557">
      <w:pPr>
        <w:pStyle w:val="ListParagraph"/>
        <w:numPr>
          <w:ilvl w:val="0"/>
          <w:numId w:val="21"/>
        </w:numPr>
        <w:contextualSpacing/>
      </w:pPr>
      <w:r w:rsidRPr="591A7590">
        <w:t xml:space="preserve">provide operational and ownership information regarding these systems to the CISC; </w:t>
      </w:r>
    </w:p>
    <w:p w14:paraId="13F9927A" w14:textId="77777777" w:rsidR="00BE0AFA" w:rsidRDefault="00BE0AFA" w:rsidP="00510557">
      <w:pPr>
        <w:pStyle w:val="ListParagraph"/>
        <w:numPr>
          <w:ilvl w:val="0"/>
          <w:numId w:val="21"/>
        </w:numPr>
        <w:contextualSpacing/>
      </w:pPr>
      <w:r w:rsidRPr="591A7590">
        <w:t xml:space="preserve">report when a cyber incident impacts these systems under their MCIR obligation; and </w:t>
      </w:r>
    </w:p>
    <w:p w14:paraId="68751F58" w14:textId="77777777" w:rsidR="004C3259" w:rsidRDefault="004C3259" w:rsidP="00510557">
      <w:pPr>
        <w:pStyle w:val="ListParagraph"/>
        <w:numPr>
          <w:ilvl w:val="0"/>
          <w:numId w:val="21"/>
        </w:numPr>
        <w:contextualSpacing/>
      </w:pPr>
      <w:r w:rsidRPr="591A7590">
        <w:t xml:space="preserve">comply with directions under the SOCI Act when an </w:t>
      </w:r>
      <w:r w:rsidR="00A23176">
        <w:t>incident impacting</w:t>
      </w:r>
      <w:r w:rsidRPr="591A7590">
        <w:t xml:space="preserve"> business critical data systems is having a relevant impact on their asset (for example, under Part 3A). </w:t>
      </w:r>
    </w:p>
    <w:p w14:paraId="704068AE" w14:textId="77777777" w:rsidR="004C3259" w:rsidRPr="00FF1B59" w:rsidRDefault="004C3259" w:rsidP="004C3259">
      <w:pPr>
        <w:pStyle w:val="Heading3"/>
        <w:spacing w:before="0" w:line="240" w:lineRule="auto"/>
        <w:rPr>
          <w:rFonts w:ascii="Arial" w:hAnsi="Arial" w:cs="Arial"/>
          <w:sz w:val="24"/>
        </w:rPr>
      </w:pPr>
      <w:bookmarkStart w:id="57" w:name="_Toc176182543"/>
      <w:r w:rsidRPr="00FF1B59">
        <w:rPr>
          <w:rFonts w:ascii="Arial" w:hAnsi="Arial" w:cs="Arial"/>
          <w:sz w:val="24"/>
        </w:rPr>
        <w:t>3.2.2 Measure 2: Improving our national response to the consequences of significant incidents – Consequent management powers</w:t>
      </w:r>
      <w:bookmarkEnd w:id="57"/>
    </w:p>
    <w:p w14:paraId="71FCC2C2" w14:textId="77777777" w:rsidR="004C3259" w:rsidRDefault="004C3259" w:rsidP="00983250">
      <w:pPr>
        <w:pStyle w:val="BodyText"/>
      </w:pPr>
      <w:r w:rsidRPr="591A7590">
        <w:t>Measure 2 involves the introduction of a legislated, all-hazards power of last resort. This power would only be used where authorised by the Minister if there is no other avail</w:t>
      </w:r>
      <w:r>
        <w:t>able ‘fast and</w:t>
      </w:r>
      <w:r w:rsidRPr="591A7590">
        <w:t xml:space="preserve"> effective</w:t>
      </w:r>
      <w:r>
        <w:t>’</w:t>
      </w:r>
      <w:r w:rsidRPr="591A7590">
        <w:t xml:space="preserve"> power. </w:t>
      </w:r>
    </w:p>
    <w:p w14:paraId="08C88DE2" w14:textId="77777777" w:rsidR="004C3259" w:rsidRDefault="004C3259" w:rsidP="00BC0EBF">
      <w:pPr>
        <w:pStyle w:val="BodyText"/>
      </w:pPr>
      <w:r>
        <w:t xml:space="preserve">The practical operation of the all-hazards power of last resort is outlined in the hypothetical scenario below. </w:t>
      </w:r>
    </w:p>
    <w:p w14:paraId="10F7BEE4" w14:textId="2FA0DE56" w:rsidR="004C3259" w:rsidRPr="006D272F" w:rsidRDefault="004C3259" w:rsidP="004C3259">
      <w:pPr>
        <w:pStyle w:val="Caption"/>
        <w:rPr>
          <w:rFonts w:ascii="Calibri" w:hAnsi="Calibri" w:cs="Calibri"/>
          <w:b w:val="0"/>
        </w:rPr>
      </w:pPr>
      <w:bookmarkStart w:id="58" w:name="_Hlk178195345"/>
      <w:r w:rsidRPr="002C2ED5">
        <w:rPr>
          <w:rFonts w:ascii="Calibri" w:hAnsi="Calibri" w:cs="Calibri"/>
        </w:rPr>
        <w:t xml:space="preserve">Table </w:t>
      </w:r>
      <w:r w:rsidR="001707E4" w:rsidRPr="002C2ED5">
        <w:rPr>
          <w:rFonts w:ascii="Calibri" w:hAnsi="Calibri" w:cs="Calibri"/>
          <w:color w:val="2B579A"/>
          <w:shd w:val="clear" w:color="auto" w:fill="E6E6E6"/>
        </w:rPr>
        <w:fldChar w:fldCharType="begin"/>
      </w:r>
      <w:r w:rsidR="001707E4" w:rsidRPr="002C2ED5">
        <w:rPr>
          <w:rFonts w:ascii="Calibri" w:hAnsi="Calibri" w:cs="Calibri"/>
        </w:rPr>
        <w:instrText xml:space="preserve"> SEQ Table \* ARABIC </w:instrText>
      </w:r>
      <w:r w:rsidR="001707E4" w:rsidRPr="002C2ED5">
        <w:rPr>
          <w:rFonts w:ascii="Calibri" w:hAnsi="Calibri" w:cs="Calibri"/>
          <w:color w:val="2B579A"/>
          <w:shd w:val="clear" w:color="auto" w:fill="E6E6E6"/>
        </w:rPr>
        <w:fldChar w:fldCharType="separate"/>
      </w:r>
      <w:r w:rsidR="00E8506B">
        <w:rPr>
          <w:rFonts w:ascii="Calibri" w:hAnsi="Calibri" w:cs="Calibri"/>
          <w:noProof/>
        </w:rPr>
        <w:t>18</w:t>
      </w:r>
      <w:r w:rsidR="001707E4" w:rsidRPr="002C2ED5">
        <w:rPr>
          <w:rFonts w:ascii="Calibri" w:hAnsi="Calibri" w:cs="Calibri"/>
          <w:color w:val="2B579A"/>
          <w:shd w:val="clear" w:color="auto" w:fill="E6E6E6"/>
        </w:rPr>
        <w:fldChar w:fldCharType="end"/>
      </w:r>
      <w:r w:rsidRPr="006D272F">
        <w:rPr>
          <w:rFonts w:ascii="Calibri" w:hAnsi="Calibri" w:cs="Calibri"/>
          <w:b w:val="0"/>
        </w:rPr>
        <w:t xml:space="preserve"> Hypothetical scenario - operation of Measure 2</w:t>
      </w:r>
    </w:p>
    <w:tbl>
      <w:tblPr>
        <w:tblStyle w:val="TableGrid"/>
        <w:tblW w:w="9637" w:type="dxa"/>
        <w:tblLook w:val="04A0" w:firstRow="1" w:lastRow="0" w:firstColumn="1" w:lastColumn="0" w:noHBand="0" w:noVBand="1"/>
      </w:tblPr>
      <w:tblGrid>
        <w:gridCol w:w="9637"/>
      </w:tblGrid>
      <w:tr w:rsidR="00BD1B1D" w:rsidRPr="0052726C" w14:paraId="26C2F0DC" w14:textId="77777777" w:rsidTr="009763A8">
        <w:trPr>
          <w:trHeight w:val="489"/>
        </w:trPr>
        <w:tc>
          <w:tcPr>
            <w:tcW w:w="9637" w:type="dxa"/>
            <w:tcBorders>
              <w:top w:val="nil"/>
              <w:left w:val="nil"/>
              <w:bottom w:val="single" w:sz="4" w:space="0" w:color="5C676D" w:themeColor="accent3"/>
              <w:right w:val="nil"/>
            </w:tcBorders>
            <w:shd w:val="clear" w:color="auto" w:fill="284B98"/>
            <w:vAlign w:val="center"/>
          </w:tcPr>
          <w:bookmarkEnd w:id="58"/>
          <w:p w14:paraId="6E755822" w14:textId="20140FE1" w:rsidR="00BD1B1D" w:rsidRPr="0052726C" w:rsidRDefault="00BD1B1D" w:rsidP="004C3259">
            <w:pPr>
              <w:spacing w:before="120" w:after="120"/>
              <w:rPr>
                <w:rFonts w:ascii="Arial" w:hAnsi="Arial" w:cs="Arial"/>
                <w:b/>
                <w:bCs/>
                <w:color w:val="FFFFFF" w:themeColor="background1"/>
                <w:szCs w:val="20"/>
              </w:rPr>
            </w:pPr>
            <w:r w:rsidRPr="3A9E9E7F">
              <w:rPr>
                <w:rFonts w:ascii="Arial" w:hAnsi="Arial" w:cs="Arial"/>
                <w:b/>
                <w:bCs/>
                <w:color w:val="FFFFFF" w:themeColor="background1"/>
                <w:szCs w:val="20"/>
              </w:rPr>
              <w:t>Research data stolen from a university</w:t>
            </w:r>
            <w:r w:rsidR="00C87EA3">
              <w:rPr>
                <w:rFonts w:ascii="Arial" w:hAnsi="Arial" w:cs="Arial"/>
                <w:b/>
                <w:bCs/>
                <w:color w:val="FFFFFF" w:themeColor="background1"/>
                <w:szCs w:val="20"/>
              </w:rPr>
              <w:t xml:space="preserve"> </w:t>
            </w:r>
            <w:r>
              <w:rPr>
                <w:rFonts w:ascii="Arial" w:hAnsi="Arial" w:cs="Arial"/>
                <w:b/>
                <w:bCs/>
                <w:color w:val="FFFFFF" w:themeColor="background1"/>
                <w:szCs w:val="20"/>
              </w:rPr>
              <w:t>(</w:t>
            </w:r>
            <w:r w:rsidRPr="591A7590">
              <w:rPr>
                <w:rFonts w:ascii="Arial" w:hAnsi="Arial" w:cs="Arial"/>
                <w:b/>
                <w:bCs/>
                <w:color w:val="FFFFFF" w:themeColor="background1"/>
                <w:szCs w:val="20"/>
              </w:rPr>
              <w:t>Hypothetical scenario</w:t>
            </w:r>
            <w:r>
              <w:rPr>
                <w:rFonts w:ascii="Arial" w:hAnsi="Arial" w:cs="Arial"/>
                <w:b/>
                <w:bCs/>
                <w:color w:val="FFFFFF" w:themeColor="background1"/>
                <w:szCs w:val="20"/>
              </w:rPr>
              <w:t>)</w:t>
            </w:r>
          </w:p>
        </w:tc>
      </w:tr>
      <w:tr w:rsidR="004C3259" w:rsidRPr="008C7181" w14:paraId="31CE6A9E" w14:textId="77777777" w:rsidTr="009763A8">
        <w:trPr>
          <w:trHeight w:val="317"/>
        </w:trPr>
        <w:tc>
          <w:tcPr>
            <w:tcW w:w="9637" w:type="dxa"/>
            <w:tcBorders>
              <w:top w:val="single" w:sz="4" w:space="0" w:color="5C676D" w:themeColor="accent3"/>
              <w:left w:val="nil"/>
              <w:bottom w:val="single" w:sz="4" w:space="0" w:color="5C676D" w:themeColor="accent3"/>
              <w:right w:val="nil"/>
            </w:tcBorders>
            <w:shd w:val="clear" w:color="auto" w:fill="FFFFFF" w:themeFill="background1"/>
          </w:tcPr>
          <w:p w14:paraId="1F9EFFF7" w14:textId="77777777" w:rsidR="004C3259" w:rsidRPr="008C7181" w:rsidRDefault="004C3259" w:rsidP="00983250">
            <w:pPr>
              <w:pStyle w:val="Tablebody0"/>
            </w:pPr>
            <w:r w:rsidRPr="3A9E9E7F">
              <w:rPr>
                <w:b/>
                <w:bCs/>
              </w:rPr>
              <w:t xml:space="preserve">Scenario: </w:t>
            </w:r>
            <w:r w:rsidRPr="3A9E9E7F">
              <w:t>As part of ongoing efforts to utilise Australian expertise for socioeconomic coercion, confidential research data could be stolen by compromising university research databases. Once stolen, this data could be used by state-based attackers to undermine other critical infrastructure systems. Malicious actors could use the stolen data to plan widespread attacks on critical services and cause disruption to functions of other critical infrastructure assets. While the university could investigate the incident and upgrade their cyber defences, the Government is uniquely placed to address the consequences for other critical infrastructure entities whose security could be impacted by the stolen data. The university may be unable to act as it does not have access to national communication channels or the asset register.</w:t>
            </w:r>
          </w:p>
        </w:tc>
      </w:tr>
      <w:tr w:rsidR="004C3259" w:rsidRPr="008C7181" w14:paraId="763A178A" w14:textId="77777777" w:rsidTr="009763A8">
        <w:trPr>
          <w:trHeight w:val="317"/>
        </w:trPr>
        <w:tc>
          <w:tcPr>
            <w:tcW w:w="9637" w:type="dxa"/>
            <w:tcBorders>
              <w:top w:val="single" w:sz="4" w:space="0" w:color="5C676D" w:themeColor="accent3"/>
              <w:left w:val="nil"/>
              <w:bottom w:val="single" w:sz="4" w:space="0" w:color="5C676D" w:themeColor="accent3"/>
              <w:right w:val="nil"/>
            </w:tcBorders>
            <w:shd w:val="clear" w:color="auto" w:fill="F2F2F2" w:themeFill="background1" w:themeFillShade="F2"/>
          </w:tcPr>
          <w:p w14:paraId="56DCF89A" w14:textId="77777777" w:rsidR="004C3259" w:rsidRPr="008C7181" w:rsidRDefault="004C3259" w:rsidP="00983250">
            <w:pPr>
              <w:pStyle w:val="Tablebody0"/>
            </w:pPr>
            <w:r>
              <w:rPr>
                <w:b/>
                <w:bCs/>
              </w:rPr>
              <w:t xml:space="preserve">Current </w:t>
            </w:r>
            <w:r w:rsidRPr="591A7590">
              <w:rPr>
                <w:b/>
                <w:bCs/>
              </w:rPr>
              <w:t xml:space="preserve">Outcome: </w:t>
            </w:r>
            <w:r w:rsidRPr="591A7590">
              <w:t xml:space="preserve">In this scenario, current government assistance powers would only allow the Government to issue directions </w:t>
            </w:r>
            <w:r>
              <w:t>in relation to the technical cyber incident</w:t>
            </w:r>
            <w:r w:rsidRPr="591A7590">
              <w:t xml:space="preserve">. A new consequence management power would be needed to issue directions to certain other critical infrastructure entities whose systems and critical functions have or will be disrupted due to the data breach. These directions could include directing those </w:t>
            </w:r>
            <w:r w:rsidRPr="00EC13F3">
              <w:t xml:space="preserve">specific </w:t>
            </w:r>
            <w:r w:rsidRPr="591A7590">
              <w:t>entities to upgrade information technology (IT) and operational technology (OT) security to address system vulnerabilities. If compliance with these directions would risk breaching existing contracts with IT and OT service providers, critical infrastructure entities would be able to rely on the SOCI Act’s immunity provisions to avoid civil liability for such breaches.</w:t>
            </w:r>
          </w:p>
        </w:tc>
      </w:tr>
      <w:tr w:rsidR="004C3259" w:rsidRPr="008C7181" w14:paraId="0274A4DB" w14:textId="77777777" w:rsidTr="009763A8">
        <w:trPr>
          <w:trHeight w:val="317"/>
        </w:trPr>
        <w:tc>
          <w:tcPr>
            <w:tcW w:w="9637" w:type="dxa"/>
            <w:tcBorders>
              <w:top w:val="single" w:sz="4" w:space="0" w:color="5C676D" w:themeColor="accent3"/>
              <w:left w:val="nil"/>
              <w:bottom w:val="single" w:sz="4" w:space="0" w:color="5C676D" w:themeColor="accent3"/>
              <w:right w:val="nil"/>
            </w:tcBorders>
            <w:shd w:val="clear" w:color="auto" w:fill="D9E2F3"/>
          </w:tcPr>
          <w:p w14:paraId="2DA6030B" w14:textId="77777777" w:rsidR="004C3259" w:rsidRDefault="004C3259" w:rsidP="00983250">
            <w:pPr>
              <w:pStyle w:val="Tablebody0"/>
            </w:pPr>
            <w:r>
              <w:rPr>
                <w:b/>
                <w:bCs/>
              </w:rPr>
              <w:t xml:space="preserve">Operation of Measure 2: </w:t>
            </w:r>
            <w:r>
              <w:t xml:space="preserve">If Measure 2 is implemented, the Minister would first consider whether an effective response to this scenario may be achieved using other relevant powers. If no other power is identified, issuing a direction under the all-hazards power of last resort would allow the Minister to quickly respond by: </w:t>
            </w:r>
          </w:p>
          <w:p w14:paraId="54CF84DA" w14:textId="77777777" w:rsidR="004C3259" w:rsidRDefault="004C3259" w:rsidP="00B27710">
            <w:pPr>
              <w:pStyle w:val="Tablebody0"/>
              <w:numPr>
                <w:ilvl w:val="0"/>
                <w:numId w:val="95"/>
              </w:numPr>
            </w:pPr>
            <w:r>
              <w:t xml:space="preserve">leveraging national communication channels and asset registers to understand the potential broad impacts of the incident (including potential impacts or risks to specific entities); </w:t>
            </w:r>
          </w:p>
          <w:p w14:paraId="38288074" w14:textId="77777777" w:rsidR="004C3259" w:rsidRDefault="004C3259" w:rsidP="00B27710">
            <w:pPr>
              <w:pStyle w:val="Tablebody0"/>
              <w:numPr>
                <w:ilvl w:val="0"/>
                <w:numId w:val="95"/>
              </w:numPr>
            </w:pPr>
            <w:r>
              <w:t>directing entities to upgrade their IT and OT systems to address any system vulnerabilities, based on current threat information; and</w:t>
            </w:r>
          </w:p>
          <w:p w14:paraId="04D4B324" w14:textId="77777777" w:rsidR="004C3259" w:rsidRDefault="004C3259" w:rsidP="00B27710">
            <w:pPr>
              <w:pStyle w:val="Tablebody0"/>
              <w:numPr>
                <w:ilvl w:val="0"/>
                <w:numId w:val="95"/>
              </w:numPr>
            </w:pPr>
            <w:r>
              <w:t xml:space="preserve">disclosing information to other government entities or third parties affected by the breach, where necessary to inform of impacts or prevent further disruption.  </w:t>
            </w:r>
          </w:p>
          <w:p w14:paraId="6EE92D1D" w14:textId="77777777" w:rsidR="004C3259" w:rsidRPr="00302A0C" w:rsidRDefault="004C3259" w:rsidP="00983250">
            <w:pPr>
              <w:pStyle w:val="Tablebody0"/>
            </w:pPr>
            <w:r>
              <w:t xml:space="preserve">The Minister would be required to report use of the power under s 60 of the SOCI Act. </w:t>
            </w:r>
          </w:p>
        </w:tc>
      </w:tr>
    </w:tbl>
    <w:p w14:paraId="4FE507A6" w14:textId="77777777" w:rsidR="004C3259" w:rsidRDefault="004C3259" w:rsidP="004C3259">
      <w:pPr>
        <w:rPr>
          <w:rFonts w:ascii="Arial" w:hAnsi="Arial" w:cs="Arial"/>
          <w:szCs w:val="20"/>
        </w:rPr>
      </w:pPr>
    </w:p>
    <w:p w14:paraId="20635DF3" w14:textId="77777777" w:rsidR="00BE0AFA" w:rsidRDefault="004C3259" w:rsidP="00BE0AFA">
      <w:pPr>
        <w:pStyle w:val="BodyText"/>
      </w:pPr>
      <w:r w:rsidRPr="591A7590">
        <w:t xml:space="preserve">The scope of the power is </w:t>
      </w:r>
      <w:r>
        <w:t>intended to</w:t>
      </w:r>
      <w:r w:rsidRPr="591A7590">
        <w:t xml:space="preserve"> allow the Minister to</w:t>
      </w:r>
      <w:r>
        <w:t xml:space="preserve"> authorise the following types of directions</w:t>
      </w:r>
      <w:r w:rsidRPr="591A7590">
        <w:t xml:space="preserve">: </w:t>
      </w:r>
    </w:p>
    <w:p w14:paraId="1F17FA50" w14:textId="77777777" w:rsidR="004C3259" w:rsidRDefault="004C3259" w:rsidP="00510557">
      <w:pPr>
        <w:pStyle w:val="ListParagraph"/>
        <w:numPr>
          <w:ilvl w:val="0"/>
          <w:numId w:val="21"/>
        </w:numPr>
        <w:contextualSpacing/>
      </w:pPr>
      <w:r>
        <w:t>Direction to a</w:t>
      </w:r>
      <w:r w:rsidRPr="591A7590">
        <w:t xml:space="preserve"> critical infrastructure entity to do or refrain from doing a certain thing to prevent or mitigate the consequences of an incident, such as a direction to address issues onsite or suspend operation. </w:t>
      </w:r>
    </w:p>
    <w:p w14:paraId="75EA8A07" w14:textId="77777777" w:rsidR="004C3259" w:rsidRDefault="004C3259" w:rsidP="00510557">
      <w:pPr>
        <w:pStyle w:val="ListParagraph"/>
        <w:numPr>
          <w:ilvl w:val="0"/>
          <w:numId w:val="21"/>
        </w:numPr>
        <w:contextualSpacing/>
      </w:pPr>
      <w:r w:rsidRPr="591A7590">
        <w:t xml:space="preserve">Authorise the disclosure of protected information as defined in the SOCI Act to allow for the sharing of information between government entities (including states and territories), between government and industry, or between the affected entity and a third party. </w:t>
      </w:r>
    </w:p>
    <w:p w14:paraId="41BE2CDF" w14:textId="77777777" w:rsidR="004C3259" w:rsidRDefault="004C3259" w:rsidP="00510557">
      <w:pPr>
        <w:pStyle w:val="ListParagraph"/>
        <w:numPr>
          <w:ilvl w:val="0"/>
          <w:numId w:val="21"/>
        </w:numPr>
        <w:contextualSpacing/>
      </w:pPr>
      <w:r w:rsidRPr="591A7590">
        <w:t>Gather information for the purpose of consequence management if this does not interfere with or impede any other law enforcement action or regulatory action.</w:t>
      </w:r>
    </w:p>
    <w:p w14:paraId="37CC4A71" w14:textId="77777777" w:rsidR="004C3259" w:rsidRDefault="004C3259" w:rsidP="00983250">
      <w:pPr>
        <w:pStyle w:val="BodyText"/>
        <w:rPr>
          <w:rFonts w:eastAsiaTheme="minorHAnsi"/>
        </w:rPr>
      </w:pPr>
      <w:r w:rsidRPr="3A9E9E7F">
        <w:t xml:space="preserve">If implemented, the power would operate alongside existing government assistance powers contained in </w:t>
      </w:r>
      <w:r w:rsidRPr="3A9E9E7F">
        <w:rPr>
          <w:rFonts w:eastAsiaTheme="minorHAnsi"/>
        </w:rPr>
        <w:t>Part 3A of the SOCI Act and include the following safeguard</w:t>
      </w:r>
      <w:r>
        <w:rPr>
          <w:rFonts w:eastAsiaTheme="minorHAnsi"/>
        </w:rPr>
        <w:t>s</w:t>
      </w:r>
      <w:r w:rsidRPr="3A9E9E7F">
        <w:rPr>
          <w:rFonts w:eastAsiaTheme="minorHAnsi"/>
        </w:rPr>
        <w:t xml:space="preserve"> and oversight mechanisms: </w:t>
      </w:r>
    </w:p>
    <w:p w14:paraId="3350AC51" w14:textId="77777777" w:rsidR="004C3259" w:rsidRDefault="004C3259" w:rsidP="00510557">
      <w:pPr>
        <w:pStyle w:val="ListParagraph"/>
        <w:numPr>
          <w:ilvl w:val="0"/>
          <w:numId w:val="21"/>
        </w:numPr>
        <w:contextualSpacing/>
      </w:pPr>
      <w:r w:rsidRPr="591A7590">
        <w:t xml:space="preserve">There will be no change to the duration of a ministerial authorisation (as set out in s 35AG of the SOCI Act). </w:t>
      </w:r>
    </w:p>
    <w:p w14:paraId="38EF5C0B" w14:textId="77777777" w:rsidR="004C3259" w:rsidRDefault="004C3259" w:rsidP="00510557">
      <w:pPr>
        <w:pStyle w:val="ListParagraph"/>
        <w:numPr>
          <w:ilvl w:val="0"/>
          <w:numId w:val="21"/>
        </w:numPr>
        <w:contextualSpacing/>
      </w:pPr>
      <w:r w:rsidRPr="591A7590">
        <w:t xml:space="preserve">A direction can only be given to a critical infrastructure entity. </w:t>
      </w:r>
    </w:p>
    <w:p w14:paraId="51AAE9D0" w14:textId="77777777" w:rsidR="004C3259" w:rsidRDefault="004C3259" w:rsidP="00510557">
      <w:pPr>
        <w:pStyle w:val="ListParagraph"/>
        <w:numPr>
          <w:ilvl w:val="0"/>
          <w:numId w:val="21"/>
        </w:numPr>
        <w:contextualSpacing/>
      </w:pPr>
      <w:r w:rsidRPr="591A7590">
        <w:t>A direction can only be given where it is to address a consequence of an event that has occurred, is occurring or is imminent, and has had, is having or is likely to have, a relevant impact on critical infrastructure. This includes an assessment of the following:</w:t>
      </w:r>
    </w:p>
    <w:p w14:paraId="24D8A5E8" w14:textId="77777777" w:rsidR="004C3259" w:rsidRDefault="004C3259" w:rsidP="00510557">
      <w:pPr>
        <w:pStyle w:val="ListParagraph"/>
        <w:numPr>
          <w:ilvl w:val="0"/>
          <w:numId w:val="33"/>
        </w:numPr>
        <w:spacing w:before="0" w:line="240" w:lineRule="auto"/>
        <w:rPr>
          <w:rFonts w:ascii="Arial" w:hAnsi="Arial" w:cs="Arial"/>
          <w:szCs w:val="20"/>
        </w:rPr>
      </w:pPr>
      <w:r w:rsidRPr="591A7590">
        <w:rPr>
          <w:rFonts w:ascii="Arial" w:hAnsi="Arial" w:cs="Arial"/>
          <w:szCs w:val="20"/>
        </w:rPr>
        <w:t xml:space="preserve">There must be a demonstrable link to an incident impacting a critical infrastructure asset. </w:t>
      </w:r>
    </w:p>
    <w:p w14:paraId="26618ADA" w14:textId="77777777" w:rsidR="004C3259" w:rsidRDefault="004C3259" w:rsidP="00510557">
      <w:pPr>
        <w:pStyle w:val="ListParagraph"/>
        <w:numPr>
          <w:ilvl w:val="0"/>
          <w:numId w:val="33"/>
        </w:numPr>
        <w:spacing w:before="0" w:line="240" w:lineRule="auto"/>
        <w:rPr>
          <w:rFonts w:ascii="Arial" w:hAnsi="Arial" w:cs="Arial"/>
          <w:szCs w:val="20"/>
        </w:rPr>
      </w:pPr>
      <w:r w:rsidRPr="591A7590">
        <w:rPr>
          <w:rFonts w:ascii="Arial" w:hAnsi="Arial" w:cs="Arial"/>
          <w:szCs w:val="20"/>
        </w:rPr>
        <w:t xml:space="preserve">The incident must have a ‘relevant impact’, whether direct or indirect, on the availability, integrity, reliability, or confidentiality of critical infrastructure. </w:t>
      </w:r>
    </w:p>
    <w:p w14:paraId="0718914F" w14:textId="77777777" w:rsidR="004C3259" w:rsidRDefault="004C3259" w:rsidP="00510557">
      <w:pPr>
        <w:pStyle w:val="ListParagraph"/>
        <w:numPr>
          <w:ilvl w:val="0"/>
          <w:numId w:val="33"/>
        </w:numPr>
        <w:spacing w:before="0" w:line="240" w:lineRule="auto"/>
        <w:rPr>
          <w:rFonts w:ascii="Arial" w:hAnsi="Arial" w:cs="Arial"/>
          <w:szCs w:val="20"/>
        </w:rPr>
      </w:pPr>
      <w:r w:rsidRPr="591A7590">
        <w:rPr>
          <w:rFonts w:ascii="Arial" w:hAnsi="Arial" w:cs="Arial"/>
          <w:szCs w:val="20"/>
        </w:rPr>
        <w:t xml:space="preserve">‘Imminent’ relates to other critical infrastructure entities (or the affected entity) that may be compromised, or further compromised, by the inciting incident. </w:t>
      </w:r>
    </w:p>
    <w:p w14:paraId="548B3B72" w14:textId="77777777" w:rsidR="004C3259" w:rsidRDefault="004C3259" w:rsidP="00510557">
      <w:pPr>
        <w:pStyle w:val="ListParagraph"/>
        <w:numPr>
          <w:ilvl w:val="0"/>
          <w:numId w:val="21"/>
        </w:numPr>
        <w:contextualSpacing/>
      </w:pPr>
      <w:r w:rsidRPr="591A7590">
        <w:t>A direction must not interfere with or impede a law enforcement action or regulatory action.</w:t>
      </w:r>
    </w:p>
    <w:p w14:paraId="7C7463A5" w14:textId="77777777" w:rsidR="004C3259" w:rsidRDefault="004C3259" w:rsidP="00510557">
      <w:pPr>
        <w:pStyle w:val="ListParagraph"/>
        <w:numPr>
          <w:ilvl w:val="0"/>
          <w:numId w:val="21"/>
        </w:numPr>
        <w:contextualSpacing/>
      </w:pPr>
      <w:r w:rsidRPr="591A7590">
        <w:t>The purpose of the direction is limited to preventing or mitigating serious or long-term harm to Australians or critical infrastructure or address consequences that prejudice the socioeconomic stability, national security, or the defence of Australia.</w:t>
      </w:r>
    </w:p>
    <w:p w14:paraId="181FABFA" w14:textId="77777777" w:rsidR="004C3259" w:rsidRDefault="004C3259" w:rsidP="00510557">
      <w:pPr>
        <w:pStyle w:val="ListParagraph"/>
        <w:numPr>
          <w:ilvl w:val="0"/>
          <w:numId w:val="21"/>
        </w:numPr>
        <w:contextualSpacing/>
      </w:pPr>
      <w:r w:rsidRPr="591A7590">
        <w:t xml:space="preserve">The direction is informed by advice based on consultation with Commonwealth, state and territory agencies and regulators. The Minister must be satisfied that no existing regulatory system of the Commonwealth, a state or a territory could be used to provide a practical and effective response to the incident. </w:t>
      </w:r>
    </w:p>
    <w:p w14:paraId="12155331" w14:textId="77777777" w:rsidR="004C3259" w:rsidRDefault="004C3259" w:rsidP="00510557">
      <w:pPr>
        <w:pStyle w:val="ListParagraph"/>
        <w:numPr>
          <w:ilvl w:val="0"/>
          <w:numId w:val="21"/>
        </w:numPr>
        <w:contextualSpacing/>
      </w:pPr>
      <w:r w:rsidRPr="591A7590">
        <w:t xml:space="preserve">If the power is being considered to direct the sharing of personal information, the Minister responsible for the Privacy Act (currently the Attorney General) must authorise its use, and subsequent use or disclosure of such information would be subject to the Privacy Act. </w:t>
      </w:r>
    </w:p>
    <w:p w14:paraId="57252936" w14:textId="77777777" w:rsidR="004C3259" w:rsidRDefault="004C3259" w:rsidP="00510557">
      <w:pPr>
        <w:pStyle w:val="ListParagraph"/>
        <w:numPr>
          <w:ilvl w:val="0"/>
          <w:numId w:val="21"/>
        </w:numPr>
        <w:contextualSpacing/>
      </w:pPr>
      <w:r w:rsidRPr="591A7590">
        <w:t>Prior to exercising the power, the Minister must consult with the affected entity.</w:t>
      </w:r>
    </w:p>
    <w:p w14:paraId="47AACF1D" w14:textId="77777777" w:rsidR="004C3259" w:rsidRDefault="004C3259" w:rsidP="00510557">
      <w:pPr>
        <w:pStyle w:val="ListParagraph"/>
        <w:numPr>
          <w:ilvl w:val="0"/>
          <w:numId w:val="21"/>
        </w:numPr>
        <w:contextualSpacing/>
      </w:pPr>
      <w:r w:rsidRPr="591A7590">
        <w:t>The Minister must be satisfied that the responsible entity is unwilling or unable to address the consequences that prejudice the socioeconomic stability, national security, or defence of Australia, including where a legal barrier is preventing action.</w:t>
      </w:r>
    </w:p>
    <w:p w14:paraId="7ED864D9" w14:textId="77777777" w:rsidR="004C3259" w:rsidRDefault="004C3259" w:rsidP="00510557">
      <w:pPr>
        <w:pStyle w:val="ListParagraph"/>
        <w:numPr>
          <w:ilvl w:val="0"/>
          <w:numId w:val="21"/>
        </w:numPr>
        <w:contextualSpacing/>
      </w:pPr>
      <w:r w:rsidRPr="591A7590">
        <w:t>In determining whether to exercise the power, the Minister must consider the public interest – for example, whether issuing the direction is in the interest of public health and safety and is proportionate to the risk of inaction.</w:t>
      </w:r>
    </w:p>
    <w:p w14:paraId="4EA1C674" w14:textId="77777777" w:rsidR="00983250" w:rsidRPr="00983250" w:rsidRDefault="004C3259" w:rsidP="00510557">
      <w:pPr>
        <w:pStyle w:val="ListParagraph"/>
        <w:numPr>
          <w:ilvl w:val="0"/>
          <w:numId w:val="21"/>
        </w:numPr>
        <w:contextualSpacing/>
        <w:rPr>
          <w:rFonts w:eastAsiaTheme="minorEastAsia"/>
        </w:rPr>
      </w:pPr>
      <w:r w:rsidRPr="00983250">
        <w:t>Immunities would be provided in the SOCI Act to ensure that entities would not be subject to civil liability when acting lawfully in response to a compulsory legal direction.</w:t>
      </w:r>
      <w:bookmarkStart w:id="59" w:name="_Toc159422214"/>
      <w:bookmarkStart w:id="60" w:name="_Toc159422322"/>
      <w:bookmarkStart w:id="61" w:name="_Toc159495609"/>
      <w:bookmarkStart w:id="62" w:name="_Toc159495881"/>
      <w:bookmarkStart w:id="63" w:name="_Toc159592006"/>
    </w:p>
    <w:p w14:paraId="2F472017" w14:textId="77777777" w:rsidR="004C3259" w:rsidRPr="00983250" w:rsidRDefault="004C3259" w:rsidP="00510557">
      <w:pPr>
        <w:pStyle w:val="ListParagraph"/>
        <w:numPr>
          <w:ilvl w:val="0"/>
          <w:numId w:val="21"/>
        </w:numPr>
        <w:contextualSpacing/>
        <w:rPr>
          <w:rFonts w:eastAsiaTheme="minorEastAsia"/>
        </w:rPr>
      </w:pPr>
      <w:r w:rsidRPr="00983250">
        <w:rPr>
          <w:rFonts w:eastAsiaTheme="minorEastAsia"/>
        </w:rPr>
        <w:t>The periodic report under section 60 of the SOCI Act must include the number of directions issued under this power.</w:t>
      </w:r>
      <w:bookmarkEnd w:id="59"/>
      <w:bookmarkEnd w:id="60"/>
      <w:bookmarkEnd w:id="61"/>
      <w:bookmarkEnd w:id="62"/>
      <w:bookmarkEnd w:id="63"/>
    </w:p>
    <w:p w14:paraId="56A6E4ED" w14:textId="77777777" w:rsidR="004C3259" w:rsidRPr="00FF1B59" w:rsidRDefault="004C3259" w:rsidP="004C3259">
      <w:pPr>
        <w:pStyle w:val="Heading3"/>
        <w:spacing w:before="0" w:line="240" w:lineRule="auto"/>
        <w:rPr>
          <w:rFonts w:ascii="Arial" w:hAnsi="Arial" w:cs="Arial"/>
          <w:sz w:val="24"/>
        </w:rPr>
      </w:pPr>
      <w:bookmarkStart w:id="64" w:name="_Toc176182544"/>
      <w:r w:rsidRPr="00FF1B59">
        <w:rPr>
          <w:rFonts w:ascii="Arial" w:hAnsi="Arial" w:cs="Arial"/>
          <w:sz w:val="24"/>
        </w:rPr>
        <w:t>3.2.3 Measure 3: Enforcing Critical infrastructure risk management obligations – review and remedy powers</w:t>
      </w:r>
      <w:bookmarkEnd w:id="64"/>
    </w:p>
    <w:p w14:paraId="5BA93861" w14:textId="77777777" w:rsidR="004C3259" w:rsidRDefault="004C3259" w:rsidP="00983250">
      <w:pPr>
        <w:pStyle w:val="BodyText"/>
      </w:pPr>
      <w:r w:rsidRPr="588BFF1F">
        <w:t xml:space="preserve">Measure 3 involves the introduction of a formal, written directions power to address seriously deficient elements of an RMP. </w:t>
      </w:r>
      <w:r>
        <w:t xml:space="preserve">This measure is related to compliance and enforcement of existing SOCI Act obligations and therefore, would not create a new regulatory burden for industry. </w:t>
      </w:r>
    </w:p>
    <w:p w14:paraId="05E4CABE" w14:textId="1355C4E9" w:rsidR="004C3259" w:rsidRDefault="004C3259" w:rsidP="00983250">
      <w:pPr>
        <w:pStyle w:val="BodyText"/>
      </w:pPr>
      <w:r>
        <w:t xml:space="preserve">Under current legislative arrangements, there is no obligation for entities to provide the Department with a copy of their RMP. The Department may request a copy of the RMP, in line with the conditions specified in s 37 of the SOCI Act. </w:t>
      </w:r>
    </w:p>
    <w:p w14:paraId="0AB6D18A" w14:textId="1FFF8A31" w:rsidR="002633B7" w:rsidRDefault="00D761AB" w:rsidP="00983250">
      <w:pPr>
        <w:pStyle w:val="BodyText"/>
      </w:pPr>
      <w:r w:rsidRPr="002619A4">
        <w:t xml:space="preserve">The CISC is currently undertaking trial audits of critical infrastructure entity compliance with SOCI Act obligations. Early findings are that a significant proportion of entities are not fully compliant with the existing CIRMP obligation. In addition, a significant proportion of entities are also not compliant with the requirement </w:t>
      </w:r>
      <w:r w:rsidR="002633B7">
        <w:t xml:space="preserve">(which came into effect from 18 August 2024) </w:t>
      </w:r>
      <w:r w:rsidRPr="002619A4">
        <w:t xml:space="preserve">to have a CIRMP in place that meets the relevant cyber security framework. </w:t>
      </w:r>
    </w:p>
    <w:p w14:paraId="774FBEF2" w14:textId="7994FC60" w:rsidR="005D4226" w:rsidRDefault="00D761AB" w:rsidP="00983250">
      <w:pPr>
        <w:pStyle w:val="BodyText"/>
      </w:pPr>
      <w:r w:rsidRPr="002619A4">
        <w:t>The SOCI National Compliance Plan 2024-25 outlines how the CISC assesses industry participant</w:t>
      </w:r>
      <w:r w:rsidR="002633B7">
        <w:t>s’</w:t>
      </w:r>
      <w:r w:rsidRPr="002619A4">
        <w:t xml:space="preserve"> compliance with their obligations under the SOCI Act and its associated regulations, including the CIRMP obligation. The Plan also outlines the approach to identifying entities for audit</w:t>
      </w:r>
      <w:r w:rsidR="00EF493A">
        <w:t xml:space="preserve"> (</w:t>
      </w:r>
      <w:r w:rsidR="00C0746C">
        <w:t>this methodology, for security reasons, cannot be made publicly available)</w:t>
      </w:r>
      <w:r w:rsidRPr="002619A4">
        <w:t>. Under the plan</w:t>
      </w:r>
      <w:r w:rsidR="008823CD">
        <w:t>,</w:t>
      </w:r>
      <w:r w:rsidRPr="002619A4">
        <w:t xml:space="preserve"> the CISC will commence compliance audit and enforcement activities for the first time in 2024-25. This change in compliance approach was flagged in the SOCI Compliance Regulatory Posture Change statement published on the CISC website in March 2024.</w:t>
      </w:r>
      <w:r w:rsidR="00E431C2">
        <w:rPr>
          <w:rStyle w:val="FootnoteReference"/>
        </w:rPr>
        <w:footnoteReference w:id="26"/>
      </w:r>
      <w:r w:rsidRPr="002619A4">
        <w:t xml:space="preserve"> A related enforcement framework has been developed to action non-compliance identified through audit and other compliance activities. </w:t>
      </w:r>
    </w:p>
    <w:p w14:paraId="354284E9" w14:textId="5C3F10B0" w:rsidR="004C3259" w:rsidRPr="0045363E" w:rsidRDefault="00D761AB" w:rsidP="00983250">
      <w:pPr>
        <w:pStyle w:val="BodyText"/>
      </w:pPr>
      <w:r w:rsidRPr="002619A4">
        <w:t>Subject to the passage of legislation, the new powers under the SOCI Act would then be used to mandate changes to CIRMPs that have been assessed as being seriously deficient through the audit process</w:t>
      </w:r>
      <w:r w:rsidR="4799986B">
        <w:t xml:space="preserve"> or following an incident</w:t>
      </w:r>
      <w:r>
        <w:t>.</w:t>
      </w:r>
      <w:r w:rsidR="005D4226">
        <w:t xml:space="preserve"> </w:t>
      </w:r>
      <w:r w:rsidR="004C3259" w:rsidRPr="588BFF1F">
        <w:t xml:space="preserve">The direction </w:t>
      </w:r>
      <w:r w:rsidR="004C3259">
        <w:t xml:space="preserve">to address a seriously deficient RMP </w:t>
      </w:r>
      <w:r w:rsidR="004C3259" w:rsidRPr="588BFF1F">
        <w:t>may be issued</w:t>
      </w:r>
      <w:r w:rsidR="004C3259" w:rsidRPr="588BFF1F" w:rsidDel="00432CBA">
        <w:t xml:space="preserve"> </w:t>
      </w:r>
      <w:r w:rsidR="004C3259" w:rsidRPr="588BFF1F">
        <w:t>where</w:t>
      </w:r>
      <w:r w:rsidR="00983250">
        <w:t>, the Department has request</w:t>
      </w:r>
      <w:r w:rsidR="00154861">
        <w:t>ed</w:t>
      </w:r>
      <w:r w:rsidR="00983250">
        <w:t xml:space="preserve"> the entities RMP from the entity and</w:t>
      </w:r>
      <w:r w:rsidR="004C3259" w:rsidRPr="588BFF1F">
        <w:t xml:space="preserve">: </w:t>
      </w:r>
    </w:p>
    <w:p w14:paraId="53F1A6BA" w14:textId="77777777" w:rsidR="004C3259" w:rsidRDefault="004C3259" w:rsidP="00510557">
      <w:pPr>
        <w:pStyle w:val="ListParagraph"/>
        <w:numPr>
          <w:ilvl w:val="0"/>
          <w:numId w:val="21"/>
        </w:numPr>
        <w:contextualSpacing/>
      </w:pPr>
      <w:r>
        <w:t>t</w:t>
      </w:r>
      <w:r w:rsidRPr="0077008E">
        <w:t>he Secretary or relevant Commonwealth regulator has formed a view that an entity’s RMP is seriously deficient, following consideration of the facts and the entity’s obligations under the SOCI Act and delegated legislation</w:t>
      </w:r>
      <w:r>
        <w:t>. The direction would follow action from the Department to engage with entities and amend their risk practices, or in the aftermath of an incident, where the Department determines that risk assessments and mitigations are not equivalent to an entity’s risk environment</w:t>
      </w:r>
      <w:r w:rsidRPr="0077008E">
        <w:t>; an</w:t>
      </w:r>
      <w:r w:rsidRPr="591A7590">
        <w:t>d</w:t>
      </w:r>
    </w:p>
    <w:p w14:paraId="7895FD5E" w14:textId="77777777" w:rsidR="004C3259" w:rsidRDefault="004C3259" w:rsidP="00510557">
      <w:pPr>
        <w:pStyle w:val="ListParagraph"/>
        <w:numPr>
          <w:ilvl w:val="0"/>
          <w:numId w:val="21"/>
        </w:numPr>
        <w:contextualSpacing/>
      </w:pPr>
      <w:r>
        <w:t>t</w:t>
      </w:r>
      <w:r w:rsidRPr="0077008E">
        <w:t>he deficiency carries a material risk to the socioeconomic stability, defence, or national security of Australia</w:t>
      </w:r>
      <w:r>
        <w:t xml:space="preserve">. </w:t>
      </w:r>
    </w:p>
    <w:p w14:paraId="2D25EA26" w14:textId="77777777" w:rsidR="004C3259" w:rsidRPr="00983250" w:rsidRDefault="004C3259" w:rsidP="00983250">
      <w:pPr>
        <w:pStyle w:val="BodyText"/>
      </w:pPr>
      <w:r w:rsidRPr="00983250">
        <w:t xml:space="preserve">The direction may also be issued where: </w:t>
      </w:r>
    </w:p>
    <w:p w14:paraId="229475F8" w14:textId="77777777" w:rsidR="004C3259" w:rsidRPr="0045363E" w:rsidRDefault="004C3259" w:rsidP="00510557">
      <w:pPr>
        <w:pStyle w:val="ListParagraph"/>
        <w:numPr>
          <w:ilvl w:val="0"/>
          <w:numId w:val="21"/>
        </w:numPr>
        <w:contextualSpacing/>
      </w:pPr>
      <w:r>
        <w:t>t</w:t>
      </w:r>
      <w:r w:rsidRPr="591A7590">
        <w:t xml:space="preserve">here is a severe and credible threat to national security; and </w:t>
      </w:r>
    </w:p>
    <w:p w14:paraId="347E6D7B" w14:textId="77777777" w:rsidR="004C3259" w:rsidRPr="0045363E" w:rsidRDefault="004C3259" w:rsidP="00510557">
      <w:pPr>
        <w:pStyle w:val="ListParagraph"/>
        <w:numPr>
          <w:ilvl w:val="0"/>
          <w:numId w:val="21"/>
        </w:numPr>
        <w:contextualSpacing/>
      </w:pPr>
      <w:r>
        <w:t>t</w:t>
      </w:r>
      <w:r w:rsidRPr="591A7590">
        <w:t xml:space="preserve">he Secretary or relevant Commonwealth regulator is satisfied that the direction is likely to compel an effective response to address that risk. </w:t>
      </w:r>
    </w:p>
    <w:p w14:paraId="713ADEF9" w14:textId="77777777" w:rsidR="004C3259" w:rsidRPr="0045363E" w:rsidRDefault="004C3259" w:rsidP="00983250">
      <w:pPr>
        <w:pStyle w:val="BodyText"/>
      </w:pPr>
      <w:r w:rsidRPr="591A7590">
        <w:t xml:space="preserve">This directions power would be accompanied by oversight mechanisms. These include the following: </w:t>
      </w:r>
    </w:p>
    <w:p w14:paraId="7A88E7BF" w14:textId="77777777" w:rsidR="004C3259" w:rsidRPr="0045363E" w:rsidRDefault="004C3259" w:rsidP="00510557">
      <w:pPr>
        <w:pStyle w:val="ListParagraph"/>
        <w:numPr>
          <w:ilvl w:val="0"/>
          <w:numId w:val="21"/>
        </w:numPr>
        <w:contextualSpacing/>
      </w:pPr>
      <w:r w:rsidRPr="591A7590">
        <w:t>Before issu</w:t>
      </w:r>
      <w:r>
        <w:t>ing</w:t>
      </w:r>
      <w:r w:rsidRPr="591A7590">
        <w:t xml:space="preserve"> a direction, the Secretary or relevant regulator must give a written notice that states the </w:t>
      </w:r>
      <w:r>
        <w:t>intention</w:t>
      </w:r>
      <w:r w:rsidRPr="591A7590">
        <w:t xml:space="preserve"> to issue a direction, reasons for the direction and invite the entity to respond. </w:t>
      </w:r>
    </w:p>
    <w:p w14:paraId="712F7CCD" w14:textId="77777777" w:rsidR="004C3259" w:rsidRPr="0045363E" w:rsidRDefault="004C3259" w:rsidP="00510557">
      <w:pPr>
        <w:pStyle w:val="ListParagraph"/>
        <w:numPr>
          <w:ilvl w:val="0"/>
          <w:numId w:val="21"/>
        </w:numPr>
        <w:contextualSpacing/>
      </w:pPr>
      <w:r w:rsidRPr="591A7590">
        <w:t>When deciding whether to issue the direction, the Secretary or relevant regulator must consider matters including the entity’s response, any action taken, or proposed to be taken, by the entity to prevent or remedy the non-compliance, as well as the extent and degree of non-compliance.</w:t>
      </w:r>
    </w:p>
    <w:p w14:paraId="45D3AC66" w14:textId="281A4682" w:rsidR="004C3259" w:rsidRPr="00983250" w:rsidRDefault="004C3259" w:rsidP="00983250">
      <w:pPr>
        <w:pStyle w:val="BodyText"/>
      </w:pPr>
      <w:r>
        <w:t xml:space="preserve">Depending on the deficiency, the entity may exercise some discretion in how to comply with the direction. No mechanism currently exists in the civil penalty regime to effectively address wilful non-compliance with RMP requirements. In accordance with the Guide to Framing Commonwealth Offences, Infringement Notices and Enforcement Powers, Measure 3 </w:t>
      </w:r>
      <w:r w:rsidR="62442359">
        <w:t xml:space="preserve">includes </w:t>
      </w:r>
      <w:r>
        <w:t xml:space="preserve">a penalty for non-compliance in line with the existing penalty in the SOCI Act for failure to comply with a direction given under subsection 32(2) </w:t>
      </w:r>
      <w:r w:rsidR="00B35065">
        <w:t>– a</w:t>
      </w:r>
      <w:r>
        <w:t xml:space="preserve"> penalty of 250 penalty units.</w:t>
      </w:r>
    </w:p>
    <w:p w14:paraId="64899C7E" w14:textId="77777777" w:rsidR="004C3259" w:rsidRPr="003C5E4A" w:rsidRDefault="004C3259" w:rsidP="004C3259">
      <w:pPr>
        <w:pStyle w:val="Heading2"/>
        <w:spacing w:before="0"/>
        <w:rPr>
          <w:rFonts w:ascii="Arial" w:hAnsi="Arial"/>
        </w:rPr>
      </w:pPr>
      <w:bookmarkStart w:id="65" w:name="_Toc164683833"/>
      <w:bookmarkStart w:id="66" w:name="_Toc176183935"/>
      <w:r w:rsidRPr="349299C2">
        <w:rPr>
          <w:rFonts w:ascii="Arial" w:hAnsi="Arial"/>
        </w:rPr>
        <w:t>3.3 Option 3: Enhanced collaboration with industry</w:t>
      </w:r>
      <w:bookmarkEnd w:id="65"/>
      <w:bookmarkEnd w:id="66"/>
      <w:r w:rsidRPr="349299C2">
        <w:rPr>
          <w:rFonts w:ascii="Arial" w:hAnsi="Arial"/>
        </w:rPr>
        <w:t xml:space="preserve"> </w:t>
      </w:r>
    </w:p>
    <w:p w14:paraId="0E458D01" w14:textId="1FA485DC" w:rsidR="004C3259" w:rsidRPr="001B0F81" w:rsidRDefault="004C3259" w:rsidP="00D200D3">
      <w:pPr>
        <w:pStyle w:val="BodyText"/>
      </w:pPr>
      <w:r>
        <w:t xml:space="preserve">Option 3 involves enhancing Government’s collaboration with industry, through the TISN. </w:t>
      </w:r>
    </w:p>
    <w:p w14:paraId="1D3F232D" w14:textId="77777777" w:rsidR="004C3259" w:rsidRPr="001B0F81" w:rsidRDefault="004C3259" w:rsidP="00D200D3">
      <w:pPr>
        <w:pStyle w:val="BodyText"/>
      </w:pPr>
      <w:r w:rsidRPr="3DCF9F1A">
        <w:t xml:space="preserve">Under Option 3, there would be no amendment to the SOCI Act or any other legislative framework. Option 3 </w:t>
      </w:r>
      <w:r>
        <w:t>will</w:t>
      </w:r>
      <w:r w:rsidRPr="3DCF9F1A">
        <w:t xml:space="preserve"> include: </w:t>
      </w:r>
    </w:p>
    <w:p w14:paraId="1A353796" w14:textId="77777777" w:rsidR="004C3259" w:rsidRDefault="004C3259" w:rsidP="0015550E">
      <w:pPr>
        <w:pStyle w:val="ListParagraph"/>
        <w:numPr>
          <w:ilvl w:val="0"/>
          <w:numId w:val="116"/>
        </w:numPr>
        <w:contextualSpacing/>
      </w:pPr>
      <w:r w:rsidRPr="00352840">
        <w:t xml:space="preserve">Distribution of guidance on </w:t>
      </w:r>
      <w:r>
        <w:t xml:space="preserve">how entities may capture </w:t>
      </w:r>
      <w:r w:rsidRPr="00352840">
        <w:t>‘business critical data’</w:t>
      </w:r>
      <w:r>
        <w:t xml:space="preserve">, including:  </w:t>
      </w:r>
    </w:p>
    <w:p w14:paraId="06A23EDA" w14:textId="77777777" w:rsidR="004C3259" w:rsidRPr="0015550E" w:rsidRDefault="004C3259" w:rsidP="00C13913">
      <w:pPr>
        <w:pStyle w:val="ListParagraph"/>
        <w:numPr>
          <w:ilvl w:val="0"/>
          <w:numId w:val="117"/>
        </w:numPr>
        <w:rPr>
          <w:rFonts w:ascii="Arial" w:hAnsi="Arial" w:cs="Arial"/>
          <w:szCs w:val="20"/>
        </w:rPr>
      </w:pPr>
      <w:r w:rsidRPr="0015550E">
        <w:rPr>
          <w:rFonts w:ascii="Arial" w:hAnsi="Arial" w:cs="Arial"/>
          <w:szCs w:val="20"/>
        </w:rPr>
        <w:t xml:space="preserve">Suggesting that asset classes consider data storage systems which hold ‘business critical data’ as part of a holistic approach to their broader critical infrastructure asset, where vulnerabilities in these systems could have a ‘relevant impact’ on critical infrastructure. </w:t>
      </w:r>
    </w:p>
    <w:p w14:paraId="1951DE01" w14:textId="77777777" w:rsidR="004C3259" w:rsidRPr="0015550E" w:rsidRDefault="004C3259" w:rsidP="00C13913">
      <w:pPr>
        <w:pStyle w:val="ListParagraph"/>
        <w:numPr>
          <w:ilvl w:val="0"/>
          <w:numId w:val="117"/>
        </w:numPr>
        <w:rPr>
          <w:rFonts w:ascii="Arial" w:hAnsi="Arial" w:cs="Arial"/>
          <w:szCs w:val="20"/>
        </w:rPr>
      </w:pPr>
      <w:r w:rsidRPr="0015550E">
        <w:rPr>
          <w:rFonts w:ascii="Arial" w:hAnsi="Arial" w:cs="Arial"/>
          <w:szCs w:val="20"/>
        </w:rPr>
        <w:t>Encouraging entities to ensure protection of data storage systems holding ‘business critical data’ are part of all-hazard risk mitigation.</w:t>
      </w:r>
    </w:p>
    <w:p w14:paraId="74BE97AA" w14:textId="77777777" w:rsidR="004C3259" w:rsidRPr="00302A0C" w:rsidRDefault="004C3259" w:rsidP="0015550E">
      <w:pPr>
        <w:pStyle w:val="ListParagraph"/>
        <w:numPr>
          <w:ilvl w:val="0"/>
          <w:numId w:val="116"/>
        </w:numPr>
      </w:pPr>
      <w:r w:rsidRPr="00352840">
        <w:t>Increasing Government and industry collaboration to enhance</w:t>
      </w:r>
      <w:r w:rsidRPr="591A7590">
        <w:t xml:space="preserve"> </w:t>
      </w:r>
      <w:r w:rsidR="004450CB">
        <w:t>information sharing</w:t>
      </w:r>
      <w:r w:rsidRPr="0015550E">
        <w:rPr>
          <w:b/>
          <w:bCs/>
        </w:rPr>
        <w:t xml:space="preserve">. </w:t>
      </w:r>
      <w:r w:rsidRPr="00302A0C">
        <w:t xml:space="preserve">This collaboration would include: </w:t>
      </w:r>
    </w:p>
    <w:p w14:paraId="37425DE1" w14:textId="77777777" w:rsidR="00B41750" w:rsidRPr="0015550E" w:rsidRDefault="004C3259" w:rsidP="00C13913">
      <w:pPr>
        <w:pStyle w:val="ListParagraph"/>
        <w:numPr>
          <w:ilvl w:val="0"/>
          <w:numId w:val="118"/>
        </w:numPr>
        <w:rPr>
          <w:rFonts w:ascii="Arial" w:hAnsi="Arial" w:cs="Arial"/>
          <w:szCs w:val="20"/>
        </w:rPr>
      </w:pPr>
      <w:r w:rsidRPr="0015550E">
        <w:rPr>
          <w:rFonts w:ascii="Arial" w:hAnsi="Arial" w:cs="Arial"/>
          <w:szCs w:val="20"/>
        </w:rPr>
        <w:t>Ongoing use of the</w:t>
      </w:r>
      <w:r w:rsidRPr="0015550E" w:rsidDel="00356D86">
        <w:rPr>
          <w:rFonts w:ascii="Arial" w:hAnsi="Arial" w:cs="Arial"/>
          <w:szCs w:val="20"/>
        </w:rPr>
        <w:t xml:space="preserve"> </w:t>
      </w:r>
      <w:r w:rsidRPr="0015550E">
        <w:rPr>
          <w:rFonts w:ascii="Arial" w:hAnsi="Arial" w:cs="Arial"/>
          <w:szCs w:val="20"/>
        </w:rPr>
        <w:t xml:space="preserve">TISN, through its various engagement mechanisms (such as online webinars, site visits, web forms and in-person workshops), allowing industry to engage directly with the Australian Government agency with portfolio responsibility for the relevant sector. </w:t>
      </w:r>
    </w:p>
    <w:p w14:paraId="33A930EA" w14:textId="1EB595D9" w:rsidR="004C3259" w:rsidRPr="0015550E" w:rsidRDefault="004C3259" w:rsidP="0015550E">
      <w:pPr>
        <w:pStyle w:val="ListParagraph"/>
        <w:numPr>
          <w:ilvl w:val="0"/>
          <w:numId w:val="116"/>
        </w:numPr>
        <w:rPr>
          <w:rFonts w:ascii="Arial" w:hAnsi="Arial" w:cs="Arial"/>
          <w:szCs w:val="20"/>
        </w:rPr>
      </w:pPr>
      <w:r w:rsidRPr="00E8506B">
        <w:t xml:space="preserve">Engagement activities focused on incident response strategies, including increasing understanding of consequential impacts of disruption, and encouraging owners and operators to share information on recovery and resilience. </w:t>
      </w:r>
      <w:r w:rsidR="0094375D" w:rsidRPr="00E8506B">
        <w:t xml:space="preserve">Compliance with </w:t>
      </w:r>
      <w:r w:rsidR="00003D34" w:rsidRPr="00E8506B">
        <w:t xml:space="preserve">response </w:t>
      </w:r>
      <w:r w:rsidR="0094375D" w:rsidRPr="00E8506B">
        <w:t>strategies would be voluntary.</w:t>
      </w:r>
    </w:p>
    <w:p w14:paraId="7CC65347" w14:textId="77777777" w:rsidR="004C3259" w:rsidRDefault="004C3259" w:rsidP="00D200D3">
      <w:pPr>
        <w:pStyle w:val="BodyText"/>
      </w:pPr>
      <w:r w:rsidRPr="588BFF1F">
        <w:t xml:space="preserve">The TISN’s online engagement platform, which facilitates discussions across sector groups, can provide a forum for </w:t>
      </w:r>
      <w:r w:rsidRPr="00D200D3">
        <w:t>considering</w:t>
      </w:r>
      <w:r w:rsidRPr="588BFF1F">
        <w:t xml:space="preserve"> impacts on a cross-sector basis, given the increasingly interconnected and independent nature of Australia’s critical infrastructure.</w:t>
      </w:r>
    </w:p>
    <w:p w14:paraId="5F75B590" w14:textId="77777777" w:rsidR="00A567AB" w:rsidRDefault="00A567AB" w:rsidP="00D200D3">
      <w:pPr>
        <w:pStyle w:val="BodyText"/>
      </w:pPr>
    </w:p>
    <w:p w14:paraId="41C34F5F" w14:textId="77777777" w:rsidR="00A567AB" w:rsidRDefault="00A567AB" w:rsidP="00D200D3">
      <w:pPr>
        <w:pStyle w:val="BodyText"/>
      </w:pPr>
    </w:p>
    <w:p w14:paraId="1CB661EC" w14:textId="77777777" w:rsidR="0094375D" w:rsidRDefault="0094375D">
      <w:pPr>
        <w:spacing w:before="80" w:after="80"/>
        <w:rPr>
          <w:rStyle w:val="normaltextrun"/>
          <w:rFonts w:asciiTheme="majorHAnsi" w:eastAsia="Times New Roman" w:hAnsiTheme="majorHAnsi" w:cs="Arial"/>
          <w:b/>
          <w:bCs/>
          <w:sz w:val="32"/>
          <w:szCs w:val="32"/>
          <w:lang w:eastAsia="en-AU"/>
        </w:rPr>
      </w:pPr>
      <w:r>
        <w:rPr>
          <w:rStyle w:val="normaltextrun"/>
          <w:sz w:val="32"/>
          <w:szCs w:val="32"/>
        </w:rPr>
        <w:br w:type="page"/>
      </w:r>
    </w:p>
    <w:p w14:paraId="7CC8C53A" w14:textId="2BD16FAF" w:rsidR="00B44DD5" w:rsidRPr="00C67415" w:rsidRDefault="00B44DD5" w:rsidP="00510557">
      <w:pPr>
        <w:pStyle w:val="Heading1"/>
        <w:numPr>
          <w:ilvl w:val="0"/>
          <w:numId w:val="26"/>
        </w:numPr>
        <w:rPr>
          <w:sz w:val="32"/>
          <w:szCs w:val="32"/>
        </w:rPr>
      </w:pPr>
      <w:bookmarkStart w:id="67" w:name="_Toc176183936"/>
      <w:r w:rsidRPr="00C67415">
        <w:rPr>
          <w:rStyle w:val="normaltextrun"/>
          <w:sz w:val="32"/>
          <w:szCs w:val="32"/>
        </w:rPr>
        <w:t>What is the likely net benefit of each option?</w:t>
      </w:r>
      <w:bookmarkEnd w:id="67"/>
      <w:r w:rsidRPr="00C67415">
        <w:rPr>
          <w:rStyle w:val="eop"/>
          <w:sz w:val="32"/>
          <w:szCs w:val="32"/>
        </w:rPr>
        <w:t> </w:t>
      </w:r>
    </w:p>
    <w:p w14:paraId="3D433A7B" w14:textId="2FD4D339" w:rsidR="00B44DD5" w:rsidRDefault="00B44DD5" w:rsidP="00B44DD5">
      <w:pPr>
        <w:pStyle w:val="BodyText"/>
        <w:rPr>
          <w:rFonts w:ascii="Segoe UI" w:hAnsi="Segoe UI" w:cs="Segoe UI"/>
          <w:sz w:val="18"/>
          <w:szCs w:val="18"/>
        </w:rPr>
      </w:pPr>
      <w:r w:rsidRPr="4F26752A">
        <w:rPr>
          <w:rStyle w:val="normaltextrun"/>
          <w:rFonts w:ascii="Arial" w:hAnsi="Arial"/>
        </w:rPr>
        <w:t>This IA identifies the anticipated costs and benefits arising from the proposed policy options. A comprehensive scan has been conducted of available literature and evidence on the impacts of the proposed regulatory changes to the SOCI Act. This scan has considered the potential benefits and regulatory costs of each policy option. </w:t>
      </w:r>
      <w:r w:rsidRPr="4F26752A">
        <w:rPr>
          <w:rStyle w:val="eop"/>
          <w:rFonts w:ascii="Arial" w:hAnsi="Arial" w:cs="Arial"/>
        </w:rPr>
        <w:t> </w:t>
      </w:r>
    </w:p>
    <w:p w14:paraId="572756A0" w14:textId="5BDBFA96" w:rsidR="00B44DD5" w:rsidRDefault="00B44DD5" w:rsidP="00B44DD5">
      <w:pPr>
        <w:pStyle w:val="BodyText"/>
        <w:rPr>
          <w:rFonts w:ascii="Segoe UI" w:hAnsi="Segoe UI" w:cs="Segoe UI"/>
          <w:sz w:val="18"/>
          <w:szCs w:val="18"/>
        </w:rPr>
      </w:pPr>
      <w:r>
        <w:rPr>
          <w:rStyle w:val="normaltextrun"/>
          <w:rFonts w:ascii="Arial" w:hAnsi="Arial"/>
          <w:szCs w:val="20"/>
        </w:rPr>
        <w:t xml:space="preserve">Consultation with industry on the potential reform measures provided valuable preliminary insights on the anticipated regulatory costs and benefits. A draft version of this IA </w:t>
      </w:r>
      <w:r w:rsidR="00014D9C">
        <w:rPr>
          <w:rStyle w:val="normaltextrun"/>
          <w:rFonts w:ascii="Arial" w:hAnsi="Arial"/>
          <w:szCs w:val="20"/>
        </w:rPr>
        <w:t xml:space="preserve">(in Early Assessment format) </w:t>
      </w:r>
      <w:r>
        <w:rPr>
          <w:rStyle w:val="normaltextrun"/>
          <w:rFonts w:ascii="Arial" w:hAnsi="Arial"/>
          <w:szCs w:val="20"/>
        </w:rPr>
        <w:t>offered an additional opportunity for industry feedback, including on the categories of costs and benefits identified and advice on the rough order of magnitude impacts of the proposed options.</w:t>
      </w:r>
      <w:r>
        <w:rPr>
          <w:rStyle w:val="eop"/>
          <w:rFonts w:ascii="Arial" w:hAnsi="Arial" w:cs="Arial"/>
          <w:szCs w:val="20"/>
        </w:rPr>
        <w:t> </w:t>
      </w:r>
    </w:p>
    <w:p w14:paraId="1B331F14" w14:textId="77777777" w:rsidR="00B44DD5" w:rsidRDefault="00B44DD5" w:rsidP="00B27710">
      <w:pPr>
        <w:pStyle w:val="TableNumber"/>
        <w:numPr>
          <w:ilvl w:val="0"/>
          <w:numId w:val="0"/>
        </w:numPr>
        <w:ind w:left="284" w:hanging="284"/>
        <w:rPr>
          <w:rFonts w:ascii="Segoe UI" w:hAnsi="Segoe UI" w:cs="Segoe UI"/>
          <w:sz w:val="18"/>
          <w:szCs w:val="18"/>
        </w:rPr>
      </w:pPr>
      <w:r>
        <w:rPr>
          <w:rStyle w:val="normaltextrun"/>
          <w:rFonts w:ascii="Arial" w:hAnsi="Arial"/>
          <w:szCs w:val="20"/>
        </w:rPr>
        <w:t>This IA closely analyses written submissions from industry to: </w:t>
      </w:r>
      <w:r>
        <w:rPr>
          <w:rStyle w:val="eop"/>
          <w:rFonts w:ascii="Arial" w:hAnsi="Arial" w:cs="Arial"/>
          <w:szCs w:val="20"/>
        </w:rPr>
        <w:t> </w:t>
      </w:r>
    </w:p>
    <w:p w14:paraId="133C0BC6" w14:textId="77777777" w:rsidR="00B44DD5" w:rsidRDefault="00B44DD5" w:rsidP="00B44DD5">
      <w:pPr>
        <w:pStyle w:val="TableNumber"/>
        <w:rPr>
          <w:rFonts w:cs="Arial"/>
        </w:rPr>
      </w:pPr>
      <w:r>
        <w:rPr>
          <w:rStyle w:val="normaltextrun"/>
          <w:rFonts w:ascii="Arial" w:hAnsi="Arial"/>
          <w:szCs w:val="20"/>
        </w:rPr>
        <w:t>Validate the expected overall impacts; and </w:t>
      </w:r>
      <w:r>
        <w:rPr>
          <w:rStyle w:val="eop"/>
          <w:rFonts w:ascii="Arial" w:hAnsi="Arial" w:cs="Arial"/>
          <w:szCs w:val="20"/>
        </w:rPr>
        <w:t> </w:t>
      </w:r>
    </w:p>
    <w:p w14:paraId="019C65AD" w14:textId="77777777" w:rsidR="00B44DD5" w:rsidRDefault="00B44DD5" w:rsidP="00B44DD5">
      <w:pPr>
        <w:pStyle w:val="TableNumber"/>
        <w:rPr>
          <w:rFonts w:cs="Arial"/>
        </w:rPr>
      </w:pPr>
      <w:r>
        <w:rPr>
          <w:rStyle w:val="normaltextrun"/>
          <w:rFonts w:ascii="Arial" w:hAnsi="Arial"/>
          <w:szCs w:val="20"/>
        </w:rPr>
        <w:t>Better understand and quantify (where possible) the regulatory costs and benefits arising from each option.  </w:t>
      </w:r>
      <w:r>
        <w:rPr>
          <w:rStyle w:val="eop"/>
          <w:rFonts w:ascii="Arial" w:hAnsi="Arial" w:cs="Arial"/>
          <w:szCs w:val="20"/>
        </w:rPr>
        <w:t> </w:t>
      </w:r>
    </w:p>
    <w:p w14:paraId="3952C506" w14:textId="289689F7" w:rsidR="00767DC0" w:rsidRDefault="00B44DD5" w:rsidP="00B44DD5">
      <w:pPr>
        <w:pStyle w:val="BodyText"/>
        <w:rPr>
          <w:rStyle w:val="normaltextrun"/>
          <w:rFonts w:ascii="Arial" w:hAnsi="Arial"/>
        </w:rPr>
      </w:pPr>
      <w:r w:rsidRPr="098AE7E4">
        <w:rPr>
          <w:rStyle w:val="normaltextrun"/>
          <w:rFonts w:ascii="Arial" w:hAnsi="Arial"/>
        </w:rPr>
        <w:t xml:space="preserve">This IA considers the quantitative costs and benefits associated with Option 2, using a breakeven analysis. </w:t>
      </w:r>
      <w:r w:rsidR="00F860D6" w:rsidRPr="098AE7E4">
        <w:rPr>
          <w:rStyle w:val="normaltextrun"/>
          <w:rFonts w:ascii="Arial" w:hAnsi="Arial"/>
        </w:rPr>
        <w:t xml:space="preserve">The anticipated costs and benefits of the option have significant uncertainty about size, frequency, type, sector effects and flow-on impacts beyond the entity initially impacted. Analysis of the option’s total cost and benefit would be </w:t>
      </w:r>
      <w:r w:rsidR="28876816" w:rsidRPr="098AE7E4">
        <w:rPr>
          <w:rStyle w:val="normaltextrun"/>
          <w:rFonts w:ascii="Arial" w:hAnsi="Arial"/>
        </w:rPr>
        <w:t>based on numerous uncertain assumptions</w:t>
      </w:r>
      <w:r w:rsidR="00F860D6" w:rsidRPr="098AE7E4">
        <w:rPr>
          <w:rStyle w:val="normaltextrun"/>
          <w:rFonts w:ascii="Arial" w:hAnsi="Arial"/>
        </w:rPr>
        <w:t xml:space="preserve">. Consequently, this IA has instead used break-even analysis to understand the number of avoided incidents required to at least equal the estimated cost of the option. The break-even analysis also considers costs and benefits with a range of impacts to address the uncertainty about the nature and extent of incidents. </w:t>
      </w:r>
      <w:r w:rsidRPr="098AE7E4">
        <w:rPr>
          <w:rStyle w:val="normaltextrun"/>
          <w:rFonts w:ascii="Arial" w:hAnsi="Arial"/>
        </w:rPr>
        <w:t xml:space="preserve">Qualitative costs and benefits have been included to supplement this analysis. </w:t>
      </w:r>
    </w:p>
    <w:p w14:paraId="67F560E8" w14:textId="327A4F5F" w:rsidR="00B44DD5" w:rsidRDefault="00B44DD5" w:rsidP="00B44DD5">
      <w:pPr>
        <w:pStyle w:val="BodyText"/>
        <w:rPr>
          <w:rFonts w:ascii="Segoe UI" w:hAnsi="Segoe UI" w:cs="Segoe UI"/>
          <w:sz w:val="18"/>
          <w:szCs w:val="18"/>
        </w:rPr>
      </w:pPr>
      <w:r w:rsidRPr="098AE7E4">
        <w:rPr>
          <w:rStyle w:val="normaltextrun"/>
          <w:rFonts w:ascii="Arial" w:hAnsi="Arial"/>
        </w:rPr>
        <w:t>For Option 1 (maintain the status quo) and Option 3 (enhanced collaboration with industry), qualitative costs and benefits have been identified and analysed. </w:t>
      </w:r>
      <w:r w:rsidR="008F0060" w:rsidRPr="098AE7E4">
        <w:rPr>
          <w:rStyle w:val="normaltextrun"/>
          <w:rFonts w:ascii="Arial" w:hAnsi="Arial"/>
        </w:rPr>
        <w:t xml:space="preserve">The nature of the costs and benefits for Option 3 </w:t>
      </w:r>
      <w:r w:rsidR="08DD0CA1" w:rsidRPr="098AE7E4">
        <w:rPr>
          <w:rStyle w:val="normaltextrun"/>
          <w:rFonts w:ascii="Arial" w:hAnsi="Arial"/>
        </w:rPr>
        <w:t>are particularly</w:t>
      </w:r>
      <w:r w:rsidR="008F0060" w:rsidRPr="098AE7E4">
        <w:rPr>
          <w:rStyle w:val="normaltextrun"/>
          <w:rFonts w:ascii="Arial" w:hAnsi="Arial"/>
        </w:rPr>
        <w:t xml:space="preserve"> </w:t>
      </w:r>
      <w:r w:rsidR="00465342" w:rsidRPr="098AE7E4">
        <w:rPr>
          <w:rStyle w:val="normaltextrun"/>
          <w:rFonts w:ascii="Arial" w:hAnsi="Arial"/>
        </w:rPr>
        <w:t>difficult to quantify.</w:t>
      </w:r>
      <w:r w:rsidRPr="098AE7E4">
        <w:rPr>
          <w:rStyle w:val="eop"/>
          <w:rFonts w:ascii="Arial" w:hAnsi="Arial" w:cs="Arial"/>
        </w:rPr>
        <w:t> </w:t>
      </w:r>
      <w:r w:rsidR="00BE36A3" w:rsidRPr="098AE7E4">
        <w:rPr>
          <w:rStyle w:val="eop"/>
          <w:rFonts w:ascii="Arial" w:hAnsi="Arial" w:cs="Arial"/>
        </w:rPr>
        <w:t>Both costs and benefits</w:t>
      </w:r>
      <w:r w:rsidR="00956D96" w:rsidRPr="098AE7E4">
        <w:rPr>
          <w:rStyle w:val="eop"/>
          <w:rFonts w:ascii="Arial" w:hAnsi="Arial" w:cs="Arial"/>
        </w:rPr>
        <w:t xml:space="preserve"> will </w:t>
      </w:r>
      <w:r w:rsidR="00F200C3" w:rsidRPr="098AE7E4">
        <w:rPr>
          <w:rFonts w:ascii="Arial" w:hAnsi="Arial" w:cs="Arial"/>
        </w:rPr>
        <w:t xml:space="preserve">depend on the degree to which </w:t>
      </w:r>
      <w:r w:rsidR="00956D96" w:rsidRPr="098AE7E4">
        <w:rPr>
          <w:rFonts w:ascii="Arial" w:hAnsi="Arial" w:cs="Arial"/>
        </w:rPr>
        <w:t>Responsible Entities</w:t>
      </w:r>
      <w:r w:rsidR="00F200C3" w:rsidRPr="098AE7E4">
        <w:rPr>
          <w:rFonts w:ascii="Arial" w:hAnsi="Arial" w:cs="Arial"/>
        </w:rPr>
        <w:t xml:space="preserve"> decide to enhance their practices (as a result of engagement through TISN)</w:t>
      </w:r>
      <w:r w:rsidR="00B9082D" w:rsidRPr="098AE7E4">
        <w:rPr>
          <w:rFonts w:ascii="Arial" w:hAnsi="Arial" w:cs="Arial"/>
        </w:rPr>
        <w:t xml:space="preserve">, </w:t>
      </w:r>
      <w:r w:rsidR="008863A5" w:rsidRPr="098AE7E4">
        <w:rPr>
          <w:rFonts w:ascii="Arial" w:hAnsi="Arial" w:cs="Arial"/>
        </w:rPr>
        <w:t>and</w:t>
      </w:r>
      <w:r w:rsidR="00B9082D" w:rsidRPr="098AE7E4">
        <w:rPr>
          <w:rFonts w:ascii="Arial" w:hAnsi="Arial" w:cs="Arial"/>
        </w:rPr>
        <w:t xml:space="preserve"> the </w:t>
      </w:r>
      <w:r w:rsidR="00D364FD" w:rsidRPr="098AE7E4">
        <w:rPr>
          <w:rFonts w:ascii="Arial" w:hAnsi="Arial" w:cs="Arial"/>
        </w:rPr>
        <w:t xml:space="preserve">extent to which </w:t>
      </w:r>
      <w:r w:rsidR="00697094" w:rsidRPr="098AE7E4">
        <w:rPr>
          <w:rFonts w:ascii="Arial" w:hAnsi="Arial" w:cs="Arial"/>
        </w:rPr>
        <w:t xml:space="preserve">future </w:t>
      </w:r>
      <w:r w:rsidR="00D364FD" w:rsidRPr="098AE7E4">
        <w:rPr>
          <w:rFonts w:ascii="Arial" w:hAnsi="Arial" w:cs="Arial"/>
        </w:rPr>
        <w:t>incidents</w:t>
      </w:r>
      <w:r w:rsidR="00C81B2F" w:rsidRPr="098AE7E4">
        <w:rPr>
          <w:rFonts w:ascii="Arial" w:hAnsi="Arial" w:cs="Arial"/>
        </w:rPr>
        <w:t xml:space="preserve"> involve </w:t>
      </w:r>
      <w:r w:rsidR="0008797A" w:rsidRPr="098AE7E4">
        <w:rPr>
          <w:rFonts w:ascii="Arial" w:hAnsi="Arial" w:cs="Arial"/>
        </w:rPr>
        <w:t xml:space="preserve">Responsible Entities that have </w:t>
      </w:r>
      <w:r w:rsidR="009C3B00" w:rsidRPr="098AE7E4">
        <w:rPr>
          <w:rFonts w:ascii="Arial" w:hAnsi="Arial" w:cs="Arial"/>
        </w:rPr>
        <w:t xml:space="preserve">voluntarily </w:t>
      </w:r>
      <w:r w:rsidR="008D4C3D" w:rsidRPr="098AE7E4">
        <w:rPr>
          <w:rFonts w:ascii="Arial" w:hAnsi="Arial" w:cs="Arial"/>
        </w:rPr>
        <w:t>enhance</w:t>
      </w:r>
      <w:r w:rsidR="009C3B00" w:rsidRPr="098AE7E4">
        <w:rPr>
          <w:rFonts w:ascii="Arial" w:hAnsi="Arial" w:cs="Arial"/>
        </w:rPr>
        <w:t>d</w:t>
      </w:r>
      <w:r w:rsidR="008D4C3D" w:rsidRPr="098AE7E4">
        <w:rPr>
          <w:rFonts w:ascii="Arial" w:hAnsi="Arial" w:cs="Arial"/>
        </w:rPr>
        <w:t xml:space="preserve"> their practice</w:t>
      </w:r>
      <w:r w:rsidR="009C3B00" w:rsidRPr="098AE7E4">
        <w:rPr>
          <w:rFonts w:ascii="Arial" w:hAnsi="Arial" w:cs="Arial"/>
        </w:rPr>
        <w:t>s</w:t>
      </w:r>
      <w:r w:rsidR="00F200C3" w:rsidRPr="098AE7E4">
        <w:rPr>
          <w:rFonts w:ascii="Arial" w:hAnsi="Arial" w:cs="Arial"/>
        </w:rPr>
        <w:t>.</w:t>
      </w:r>
      <w:r w:rsidR="00A02D5D" w:rsidRPr="098AE7E4">
        <w:rPr>
          <w:rFonts w:ascii="Arial" w:hAnsi="Arial" w:cs="Arial"/>
        </w:rPr>
        <w:t xml:space="preserve"> </w:t>
      </w:r>
      <w:r w:rsidR="008F0364" w:rsidRPr="098AE7E4">
        <w:rPr>
          <w:rFonts w:ascii="Arial" w:hAnsi="Arial" w:cs="Arial"/>
        </w:rPr>
        <w:t xml:space="preserve">Given the </w:t>
      </w:r>
      <w:r w:rsidR="00273F34" w:rsidRPr="098AE7E4">
        <w:rPr>
          <w:rFonts w:ascii="Arial" w:hAnsi="Arial" w:cs="Arial"/>
        </w:rPr>
        <w:t xml:space="preserve">very high degree of uncertainty about </w:t>
      </w:r>
      <w:r w:rsidR="00E415E2" w:rsidRPr="098AE7E4">
        <w:rPr>
          <w:rFonts w:ascii="Arial" w:hAnsi="Arial" w:cs="Arial"/>
        </w:rPr>
        <w:t>the</w:t>
      </w:r>
      <w:r w:rsidR="00147374" w:rsidRPr="098AE7E4">
        <w:rPr>
          <w:rFonts w:ascii="Arial" w:hAnsi="Arial" w:cs="Arial"/>
        </w:rPr>
        <w:t>se</w:t>
      </w:r>
      <w:r w:rsidR="00E415E2" w:rsidRPr="098AE7E4">
        <w:rPr>
          <w:rFonts w:ascii="Arial" w:hAnsi="Arial" w:cs="Arial"/>
        </w:rPr>
        <w:t xml:space="preserve"> factors, </w:t>
      </w:r>
      <w:r w:rsidR="00CB2855" w:rsidRPr="098AE7E4">
        <w:rPr>
          <w:rFonts w:ascii="Arial" w:hAnsi="Arial" w:cs="Arial"/>
        </w:rPr>
        <w:t xml:space="preserve">assessment </w:t>
      </w:r>
      <w:r w:rsidR="003D736C" w:rsidRPr="098AE7E4">
        <w:rPr>
          <w:rFonts w:ascii="Arial" w:hAnsi="Arial" w:cs="Arial"/>
        </w:rPr>
        <w:t xml:space="preserve">of Option 3 </w:t>
      </w:r>
      <w:r w:rsidR="00120433" w:rsidRPr="098AE7E4">
        <w:rPr>
          <w:rFonts w:ascii="Arial" w:hAnsi="Arial" w:cs="Arial"/>
        </w:rPr>
        <w:t xml:space="preserve">has been based on qualitative </w:t>
      </w:r>
      <w:r w:rsidR="00B03770" w:rsidRPr="098AE7E4">
        <w:rPr>
          <w:rFonts w:ascii="Arial" w:hAnsi="Arial" w:cs="Arial"/>
        </w:rPr>
        <w:t>analysis.</w:t>
      </w:r>
    </w:p>
    <w:p w14:paraId="4B9393ED" w14:textId="77777777" w:rsidR="00B44DD5" w:rsidRPr="00FF1B59" w:rsidRDefault="00B44DD5" w:rsidP="00D4662D">
      <w:pPr>
        <w:pStyle w:val="Heading2"/>
        <w:rPr>
          <w:rFonts w:ascii="Segoe UI" w:hAnsi="Segoe UI" w:cs="Segoe UI"/>
          <w:sz w:val="18"/>
          <w:szCs w:val="18"/>
        </w:rPr>
      </w:pPr>
      <w:bookmarkStart w:id="68" w:name="_Toc176183937"/>
      <w:r w:rsidRPr="00FF1B59">
        <w:rPr>
          <w:rStyle w:val="normaltextrun"/>
          <w:rFonts w:ascii="Arial" w:hAnsi="Arial"/>
        </w:rPr>
        <w:t>4.1 Approach to determining costs and benefits</w:t>
      </w:r>
      <w:bookmarkEnd w:id="68"/>
      <w:r w:rsidRPr="00FF1B59">
        <w:rPr>
          <w:rStyle w:val="eop"/>
          <w:rFonts w:ascii="Arial" w:hAnsi="Arial"/>
        </w:rPr>
        <w:t> </w:t>
      </w:r>
    </w:p>
    <w:p w14:paraId="779EC2C3" w14:textId="77777777" w:rsidR="00B44DD5" w:rsidRDefault="00B44DD5" w:rsidP="00D4662D">
      <w:pPr>
        <w:pStyle w:val="BodyText"/>
        <w:rPr>
          <w:rFonts w:ascii="Segoe UI" w:hAnsi="Segoe UI" w:cs="Segoe UI"/>
          <w:sz w:val="18"/>
          <w:szCs w:val="18"/>
        </w:rPr>
      </w:pPr>
      <w:r>
        <w:rPr>
          <w:rStyle w:val="normaltextrun"/>
          <w:rFonts w:ascii="Arial" w:hAnsi="Arial"/>
          <w:szCs w:val="20"/>
        </w:rPr>
        <w:t xml:space="preserve">Costs have been identified by estimating the marginal impact on industry arising from the proposed changes. Analysis includes a mixture of cost quantification (where possible) and evaluation of actual or hypothetical case studies (where the cost impact is uncertain or highly variable in magnitude and frequency). The specific marginal costs associated </w:t>
      </w:r>
      <w:r w:rsidR="000F1C43">
        <w:rPr>
          <w:rStyle w:val="normaltextrun"/>
          <w:rFonts w:ascii="Arial" w:hAnsi="Arial"/>
          <w:szCs w:val="20"/>
        </w:rPr>
        <w:t xml:space="preserve">with </w:t>
      </w:r>
      <w:r>
        <w:rPr>
          <w:rStyle w:val="normaltextrun"/>
          <w:rFonts w:ascii="Arial" w:hAnsi="Arial"/>
          <w:szCs w:val="20"/>
        </w:rPr>
        <w:t>each option is set out in the sections that follow, informed by industry feedback on the type and scale of the costs expected.</w:t>
      </w:r>
      <w:r>
        <w:rPr>
          <w:rStyle w:val="eop"/>
          <w:rFonts w:ascii="Arial" w:hAnsi="Arial" w:cs="Arial"/>
          <w:szCs w:val="20"/>
        </w:rPr>
        <w:t> </w:t>
      </w:r>
    </w:p>
    <w:p w14:paraId="20A2A09D" w14:textId="4D36B19F" w:rsidR="00B44DD5" w:rsidRDefault="00B44DD5" w:rsidP="00D4662D">
      <w:pPr>
        <w:pStyle w:val="BodyText"/>
        <w:rPr>
          <w:rFonts w:ascii="Segoe UI" w:hAnsi="Segoe UI" w:cs="Segoe UI"/>
          <w:sz w:val="18"/>
          <w:szCs w:val="18"/>
        </w:rPr>
      </w:pPr>
      <w:r w:rsidRPr="4F26752A">
        <w:rPr>
          <w:rStyle w:val="normaltextrun"/>
          <w:rFonts w:ascii="Arial" w:hAnsi="Arial"/>
        </w:rPr>
        <w:t>The marginal impact of the proposed options will be borne by entities responsible for critical infrastructure assets who meet the relevant thresholds. Community organisations and individuals are not likely to be directly affected, noting there may be indirect costs passed onto consumers.</w:t>
      </w:r>
      <w:r w:rsidR="00634EC1">
        <w:rPr>
          <w:rStyle w:val="normaltextrun"/>
          <w:rFonts w:ascii="Arial" w:hAnsi="Arial"/>
        </w:rPr>
        <w:t xml:space="preserve"> </w:t>
      </w:r>
      <w:r w:rsidRPr="4F26752A">
        <w:rPr>
          <w:rStyle w:val="normaltextrun"/>
          <w:rFonts w:ascii="Arial" w:hAnsi="Arial"/>
        </w:rPr>
        <w:t xml:space="preserve"> </w:t>
      </w:r>
    </w:p>
    <w:p w14:paraId="19F85E8F" w14:textId="77777777" w:rsidR="00B44DD5" w:rsidRDefault="00B44DD5" w:rsidP="00D4662D">
      <w:pPr>
        <w:pStyle w:val="BodyText"/>
        <w:rPr>
          <w:rFonts w:ascii="Segoe UI" w:hAnsi="Segoe UI" w:cs="Segoe UI"/>
          <w:sz w:val="18"/>
          <w:szCs w:val="18"/>
        </w:rPr>
      </w:pPr>
      <w:r>
        <w:rPr>
          <w:rStyle w:val="normaltextrun"/>
          <w:rFonts w:ascii="Arial" w:hAnsi="Arial"/>
          <w:szCs w:val="20"/>
        </w:rPr>
        <w:t>The benefits of each proposed measure have been identified through examination of potential disruptions arising from an all-hazards threat. The avoidance of these potential events is the principal benefit expected from the potential reform proposals. Disruption to supply, compromise of operation, or other impacts can have a significant cost to the economy. The aim of the proposed reform options is to reduce the frequency and impact of any disruption to availability, integrity, reliability, or confidentiality of critical infrastructure. </w:t>
      </w:r>
      <w:r>
        <w:rPr>
          <w:rStyle w:val="eop"/>
          <w:rFonts w:ascii="Arial" w:hAnsi="Arial" w:cs="Arial"/>
          <w:szCs w:val="20"/>
        </w:rPr>
        <w:t> </w:t>
      </w:r>
    </w:p>
    <w:p w14:paraId="68505E47" w14:textId="77777777" w:rsidR="00B44DD5" w:rsidRDefault="00B44DD5" w:rsidP="00D4662D">
      <w:pPr>
        <w:pStyle w:val="BodyText"/>
        <w:rPr>
          <w:rFonts w:ascii="Segoe UI" w:hAnsi="Segoe UI" w:cs="Segoe UI"/>
          <w:sz w:val="18"/>
          <w:szCs w:val="18"/>
        </w:rPr>
      </w:pPr>
      <w:r>
        <w:rPr>
          <w:rStyle w:val="normaltextrun"/>
          <w:rFonts w:ascii="Arial" w:hAnsi="Arial"/>
          <w:szCs w:val="20"/>
        </w:rPr>
        <w:t>This IA uses examples of all-hazards events to demonstrate the potential direct and indirect (economy-wide) benefits which may arise from the avoidance of an incident. This approach provides sufficient reliable information to substantiate estimated incident costs. The examples demonstrate the potential disruptions to the operation of critical infrastructure assets and consider incidents with varying severities. This is because it may be the case that a series of smaller, less significant disruptions occur over the course of a year accumulate to deliver a resulting disruption equivalent to a severe scenario (e.g. the Optus outage). </w:t>
      </w:r>
      <w:r>
        <w:rPr>
          <w:rStyle w:val="eop"/>
          <w:rFonts w:ascii="Arial" w:hAnsi="Arial" w:cs="Arial"/>
          <w:szCs w:val="20"/>
        </w:rPr>
        <w:t> </w:t>
      </w:r>
    </w:p>
    <w:p w14:paraId="6E3DAAD3" w14:textId="7335FF1B" w:rsidR="00B44DD5" w:rsidRDefault="00B44DD5" w:rsidP="00D4662D">
      <w:pPr>
        <w:pStyle w:val="BodyText"/>
        <w:rPr>
          <w:rFonts w:ascii="Segoe UI" w:hAnsi="Segoe UI" w:cs="Segoe UI"/>
          <w:sz w:val="18"/>
          <w:szCs w:val="18"/>
        </w:rPr>
      </w:pPr>
      <w:r w:rsidRPr="4F26752A">
        <w:rPr>
          <w:rStyle w:val="normaltextrun"/>
          <w:rFonts w:ascii="Arial" w:hAnsi="Arial"/>
        </w:rPr>
        <w:t>The nature of the reforms contemplated under option 2 and 3 mean that</w:t>
      </w:r>
      <w:r w:rsidR="0070055F">
        <w:rPr>
          <w:rStyle w:val="normaltextrun"/>
          <w:rFonts w:ascii="Arial" w:hAnsi="Arial"/>
        </w:rPr>
        <w:t xml:space="preserve"> </w:t>
      </w:r>
      <w:r w:rsidRPr="4F26752A">
        <w:rPr>
          <w:rStyle w:val="normaltextrun"/>
          <w:rFonts w:ascii="Arial" w:hAnsi="Arial"/>
        </w:rPr>
        <w:t xml:space="preserve">benefits are most likely to accrue on a whole-of-economy basis, rather than </w:t>
      </w:r>
      <w:r w:rsidR="004607C5">
        <w:rPr>
          <w:rStyle w:val="normaltextrun"/>
          <w:rFonts w:ascii="Arial" w:hAnsi="Arial"/>
        </w:rPr>
        <w:t xml:space="preserve">only </w:t>
      </w:r>
      <w:r w:rsidRPr="4F26752A">
        <w:rPr>
          <w:rStyle w:val="normaltextrun"/>
          <w:rFonts w:ascii="Arial" w:hAnsi="Arial"/>
        </w:rPr>
        <w:t xml:space="preserve">to individuals </w:t>
      </w:r>
      <w:r w:rsidR="003E5282">
        <w:rPr>
          <w:rStyle w:val="normaltextrun"/>
          <w:rFonts w:ascii="Arial" w:hAnsi="Arial"/>
        </w:rPr>
        <w:t>or individual entities</w:t>
      </w:r>
      <w:r w:rsidR="00E714F8">
        <w:rPr>
          <w:rStyle w:val="normaltextrun"/>
          <w:rFonts w:ascii="Arial" w:hAnsi="Arial"/>
        </w:rPr>
        <w:t>.</w:t>
      </w:r>
      <w:r w:rsidRPr="4F26752A">
        <w:rPr>
          <w:rStyle w:val="normaltextrun"/>
          <w:rFonts w:ascii="Arial" w:hAnsi="Arial"/>
        </w:rPr>
        <w:t xml:space="preserve"> </w:t>
      </w:r>
      <w:r w:rsidR="00D56E65">
        <w:rPr>
          <w:rStyle w:val="normaltextrun"/>
          <w:rFonts w:ascii="Arial" w:hAnsi="Arial"/>
        </w:rPr>
        <w:t>A</w:t>
      </w:r>
      <w:r w:rsidR="00D16F39">
        <w:rPr>
          <w:rStyle w:val="normaltextrun"/>
          <w:rFonts w:ascii="Arial" w:hAnsi="Arial"/>
        </w:rPr>
        <w:t xml:space="preserve">ll-hazard events are </w:t>
      </w:r>
      <w:r w:rsidR="00DE0621">
        <w:rPr>
          <w:rStyle w:val="normaltextrun"/>
          <w:rFonts w:ascii="Arial" w:hAnsi="Arial"/>
        </w:rPr>
        <w:t xml:space="preserve">varied in their type, </w:t>
      </w:r>
      <w:r w:rsidR="00D3081F">
        <w:rPr>
          <w:rStyle w:val="normaltextrun"/>
          <w:rFonts w:ascii="Arial" w:hAnsi="Arial"/>
        </w:rPr>
        <w:t xml:space="preserve">frequency, </w:t>
      </w:r>
      <w:r w:rsidR="00DE0621">
        <w:rPr>
          <w:rStyle w:val="normaltextrun"/>
          <w:rFonts w:ascii="Arial" w:hAnsi="Arial"/>
        </w:rPr>
        <w:t xml:space="preserve">size and </w:t>
      </w:r>
      <w:r w:rsidR="00C01959">
        <w:rPr>
          <w:rStyle w:val="normaltextrun"/>
          <w:rFonts w:ascii="Arial" w:hAnsi="Arial"/>
        </w:rPr>
        <w:t xml:space="preserve">cost </w:t>
      </w:r>
      <w:r w:rsidR="0089539D">
        <w:rPr>
          <w:rStyle w:val="normaltextrun"/>
          <w:rFonts w:ascii="Arial" w:hAnsi="Arial"/>
        </w:rPr>
        <w:t xml:space="preserve">but commonly have an </w:t>
      </w:r>
      <w:r w:rsidR="00DE0621">
        <w:rPr>
          <w:rStyle w:val="normaltextrun"/>
          <w:rFonts w:ascii="Arial" w:hAnsi="Arial"/>
        </w:rPr>
        <w:t>impact beyon</w:t>
      </w:r>
      <w:r w:rsidR="00F4070A">
        <w:rPr>
          <w:rStyle w:val="normaltextrun"/>
          <w:rFonts w:ascii="Arial" w:hAnsi="Arial"/>
        </w:rPr>
        <w:t xml:space="preserve">d the entity initially </w:t>
      </w:r>
      <w:r w:rsidR="0089539D">
        <w:rPr>
          <w:rStyle w:val="normaltextrun"/>
          <w:rFonts w:ascii="Arial" w:hAnsi="Arial"/>
        </w:rPr>
        <w:t>affected.</w:t>
      </w:r>
      <w:r w:rsidRPr="4F26752A">
        <w:rPr>
          <w:rStyle w:val="normaltextrun"/>
          <w:rFonts w:ascii="Arial" w:hAnsi="Arial"/>
        </w:rPr>
        <w:t xml:space="preserve"> As such, costs and benefits throughout this section focus on quantifying (where possible) the whole-of-economy impacts of incidents which may be affected by critical infrastructure assets in Australia (rather than identifying the discrete and possibly intangible costs and benefits for stakeholder groups outside critical infrastructure industry participants). </w:t>
      </w:r>
      <w:r w:rsidRPr="4F26752A">
        <w:rPr>
          <w:rStyle w:val="eop"/>
          <w:rFonts w:ascii="Arial" w:hAnsi="Arial" w:cs="Arial"/>
        </w:rPr>
        <w:t> </w:t>
      </w:r>
    </w:p>
    <w:p w14:paraId="4ECF431C" w14:textId="77777777" w:rsidR="00B44DD5" w:rsidRPr="00FF1B59" w:rsidRDefault="00B44DD5" w:rsidP="00F36DA5">
      <w:pPr>
        <w:pStyle w:val="Heading2"/>
        <w:rPr>
          <w:rFonts w:ascii="Segoe UI" w:hAnsi="Segoe UI" w:cs="Segoe UI"/>
          <w:sz w:val="18"/>
          <w:szCs w:val="18"/>
        </w:rPr>
      </w:pPr>
      <w:bookmarkStart w:id="69" w:name="_Toc176183938"/>
      <w:r w:rsidRPr="00FF1B59">
        <w:rPr>
          <w:rStyle w:val="normaltextrun"/>
          <w:rFonts w:ascii="Arial" w:hAnsi="Arial"/>
        </w:rPr>
        <w:t>4.2 Likely net benefit assessment: Option 1 – Maintain status quo</w:t>
      </w:r>
      <w:bookmarkEnd w:id="69"/>
      <w:r w:rsidRPr="00FF1B59">
        <w:rPr>
          <w:rStyle w:val="eop"/>
          <w:rFonts w:ascii="Arial" w:hAnsi="Arial"/>
        </w:rPr>
        <w:t> </w:t>
      </w:r>
    </w:p>
    <w:p w14:paraId="004E56BA" w14:textId="77777777" w:rsidR="00B44DD5" w:rsidRDefault="00B44DD5" w:rsidP="00F36DA5">
      <w:pPr>
        <w:pStyle w:val="BodyText"/>
        <w:rPr>
          <w:rFonts w:ascii="Segoe UI" w:hAnsi="Segoe UI" w:cs="Segoe UI"/>
          <w:sz w:val="18"/>
          <w:szCs w:val="18"/>
        </w:rPr>
      </w:pPr>
      <w:r>
        <w:rPr>
          <w:rStyle w:val="normaltextrun"/>
          <w:rFonts w:ascii="Arial" w:hAnsi="Arial"/>
          <w:szCs w:val="20"/>
        </w:rPr>
        <w:t>This section outlines the qualitative costs and benefits associated with Option 1, followed by assessment of the likely net benefit derived from Option 1.</w:t>
      </w:r>
      <w:r>
        <w:rPr>
          <w:rStyle w:val="eop"/>
          <w:rFonts w:ascii="Arial" w:hAnsi="Arial" w:cs="Arial"/>
          <w:szCs w:val="20"/>
        </w:rPr>
        <w:t> </w:t>
      </w:r>
    </w:p>
    <w:p w14:paraId="5861D0F8" w14:textId="77777777" w:rsidR="00B44DD5" w:rsidRPr="00FF1B59" w:rsidRDefault="00B44DD5" w:rsidP="00F36DA5">
      <w:pPr>
        <w:pStyle w:val="Heading3"/>
        <w:rPr>
          <w:rFonts w:ascii="Segoe UI" w:hAnsi="Segoe UI" w:cs="Segoe UI"/>
          <w:sz w:val="20"/>
          <w:szCs w:val="18"/>
        </w:rPr>
      </w:pPr>
      <w:bookmarkStart w:id="70" w:name="_Toc176182549"/>
      <w:r w:rsidRPr="00FF1B59">
        <w:rPr>
          <w:rStyle w:val="normaltextrun"/>
          <w:rFonts w:ascii="Arial" w:hAnsi="Arial"/>
          <w:sz w:val="24"/>
        </w:rPr>
        <w:t>4.2.1 Costs of Option 1- Maintain status quo</w:t>
      </w:r>
      <w:bookmarkEnd w:id="70"/>
      <w:r w:rsidRPr="00FF1B59">
        <w:rPr>
          <w:rStyle w:val="eop"/>
          <w:rFonts w:ascii="Arial" w:hAnsi="Arial" w:cs="Arial"/>
          <w:sz w:val="24"/>
        </w:rPr>
        <w:t> </w:t>
      </w:r>
    </w:p>
    <w:p w14:paraId="3B9AAB2A" w14:textId="77777777" w:rsidR="00B44DD5" w:rsidRDefault="00B44DD5" w:rsidP="00F36DA5">
      <w:pPr>
        <w:pStyle w:val="BodyText"/>
        <w:rPr>
          <w:rFonts w:ascii="Segoe UI" w:hAnsi="Segoe UI" w:cs="Segoe UI"/>
          <w:sz w:val="18"/>
          <w:szCs w:val="18"/>
        </w:rPr>
      </w:pPr>
      <w:r>
        <w:rPr>
          <w:rStyle w:val="normaltextrun"/>
          <w:rFonts w:ascii="Arial" w:hAnsi="Arial"/>
          <w:szCs w:val="20"/>
        </w:rPr>
        <w:t>Option 1 provides a baseline for costs and benefits if the status quo is maintained and can be used as a comparator with Options 2 and 3. The most significant cost associated with Option 1 is the ongoing exposure of threats to critical infrastructure which may arise where action is not taken to increase the effectiveness of the SOCI Act through the proposed reforms. </w:t>
      </w:r>
      <w:r>
        <w:rPr>
          <w:rStyle w:val="eop"/>
          <w:rFonts w:ascii="Arial" w:hAnsi="Arial" w:cs="Arial"/>
          <w:szCs w:val="20"/>
        </w:rPr>
        <w:t> </w:t>
      </w:r>
    </w:p>
    <w:p w14:paraId="37A52FCB" w14:textId="1123CB18" w:rsidR="00B44DD5" w:rsidRDefault="00B44DD5" w:rsidP="00F36DA5">
      <w:pPr>
        <w:pStyle w:val="BodyText"/>
        <w:rPr>
          <w:rFonts w:ascii="Segoe UI" w:hAnsi="Segoe UI" w:cs="Segoe UI"/>
          <w:sz w:val="18"/>
          <w:szCs w:val="18"/>
        </w:rPr>
      </w:pPr>
      <w:r w:rsidRPr="4F26752A">
        <w:rPr>
          <w:rStyle w:val="normaltextrun"/>
          <w:rFonts w:ascii="Arial" w:hAnsi="Arial"/>
        </w:rPr>
        <w:t>Option 1 presents risks for individuals and businesses, as gaps in the current regulatory environment may leave them more vulnerable to the impacts of an all-hazards event. For example, the recent Optus outage caused significant disruption to Australians, including an inability for 10 million Australians to access telephone and broadband services, and preventing 228 people from connecting to emergency services</w:t>
      </w:r>
      <w:r w:rsidR="00746E6E">
        <w:rPr>
          <w:rStyle w:val="normaltextrun"/>
          <w:rFonts w:ascii="Arial" w:hAnsi="Arial"/>
        </w:rPr>
        <w:t>.</w:t>
      </w:r>
      <w:r w:rsidR="00F100AA">
        <w:rPr>
          <w:rStyle w:val="superscript"/>
          <w:rFonts w:ascii="Arial" w:hAnsi="Arial" w:cs="Arial"/>
          <w:sz w:val="16"/>
          <w:szCs w:val="16"/>
          <w:vertAlign w:val="superscript"/>
        </w:rPr>
        <w:t>.</w:t>
      </w:r>
      <w:r w:rsidR="00F100AA">
        <w:rPr>
          <w:rStyle w:val="FootnoteReference"/>
          <w:rFonts w:ascii="Arial" w:hAnsi="Arial" w:cs="Arial"/>
          <w:sz w:val="16"/>
          <w:szCs w:val="16"/>
        </w:rPr>
        <w:footnoteReference w:id="27"/>
      </w:r>
      <w:r w:rsidRPr="4F26752A">
        <w:rPr>
          <w:rStyle w:val="normaltextrun"/>
          <w:rFonts w:ascii="Arial" w:hAnsi="Arial"/>
        </w:rPr>
        <w:t xml:space="preserve"> Similarly, the Medibank cyber incident resulted in 9.7 million Australians having their personal records stolen, including names, dates of birth, Medicare numbers, and sensitive medical information</w:t>
      </w:r>
      <w:r w:rsidR="002409BA">
        <w:rPr>
          <w:rStyle w:val="superscript"/>
          <w:rFonts w:cs="Arial"/>
          <w:sz w:val="17"/>
          <w:szCs w:val="17"/>
          <w:vertAlign w:val="superscript"/>
        </w:rPr>
        <w:t>.</w:t>
      </w:r>
      <w:r w:rsidR="002409BA">
        <w:rPr>
          <w:rStyle w:val="FootnoteReference"/>
          <w:rFonts w:cs="Arial"/>
          <w:sz w:val="17"/>
          <w:szCs w:val="17"/>
        </w:rPr>
        <w:footnoteReference w:id="28"/>
      </w:r>
      <w:r w:rsidR="008A7730">
        <w:rPr>
          <w:rStyle w:val="superscript"/>
          <w:rFonts w:cs="Arial"/>
          <w:sz w:val="17"/>
          <w:szCs w:val="17"/>
          <w:vertAlign w:val="superscript"/>
        </w:rPr>
        <w:t xml:space="preserve">. </w:t>
      </w:r>
      <w:r w:rsidR="008A7730">
        <w:rPr>
          <w:rStyle w:val="normaltextrun"/>
          <w:rFonts w:ascii="Arial" w:hAnsi="Arial"/>
        </w:rPr>
        <w:t>Where</w:t>
      </w:r>
      <w:r w:rsidRPr="4F26752A">
        <w:rPr>
          <w:rStyle w:val="normaltextrun"/>
          <w:rFonts w:ascii="Arial" w:hAnsi="Arial"/>
        </w:rPr>
        <w:t xml:space="preserve"> the status quo is maintained, industry and the Australian economy as a whole may be more likely to incur costs such as these, depending on the severity, frequency of and responses to the disruption.</w:t>
      </w:r>
      <w:r w:rsidRPr="4F26752A">
        <w:rPr>
          <w:rStyle w:val="eop"/>
          <w:rFonts w:ascii="Arial" w:hAnsi="Arial" w:cs="Arial"/>
        </w:rPr>
        <w:t> </w:t>
      </w:r>
    </w:p>
    <w:p w14:paraId="572747CD" w14:textId="77777777" w:rsidR="00B44DD5" w:rsidRDefault="00B44DD5" w:rsidP="00F36DA5">
      <w:pPr>
        <w:pStyle w:val="BodyText"/>
        <w:rPr>
          <w:rFonts w:ascii="Segoe UI" w:hAnsi="Segoe UI" w:cs="Segoe UI"/>
          <w:sz w:val="18"/>
          <w:szCs w:val="18"/>
        </w:rPr>
      </w:pPr>
      <w:r>
        <w:rPr>
          <w:rStyle w:val="normaltextrun"/>
          <w:rFonts w:ascii="Arial" w:hAnsi="Arial"/>
          <w:szCs w:val="20"/>
        </w:rPr>
        <w:t>Beyond potential costs to industry, other stakeholders may incur the following costs under Option 1: </w:t>
      </w:r>
      <w:r>
        <w:rPr>
          <w:rStyle w:val="eop"/>
          <w:rFonts w:ascii="Arial" w:hAnsi="Arial" w:cs="Arial"/>
          <w:szCs w:val="20"/>
        </w:rPr>
        <w:t> </w:t>
      </w:r>
    </w:p>
    <w:p w14:paraId="18FA6123" w14:textId="77777777" w:rsidR="00B44DD5" w:rsidRDefault="00B44DD5" w:rsidP="00510557">
      <w:pPr>
        <w:pStyle w:val="ListParagraph"/>
        <w:numPr>
          <w:ilvl w:val="0"/>
          <w:numId w:val="21"/>
        </w:numPr>
        <w:contextualSpacing/>
        <w:rPr>
          <w:rFonts w:cs="Arial"/>
        </w:rPr>
      </w:pPr>
      <w:r>
        <w:rPr>
          <w:rStyle w:val="normaltextrun"/>
          <w:rFonts w:ascii="Arial" w:hAnsi="Arial"/>
          <w:b/>
          <w:bCs/>
          <w:szCs w:val="20"/>
        </w:rPr>
        <w:t>Individuals</w:t>
      </w:r>
      <w:r>
        <w:rPr>
          <w:rStyle w:val="normaltextrun"/>
          <w:rFonts w:ascii="Arial" w:hAnsi="Arial"/>
          <w:szCs w:val="20"/>
        </w:rPr>
        <w:t>: </w:t>
      </w:r>
      <w:r>
        <w:rPr>
          <w:rStyle w:val="eop"/>
          <w:rFonts w:ascii="Arial" w:hAnsi="Arial" w:cs="Arial"/>
          <w:szCs w:val="20"/>
        </w:rPr>
        <w:t> </w:t>
      </w:r>
    </w:p>
    <w:p w14:paraId="586D3123" w14:textId="77777777" w:rsidR="00B44DD5" w:rsidRDefault="00B44DD5" w:rsidP="00510557">
      <w:pPr>
        <w:pStyle w:val="ListParagraph"/>
        <w:numPr>
          <w:ilvl w:val="1"/>
          <w:numId w:val="34"/>
        </w:numPr>
        <w:spacing w:before="0" w:line="240" w:lineRule="auto"/>
        <w:ind w:left="697" w:hanging="357"/>
        <w:rPr>
          <w:rFonts w:ascii="Arial" w:hAnsi="Arial" w:cs="Arial"/>
          <w:szCs w:val="20"/>
        </w:rPr>
      </w:pPr>
      <w:r>
        <w:rPr>
          <w:rStyle w:val="normaltextrun"/>
          <w:rFonts w:ascii="Arial" w:hAnsi="Arial"/>
          <w:szCs w:val="20"/>
        </w:rPr>
        <w:t>Gaps in the current regulatory environment may leave individuals more vulnerable to the impacts of an all-hazards event including, for example, data breaches or inhibited access to essential services. </w:t>
      </w:r>
      <w:r>
        <w:rPr>
          <w:rStyle w:val="eop"/>
          <w:rFonts w:ascii="Arial" w:hAnsi="Arial" w:cs="Arial"/>
          <w:szCs w:val="20"/>
        </w:rPr>
        <w:t> </w:t>
      </w:r>
    </w:p>
    <w:p w14:paraId="7002F91C" w14:textId="77777777" w:rsidR="00B44DD5" w:rsidRDefault="00B44DD5" w:rsidP="00510557">
      <w:pPr>
        <w:pStyle w:val="ListParagraph"/>
        <w:numPr>
          <w:ilvl w:val="0"/>
          <w:numId w:val="21"/>
        </w:numPr>
        <w:contextualSpacing/>
        <w:rPr>
          <w:rFonts w:cs="Arial"/>
        </w:rPr>
      </w:pPr>
      <w:r>
        <w:rPr>
          <w:rStyle w:val="normaltextrun"/>
          <w:rFonts w:ascii="Arial" w:hAnsi="Arial"/>
          <w:b/>
          <w:bCs/>
          <w:szCs w:val="20"/>
        </w:rPr>
        <w:t>Government:</w:t>
      </w:r>
      <w:r>
        <w:rPr>
          <w:rStyle w:val="normaltextrun"/>
          <w:rFonts w:ascii="Arial" w:hAnsi="Arial"/>
          <w:szCs w:val="20"/>
        </w:rPr>
        <w:t> </w:t>
      </w:r>
      <w:r>
        <w:rPr>
          <w:rStyle w:val="eop"/>
          <w:rFonts w:ascii="Arial" w:hAnsi="Arial" w:cs="Arial"/>
          <w:szCs w:val="20"/>
        </w:rPr>
        <w:t> </w:t>
      </w:r>
    </w:p>
    <w:p w14:paraId="3D1B8881" w14:textId="77777777" w:rsidR="00B44DD5" w:rsidRDefault="00B44DD5" w:rsidP="00510557">
      <w:pPr>
        <w:pStyle w:val="ListParagraph"/>
        <w:numPr>
          <w:ilvl w:val="1"/>
          <w:numId w:val="34"/>
        </w:numPr>
        <w:spacing w:before="0" w:line="240" w:lineRule="auto"/>
        <w:ind w:left="697" w:hanging="357"/>
        <w:rPr>
          <w:rFonts w:ascii="Arial" w:hAnsi="Arial" w:cs="Arial"/>
          <w:szCs w:val="20"/>
        </w:rPr>
      </w:pPr>
      <w:r>
        <w:rPr>
          <w:rStyle w:val="normaltextrun"/>
          <w:rFonts w:ascii="Arial" w:hAnsi="Arial"/>
          <w:szCs w:val="20"/>
        </w:rPr>
        <w:t>The realisation of an all-hazards event which can be linked to gaps in the existing regulatory framework present a significant reputational risk to the Australian Government. This danger arises from increased risks to individuals, community, and the environment. </w:t>
      </w:r>
      <w:r>
        <w:rPr>
          <w:rStyle w:val="eop"/>
          <w:rFonts w:ascii="Arial" w:hAnsi="Arial" w:cs="Arial"/>
          <w:szCs w:val="20"/>
        </w:rPr>
        <w:t> </w:t>
      </w:r>
    </w:p>
    <w:p w14:paraId="645094E7" w14:textId="77777777" w:rsidR="00B44DD5" w:rsidRDefault="00B44DD5" w:rsidP="00510557">
      <w:pPr>
        <w:pStyle w:val="ListParagraph"/>
        <w:numPr>
          <w:ilvl w:val="1"/>
          <w:numId w:val="34"/>
        </w:numPr>
        <w:spacing w:before="0" w:line="240" w:lineRule="auto"/>
        <w:ind w:left="697" w:hanging="357"/>
        <w:rPr>
          <w:rFonts w:ascii="Arial" w:hAnsi="Arial" w:cs="Arial"/>
          <w:szCs w:val="20"/>
        </w:rPr>
      </w:pPr>
      <w:r>
        <w:rPr>
          <w:rStyle w:val="normaltextrun"/>
          <w:rFonts w:ascii="Arial" w:hAnsi="Arial"/>
          <w:szCs w:val="20"/>
        </w:rPr>
        <w:t>From an operational perspective, the status quo limits Government’s ability to intervene at appropriate points to support recovery and facilitate industry-led responses in the aftermath of an incident. </w:t>
      </w:r>
      <w:r>
        <w:rPr>
          <w:rStyle w:val="eop"/>
          <w:rFonts w:ascii="Arial" w:hAnsi="Arial" w:cs="Arial"/>
          <w:szCs w:val="20"/>
        </w:rPr>
        <w:t> </w:t>
      </w:r>
    </w:p>
    <w:p w14:paraId="026D4C2C" w14:textId="77777777" w:rsidR="00B44DD5" w:rsidRPr="00FF1B59" w:rsidRDefault="00B44DD5" w:rsidP="00F36DA5">
      <w:pPr>
        <w:pStyle w:val="Heading3"/>
        <w:rPr>
          <w:rFonts w:ascii="Segoe UI" w:hAnsi="Segoe UI" w:cs="Segoe UI"/>
          <w:sz w:val="20"/>
          <w:szCs w:val="18"/>
        </w:rPr>
      </w:pPr>
      <w:bookmarkStart w:id="71" w:name="_Toc176182550"/>
      <w:r w:rsidRPr="00FF1B59">
        <w:rPr>
          <w:rStyle w:val="normaltextrun"/>
          <w:rFonts w:ascii="Arial" w:hAnsi="Arial"/>
          <w:sz w:val="24"/>
        </w:rPr>
        <w:t>4.2.2 Benefits of Option 1- Maintain status quo</w:t>
      </w:r>
      <w:bookmarkEnd w:id="71"/>
      <w:r w:rsidRPr="00FF1B59">
        <w:rPr>
          <w:rStyle w:val="eop"/>
          <w:rFonts w:ascii="Arial" w:hAnsi="Arial" w:cs="Arial"/>
          <w:sz w:val="24"/>
        </w:rPr>
        <w:t> </w:t>
      </w:r>
    </w:p>
    <w:p w14:paraId="360FD6D4" w14:textId="77777777" w:rsidR="00B44DD5" w:rsidRPr="00F36DA5" w:rsidRDefault="00B44DD5" w:rsidP="00F36DA5">
      <w:pPr>
        <w:pStyle w:val="BodyText"/>
      </w:pPr>
      <w:r w:rsidRPr="00F36DA5">
        <w:rPr>
          <w:rStyle w:val="normaltextrun"/>
        </w:rPr>
        <w:t>Under Option 1, individuals, industry, and Government may benefit from ongoing operation in a familiar, consistent regulatory environment, with no additional regulatory costs. Industry will also be afforded the flexibility to address all-hazard threats in a manner they see fit. </w:t>
      </w:r>
      <w:r w:rsidRPr="00F36DA5">
        <w:rPr>
          <w:rStyle w:val="eop"/>
        </w:rPr>
        <w:t> </w:t>
      </w:r>
    </w:p>
    <w:p w14:paraId="18B14841" w14:textId="77777777" w:rsidR="00B44DD5" w:rsidRPr="00FF1B59" w:rsidRDefault="00B44DD5" w:rsidP="00F36DA5">
      <w:pPr>
        <w:pStyle w:val="Heading3"/>
        <w:rPr>
          <w:rFonts w:ascii="Segoe UI" w:hAnsi="Segoe UI" w:cs="Segoe UI"/>
          <w:sz w:val="20"/>
          <w:szCs w:val="18"/>
        </w:rPr>
      </w:pPr>
      <w:bookmarkStart w:id="72" w:name="_Toc176182551"/>
      <w:r w:rsidRPr="00FF1B59">
        <w:rPr>
          <w:rStyle w:val="normaltextrun"/>
          <w:rFonts w:ascii="Arial" w:hAnsi="Arial"/>
          <w:sz w:val="24"/>
        </w:rPr>
        <w:t>4.2.3 Likely net benefit of Option 1 - Maintain status quo</w:t>
      </w:r>
      <w:bookmarkEnd w:id="72"/>
      <w:r w:rsidRPr="00FF1B59">
        <w:rPr>
          <w:rStyle w:val="eop"/>
          <w:rFonts w:ascii="Arial" w:hAnsi="Arial" w:cs="Arial"/>
          <w:sz w:val="24"/>
        </w:rPr>
        <w:t> </w:t>
      </w:r>
    </w:p>
    <w:p w14:paraId="642DA9CC" w14:textId="77777777" w:rsidR="00F36DA5" w:rsidRDefault="00B44DD5" w:rsidP="00C67415">
      <w:pPr>
        <w:pStyle w:val="BodyText"/>
      </w:pPr>
      <w:r w:rsidRPr="00F36DA5">
        <w:rPr>
          <w:rStyle w:val="normaltextrun"/>
        </w:rPr>
        <w:t>Arguments put forward throughout this IA demonstrate that Option 1 is not capable of addressing the gaps which have been identified in the SOCI Act, as this option involves no change to the Act or broader regulatory environment. While, under the status quo, industry will face no increase in regulatory costs, stakeholders will suffer the forgone benefit of consistent and clear regulation, as well as agile, industry-led responses, in the aftermath of an incident. Without the benefit of addressing these gaps, critical infrastructure is left more vulnerable to a growing threat of incidents. Industry may face the increased likelihood and consequences of all-hazard incidents. </w:t>
      </w:r>
      <w:r w:rsidRPr="00F36DA5">
        <w:rPr>
          <w:rStyle w:val="eop"/>
        </w:rPr>
        <w:t> </w:t>
      </w:r>
    </w:p>
    <w:p w14:paraId="46D7DC30" w14:textId="77777777" w:rsidR="00F36DA5" w:rsidRPr="00E171F2" w:rsidRDefault="00E171F2" w:rsidP="00E171F2">
      <w:pPr>
        <w:pStyle w:val="Heading2"/>
        <w:rPr>
          <w:rStyle w:val="normaltextrun"/>
          <w:rFonts w:ascii="Arial" w:hAnsi="Arial"/>
        </w:rPr>
      </w:pPr>
      <w:bookmarkStart w:id="73" w:name="_Toc176183939"/>
      <w:r>
        <w:rPr>
          <w:rStyle w:val="normaltextrun"/>
        </w:rPr>
        <w:t xml:space="preserve">4.3 </w:t>
      </w:r>
      <w:r w:rsidR="00F36DA5" w:rsidRPr="00E171F2">
        <w:rPr>
          <w:rStyle w:val="normaltextrun"/>
        </w:rPr>
        <w:t>Likely net benefit: Option 2 – Legislative Reforms</w:t>
      </w:r>
      <w:bookmarkEnd w:id="73"/>
      <w:r w:rsidR="00F36DA5" w:rsidRPr="00E171F2">
        <w:rPr>
          <w:rStyle w:val="normaltextrun"/>
        </w:rPr>
        <w:t> </w:t>
      </w:r>
    </w:p>
    <w:p w14:paraId="6226F88C" w14:textId="77777777" w:rsidR="00F36DA5" w:rsidRPr="00F36DA5" w:rsidRDefault="00F36DA5" w:rsidP="00E171F2">
      <w:pPr>
        <w:pStyle w:val="BodyText"/>
        <w:rPr>
          <w:rFonts w:ascii="Segoe UI" w:hAnsi="Segoe UI" w:cs="Segoe UI"/>
          <w:sz w:val="18"/>
          <w:szCs w:val="18"/>
        </w:rPr>
      </w:pPr>
      <w:r w:rsidRPr="00F36DA5">
        <w:t>The following section details the costs and benefits associated with Option 2 followed by assessment of the overall likely net benefit presented by this option. The nature of the measures captured under Option 2 means this analysis focuses on considering the potential impacts to industry (noting any potential impacts on individuals and Government where relevant).  </w:t>
      </w:r>
    </w:p>
    <w:p w14:paraId="0C1A0E45" w14:textId="77777777" w:rsidR="00F36DA5" w:rsidRPr="00FF1B59" w:rsidRDefault="00F36DA5" w:rsidP="00E171F2">
      <w:pPr>
        <w:pStyle w:val="Heading3"/>
        <w:rPr>
          <w:rFonts w:ascii="Segoe UI" w:hAnsi="Segoe UI" w:cs="Segoe UI"/>
          <w:sz w:val="20"/>
          <w:szCs w:val="18"/>
        </w:rPr>
      </w:pPr>
      <w:bookmarkStart w:id="74" w:name="_Toc176182553"/>
      <w:r w:rsidRPr="00FF1B59">
        <w:rPr>
          <w:sz w:val="24"/>
        </w:rPr>
        <w:t>4.3.1 Costs of Option 2 – Legislative Reforms</w:t>
      </w:r>
      <w:bookmarkEnd w:id="74"/>
      <w:r w:rsidRPr="00FF1B59">
        <w:rPr>
          <w:sz w:val="24"/>
        </w:rPr>
        <w:t> </w:t>
      </w:r>
    </w:p>
    <w:p w14:paraId="5EA226C2" w14:textId="77777777" w:rsidR="00F36DA5" w:rsidRPr="00F36DA5" w:rsidRDefault="00F36DA5" w:rsidP="00E171F2">
      <w:pPr>
        <w:pStyle w:val="BodyText"/>
        <w:rPr>
          <w:rFonts w:ascii="Segoe UI" w:hAnsi="Segoe UI" w:cs="Segoe UI"/>
          <w:sz w:val="18"/>
          <w:szCs w:val="18"/>
        </w:rPr>
      </w:pPr>
      <w:r w:rsidRPr="00F36DA5">
        <w:t>This section identifies indicative costs associated with each of the three measures contemplated under Option 2. </w:t>
      </w:r>
    </w:p>
    <w:p w14:paraId="0DB5DB70" w14:textId="77777777" w:rsidR="00F36DA5" w:rsidRPr="00F36DA5" w:rsidRDefault="00F36DA5" w:rsidP="00E171F2">
      <w:pPr>
        <w:pStyle w:val="Heading4"/>
        <w:rPr>
          <w:rFonts w:ascii="Segoe UI" w:hAnsi="Segoe UI" w:cs="Segoe UI"/>
          <w:sz w:val="18"/>
          <w:szCs w:val="18"/>
        </w:rPr>
      </w:pPr>
      <w:r w:rsidRPr="00F36DA5">
        <w:t>Determining costs of Measure 1 - Amend definitions to ensure capture of ‘business critical data’ </w:t>
      </w:r>
    </w:p>
    <w:p w14:paraId="14B00DF0" w14:textId="77777777" w:rsidR="00F36DA5" w:rsidRPr="00F36DA5" w:rsidRDefault="00F36DA5" w:rsidP="00E171F2">
      <w:pPr>
        <w:pStyle w:val="BodyText"/>
        <w:rPr>
          <w:rFonts w:ascii="Segoe UI" w:hAnsi="Segoe UI" w:cs="Segoe UI"/>
          <w:sz w:val="18"/>
          <w:szCs w:val="18"/>
        </w:rPr>
      </w:pPr>
      <w:r w:rsidRPr="00F36DA5">
        <w:t>Measure 1 involves amendment of definitions to ensure capture of ‘business critical data’. Industry were invited to provide cost estimates on the following basis:  </w:t>
      </w:r>
    </w:p>
    <w:p w14:paraId="41137725" w14:textId="77777777" w:rsidR="00F36DA5" w:rsidRPr="00F36DA5" w:rsidRDefault="00F36DA5" w:rsidP="00510557">
      <w:pPr>
        <w:pStyle w:val="ListParagraph"/>
        <w:numPr>
          <w:ilvl w:val="0"/>
          <w:numId w:val="21"/>
        </w:numPr>
        <w:contextualSpacing/>
      </w:pPr>
      <w:r w:rsidRPr="00F36DA5">
        <w:t>Exclusive of any staff effort or costs already incurred or planned to be incurred for existing risk management activities.  </w:t>
      </w:r>
    </w:p>
    <w:p w14:paraId="22CEA0CF" w14:textId="77777777" w:rsidR="00F36DA5" w:rsidRPr="00F36DA5" w:rsidRDefault="00F36DA5" w:rsidP="00510557">
      <w:pPr>
        <w:pStyle w:val="ListParagraph"/>
        <w:numPr>
          <w:ilvl w:val="0"/>
          <w:numId w:val="21"/>
        </w:numPr>
        <w:contextualSpacing/>
      </w:pPr>
      <w:r w:rsidRPr="00F36DA5">
        <w:t>Provision of rough order of magnitude (ROM) estimates on the marginal impact on staff effort, capital and operating costs attached to Measure 1.  </w:t>
      </w:r>
    </w:p>
    <w:p w14:paraId="6BFBDAEC" w14:textId="77777777" w:rsidR="00F36DA5" w:rsidRPr="00F36DA5" w:rsidRDefault="00F36DA5" w:rsidP="00510557">
      <w:pPr>
        <w:pStyle w:val="ListParagraph"/>
        <w:numPr>
          <w:ilvl w:val="0"/>
          <w:numId w:val="21"/>
        </w:numPr>
        <w:contextualSpacing/>
      </w:pPr>
      <w:r w:rsidRPr="00F36DA5">
        <w:t>ROM estimates reflect the inherent uncertainty of the cost impacts on responsible entities prior to implementation of Measure 1.  </w:t>
      </w:r>
    </w:p>
    <w:p w14:paraId="380A72A4" w14:textId="77777777" w:rsidR="00F36DA5" w:rsidRPr="00F36DA5" w:rsidRDefault="00F36DA5" w:rsidP="00510557">
      <w:pPr>
        <w:pStyle w:val="ListParagraph"/>
        <w:numPr>
          <w:ilvl w:val="0"/>
          <w:numId w:val="21"/>
        </w:numPr>
        <w:contextualSpacing/>
      </w:pPr>
      <w:r w:rsidRPr="00F36DA5">
        <w:t>Where uncertainty about the cost impact prevents a point estimate being provided, estimate the range of impact arising from Measure 1. The low-end range should reflect the expected cost impact. The high-end range should reflect an estimate of the ‘highest feasible’ cost impact. </w:t>
      </w:r>
    </w:p>
    <w:p w14:paraId="03DCCE6E" w14:textId="77777777" w:rsidR="00F36DA5" w:rsidRPr="00F36DA5" w:rsidRDefault="00F36DA5" w:rsidP="00E171F2">
      <w:pPr>
        <w:pStyle w:val="Heading4"/>
        <w:rPr>
          <w:rFonts w:ascii="Segoe UI" w:hAnsi="Segoe UI" w:cs="Segoe UI"/>
          <w:sz w:val="18"/>
          <w:szCs w:val="18"/>
        </w:rPr>
      </w:pPr>
      <w:r w:rsidRPr="00F36DA5">
        <w:t>Costs of Measure 1 - Amend definitions to ensure capture of ‘business critical data’ </w:t>
      </w:r>
    </w:p>
    <w:p w14:paraId="48E80510" w14:textId="25757EC7" w:rsidR="00F36DA5" w:rsidRPr="00F36DA5" w:rsidRDefault="00F36DA5" w:rsidP="00E171F2">
      <w:pPr>
        <w:pStyle w:val="BodyText"/>
        <w:rPr>
          <w:rFonts w:ascii="Segoe UI" w:hAnsi="Segoe UI" w:cs="Segoe UI"/>
          <w:sz w:val="18"/>
          <w:szCs w:val="18"/>
        </w:rPr>
      </w:pPr>
      <w:r>
        <w:t xml:space="preserve">It is expected the requirement to capture ‘business critical data’ in risk management activities will not have a material impact on costs incurred by industry. </w:t>
      </w:r>
      <w:r w:rsidR="7D7451F8">
        <w:t xml:space="preserve">During consultation on the Consultation </w:t>
      </w:r>
      <w:r w:rsidR="005D4470">
        <w:t>P</w:t>
      </w:r>
      <w:r w:rsidR="7D7451F8">
        <w:t>aper and a draft version of th</w:t>
      </w:r>
      <w:r w:rsidR="005D4470">
        <w:t>is</w:t>
      </w:r>
      <w:r w:rsidR="7D7451F8">
        <w:t xml:space="preserve"> IA, numerous entities reported that they already protect</w:t>
      </w:r>
      <w:r>
        <w:t xml:space="preserve"> systems and networks that hold ‘business critical data’ through existing SOCI Act risk management program requirements. Outside of the SOCI Act, entities may also be required to protect ‘business critical data’ as a result of regulation under a regime other than the SOCI Act</w:t>
      </w:r>
      <w:r w:rsidR="00597B98">
        <w:t xml:space="preserve"> -</w:t>
      </w:r>
      <w:r>
        <w:t xml:space="preserve"> for example</w:t>
      </w:r>
      <w:r w:rsidR="00597B98">
        <w:t>,</w:t>
      </w:r>
      <w:r>
        <w:t xml:space="preserve"> data protected under the </w:t>
      </w:r>
      <w:r w:rsidRPr="4F26752A">
        <w:rPr>
          <w:i/>
          <w:iCs/>
        </w:rPr>
        <w:t>Privacy Act 1998</w:t>
      </w:r>
      <w:r>
        <w:t>. Therefore, the new proposed requirement under the SOCI Act would, for many entities, not result in an additional cost burden because effort (and cost) incurred to protect ‘business critical data’ is already occurring.  </w:t>
      </w:r>
    </w:p>
    <w:p w14:paraId="08170C02" w14:textId="77777777" w:rsidR="00F36DA5" w:rsidRPr="00F36DA5" w:rsidRDefault="528103AE" w:rsidP="00E171F2">
      <w:pPr>
        <w:pStyle w:val="BodyText"/>
        <w:rPr>
          <w:rFonts w:ascii="Segoe UI" w:hAnsi="Segoe UI" w:cs="Segoe UI"/>
          <w:sz w:val="18"/>
          <w:szCs w:val="18"/>
        </w:rPr>
      </w:pPr>
      <w:r>
        <w:t>Where this is not the case, compliance with the proposal may require some additional effort but should not require the development or application of fundamentally different or new processes or standards. Risk management processes are typically applied at an enterprise-wide level and so the expanded definition is not expected to materially increase the cost of regulatory compliance beyond baseline compliance costs under the SOCI Act. Only the marginal cost uplift arising from the proposed reforms needs to be considered by this IA. Based on this analysis, the associated costs are expected to be low relative to existing costs of compliance with SOCI Act obligations.  </w:t>
      </w:r>
    </w:p>
    <w:p w14:paraId="7734705B" w14:textId="77777777" w:rsidR="00F36DA5" w:rsidRPr="00F36DA5" w:rsidRDefault="00F36DA5" w:rsidP="00E171F2">
      <w:pPr>
        <w:pStyle w:val="BodyText"/>
        <w:rPr>
          <w:rFonts w:ascii="Segoe UI" w:hAnsi="Segoe UI" w:cs="Segoe UI"/>
          <w:sz w:val="18"/>
          <w:szCs w:val="18"/>
        </w:rPr>
      </w:pPr>
      <w:r w:rsidRPr="00F36DA5">
        <w:t>Further, data gathered as part of the 2022 RIS included a range of costs from industry (from expected cost of compliance to the highest feasible cost of compliance with the RMP obligation). These cost ranges provided by industry allowed for identification of a quantified cost base, which has been used as the basis for quantified costs related to the current reform package. This is because:  </w:t>
      </w:r>
    </w:p>
    <w:p w14:paraId="31C745C6" w14:textId="77777777" w:rsidR="00F36DA5" w:rsidRPr="00F36DA5" w:rsidRDefault="00F36DA5" w:rsidP="00510557">
      <w:pPr>
        <w:pStyle w:val="ListParagraph"/>
        <w:numPr>
          <w:ilvl w:val="0"/>
          <w:numId w:val="21"/>
        </w:numPr>
        <w:contextualSpacing/>
      </w:pPr>
      <w:r w:rsidRPr="00F36DA5">
        <w:t>Costings were derived through detailed engagement with industry, across 13 of the 22 critical asset classes captured by the SOCI Act. This included industry’s completion of comprehensive costing templates, which captured marginal impacts on staff effort, capital and operating costs associated with the RMP frameworks and an estimated range of impacts against each rule.  </w:t>
      </w:r>
    </w:p>
    <w:p w14:paraId="44CC9A5E" w14:textId="77777777" w:rsidR="00F36DA5" w:rsidRPr="00F36DA5" w:rsidRDefault="00F36DA5" w:rsidP="00510557">
      <w:pPr>
        <w:pStyle w:val="ListParagraph"/>
        <w:numPr>
          <w:ilvl w:val="0"/>
          <w:numId w:val="21"/>
        </w:numPr>
        <w:contextualSpacing/>
      </w:pPr>
      <w:r w:rsidRPr="00F36DA5">
        <w:t>An assessment of marginal costs arising from the proposed reforms can be undertaken to understand both (a) any cost increase for entities required to comply with the RMP framework, as well as (b) entities subject to equivalent risk management frameworks. Given these exempt entities are required to comply with a comparable regulatory framework, relevant costs for meeting baseline compliance with the SOCI Act are already incurred, creating an existing regulatory cost base which does not need to be separately considered by this IA. This IA considers the marginal uplift arising from the proposed reforms. </w:t>
      </w:r>
    </w:p>
    <w:p w14:paraId="784ACF07" w14:textId="69735EF9" w:rsidR="00F36DA5" w:rsidRPr="00F36DA5" w:rsidRDefault="00F36DA5" w:rsidP="00C67415">
      <w:pPr>
        <w:pStyle w:val="ListBullet"/>
        <w:numPr>
          <w:ilvl w:val="0"/>
          <w:numId w:val="0"/>
        </w:numPr>
        <w:rPr>
          <w:rFonts w:ascii="Segoe UI" w:hAnsi="Segoe UI" w:cs="Segoe UI"/>
          <w:sz w:val="18"/>
          <w:szCs w:val="18"/>
          <w:lang w:eastAsia="en-AU"/>
        </w:rPr>
      </w:pPr>
      <w:r w:rsidRPr="00F36DA5">
        <w:rPr>
          <w:lang w:eastAsia="en-AU"/>
        </w:rPr>
        <w:t>A summary of data collected during the 2021-22 consultation period</w:t>
      </w:r>
      <w:r w:rsidR="00F25A6A">
        <w:rPr>
          <w:rStyle w:val="FootnoteReference"/>
          <w:lang w:eastAsia="en-AU"/>
        </w:rPr>
        <w:footnoteReference w:id="29"/>
      </w:r>
      <w:r w:rsidRPr="00F36DA5">
        <w:rPr>
          <w:lang w:eastAsia="en-AU"/>
        </w:rPr>
        <w:t xml:space="preserve"> is included below.  </w:t>
      </w:r>
    </w:p>
    <w:p w14:paraId="7AFF0946" w14:textId="64008AA4" w:rsidR="00FE01FC" w:rsidRDefault="00FE01FC" w:rsidP="00FE01FC">
      <w:pPr>
        <w:pStyle w:val="Caption"/>
        <w:rPr>
          <w:rFonts w:ascii="Calibri" w:hAnsi="Calibri" w:cs="Calibri"/>
          <w:b w:val="0"/>
          <w:i w:val="0"/>
        </w:rPr>
      </w:pPr>
      <w:bookmarkStart w:id="75" w:name="_Hlk178195539"/>
      <w:r w:rsidRPr="002C2ED5">
        <w:rPr>
          <w:rFonts w:ascii="Calibri" w:hAnsi="Calibri" w:cs="Calibri"/>
        </w:rPr>
        <w:t xml:space="preserve">Table </w:t>
      </w:r>
      <w:r w:rsidRPr="002C2ED5">
        <w:rPr>
          <w:rFonts w:ascii="Calibri" w:hAnsi="Calibri" w:cs="Calibri"/>
          <w:color w:val="2B579A"/>
          <w:shd w:val="clear" w:color="auto" w:fill="E6E6E6"/>
        </w:rPr>
        <w:fldChar w:fldCharType="begin"/>
      </w:r>
      <w:r w:rsidRPr="002C2ED5">
        <w:rPr>
          <w:rFonts w:ascii="Calibri" w:hAnsi="Calibri" w:cs="Calibri"/>
        </w:rPr>
        <w:instrText xml:space="preserve"> SEQ Table \* ARABIC </w:instrText>
      </w:r>
      <w:r w:rsidRPr="002C2ED5">
        <w:rPr>
          <w:rFonts w:ascii="Calibri" w:hAnsi="Calibri" w:cs="Calibri"/>
          <w:color w:val="2B579A"/>
          <w:shd w:val="clear" w:color="auto" w:fill="E6E6E6"/>
        </w:rPr>
        <w:fldChar w:fldCharType="separate"/>
      </w:r>
      <w:r w:rsidR="00E8506B">
        <w:rPr>
          <w:rFonts w:ascii="Calibri" w:hAnsi="Calibri" w:cs="Calibri"/>
          <w:noProof/>
        </w:rPr>
        <w:t>19</w:t>
      </w:r>
      <w:r w:rsidRPr="002C2ED5">
        <w:rPr>
          <w:rFonts w:ascii="Calibri" w:hAnsi="Calibri" w:cs="Calibri"/>
          <w:color w:val="2B579A"/>
          <w:shd w:val="clear" w:color="auto" w:fill="E6E6E6"/>
        </w:rPr>
        <w:fldChar w:fldCharType="end"/>
      </w:r>
      <w:r w:rsidRPr="006D272F">
        <w:rPr>
          <w:rFonts w:ascii="Calibri" w:hAnsi="Calibri" w:cs="Calibri"/>
          <w:b w:val="0"/>
        </w:rPr>
        <w:t xml:space="preserve"> </w:t>
      </w:r>
      <w:r w:rsidRPr="00FE01FC">
        <w:rPr>
          <w:rFonts w:ascii="Calibri" w:hAnsi="Calibri" w:cs="Calibri"/>
          <w:b w:val="0"/>
        </w:rPr>
        <w:t>Regulatory cost per entity from 2021-22 consultation period (indexed to June 2024</w:t>
      </w:r>
      <w:r w:rsidR="0096033F">
        <w:rPr>
          <w:rFonts w:ascii="Calibri" w:hAnsi="Calibri" w:cs="Calibri"/>
          <w:b w:val="0"/>
        </w:rPr>
        <w:t>)</w:t>
      </w:r>
    </w:p>
    <w:bookmarkEnd w:id="75"/>
    <w:tbl>
      <w:tblPr>
        <w:tblW w:w="94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6"/>
        <w:gridCol w:w="3354"/>
        <w:gridCol w:w="7"/>
        <w:gridCol w:w="3354"/>
      </w:tblGrid>
      <w:tr w:rsidR="009763A8" w:rsidRPr="00F36DA5" w14:paraId="4DD52AC8" w14:textId="77777777" w:rsidTr="009763A8">
        <w:trPr>
          <w:trHeight w:val="465"/>
        </w:trPr>
        <w:tc>
          <w:tcPr>
            <w:tcW w:w="2776" w:type="dxa"/>
            <w:tcBorders>
              <w:top w:val="nil"/>
              <w:left w:val="nil"/>
              <w:bottom w:val="single" w:sz="6" w:space="0" w:color="BFBFBF" w:themeColor="background2" w:themeShade="BF"/>
              <w:right w:val="nil"/>
            </w:tcBorders>
            <w:shd w:val="clear" w:color="auto" w:fill="284B98"/>
            <w:vAlign w:val="center"/>
            <w:hideMark/>
          </w:tcPr>
          <w:p w14:paraId="22A41F42" w14:textId="130FBDAC" w:rsidR="0016036B" w:rsidRPr="00F36DA5" w:rsidRDefault="0016036B" w:rsidP="0016036B">
            <w:pPr>
              <w:jc w:val="center"/>
              <w:textAlignment w:val="baseline"/>
              <w:rPr>
                <w:rFonts w:ascii="Times New Roman" w:eastAsia="Times New Roman" w:hAnsi="Times New Roman" w:cs="Times New Roman"/>
                <w:b/>
                <w:bCs/>
                <w:color w:val="FFFFFF"/>
                <w:sz w:val="24"/>
                <w:szCs w:val="24"/>
                <w:lang w:eastAsia="en-AU"/>
              </w:rPr>
            </w:pPr>
          </w:p>
        </w:tc>
        <w:tc>
          <w:tcPr>
            <w:tcW w:w="3361" w:type="dxa"/>
            <w:gridSpan w:val="2"/>
            <w:tcBorders>
              <w:top w:val="nil"/>
              <w:left w:val="nil"/>
              <w:bottom w:val="single" w:sz="6" w:space="0" w:color="BFBFBF" w:themeColor="background2" w:themeShade="BF"/>
              <w:right w:val="nil"/>
            </w:tcBorders>
            <w:shd w:val="clear" w:color="auto" w:fill="284B98"/>
            <w:vAlign w:val="center"/>
            <w:hideMark/>
          </w:tcPr>
          <w:p w14:paraId="23005AEF" w14:textId="5DEC3E28" w:rsidR="0016036B" w:rsidRPr="00F36DA5" w:rsidRDefault="0016036B" w:rsidP="0016036B">
            <w:pPr>
              <w:jc w:val="center"/>
              <w:textAlignment w:val="baseline"/>
              <w:rPr>
                <w:rFonts w:ascii="Times New Roman" w:eastAsia="Times New Roman" w:hAnsi="Times New Roman" w:cs="Times New Roman"/>
                <w:b/>
                <w:bCs/>
                <w:color w:val="FFFFFF"/>
                <w:sz w:val="24"/>
                <w:szCs w:val="24"/>
                <w:lang w:eastAsia="en-AU"/>
              </w:rPr>
            </w:pPr>
            <w:r w:rsidRPr="00F36DA5">
              <w:rPr>
                <w:rFonts w:ascii="Arial" w:eastAsia="Times New Roman" w:hAnsi="Arial" w:cs="Arial"/>
                <w:b/>
                <w:bCs/>
                <w:color w:val="FFFFFF"/>
                <w:szCs w:val="20"/>
                <w:lang w:eastAsia="en-AU"/>
              </w:rPr>
              <w:t>Existing Cost ($ million) </w:t>
            </w:r>
          </w:p>
        </w:tc>
        <w:tc>
          <w:tcPr>
            <w:tcW w:w="3354" w:type="dxa"/>
            <w:tcBorders>
              <w:top w:val="nil"/>
              <w:left w:val="nil"/>
              <w:bottom w:val="single" w:sz="6" w:space="0" w:color="BFBFBF" w:themeColor="background2" w:themeShade="BF"/>
              <w:right w:val="nil"/>
            </w:tcBorders>
            <w:shd w:val="clear" w:color="auto" w:fill="284B98"/>
            <w:vAlign w:val="center"/>
          </w:tcPr>
          <w:p w14:paraId="0D4FEA1E" w14:textId="6FDB4B71" w:rsidR="0016036B" w:rsidRPr="00F36DA5" w:rsidRDefault="0016036B" w:rsidP="0016036B">
            <w:pPr>
              <w:jc w:val="center"/>
              <w:textAlignment w:val="baseline"/>
              <w:rPr>
                <w:rFonts w:ascii="Times New Roman" w:eastAsia="Times New Roman" w:hAnsi="Times New Roman" w:cs="Times New Roman"/>
                <w:b/>
                <w:bCs/>
                <w:color w:val="FFFFFF"/>
                <w:sz w:val="24"/>
                <w:szCs w:val="24"/>
                <w:lang w:eastAsia="en-AU"/>
              </w:rPr>
            </w:pPr>
            <w:r w:rsidRPr="00F36DA5">
              <w:rPr>
                <w:rFonts w:ascii="Arial" w:eastAsia="Times New Roman" w:hAnsi="Arial" w:cs="Arial"/>
                <w:b/>
                <w:bCs/>
                <w:color w:val="FFFFFF"/>
                <w:szCs w:val="20"/>
                <w:lang w:eastAsia="en-AU"/>
              </w:rPr>
              <w:t>Existing Cost ($ million) </w:t>
            </w:r>
          </w:p>
        </w:tc>
      </w:tr>
      <w:tr w:rsidR="005B03CC" w:rsidRPr="00F36DA5" w14:paraId="5F0B01D7" w14:textId="77777777" w:rsidTr="005B03CC">
        <w:trPr>
          <w:trHeight w:val="803"/>
        </w:trPr>
        <w:tc>
          <w:tcPr>
            <w:tcW w:w="0" w:type="auto"/>
            <w:shd w:val="clear" w:color="auto" w:fill="284B98"/>
            <w:vAlign w:val="center"/>
            <w:hideMark/>
          </w:tcPr>
          <w:p w14:paraId="05D7291B" w14:textId="117A1067" w:rsidR="0016036B" w:rsidRPr="00F36DA5" w:rsidRDefault="0016036B" w:rsidP="009763A8">
            <w:pPr>
              <w:jc w:val="center"/>
              <w:rPr>
                <w:rFonts w:ascii="Times New Roman" w:eastAsia="Times New Roman" w:hAnsi="Times New Roman" w:cs="Times New Roman"/>
                <w:b/>
                <w:bCs/>
                <w:color w:val="FFFFFF"/>
                <w:sz w:val="24"/>
                <w:szCs w:val="24"/>
                <w:lang w:eastAsia="en-AU"/>
              </w:rPr>
            </w:pPr>
            <w:r w:rsidRPr="00F36DA5">
              <w:rPr>
                <w:rFonts w:ascii="Arial" w:eastAsia="Times New Roman" w:hAnsi="Arial" w:cs="Arial"/>
                <w:b/>
                <w:bCs/>
                <w:color w:val="FFFFFF"/>
                <w:szCs w:val="20"/>
                <w:lang w:eastAsia="en-AU"/>
              </w:rPr>
              <w:t>Critical infrastructure asset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D9E2F3"/>
            <w:vAlign w:val="center"/>
            <w:hideMark/>
          </w:tcPr>
          <w:p w14:paraId="2A509A3F" w14:textId="68FE5A61" w:rsidR="0016036B" w:rsidRPr="00F36DA5" w:rsidRDefault="0016036B" w:rsidP="0016036B">
            <w:pPr>
              <w:jc w:val="center"/>
              <w:textAlignment w:val="baseline"/>
              <w:rPr>
                <w:rFonts w:ascii="Times New Roman" w:eastAsia="Times New Roman" w:hAnsi="Times New Roman" w:cs="Times New Roman"/>
                <w:color w:val="000000"/>
                <w:sz w:val="24"/>
                <w:szCs w:val="24"/>
                <w:lang w:eastAsia="en-AU"/>
              </w:rPr>
            </w:pPr>
            <w:r w:rsidRPr="4F26752A">
              <w:rPr>
                <w:rFonts w:ascii="Arial" w:eastAsia="Times New Roman" w:hAnsi="Arial" w:cs="Arial"/>
                <w:color w:val="000000" w:themeColor="text1"/>
                <w:lang w:val="en-US" w:eastAsia="en-AU"/>
              </w:rPr>
              <w:t>Average one-off cost per entity (submissions)</w:t>
            </w:r>
            <w:r>
              <w:rPr>
                <w:rStyle w:val="FootnoteReference"/>
                <w:rFonts w:ascii="Arial" w:eastAsia="Times New Roman" w:hAnsi="Arial" w:cs="Arial"/>
                <w:color w:val="000000" w:themeColor="text1"/>
                <w:lang w:val="en-US" w:eastAsia="en-AU"/>
              </w:rPr>
              <w:footnoteReference w:id="30"/>
            </w:r>
            <w:r w:rsidRPr="4F26752A">
              <w:rPr>
                <w:rFonts w:ascii="Arial" w:eastAsia="Times New Roman" w:hAnsi="Arial" w:cs="Arial"/>
                <w:color w:val="000000" w:themeColor="text1"/>
                <w:lang w:eastAsia="en-AU"/>
              </w:rPr>
              <w:t> </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D9E2F3"/>
            <w:vAlign w:val="center"/>
            <w:hideMark/>
          </w:tcPr>
          <w:p w14:paraId="713A2785" w14:textId="77777777" w:rsidR="0016036B" w:rsidRPr="00F36DA5" w:rsidRDefault="0016036B" w:rsidP="0016036B">
            <w:pPr>
              <w:jc w:val="center"/>
              <w:textAlignment w:val="baseline"/>
              <w:rPr>
                <w:rFonts w:ascii="Times New Roman" w:eastAsia="Times New Roman" w:hAnsi="Times New Roman" w:cs="Times New Roman"/>
                <w:color w:val="000000"/>
                <w:sz w:val="24"/>
                <w:szCs w:val="24"/>
                <w:lang w:eastAsia="en-AU"/>
              </w:rPr>
            </w:pPr>
            <w:r w:rsidRPr="00F36DA5">
              <w:rPr>
                <w:rFonts w:ascii="Arial" w:eastAsia="Times New Roman" w:hAnsi="Arial" w:cs="Arial"/>
                <w:color w:val="000000"/>
                <w:szCs w:val="20"/>
                <w:lang w:val="en-US" w:eastAsia="en-AU"/>
              </w:rPr>
              <w:t>Average annual ongoing cost per entity (submissions)</w:t>
            </w:r>
            <w:r w:rsidRPr="00F36DA5">
              <w:rPr>
                <w:rFonts w:ascii="Arial" w:eastAsia="Times New Roman" w:hAnsi="Arial" w:cs="Arial"/>
                <w:color w:val="000000"/>
                <w:szCs w:val="20"/>
                <w:lang w:eastAsia="en-AU"/>
              </w:rPr>
              <w:t> </w:t>
            </w:r>
          </w:p>
        </w:tc>
      </w:tr>
      <w:tr w:rsidR="005B03CC" w:rsidRPr="00F36DA5" w14:paraId="6F8B1EE1"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44527DEE"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electricity assets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2BB5F1B9" w14:textId="32708A85" w:rsidR="0016036B" w:rsidRPr="00F36DA5" w:rsidRDefault="0016036B" w:rsidP="0016036B">
            <w:pPr>
              <w:pStyle w:val="Tablebody0"/>
              <w:jc w:val="center"/>
              <w:rPr>
                <w:rFonts w:ascii="Times New Roman" w:hAnsi="Times New Roman"/>
                <w:sz w:val="24"/>
                <w:szCs w:val="24"/>
                <w:lang w:eastAsia="en-AU"/>
              </w:rPr>
            </w:pPr>
            <w:r w:rsidRPr="00F36DA5">
              <w:rPr>
                <w:lang w:eastAsia="en-AU"/>
              </w:rPr>
              <w:t>9.</w:t>
            </w:r>
            <w:r>
              <w:rPr>
                <w:lang w:eastAsia="en-AU"/>
              </w:rPr>
              <w:t>2</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7E070D03" w14:textId="06600D4C" w:rsidR="0016036B" w:rsidRPr="00F36DA5" w:rsidRDefault="0016036B" w:rsidP="0016036B">
            <w:pPr>
              <w:pStyle w:val="Tablebody0"/>
              <w:jc w:val="center"/>
              <w:rPr>
                <w:rFonts w:ascii="Times New Roman" w:hAnsi="Times New Roman"/>
                <w:sz w:val="24"/>
                <w:szCs w:val="24"/>
                <w:lang w:eastAsia="en-AU"/>
              </w:rPr>
            </w:pPr>
            <w:r w:rsidRPr="00F36DA5">
              <w:rPr>
                <w:lang w:eastAsia="en-AU"/>
              </w:rPr>
              <w:t>4.3</w:t>
            </w:r>
          </w:p>
        </w:tc>
      </w:tr>
      <w:tr w:rsidR="005B03CC" w:rsidRPr="00F36DA5" w14:paraId="327577C5"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472C8211"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gas assets </w:t>
            </w:r>
          </w:p>
        </w:tc>
        <w:tc>
          <w:tcPr>
            <w:tcW w:w="3354" w:type="dxa"/>
            <w:tcBorders>
              <w:top w:val="nil"/>
              <w:left w:val="nil"/>
              <w:bottom w:val="single" w:sz="6" w:space="0" w:color="BFBFBF" w:themeColor="background2" w:themeShade="BF"/>
              <w:right w:val="nil"/>
            </w:tcBorders>
            <w:shd w:val="clear" w:color="auto" w:fill="auto"/>
            <w:vAlign w:val="center"/>
            <w:hideMark/>
          </w:tcPr>
          <w:p w14:paraId="1186A869" w14:textId="0980BB77" w:rsidR="0016036B" w:rsidRPr="00F36DA5" w:rsidRDefault="0016036B" w:rsidP="0016036B">
            <w:pPr>
              <w:pStyle w:val="Tablebody0"/>
              <w:jc w:val="center"/>
              <w:rPr>
                <w:rFonts w:ascii="Times New Roman" w:hAnsi="Times New Roman"/>
                <w:sz w:val="24"/>
                <w:szCs w:val="24"/>
                <w:lang w:eastAsia="en-AU"/>
              </w:rPr>
            </w:pPr>
            <w:r>
              <w:rPr>
                <w:lang w:eastAsia="en-AU"/>
              </w:rPr>
              <w:t>12.0</w:t>
            </w:r>
          </w:p>
        </w:tc>
        <w:tc>
          <w:tcPr>
            <w:tcW w:w="3361" w:type="dxa"/>
            <w:gridSpan w:val="2"/>
            <w:tcBorders>
              <w:top w:val="nil"/>
              <w:left w:val="nil"/>
              <w:bottom w:val="single" w:sz="6" w:space="0" w:color="BFBFBF" w:themeColor="background2" w:themeShade="BF"/>
              <w:right w:val="nil"/>
            </w:tcBorders>
            <w:shd w:val="clear" w:color="auto" w:fill="auto"/>
            <w:vAlign w:val="center"/>
            <w:hideMark/>
          </w:tcPr>
          <w:p w14:paraId="75F77CA3" w14:textId="227D41D7" w:rsidR="0016036B" w:rsidRPr="00F36DA5" w:rsidRDefault="0016036B" w:rsidP="0016036B">
            <w:pPr>
              <w:pStyle w:val="Tablebody0"/>
              <w:jc w:val="center"/>
              <w:rPr>
                <w:rFonts w:ascii="Times New Roman" w:hAnsi="Times New Roman"/>
                <w:sz w:val="24"/>
                <w:szCs w:val="24"/>
                <w:lang w:eastAsia="en-AU"/>
              </w:rPr>
            </w:pPr>
            <w:r w:rsidRPr="00F36DA5">
              <w:rPr>
                <w:lang w:eastAsia="en-AU"/>
              </w:rPr>
              <w:t>2.4</w:t>
            </w:r>
          </w:p>
        </w:tc>
      </w:tr>
      <w:tr w:rsidR="005B03CC" w:rsidRPr="00F36DA5" w14:paraId="72704A23"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5F809276"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water assets </w:t>
            </w:r>
          </w:p>
        </w:tc>
        <w:tc>
          <w:tcPr>
            <w:tcW w:w="3354" w:type="dxa"/>
            <w:tcBorders>
              <w:top w:val="nil"/>
              <w:left w:val="nil"/>
              <w:bottom w:val="single" w:sz="6" w:space="0" w:color="BFBFBF" w:themeColor="background2" w:themeShade="BF"/>
              <w:right w:val="nil"/>
            </w:tcBorders>
            <w:shd w:val="clear" w:color="auto" w:fill="auto"/>
            <w:vAlign w:val="center"/>
            <w:hideMark/>
          </w:tcPr>
          <w:p w14:paraId="627FA729" w14:textId="637237F8" w:rsidR="0016036B" w:rsidRPr="00F36DA5" w:rsidRDefault="0016036B" w:rsidP="0016036B">
            <w:pPr>
              <w:pStyle w:val="Tablebody0"/>
              <w:jc w:val="center"/>
              <w:rPr>
                <w:rFonts w:ascii="Times New Roman" w:hAnsi="Times New Roman"/>
                <w:sz w:val="24"/>
                <w:szCs w:val="24"/>
                <w:lang w:eastAsia="en-AU"/>
              </w:rPr>
            </w:pPr>
            <w:r>
              <w:rPr>
                <w:lang w:eastAsia="en-AU"/>
              </w:rPr>
              <w:t>16.4</w:t>
            </w:r>
          </w:p>
        </w:tc>
        <w:tc>
          <w:tcPr>
            <w:tcW w:w="3361" w:type="dxa"/>
            <w:gridSpan w:val="2"/>
            <w:tcBorders>
              <w:top w:val="nil"/>
              <w:left w:val="nil"/>
              <w:bottom w:val="single" w:sz="6" w:space="0" w:color="BFBFBF" w:themeColor="background2" w:themeShade="BF"/>
              <w:right w:val="nil"/>
            </w:tcBorders>
            <w:shd w:val="clear" w:color="auto" w:fill="auto"/>
            <w:vAlign w:val="center"/>
            <w:hideMark/>
          </w:tcPr>
          <w:p w14:paraId="563CB81E" w14:textId="1FD31B05" w:rsidR="0016036B" w:rsidRPr="00F36DA5" w:rsidRDefault="0016036B" w:rsidP="0016036B">
            <w:pPr>
              <w:pStyle w:val="Tablebody0"/>
              <w:jc w:val="center"/>
              <w:rPr>
                <w:rFonts w:ascii="Times New Roman" w:hAnsi="Times New Roman"/>
                <w:sz w:val="24"/>
                <w:szCs w:val="24"/>
                <w:lang w:eastAsia="en-AU"/>
              </w:rPr>
            </w:pPr>
            <w:r>
              <w:rPr>
                <w:lang w:eastAsia="en-AU"/>
              </w:rPr>
              <w:t>7.0</w:t>
            </w:r>
          </w:p>
        </w:tc>
      </w:tr>
      <w:tr w:rsidR="005B03CC" w:rsidRPr="00F36DA5" w14:paraId="14EBBFFB"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58D9087D"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data processing or storage assets </w:t>
            </w:r>
          </w:p>
        </w:tc>
        <w:tc>
          <w:tcPr>
            <w:tcW w:w="3354" w:type="dxa"/>
            <w:tcBorders>
              <w:top w:val="nil"/>
              <w:left w:val="nil"/>
              <w:bottom w:val="single" w:sz="6" w:space="0" w:color="BFBFBF" w:themeColor="background2" w:themeShade="BF"/>
              <w:right w:val="nil"/>
            </w:tcBorders>
            <w:shd w:val="clear" w:color="auto" w:fill="auto"/>
            <w:vAlign w:val="center"/>
            <w:hideMark/>
          </w:tcPr>
          <w:p w14:paraId="19279348" w14:textId="2A7DCD19" w:rsidR="0016036B" w:rsidRPr="00F36DA5" w:rsidRDefault="0016036B" w:rsidP="0016036B">
            <w:pPr>
              <w:pStyle w:val="Tablebody0"/>
              <w:jc w:val="center"/>
              <w:rPr>
                <w:rFonts w:ascii="Times New Roman" w:hAnsi="Times New Roman"/>
                <w:sz w:val="24"/>
                <w:szCs w:val="24"/>
                <w:lang w:eastAsia="en-AU"/>
              </w:rPr>
            </w:pPr>
            <w:r w:rsidRPr="00F36DA5">
              <w:rPr>
                <w:lang w:eastAsia="en-AU"/>
              </w:rPr>
              <w:t>1.9</w:t>
            </w:r>
          </w:p>
        </w:tc>
        <w:tc>
          <w:tcPr>
            <w:tcW w:w="3361" w:type="dxa"/>
            <w:gridSpan w:val="2"/>
            <w:tcBorders>
              <w:top w:val="nil"/>
              <w:left w:val="nil"/>
              <w:bottom w:val="single" w:sz="6" w:space="0" w:color="BFBFBF" w:themeColor="background2" w:themeShade="BF"/>
              <w:right w:val="nil"/>
            </w:tcBorders>
            <w:shd w:val="clear" w:color="auto" w:fill="auto"/>
            <w:vAlign w:val="center"/>
            <w:hideMark/>
          </w:tcPr>
          <w:p w14:paraId="1E49EBE7" w14:textId="5D05D9A2" w:rsidR="0016036B" w:rsidRPr="00F36DA5" w:rsidRDefault="0016036B" w:rsidP="0016036B">
            <w:pPr>
              <w:pStyle w:val="Tablebody0"/>
              <w:jc w:val="center"/>
              <w:rPr>
                <w:rFonts w:ascii="Times New Roman" w:hAnsi="Times New Roman"/>
                <w:sz w:val="24"/>
                <w:szCs w:val="24"/>
                <w:lang w:eastAsia="en-AU"/>
              </w:rPr>
            </w:pPr>
            <w:r>
              <w:rPr>
                <w:lang w:eastAsia="en-AU"/>
              </w:rPr>
              <w:t>2.2</w:t>
            </w:r>
          </w:p>
        </w:tc>
      </w:tr>
      <w:tr w:rsidR="005B03CC" w:rsidRPr="00F36DA5" w14:paraId="2286F0E8"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3330C977"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broadcasting and domain name system assets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71ADA66E" w14:textId="139C224D" w:rsidR="0016036B" w:rsidRPr="00F36DA5" w:rsidRDefault="0016036B" w:rsidP="0016036B">
            <w:pPr>
              <w:pStyle w:val="Tablebody0"/>
              <w:jc w:val="center"/>
              <w:rPr>
                <w:rFonts w:ascii="Times New Roman" w:hAnsi="Times New Roman"/>
                <w:sz w:val="24"/>
                <w:szCs w:val="24"/>
                <w:lang w:eastAsia="en-AU"/>
              </w:rPr>
            </w:pPr>
            <w:r w:rsidRPr="00F36DA5">
              <w:rPr>
                <w:lang w:eastAsia="en-AU"/>
              </w:rPr>
              <w:t>0.8</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2DD6BFC0" w14:textId="67DCA934" w:rsidR="0016036B" w:rsidRPr="00F36DA5" w:rsidRDefault="0016036B" w:rsidP="0016036B">
            <w:pPr>
              <w:pStyle w:val="Tablebody0"/>
              <w:jc w:val="center"/>
              <w:rPr>
                <w:rFonts w:ascii="Times New Roman" w:hAnsi="Times New Roman"/>
                <w:sz w:val="24"/>
                <w:szCs w:val="24"/>
                <w:lang w:eastAsia="en-AU"/>
              </w:rPr>
            </w:pPr>
            <w:r w:rsidRPr="00F36DA5">
              <w:rPr>
                <w:lang w:eastAsia="en-AU"/>
              </w:rPr>
              <w:t>0.6</w:t>
            </w:r>
          </w:p>
        </w:tc>
      </w:tr>
      <w:tr w:rsidR="005B03CC" w:rsidRPr="00F36DA5" w14:paraId="4CB1A1E4"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2DD4CB0D"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financial market infrastructure assets (payment systems)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577E723C" w14:textId="175429CD" w:rsidR="0016036B" w:rsidRPr="00F36DA5" w:rsidRDefault="0016036B" w:rsidP="0016036B">
            <w:pPr>
              <w:pStyle w:val="Tablebody0"/>
              <w:jc w:val="center"/>
              <w:rPr>
                <w:rFonts w:ascii="Times New Roman" w:hAnsi="Times New Roman"/>
                <w:sz w:val="24"/>
                <w:szCs w:val="24"/>
                <w:lang w:eastAsia="en-AU"/>
              </w:rPr>
            </w:pPr>
            <w:r w:rsidRPr="00F36DA5">
              <w:rPr>
                <w:lang w:eastAsia="en-AU"/>
              </w:rPr>
              <w:t>0.1</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28F150B3" w14:textId="12D46542" w:rsidR="0016036B" w:rsidRPr="00F36DA5" w:rsidRDefault="0016036B" w:rsidP="0016036B">
            <w:pPr>
              <w:pStyle w:val="Tablebody0"/>
              <w:jc w:val="center"/>
              <w:rPr>
                <w:rFonts w:ascii="Times New Roman" w:hAnsi="Times New Roman"/>
                <w:sz w:val="24"/>
                <w:szCs w:val="24"/>
                <w:lang w:eastAsia="en-AU"/>
              </w:rPr>
            </w:pPr>
            <w:r w:rsidRPr="00F36DA5">
              <w:rPr>
                <w:lang w:eastAsia="en-AU"/>
              </w:rPr>
              <w:t>1.6</w:t>
            </w:r>
          </w:p>
        </w:tc>
      </w:tr>
      <w:tr w:rsidR="005B03CC" w:rsidRPr="00F36DA5" w14:paraId="48FDF51A"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559C90E0"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liquid fuels assets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726ED489" w14:textId="7CC82535" w:rsidR="0016036B" w:rsidRPr="00F36DA5" w:rsidRDefault="0016036B" w:rsidP="0016036B">
            <w:pPr>
              <w:pStyle w:val="Tablebody0"/>
              <w:jc w:val="center"/>
              <w:rPr>
                <w:rFonts w:ascii="Times New Roman" w:hAnsi="Times New Roman"/>
                <w:sz w:val="24"/>
                <w:szCs w:val="24"/>
                <w:lang w:eastAsia="en-AU"/>
              </w:rPr>
            </w:pPr>
            <w:r>
              <w:rPr>
                <w:lang w:eastAsia="en-AU"/>
              </w:rPr>
              <w:t>10.1</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20DC92F1" w14:textId="407622B8" w:rsidR="0016036B" w:rsidRPr="00F36DA5" w:rsidRDefault="0016036B" w:rsidP="0016036B">
            <w:pPr>
              <w:pStyle w:val="Tablebody0"/>
              <w:jc w:val="center"/>
              <w:rPr>
                <w:rFonts w:ascii="Times New Roman" w:hAnsi="Times New Roman"/>
                <w:sz w:val="24"/>
                <w:szCs w:val="24"/>
                <w:lang w:eastAsia="en-AU"/>
              </w:rPr>
            </w:pPr>
            <w:r>
              <w:rPr>
                <w:lang w:eastAsia="en-AU"/>
              </w:rPr>
              <w:t>3.0</w:t>
            </w:r>
          </w:p>
        </w:tc>
      </w:tr>
      <w:tr w:rsidR="005B03CC" w:rsidRPr="00F36DA5" w14:paraId="69B8B4D2"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51B0C035"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hospitals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04CAA253" w14:textId="1D2D9371" w:rsidR="0016036B" w:rsidRPr="00F36DA5" w:rsidRDefault="0016036B" w:rsidP="0016036B">
            <w:pPr>
              <w:pStyle w:val="Tablebody0"/>
              <w:jc w:val="center"/>
              <w:rPr>
                <w:rFonts w:ascii="Times New Roman" w:hAnsi="Times New Roman"/>
                <w:sz w:val="24"/>
                <w:szCs w:val="24"/>
                <w:lang w:eastAsia="en-AU"/>
              </w:rPr>
            </w:pPr>
            <w:r w:rsidRPr="00F36DA5">
              <w:rPr>
                <w:lang w:eastAsia="en-AU"/>
              </w:rPr>
              <w:t>14.</w:t>
            </w:r>
            <w:r>
              <w:rPr>
                <w:lang w:eastAsia="en-AU"/>
              </w:rPr>
              <w:t>8</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6CC2014C" w14:textId="543096E6" w:rsidR="0016036B" w:rsidRPr="00F36DA5" w:rsidRDefault="0016036B" w:rsidP="0016036B">
            <w:pPr>
              <w:pStyle w:val="Tablebody0"/>
              <w:jc w:val="center"/>
              <w:rPr>
                <w:rFonts w:ascii="Times New Roman" w:hAnsi="Times New Roman"/>
                <w:sz w:val="24"/>
                <w:szCs w:val="24"/>
                <w:lang w:eastAsia="en-AU"/>
              </w:rPr>
            </w:pPr>
            <w:r>
              <w:rPr>
                <w:lang w:eastAsia="en-AU"/>
              </w:rPr>
              <w:t>11.5</w:t>
            </w:r>
          </w:p>
        </w:tc>
      </w:tr>
      <w:tr w:rsidR="005B03CC" w:rsidRPr="00F36DA5" w14:paraId="2688DD6B"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6DFDD200"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energy market operator assets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3D6E318D" w14:textId="57C8C855" w:rsidR="0016036B" w:rsidRPr="00F36DA5" w:rsidRDefault="0016036B" w:rsidP="0016036B">
            <w:pPr>
              <w:pStyle w:val="Tablebody0"/>
              <w:jc w:val="center"/>
              <w:rPr>
                <w:rFonts w:ascii="Times New Roman" w:hAnsi="Times New Roman"/>
                <w:sz w:val="24"/>
                <w:szCs w:val="24"/>
                <w:lang w:eastAsia="en-AU"/>
              </w:rPr>
            </w:pPr>
            <w:r>
              <w:rPr>
                <w:lang w:eastAsia="en-AU"/>
              </w:rPr>
              <w:t>25.2</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476FC943" w14:textId="67DB79EB" w:rsidR="0016036B" w:rsidRPr="00F36DA5" w:rsidRDefault="0016036B" w:rsidP="0016036B">
            <w:pPr>
              <w:pStyle w:val="Tablebody0"/>
              <w:jc w:val="center"/>
              <w:rPr>
                <w:rFonts w:ascii="Times New Roman" w:hAnsi="Times New Roman"/>
                <w:sz w:val="24"/>
                <w:szCs w:val="24"/>
                <w:lang w:eastAsia="en-AU"/>
              </w:rPr>
            </w:pPr>
            <w:r>
              <w:rPr>
                <w:lang w:eastAsia="en-AU"/>
              </w:rPr>
              <w:t>7.6</w:t>
            </w:r>
          </w:p>
        </w:tc>
      </w:tr>
      <w:tr w:rsidR="005B03CC" w:rsidRPr="00F36DA5" w14:paraId="28081A52"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6BA30FAF" w14:textId="77777777" w:rsidR="0016036B" w:rsidRPr="00F36DA5" w:rsidRDefault="0016036B" w:rsidP="0016036B">
            <w:pPr>
              <w:pStyle w:val="Tablebody0"/>
              <w:rPr>
                <w:rFonts w:ascii="Times New Roman" w:hAnsi="Times New Roman"/>
                <w:sz w:val="24"/>
                <w:szCs w:val="24"/>
                <w:lang w:eastAsia="en-AU"/>
              </w:rPr>
            </w:pPr>
            <w:r w:rsidRPr="00F36DA5">
              <w:rPr>
                <w:lang w:eastAsia="en-AU"/>
              </w:rPr>
              <w:t xml:space="preserve">Critical freight infrastructure </w:t>
            </w:r>
            <w:r w:rsidRPr="00F36DA5">
              <w:rPr>
                <w:i/>
                <w:iCs/>
                <w:lang w:eastAsia="en-AU"/>
              </w:rPr>
              <w:t>and</w:t>
            </w:r>
            <w:r w:rsidRPr="00F36DA5">
              <w:rPr>
                <w:lang w:eastAsia="en-AU"/>
              </w:rPr>
              <w:t xml:space="preserve"> critical freight services assets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699DA728" w14:textId="446DDC80" w:rsidR="0016036B" w:rsidRPr="00F36DA5" w:rsidRDefault="0016036B" w:rsidP="0016036B">
            <w:pPr>
              <w:pStyle w:val="Tablebody0"/>
              <w:jc w:val="center"/>
              <w:rPr>
                <w:rFonts w:ascii="Times New Roman" w:hAnsi="Times New Roman"/>
                <w:sz w:val="24"/>
                <w:szCs w:val="24"/>
                <w:lang w:eastAsia="en-AU"/>
              </w:rPr>
            </w:pPr>
            <w:r w:rsidRPr="00F36DA5">
              <w:rPr>
                <w:lang w:eastAsia="en-AU"/>
              </w:rPr>
              <w:t>4.4</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602289AA" w14:textId="45B0F876" w:rsidR="0016036B" w:rsidRPr="00F36DA5" w:rsidRDefault="0016036B" w:rsidP="0016036B">
            <w:pPr>
              <w:pStyle w:val="Tablebody0"/>
              <w:jc w:val="center"/>
              <w:rPr>
                <w:rFonts w:ascii="Times New Roman" w:hAnsi="Times New Roman"/>
                <w:sz w:val="24"/>
                <w:szCs w:val="24"/>
                <w:lang w:eastAsia="en-AU"/>
              </w:rPr>
            </w:pPr>
            <w:r w:rsidRPr="00F36DA5">
              <w:rPr>
                <w:lang w:eastAsia="en-AU"/>
              </w:rPr>
              <w:t>2.6</w:t>
            </w:r>
          </w:p>
        </w:tc>
      </w:tr>
      <w:tr w:rsidR="005B03CC" w:rsidRPr="00F36DA5" w14:paraId="60E94C2B"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F2F2F2" w:themeFill="background2" w:themeFillShade="F2"/>
            <w:vAlign w:val="center"/>
            <w:hideMark/>
          </w:tcPr>
          <w:p w14:paraId="59E69447" w14:textId="77777777" w:rsidR="0016036B" w:rsidRPr="00F36DA5" w:rsidRDefault="0016036B" w:rsidP="0016036B">
            <w:pPr>
              <w:pStyle w:val="Tablebody0"/>
              <w:rPr>
                <w:rFonts w:ascii="Times New Roman" w:hAnsi="Times New Roman"/>
                <w:sz w:val="24"/>
                <w:szCs w:val="24"/>
                <w:lang w:eastAsia="en-AU"/>
              </w:rPr>
            </w:pPr>
            <w:r w:rsidRPr="00F36DA5">
              <w:rPr>
                <w:lang w:eastAsia="en-AU"/>
              </w:rPr>
              <w:t>Critical food and grocery assets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7DD3557C" w14:textId="3138A3A1" w:rsidR="0016036B" w:rsidRPr="00F36DA5" w:rsidRDefault="0016036B" w:rsidP="0016036B">
            <w:pPr>
              <w:pStyle w:val="Tablebody0"/>
              <w:jc w:val="center"/>
              <w:rPr>
                <w:rFonts w:ascii="Times New Roman" w:hAnsi="Times New Roman"/>
                <w:sz w:val="24"/>
                <w:szCs w:val="24"/>
                <w:lang w:eastAsia="en-AU"/>
              </w:rPr>
            </w:pPr>
            <w:r w:rsidRPr="00F36DA5">
              <w:rPr>
                <w:lang w:eastAsia="en-AU"/>
              </w:rPr>
              <w:t>3.5</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auto"/>
            <w:vAlign w:val="center"/>
            <w:hideMark/>
          </w:tcPr>
          <w:p w14:paraId="2F837341" w14:textId="64EA2C61" w:rsidR="0016036B" w:rsidRPr="00F36DA5" w:rsidRDefault="0016036B" w:rsidP="0016036B">
            <w:pPr>
              <w:pStyle w:val="Tablebody0"/>
              <w:jc w:val="center"/>
              <w:rPr>
                <w:rFonts w:ascii="Times New Roman" w:hAnsi="Times New Roman"/>
                <w:sz w:val="24"/>
                <w:szCs w:val="24"/>
                <w:lang w:eastAsia="en-AU"/>
              </w:rPr>
            </w:pPr>
            <w:r w:rsidRPr="00F36DA5">
              <w:rPr>
                <w:lang w:eastAsia="en-AU"/>
              </w:rPr>
              <w:t>1.9</w:t>
            </w:r>
          </w:p>
        </w:tc>
      </w:tr>
      <w:tr w:rsidR="005B03CC" w:rsidRPr="00F36DA5" w14:paraId="3B10B13D" w14:textId="77777777" w:rsidTr="005B03CC">
        <w:trPr>
          <w:trHeight w:val="384"/>
        </w:trPr>
        <w:tc>
          <w:tcPr>
            <w:tcW w:w="2776" w:type="dxa"/>
            <w:tcBorders>
              <w:top w:val="single" w:sz="6" w:space="0" w:color="BFBFBF" w:themeColor="background2" w:themeShade="BF"/>
              <w:left w:val="nil"/>
              <w:bottom w:val="single" w:sz="6" w:space="0" w:color="BFBFBF" w:themeColor="background2" w:themeShade="BF"/>
              <w:right w:val="nil"/>
            </w:tcBorders>
            <w:shd w:val="clear" w:color="auto" w:fill="284B98"/>
            <w:vAlign w:val="center"/>
            <w:hideMark/>
          </w:tcPr>
          <w:p w14:paraId="711BF95E" w14:textId="77777777" w:rsidR="0016036B" w:rsidRPr="00F36DA5" w:rsidRDefault="0016036B" w:rsidP="0016036B">
            <w:pPr>
              <w:pStyle w:val="Tablebody0"/>
              <w:rPr>
                <w:rFonts w:ascii="Times New Roman" w:hAnsi="Times New Roman"/>
                <w:b/>
                <w:bCs/>
                <w:color w:val="FFFFFF"/>
                <w:sz w:val="24"/>
                <w:szCs w:val="24"/>
                <w:lang w:eastAsia="en-AU"/>
              </w:rPr>
            </w:pPr>
            <w:r w:rsidRPr="00F36DA5">
              <w:rPr>
                <w:b/>
                <w:bCs/>
                <w:color w:val="FFFFFF"/>
                <w:lang w:eastAsia="en-AU"/>
              </w:rPr>
              <w:t>Total average cost per entity </w:t>
            </w:r>
          </w:p>
        </w:tc>
        <w:tc>
          <w:tcPr>
            <w:tcW w:w="3354" w:type="dxa"/>
            <w:tcBorders>
              <w:top w:val="single" w:sz="6" w:space="0" w:color="BFBFBF" w:themeColor="background2" w:themeShade="BF"/>
              <w:left w:val="nil"/>
              <w:bottom w:val="single" w:sz="6" w:space="0" w:color="BFBFBF" w:themeColor="background2" w:themeShade="BF"/>
              <w:right w:val="nil"/>
            </w:tcBorders>
            <w:shd w:val="clear" w:color="auto" w:fill="284B98"/>
            <w:vAlign w:val="center"/>
            <w:hideMark/>
          </w:tcPr>
          <w:p w14:paraId="593A6CA1" w14:textId="3FFDD1C1" w:rsidR="0016036B" w:rsidRPr="00F36DA5" w:rsidRDefault="0016036B" w:rsidP="0016036B">
            <w:pPr>
              <w:pStyle w:val="Tablebody0"/>
              <w:jc w:val="center"/>
              <w:rPr>
                <w:rFonts w:ascii="Times New Roman" w:hAnsi="Times New Roman"/>
                <w:b/>
                <w:bCs/>
                <w:color w:val="FFFFFF"/>
                <w:sz w:val="24"/>
                <w:szCs w:val="24"/>
                <w:lang w:eastAsia="en-AU"/>
              </w:rPr>
            </w:pPr>
            <w:r>
              <w:rPr>
                <w:color w:val="FFFFFF"/>
                <w:lang w:eastAsia="en-AU"/>
              </w:rPr>
              <w:t>9.0</w:t>
            </w:r>
          </w:p>
        </w:tc>
        <w:tc>
          <w:tcPr>
            <w:tcW w:w="3361" w:type="dxa"/>
            <w:gridSpan w:val="2"/>
            <w:tcBorders>
              <w:top w:val="single" w:sz="6" w:space="0" w:color="BFBFBF" w:themeColor="background2" w:themeShade="BF"/>
              <w:left w:val="nil"/>
              <w:bottom w:val="single" w:sz="6" w:space="0" w:color="BFBFBF" w:themeColor="background2" w:themeShade="BF"/>
              <w:right w:val="nil"/>
            </w:tcBorders>
            <w:shd w:val="clear" w:color="auto" w:fill="284B98"/>
            <w:vAlign w:val="center"/>
            <w:hideMark/>
          </w:tcPr>
          <w:p w14:paraId="31664278" w14:textId="42DB80D0" w:rsidR="0016036B" w:rsidRPr="00F36DA5" w:rsidRDefault="0016036B" w:rsidP="0016036B">
            <w:pPr>
              <w:pStyle w:val="Tablebody0"/>
              <w:jc w:val="center"/>
              <w:rPr>
                <w:rFonts w:ascii="Times New Roman" w:hAnsi="Times New Roman"/>
                <w:b/>
                <w:bCs/>
                <w:color w:val="FFFFFF"/>
                <w:sz w:val="24"/>
                <w:szCs w:val="24"/>
                <w:lang w:eastAsia="en-AU"/>
              </w:rPr>
            </w:pPr>
            <w:r>
              <w:rPr>
                <w:color w:val="FFFFFF"/>
                <w:lang w:eastAsia="en-AU"/>
              </w:rPr>
              <w:t>4.1</w:t>
            </w:r>
          </w:p>
        </w:tc>
      </w:tr>
    </w:tbl>
    <w:p w14:paraId="0A6C3B1E" w14:textId="77777777" w:rsidR="00F36DA5" w:rsidRPr="00F36DA5" w:rsidRDefault="00F36DA5" w:rsidP="00E171F2">
      <w:pPr>
        <w:pStyle w:val="BodyText"/>
        <w:rPr>
          <w:rFonts w:ascii="Segoe UI" w:hAnsi="Segoe UI" w:cs="Segoe UI"/>
          <w:sz w:val="18"/>
          <w:szCs w:val="18"/>
        </w:rPr>
      </w:pPr>
      <w:r w:rsidRPr="00F36DA5">
        <w:t>These average costs per entity were the basis of the expected compliance with the RMP rules, outlined in the table below.  </w:t>
      </w:r>
    </w:p>
    <w:p w14:paraId="7524AC16" w14:textId="29944D76" w:rsidR="00F36DA5" w:rsidRPr="004E09F3" w:rsidRDefault="00C3027A" w:rsidP="004E09F3">
      <w:pPr>
        <w:pStyle w:val="Caption"/>
        <w:rPr>
          <w:rFonts w:ascii="Calibri" w:hAnsi="Calibri" w:cs="Calibri"/>
          <w:b w:val="0"/>
          <w:i w:val="0"/>
        </w:rPr>
      </w:pPr>
      <w:r w:rsidRPr="002C2ED5">
        <w:rPr>
          <w:rFonts w:ascii="Calibri" w:hAnsi="Calibri" w:cs="Calibri"/>
        </w:rPr>
        <w:t xml:space="preserve">Table </w:t>
      </w:r>
      <w:r w:rsidRPr="002C2ED5">
        <w:rPr>
          <w:rFonts w:ascii="Calibri" w:hAnsi="Calibri" w:cs="Calibri"/>
          <w:color w:val="2B579A"/>
          <w:shd w:val="clear" w:color="auto" w:fill="E6E6E6"/>
        </w:rPr>
        <w:fldChar w:fldCharType="begin"/>
      </w:r>
      <w:r w:rsidRPr="002C2ED5">
        <w:rPr>
          <w:rFonts w:ascii="Calibri" w:hAnsi="Calibri" w:cs="Calibri"/>
        </w:rPr>
        <w:instrText xml:space="preserve"> SEQ Table \* ARABIC </w:instrText>
      </w:r>
      <w:r w:rsidRPr="002C2ED5">
        <w:rPr>
          <w:rFonts w:ascii="Calibri" w:hAnsi="Calibri" w:cs="Calibri"/>
          <w:color w:val="2B579A"/>
          <w:shd w:val="clear" w:color="auto" w:fill="E6E6E6"/>
        </w:rPr>
        <w:fldChar w:fldCharType="separate"/>
      </w:r>
      <w:r w:rsidR="00E8506B">
        <w:rPr>
          <w:rFonts w:ascii="Calibri" w:hAnsi="Calibri" w:cs="Calibri"/>
          <w:noProof/>
        </w:rPr>
        <w:t>20</w:t>
      </w:r>
      <w:r w:rsidRPr="002C2ED5">
        <w:rPr>
          <w:rFonts w:ascii="Calibri" w:hAnsi="Calibri" w:cs="Calibri"/>
          <w:color w:val="2B579A"/>
          <w:shd w:val="clear" w:color="auto" w:fill="E6E6E6"/>
        </w:rPr>
        <w:fldChar w:fldCharType="end"/>
      </w:r>
      <w:r w:rsidRPr="006D272F">
        <w:rPr>
          <w:rFonts w:ascii="Calibri" w:hAnsi="Calibri" w:cs="Calibri"/>
          <w:b w:val="0"/>
        </w:rPr>
        <w:t xml:space="preserve"> </w:t>
      </w:r>
      <w:r w:rsidRPr="00C3027A">
        <w:rPr>
          <w:rFonts w:ascii="Calibri" w:hAnsi="Calibri" w:cs="Calibri"/>
          <w:b w:val="0"/>
        </w:rPr>
        <w:t>Summary of regulatory costs from 2021-22 consultation period (Indexed to June 2024)</w:t>
      </w:r>
    </w:p>
    <w:tbl>
      <w:tblPr>
        <w:tblW w:w="9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0"/>
        <w:gridCol w:w="1900"/>
        <w:gridCol w:w="1900"/>
        <w:gridCol w:w="1900"/>
        <w:gridCol w:w="1900"/>
      </w:tblGrid>
      <w:tr w:rsidR="005B03CC" w:rsidRPr="00F36DA5" w14:paraId="17BB0F58" w14:textId="77777777" w:rsidTr="009763A8">
        <w:trPr>
          <w:trHeight w:val="411"/>
        </w:trPr>
        <w:tc>
          <w:tcPr>
            <w:tcW w:w="1900" w:type="dxa"/>
            <w:tcBorders>
              <w:top w:val="nil"/>
              <w:left w:val="nil"/>
              <w:bottom w:val="single" w:sz="6" w:space="0" w:color="A5A5A5"/>
              <w:right w:val="single" w:sz="6" w:space="0" w:color="A5A5A5"/>
            </w:tcBorders>
            <w:shd w:val="clear" w:color="auto" w:fill="284B98"/>
            <w:vAlign w:val="center"/>
            <w:hideMark/>
          </w:tcPr>
          <w:p w14:paraId="1AEABF0E" w14:textId="2D11D403" w:rsidR="0016036B" w:rsidRPr="00F36DA5" w:rsidRDefault="0016036B" w:rsidP="00F36DA5">
            <w:pPr>
              <w:jc w:val="center"/>
              <w:textAlignment w:val="baseline"/>
              <w:rPr>
                <w:rFonts w:ascii="Times New Roman" w:eastAsia="Times New Roman" w:hAnsi="Times New Roman" w:cs="Times New Roman"/>
                <w:sz w:val="24"/>
                <w:szCs w:val="24"/>
                <w:lang w:eastAsia="en-AU"/>
              </w:rPr>
            </w:pPr>
          </w:p>
        </w:tc>
        <w:tc>
          <w:tcPr>
            <w:tcW w:w="1900" w:type="dxa"/>
            <w:tcBorders>
              <w:top w:val="nil"/>
              <w:left w:val="single" w:sz="6" w:space="0" w:color="A5A5A5"/>
              <w:bottom w:val="single" w:sz="6" w:space="0" w:color="A5A5A5"/>
              <w:right w:val="nil"/>
            </w:tcBorders>
            <w:shd w:val="clear" w:color="auto" w:fill="284B98"/>
            <w:vAlign w:val="center"/>
            <w:hideMark/>
          </w:tcPr>
          <w:p w14:paraId="164B01B9" w14:textId="1FFF367B" w:rsidR="0016036B" w:rsidRPr="00F36DA5" w:rsidRDefault="0016036B"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 ($ million)</w:t>
            </w:r>
            <w:r w:rsidRPr="00F36DA5">
              <w:rPr>
                <w:rFonts w:ascii="Arial" w:eastAsia="Times New Roman" w:hAnsi="Arial" w:cs="Arial"/>
                <w:color w:val="FFFFFF"/>
                <w:szCs w:val="20"/>
                <w:lang w:eastAsia="en-AU"/>
              </w:rPr>
              <w:t> </w:t>
            </w:r>
          </w:p>
        </w:tc>
        <w:tc>
          <w:tcPr>
            <w:tcW w:w="1900" w:type="dxa"/>
            <w:tcBorders>
              <w:top w:val="nil"/>
              <w:left w:val="single" w:sz="6" w:space="0" w:color="A5A5A5"/>
              <w:bottom w:val="single" w:sz="6" w:space="0" w:color="A5A5A5"/>
              <w:right w:val="nil"/>
            </w:tcBorders>
            <w:shd w:val="clear" w:color="auto" w:fill="284B98"/>
            <w:vAlign w:val="center"/>
          </w:tcPr>
          <w:p w14:paraId="568DDCDD" w14:textId="0B4DA826" w:rsidR="0016036B" w:rsidRPr="00F36DA5" w:rsidRDefault="0016036B"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 ($ million)</w:t>
            </w:r>
            <w:r w:rsidRPr="00F36DA5">
              <w:rPr>
                <w:rFonts w:ascii="Arial" w:eastAsia="Times New Roman" w:hAnsi="Arial" w:cs="Arial"/>
                <w:color w:val="FFFFFF"/>
                <w:szCs w:val="20"/>
                <w:lang w:eastAsia="en-AU"/>
              </w:rPr>
              <w:t> </w:t>
            </w:r>
          </w:p>
        </w:tc>
        <w:tc>
          <w:tcPr>
            <w:tcW w:w="1900" w:type="dxa"/>
            <w:tcBorders>
              <w:top w:val="nil"/>
              <w:left w:val="single" w:sz="6" w:space="0" w:color="A5A5A5"/>
              <w:bottom w:val="single" w:sz="6" w:space="0" w:color="A5A5A5"/>
              <w:right w:val="nil"/>
            </w:tcBorders>
            <w:shd w:val="clear" w:color="auto" w:fill="284B98"/>
            <w:vAlign w:val="center"/>
          </w:tcPr>
          <w:p w14:paraId="1B5EEF24" w14:textId="59B35813" w:rsidR="0016036B" w:rsidRPr="00F36DA5" w:rsidRDefault="0016036B"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 ($ million)</w:t>
            </w:r>
            <w:r w:rsidRPr="00F36DA5">
              <w:rPr>
                <w:rFonts w:ascii="Arial" w:eastAsia="Times New Roman" w:hAnsi="Arial" w:cs="Arial"/>
                <w:color w:val="FFFFFF"/>
                <w:szCs w:val="20"/>
                <w:lang w:eastAsia="en-AU"/>
              </w:rPr>
              <w:t> </w:t>
            </w:r>
          </w:p>
        </w:tc>
        <w:tc>
          <w:tcPr>
            <w:tcW w:w="1900" w:type="dxa"/>
            <w:tcBorders>
              <w:top w:val="nil"/>
              <w:left w:val="single" w:sz="6" w:space="0" w:color="A5A5A5"/>
              <w:bottom w:val="single" w:sz="6" w:space="0" w:color="A5A5A5"/>
              <w:right w:val="nil"/>
            </w:tcBorders>
            <w:shd w:val="clear" w:color="auto" w:fill="284B98"/>
            <w:vAlign w:val="center"/>
          </w:tcPr>
          <w:p w14:paraId="3AB047B0" w14:textId="04AB45E6" w:rsidR="0016036B" w:rsidRPr="00F36DA5" w:rsidRDefault="0016036B"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 ($ million)</w:t>
            </w:r>
            <w:r w:rsidRPr="00F36DA5">
              <w:rPr>
                <w:rFonts w:ascii="Arial" w:eastAsia="Times New Roman" w:hAnsi="Arial" w:cs="Arial"/>
                <w:color w:val="FFFFFF"/>
                <w:szCs w:val="20"/>
                <w:lang w:eastAsia="en-AU"/>
              </w:rPr>
              <w:t> </w:t>
            </w:r>
          </w:p>
        </w:tc>
      </w:tr>
      <w:tr w:rsidR="005B03CC" w:rsidRPr="00F36DA5" w14:paraId="5167659B" w14:textId="77777777" w:rsidTr="009763A8">
        <w:trPr>
          <w:trHeight w:val="411"/>
        </w:trPr>
        <w:tc>
          <w:tcPr>
            <w:tcW w:w="0" w:type="auto"/>
            <w:shd w:val="clear" w:color="auto" w:fill="284B98"/>
            <w:vAlign w:val="center"/>
            <w:hideMark/>
          </w:tcPr>
          <w:p w14:paraId="7E4865BA" w14:textId="61DBDE11" w:rsidR="00F36DA5" w:rsidRPr="00F36DA5" w:rsidRDefault="0016036B" w:rsidP="009763A8">
            <w:pPr>
              <w:jc w:val="center"/>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 type</w:t>
            </w:r>
          </w:p>
        </w:tc>
        <w:tc>
          <w:tcPr>
            <w:tcW w:w="1900" w:type="dxa"/>
            <w:tcBorders>
              <w:top w:val="single" w:sz="6" w:space="0" w:color="A5A5A5"/>
              <w:left w:val="single" w:sz="6" w:space="0" w:color="A5A5A5"/>
              <w:bottom w:val="single" w:sz="6" w:space="0" w:color="A5A5A5"/>
              <w:right w:val="single" w:sz="6" w:space="0" w:color="A5A5A5"/>
            </w:tcBorders>
            <w:shd w:val="clear" w:color="auto" w:fill="F2F2F2" w:themeFill="background2" w:themeFillShade="F2"/>
            <w:vAlign w:val="center"/>
            <w:hideMark/>
          </w:tcPr>
          <w:p w14:paraId="3A738AB4" w14:textId="04DAD5D2" w:rsidR="00F36DA5" w:rsidRPr="00F36DA5" w:rsidRDefault="00F36DA5" w:rsidP="002619A4">
            <w:pPr>
              <w:pStyle w:val="Tablebody0"/>
              <w:jc w:val="center"/>
              <w:rPr>
                <w:rFonts w:ascii="Times New Roman" w:hAnsi="Times New Roman"/>
                <w:sz w:val="24"/>
                <w:szCs w:val="24"/>
                <w:lang w:eastAsia="en-AU"/>
              </w:rPr>
            </w:pPr>
            <w:r w:rsidRPr="00F36DA5">
              <w:rPr>
                <w:lang w:eastAsia="en-AU"/>
              </w:rPr>
              <w:t>Industry</w:t>
            </w:r>
          </w:p>
        </w:tc>
        <w:tc>
          <w:tcPr>
            <w:tcW w:w="1900" w:type="dxa"/>
            <w:tcBorders>
              <w:top w:val="single" w:sz="6" w:space="0" w:color="A5A5A5"/>
              <w:left w:val="single" w:sz="6" w:space="0" w:color="A5A5A5"/>
              <w:bottom w:val="single" w:sz="6" w:space="0" w:color="A5A5A5"/>
              <w:right w:val="single" w:sz="6" w:space="0" w:color="A5A5A5"/>
            </w:tcBorders>
            <w:shd w:val="clear" w:color="auto" w:fill="F2F2F2" w:themeFill="background2" w:themeFillShade="F2"/>
            <w:vAlign w:val="center"/>
            <w:hideMark/>
          </w:tcPr>
          <w:p w14:paraId="7D9CF839" w14:textId="5A4988DE" w:rsidR="00F36DA5" w:rsidRPr="00F36DA5" w:rsidRDefault="00F36DA5" w:rsidP="002619A4">
            <w:pPr>
              <w:pStyle w:val="Tablebody0"/>
              <w:jc w:val="center"/>
              <w:rPr>
                <w:rFonts w:ascii="Times New Roman" w:hAnsi="Times New Roman"/>
                <w:sz w:val="24"/>
                <w:szCs w:val="24"/>
                <w:lang w:eastAsia="en-AU"/>
              </w:rPr>
            </w:pPr>
            <w:r w:rsidRPr="00F36DA5">
              <w:rPr>
                <w:lang w:eastAsia="en-AU"/>
              </w:rPr>
              <w:t>Community</w:t>
            </w:r>
          </w:p>
        </w:tc>
        <w:tc>
          <w:tcPr>
            <w:tcW w:w="1900" w:type="dxa"/>
            <w:tcBorders>
              <w:top w:val="single" w:sz="6" w:space="0" w:color="A5A5A5"/>
              <w:left w:val="single" w:sz="6" w:space="0" w:color="A5A5A5"/>
              <w:bottom w:val="single" w:sz="6" w:space="0" w:color="A5A5A5"/>
              <w:right w:val="single" w:sz="6" w:space="0" w:color="A5A5A5"/>
            </w:tcBorders>
            <w:shd w:val="clear" w:color="auto" w:fill="F2F2F2" w:themeFill="background2" w:themeFillShade="F2"/>
            <w:vAlign w:val="center"/>
            <w:hideMark/>
          </w:tcPr>
          <w:p w14:paraId="09EBA4F0" w14:textId="52149399" w:rsidR="00F36DA5" w:rsidRPr="00F36DA5" w:rsidRDefault="00F36DA5" w:rsidP="002619A4">
            <w:pPr>
              <w:pStyle w:val="Tablebody0"/>
              <w:jc w:val="center"/>
              <w:rPr>
                <w:rFonts w:ascii="Times New Roman" w:hAnsi="Times New Roman"/>
                <w:sz w:val="24"/>
                <w:szCs w:val="24"/>
                <w:lang w:eastAsia="en-AU"/>
              </w:rPr>
            </w:pPr>
            <w:r w:rsidRPr="00F36DA5">
              <w:rPr>
                <w:lang w:eastAsia="en-AU"/>
              </w:rPr>
              <w:t>Individuals</w:t>
            </w:r>
          </w:p>
        </w:tc>
        <w:tc>
          <w:tcPr>
            <w:tcW w:w="1900" w:type="dxa"/>
            <w:tcBorders>
              <w:top w:val="single" w:sz="6" w:space="0" w:color="A5A5A5"/>
              <w:left w:val="single" w:sz="6" w:space="0" w:color="A5A5A5"/>
              <w:bottom w:val="single" w:sz="6" w:space="0" w:color="A5A5A5"/>
              <w:right w:val="nil"/>
            </w:tcBorders>
            <w:shd w:val="clear" w:color="auto" w:fill="F2F2F2" w:themeFill="background2" w:themeFillShade="F2"/>
            <w:vAlign w:val="center"/>
            <w:hideMark/>
          </w:tcPr>
          <w:p w14:paraId="302332FA" w14:textId="7A6F4472" w:rsidR="00F36DA5" w:rsidRPr="00F36DA5" w:rsidRDefault="00F36DA5" w:rsidP="002619A4">
            <w:pPr>
              <w:pStyle w:val="Tablebody0"/>
              <w:jc w:val="center"/>
              <w:rPr>
                <w:rFonts w:ascii="Times New Roman" w:hAnsi="Times New Roman"/>
                <w:sz w:val="24"/>
                <w:szCs w:val="24"/>
                <w:lang w:eastAsia="en-AU"/>
              </w:rPr>
            </w:pPr>
            <w:r w:rsidRPr="00F36DA5">
              <w:rPr>
                <w:lang w:eastAsia="en-AU"/>
              </w:rPr>
              <w:t>Total cost</w:t>
            </w:r>
          </w:p>
        </w:tc>
      </w:tr>
      <w:tr w:rsidR="005B03CC" w:rsidRPr="00F36DA5" w14:paraId="6CE3D163" w14:textId="77777777" w:rsidTr="009763A8">
        <w:trPr>
          <w:trHeight w:val="411"/>
        </w:trPr>
        <w:tc>
          <w:tcPr>
            <w:tcW w:w="1900" w:type="dxa"/>
            <w:tcBorders>
              <w:top w:val="single" w:sz="6" w:space="0" w:color="A5A5A5"/>
              <w:left w:val="nil"/>
              <w:bottom w:val="single" w:sz="6" w:space="0" w:color="A5A5A5"/>
              <w:right w:val="single" w:sz="6" w:space="0" w:color="A5A5A5"/>
            </w:tcBorders>
            <w:shd w:val="clear" w:color="auto" w:fill="F2F2F2" w:themeFill="background2" w:themeFillShade="F2"/>
            <w:vAlign w:val="center"/>
            <w:hideMark/>
          </w:tcPr>
          <w:p w14:paraId="06B1BB69" w14:textId="326E721F" w:rsidR="00F36DA5" w:rsidRPr="00F36DA5" w:rsidRDefault="00F36DA5" w:rsidP="00F36DA5">
            <w:pPr>
              <w:textAlignment w:val="baseline"/>
              <w:rPr>
                <w:rFonts w:ascii="Times New Roman" w:eastAsia="Times New Roman" w:hAnsi="Times New Roman" w:cs="Times New Roman"/>
                <w:sz w:val="24"/>
                <w:szCs w:val="24"/>
                <w:lang w:eastAsia="en-AU"/>
              </w:rPr>
            </w:pPr>
            <w:r w:rsidRPr="4F26752A">
              <w:rPr>
                <w:rFonts w:ascii="Arial" w:eastAsia="Times New Roman" w:hAnsi="Arial" w:cs="Arial"/>
                <w:lang w:eastAsia="en-AU"/>
              </w:rPr>
              <w:t>One-off </w:t>
            </w:r>
          </w:p>
        </w:tc>
        <w:tc>
          <w:tcPr>
            <w:tcW w:w="1900"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6B6F6549" w14:textId="6FB171DE" w:rsidR="00F36DA5" w:rsidRPr="00F36DA5" w:rsidRDefault="00F36DA5" w:rsidP="002619A4">
            <w:pPr>
              <w:pStyle w:val="Tablebody0"/>
              <w:jc w:val="center"/>
              <w:rPr>
                <w:rFonts w:ascii="Times New Roman" w:hAnsi="Times New Roman"/>
                <w:sz w:val="24"/>
                <w:szCs w:val="24"/>
                <w:lang w:eastAsia="en-AU"/>
              </w:rPr>
            </w:pPr>
            <w:r w:rsidRPr="00F36DA5">
              <w:rPr>
                <w:lang w:eastAsia="en-AU"/>
              </w:rPr>
              <w:t>$1,</w:t>
            </w:r>
            <w:r w:rsidR="00EE4152">
              <w:rPr>
                <w:lang w:eastAsia="en-AU"/>
              </w:rPr>
              <w:t>823</w:t>
            </w:r>
            <w:r w:rsidRPr="00F36DA5">
              <w:rPr>
                <w:lang w:eastAsia="en-AU"/>
              </w:rPr>
              <w:t>.</w:t>
            </w:r>
            <w:r w:rsidR="00EE4152">
              <w:rPr>
                <w:lang w:eastAsia="en-AU"/>
              </w:rPr>
              <w:t>2</w:t>
            </w:r>
            <w:r w:rsidRPr="00F36DA5">
              <w:rPr>
                <w:lang w:eastAsia="en-AU"/>
              </w:rPr>
              <w:t>9</w:t>
            </w:r>
          </w:p>
        </w:tc>
        <w:tc>
          <w:tcPr>
            <w:tcW w:w="1900"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2B8D9FED" w14:textId="6FD75786" w:rsidR="00F36DA5" w:rsidRPr="00F36DA5" w:rsidRDefault="00F36DA5" w:rsidP="002619A4">
            <w:pPr>
              <w:pStyle w:val="Tablebody0"/>
              <w:jc w:val="center"/>
              <w:rPr>
                <w:rFonts w:ascii="Times New Roman" w:hAnsi="Times New Roman"/>
                <w:sz w:val="24"/>
                <w:szCs w:val="24"/>
                <w:lang w:eastAsia="en-AU"/>
              </w:rPr>
            </w:pPr>
            <w:r w:rsidRPr="00F36DA5">
              <w:rPr>
                <w:lang w:eastAsia="en-AU"/>
              </w:rPr>
              <w:t>Nil</w:t>
            </w:r>
          </w:p>
        </w:tc>
        <w:tc>
          <w:tcPr>
            <w:tcW w:w="1900"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733D0B0E" w14:textId="33459F53" w:rsidR="00F36DA5" w:rsidRPr="00F36DA5" w:rsidRDefault="00F36DA5" w:rsidP="002619A4">
            <w:pPr>
              <w:pStyle w:val="Tablebody0"/>
              <w:jc w:val="center"/>
              <w:rPr>
                <w:rFonts w:ascii="Times New Roman" w:hAnsi="Times New Roman"/>
                <w:sz w:val="24"/>
                <w:szCs w:val="24"/>
                <w:lang w:eastAsia="en-AU"/>
              </w:rPr>
            </w:pPr>
            <w:r w:rsidRPr="00F36DA5">
              <w:rPr>
                <w:lang w:eastAsia="en-AU"/>
              </w:rPr>
              <w:t>Nil</w:t>
            </w:r>
          </w:p>
        </w:tc>
        <w:tc>
          <w:tcPr>
            <w:tcW w:w="1900" w:type="dxa"/>
            <w:tcBorders>
              <w:top w:val="single" w:sz="6" w:space="0" w:color="A5A5A5"/>
              <w:left w:val="single" w:sz="6" w:space="0" w:color="A5A5A5"/>
              <w:bottom w:val="single" w:sz="6" w:space="0" w:color="A5A5A5"/>
              <w:right w:val="nil"/>
            </w:tcBorders>
            <w:shd w:val="clear" w:color="auto" w:fill="auto"/>
            <w:vAlign w:val="center"/>
            <w:hideMark/>
          </w:tcPr>
          <w:p w14:paraId="07DE0EA0" w14:textId="683A2473" w:rsidR="00F36DA5" w:rsidRPr="00F36DA5" w:rsidRDefault="00F36DA5" w:rsidP="002619A4">
            <w:pPr>
              <w:pStyle w:val="Tablebody0"/>
              <w:jc w:val="center"/>
              <w:rPr>
                <w:rFonts w:ascii="Times New Roman" w:hAnsi="Times New Roman"/>
                <w:sz w:val="24"/>
                <w:szCs w:val="24"/>
                <w:lang w:eastAsia="en-AU"/>
              </w:rPr>
            </w:pPr>
            <w:r w:rsidRPr="00F36DA5">
              <w:rPr>
                <w:lang w:eastAsia="en-AU"/>
              </w:rPr>
              <w:t>$1,</w:t>
            </w:r>
            <w:r w:rsidR="00EE4152">
              <w:rPr>
                <w:lang w:eastAsia="en-AU"/>
              </w:rPr>
              <w:t>823</w:t>
            </w:r>
            <w:r w:rsidRPr="00F36DA5">
              <w:rPr>
                <w:lang w:eastAsia="en-AU"/>
              </w:rPr>
              <w:t>.9</w:t>
            </w:r>
            <w:r w:rsidR="00EE4152">
              <w:rPr>
                <w:lang w:eastAsia="en-AU"/>
              </w:rPr>
              <w:t>3</w:t>
            </w:r>
          </w:p>
        </w:tc>
      </w:tr>
      <w:tr w:rsidR="005B03CC" w:rsidRPr="00F36DA5" w14:paraId="3B785DB9" w14:textId="77777777" w:rsidTr="009763A8">
        <w:trPr>
          <w:trHeight w:val="411"/>
        </w:trPr>
        <w:tc>
          <w:tcPr>
            <w:tcW w:w="1900" w:type="dxa"/>
            <w:tcBorders>
              <w:top w:val="single" w:sz="6" w:space="0" w:color="A5A5A5"/>
              <w:left w:val="nil"/>
              <w:bottom w:val="nil"/>
              <w:right w:val="single" w:sz="6" w:space="0" w:color="A5A5A5"/>
            </w:tcBorders>
            <w:shd w:val="clear" w:color="auto" w:fill="F2F2F2" w:themeFill="background2" w:themeFillShade="F2"/>
            <w:vAlign w:val="center"/>
            <w:hideMark/>
          </w:tcPr>
          <w:p w14:paraId="7AE4A4D1"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szCs w:val="20"/>
                <w:lang w:eastAsia="en-AU"/>
              </w:rPr>
              <w:t>Ongoing (per year) </w:t>
            </w:r>
          </w:p>
        </w:tc>
        <w:tc>
          <w:tcPr>
            <w:tcW w:w="1900" w:type="dxa"/>
            <w:tcBorders>
              <w:top w:val="single" w:sz="6" w:space="0" w:color="A5A5A5"/>
              <w:left w:val="single" w:sz="6" w:space="0" w:color="A5A5A5"/>
              <w:bottom w:val="nil"/>
              <w:right w:val="single" w:sz="6" w:space="0" w:color="A5A5A5"/>
            </w:tcBorders>
            <w:shd w:val="clear" w:color="auto" w:fill="auto"/>
            <w:vAlign w:val="center"/>
            <w:hideMark/>
          </w:tcPr>
          <w:p w14:paraId="3093EED2" w14:textId="463998FA" w:rsidR="00F36DA5" w:rsidRPr="00F36DA5" w:rsidRDefault="00F36DA5" w:rsidP="002619A4">
            <w:pPr>
              <w:pStyle w:val="Tablebody0"/>
              <w:jc w:val="center"/>
              <w:rPr>
                <w:rFonts w:ascii="Times New Roman" w:hAnsi="Times New Roman"/>
                <w:sz w:val="24"/>
                <w:szCs w:val="24"/>
                <w:lang w:eastAsia="en-AU"/>
              </w:rPr>
            </w:pPr>
            <w:r w:rsidRPr="00F36DA5">
              <w:rPr>
                <w:lang w:eastAsia="en-AU"/>
              </w:rPr>
              <w:t>$1,2</w:t>
            </w:r>
            <w:r w:rsidR="00133808">
              <w:rPr>
                <w:lang w:eastAsia="en-AU"/>
              </w:rPr>
              <w:t>2</w:t>
            </w:r>
            <w:r w:rsidRPr="00F36DA5">
              <w:rPr>
                <w:lang w:eastAsia="en-AU"/>
              </w:rPr>
              <w:t>6.</w:t>
            </w:r>
            <w:r w:rsidR="00133808">
              <w:rPr>
                <w:lang w:eastAsia="en-AU"/>
              </w:rPr>
              <w:t>16</w:t>
            </w:r>
          </w:p>
        </w:tc>
        <w:tc>
          <w:tcPr>
            <w:tcW w:w="1900" w:type="dxa"/>
            <w:tcBorders>
              <w:top w:val="single" w:sz="6" w:space="0" w:color="A5A5A5"/>
              <w:left w:val="single" w:sz="6" w:space="0" w:color="A5A5A5"/>
              <w:bottom w:val="nil"/>
              <w:right w:val="single" w:sz="6" w:space="0" w:color="A5A5A5"/>
            </w:tcBorders>
            <w:shd w:val="clear" w:color="auto" w:fill="auto"/>
            <w:vAlign w:val="center"/>
            <w:hideMark/>
          </w:tcPr>
          <w:p w14:paraId="363DC2BC" w14:textId="5AE3D1FC" w:rsidR="00F36DA5" w:rsidRPr="00F36DA5" w:rsidRDefault="00F36DA5" w:rsidP="002619A4">
            <w:pPr>
              <w:pStyle w:val="Tablebody0"/>
              <w:jc w:val="center"/>
              <w:rPr>
                <w:rFonts w:ascii="Times New Roman" w:hAnsi="Times New Roman"/>
                <w:sz w:val="24"/>
                <w:szCs w:val="24"/>
                <w:lang w:eastAsia="en-AU"/>
              </w:rPr>
            </w:pPr>
            <w:r w:rsidRPr="00F36DA5">
              <w:rPr>
                <w:lang w:eastAsia="en-AU"/>
              </w:rPr>
              <w:t>Nil</w:t>
            </w:r>
          </w:p>
        </w:tc>
        <w:tc>
          <w:tcPr>
            <w:tcW w:w="1900" w:type="dxa"/>
            <w:tcBorders>
              <w:top w:val="single" w:sz="6" w:space="0" w:color="A5A5A5"/>
              <w:left w:val="single" w:sz="6" w:space="0" w:color="A5A5A5"/>
              <w:bottom w:val="nil"/>
              <w:right w:val="single" w:sz="6" w:space="0" w:color="A5A5A5"/>
            </w:tcBorders>
            <w:shd w:val="clear" w:color="auto" w:fill="auto"/>
            <w:vAlign w:val="center"/>
            <w:hideMark/>
          </w:tcPr>
          <w:p w14:paraId="7A6474F8" w14:textId="70FB8823" w:rsidR="00F36DA5" w:rsidRPr="00F36DA5" w:rsidRDefault="00F36DA5" w:rsidP="002619A4">
            <w:pPr>
              <w:pStyle w:val="Tablebody0"/>
              <w:jc w:val="center"/>
              <w:rPr>
                <w:rFonts w:ascii="Times New Roman" w:hAnsi="Times New Roman"/>
                <w:sz w:val="24"/>
                <w:szCs w:val="24"/>
                <w:lang w:eastAsia="en-AU"/>
              </w:rPr>
            </w:pPr>
            <w:r w:rsidRPr="00F36DA5">
              <w:rPr>
                <w:lang w:eastAsia="en-AU"/>
              </w:rPr>
              <w:t>Nil</w:t>
            </w:r>
          </w:p>
        </w:tc>
        <w:tc>
          <w:tcPr>
            <w:tcW w:w="1900" w:type="dxa"/>
            <w:tcBorders>
              <w:top w:val="single" w:sz="6" w:space="0" w:color="A5A5A5"/>
              <w:left w:val="single" w:sz="6" w:space="0" w:color="A5A5A5"/>
              <w:bottom w:val="nil"/>
              <w:right w:val="nil"/>
            </w:tcBorders>
            <w:shd w:val="clear" w:color="auto" w:fill="auto"/>
            <w:vAlign w:val="center"/>
            <w:hideMark/>
          </w:tcPr>
          <w:p w14:paraId="7AE843A7" w14:textId="5AD92ED2" w:rsidR="00F36DA5" w:rsidRPr="00F36DA5" w:rsidRDefault="00F36DA5" w:rsidP="002619A4">
            <w:pPr>
              <w:pStyle w:val="Tablebody0"/>
              <w:jc w:val="center"/>
              <w:rPr>
                <w:rFonts w:ascii="Times New Roman" w:hAnsi="Times New Roman"/>
                <w:sz w:val="24"/>
                <w:szCs w:val="24"/>
                <w:lang w:eastAsia="en-AU"/>
              </w:rPr>
            </w:pPr>
            <w:r w:rsidRPr="00F36DA5">
              <w:rPr>
                <w:lang w:eastAsia="en-AU"/>
              </w:rPr>
              <w:t>$1,2</w:t>
            </w:r>
            <w:r w:rsidR="006142D1">
              <w:rPr>
                <w:lang w:eastAsia="en-AU"/>
              </w:rPr>
              <w:t>2</w:t>
            </w:r>
            <w:r w:rsidRPr="00F36DA5">
              <w:rPr>
                <w:lang w:eastAsia="en-AU"/>
              </w:rPr>
              <w:t>6.</w:t>
            </w:r>
            <w:r w:rsidR="006142D1">
              <w:rPr>
                <w:lang w:eastAsia="en-AU"/>
              </w:rPr>
              <w:t>16</w:t>
            </w:r>
          </w:p>
        </w:tc>
      </w:tr>
    </w:tbl>
    <w:p w14:paraId="13B04605" w14:textId="77777777" w:rsidR="00F36DA5" w:rsidRPr="00F36DA5" w:rsidRDefault="00F36DA5" w:rsidP="00E171F2">
      <w:pPr>
        <w:pStyle w:val="BodyText"/>
        <w:rPr>
          <w:rFonts w:ascii="Segoe UI" w:hAnsi="Segoe UI" w:cs="Segoe UI"/>
          <w:sz w:val="18"/>
          <w:szCs w:val="18"/>
        </w:rPr>
      </w:pPr>
      <w:r w:rsidRPr="00F36DA5">
        <w:t>The above expected costs were included in the draft IA distributed to industry for consultation. Industry was asked to validate, or provide commentary on the accuracy of these costs (noting industry were provided with an opportunity to validate these costs as part of the 2021-2022 consultation period).  </w:t>
      </w:r>
    </w:p>
    <w:p w14:paraId="6C7AF00D" w14:textId="77777777" w:rsidR="00F36DA5" w:rsidRPr="00F36DA5" w:rsidRDefault="00F36DA5" w:rsidP="00E171F2">
      <w:pPr>
        <w:pStyle w:val="BodyText"/>
        <w:rPr>
          <w:rFonts w:ascii="Segoe UI" w:hAnsi="Segoe UI" w:cs="Segoe UI"/>
          <w:sz w:val="18"/>
          <w:szCs w:val="18"/>
        </w:rPr>
      </w:pPr>
      <w:r w:rsidRPr="00F36DA5">
        <w:t>Feedback from industry offered the following insights:  </w:t>
      </w:r>
    </w:p>
    <w:p w14:paraId="43581271" w14:textId="4CF0B958" w:rsidR="00F36DA5" w:rsidRPr="00F36DA5" w:rsidRDefault="00F36DA5" w:rsidP="00510557">
      <w:pPr>
        <w:pStyle w:val="ListParagraph"/>
        <w:numPr>
          <w:ilvl w:val="0"/>
          <w:numId w:val="21"/>
        </w:numPr>
        <w:contextualSpacing/>
      </w:pPr>
      <w:r w:rsidRPr="00F36DA5">
        <w:t xml:space="preserve">Industry did not disagree with the cost estimates outlined in the tables above and one entity provided detailed costs which were broadly in line with the costs in </w:t>
      </w:r>
      <w:r w:rsidRPr="00A567AB">
        <w:t xml:space="preserve">Table </w:t>
      </w:r>
      <w:r w:rsidR="00BE3A4A">
        <w:t>19</w:t>
      </w:r>
      <w:r w:rsidRPr="00F36DA5">
        <w:t>.  </w:t>
      </w:r>
    </w:p>
    <w:p w14:paraId="24C84C4C" w14:textId="77777777" w:rsidR="00F36DA5" w:rsidRPr="00F36DA5" w:rsidRDefault="00F36DA5" w:rsidP="00510557">
      <w:pPr>
        <w:pStyle w:val="ListParagraph"/>
        <w:numPr>
          <w:ilvl w:val="0"/>
          <w:numId w:val="21"/>
        </w:numPr>
        <w:contextualSpacing/>
      </w:pPr>
      <w:r w:rsidRPr="00F36DA5">
        <w:t>In most cases, industry did not provide new or different costs in relation to Measure 1.  </w:t>
      </w:r>
    </w:p>
    <w:p w14:paraId="3323D1E2" w14:textId="77777777" w:rsidR="00F36DA5" w:rsidRPr="00F36DA5" w:rsidRDefault="00F36DA5" w:rsidP="00510557">
      <w:pPr>
        <w:pStyle w:val="ListParagraph"/>
        <w:numPr>
          <w:ilvl w:val="0"/>
          <w:numId w:val="21"/>
        </w:numPr>
        <w:contextualSpacing/>
      </w:pPr>
      <w:r w:rsidRPr="00F36DA5">
        <w:t>Where industry did provide new or different costs, these costs are comparatively immaterial relative to cost estimates for compliance with existing applicable SOCI Act obligations.  </w:t>
      </w:r>
    </w:p>
    <w:p w14:paraId="55C7FCF0" w14:textId="5DDF0C16" w:rsidR="002C33D0" w:rsidRDefault="00F36DA5" w:rsidP="00E171F2">
      <w:pPr>
        <w:pStyle w:val="BodyText"/>
      </w:pPr>
      <w:r>
        <w:t>In response to the Consultation Paper, stakeholders were broadly supportive of expanding critical asset definitions to include secondary systems, such as those that hold large volumes of data, where any potential changes are balanced against the risk of regulatory duplication. </w:t>
      </w:r>
      <w:r w:rsidR="0056026A">
        <w:t xml:space="preserve">Some stakeholders noted that </w:t>
      </w:r>
      <w:r w:rsidR="002C33D0">
        <w:t xml:space="preserve">additional </w:t>
      </w:r>
      <w:r w:rsidR="0056026A">
        <w:t xml:space="preserve">detail on the nature of the policy proposal </w:t>
      </w:r>
      <w:r w:rsidR="002C33D0">
        <w:t xml:space="preserve">was required to allow for comment. </w:t>
      </w:r>
    </w:p>
    <w:p w14:paraId="00378F84" w14:textId="0516BF96" w:rsidR="00F36DA5" w:rsidRDefault="002C33D0" w:rsidP="00E171F2">
      <w:pPr>
        <w:pStyle w:val="BodyText"/>
      </w:pPr>
      <w:r>
        <w:t>Overall,</w:t>
      </w:r>
      <w:r w:rsidR="00E444FD">
        <w:t xml:space="preserve"> low numbers of submissions mean: </w:t>
      </w:r>
    </w:p>
    <w:p w14:paraId="4242746B" w14:textId="1F476222" w:rsidR="00E444FD" w:rsidRPr="002619A4" w:rsidRDefault="00E444FD" w:rsidP="00E444FD">
      <w:pPr>
        <w:pStyle w:val="BodyText"/>
        <w:numPr>
          <w:ilvl w:val="0"/>
          <w:numId w:val="105"/>
        </w:numPr>
      </w:pPr>
      <w:r w:rsidRPr="002619A4">
        <w:t xml:space="preserve">Specific details on the nature of these </w:t>
      </w:r>
      <w:r w:rsidR="009E2F3B" w:rsidRPr="002619A4">
        <w:t>submissions</w:t>
      </w:r>
      <w:r w:rsidRPr="002619A4">
        <w:t xml:space="preserve"> cannot be included in this IA, to </w:t>
      </w:r>
      <w:r w:rsidR="009E2F3B" w:rsidRPr="002619A4">
        <w:t xml:space="preserve">prevent the identification of specific entities. </w:t>
      </w:r>
    </w:p>
    <w:p w14:paraId="1C10E0EC" w14:textId="364DBA4F" w:rsidR="009E2F3B" w:rsidRPr="00F36DA5" w:rsidRDefault="009E2F3B" w:rsidP="002619A4">
      <w:pPr>
        <w:pStyle w:val="BodyText"/>
        <w:numPr>
          <w:ilvl w:val="0"/>
          <w:numId w:val="105"/>
        </w:numPr>
        <w:rPr>
          <w:rFonts w:ascii="Segoe UI" w:hAnsi="Segoe UI" w:cs="Segoe UI"/>
          <w:sz w:val="18"/>
          <w:szCs w:val="18"/>
        </w:rPr>
      </w:pPr>
      <w:r w:rsidRPr="002619A4">
        <w:t xml:space="preserve">The Department </w:t>
      </w:r>
      <w:r w:rsidR="00DC6DAB" w:rsidRPr="002619A4">
        <w:t xml:space="preserve">has </w:t>
      </w:r>
      <w:r w:rsidRPr="002619A4">
        <w:t>infer</w:t>
      </w:r>
      <w:r w:rsidR="00DC6DAB" w:rsidRPr="002619A4">
        <w:t>red</w:t>
      </w:r>
      <w:r w:rsidRPr="002619A4">
        <w:t xml:space="preserve">, given the extent of consultation conducted on this measure, </w:t>
      </w:r>
      <w:r w:rsidR="003D3029" w:rsidRPr="002619A4">
        <w:t xml:space="preserve">tacit agreement from industry </w:t>
      </w:r>
      <w:r w:rsidR="00465F66" w:rsidRPr="002619A4">
        <w:t>that additional regulation is required to ensure the protection of secondary systems.</w:t>
      </w:r>
      <w:r w:rsidR="00465F66">
        <w:rPr>
          <w:rFonts w:ascii="Segoe UI" w:hAnsi="Segoe UI" w:cs="Segoe UI"/>
          <w:sz w:val="18"/>
          <w:szCs w:val="18"/>
        </w:rPr>
        <w:t xml:space="preserve"> </w:t>
      </w:r>
    </w:p>
    <w:p w14:paraId="10909A6F" w14:textId="06887FD3" w:rsidR="00E50B2E" w:rsidRDefault="00F36DA5" w:rsidP="00E50B2E">
      <w:pPr>
        <w:pStyle w:val="BodyText"/>
      </w:pPr>
      <w:r w:rsidRPr="00F36DA5">
        <w:t>The below table outlines the indicative costs for each sector for Measure 1, where provided through consultation feedback. </w:t>
      </w:r>
      <w:hyperlink w:anchor="_5.2_Summary_of" w:history="1">
        <w:r w:rsidR="00225B3F" w:rsidRPr="00212522">
          <w:rPr>
            <w:rStyle w:val="Hyperlink"/>
            <w:rFonts w:ascii="Arial" w:hAnsi="Arial" w:cs="Arial"/>
            <w:szCs w:val="20"/>
          </w:rPr>
          <w:t>Section 5</w:t>
        </w:r>
      </w:hyperlink>
      <w:r w:rsidR="00225B3F">
        <w:rPr>
          <w:rFonts w:ascii="Arial" w:hAnsi="Arial" w:cs="Arial"/>
          <w:szCs w:val="20"/>
        </w:rPr>
        <w:t xml:space="preserve"> of this IA provides additional details on responses received through consultation, including how this feedback informed policy development</w:t>
      </w:r>
      <w:r w:rsidR="00E50B2E">
        <w:rPr>
          <w:rFonts w:ascii="Arial" w:hAnsi="Arial" w:cs="Arial"/>
          <w:szCs w:val="20"/>
        </w:rPr>
        <w:t>.</w:t>
      </w:r>
    </w:p>
    <w:p w14:paraId="71FF8AA9" w14:textId="77777777" w:rsidR="004E09F3" w:rsidRDefault="004E09F3" w:rsidP="00E50B2E">
      <w:pPr>
        <w:spacing w:before="80" w:after="80"/>
        <w:rPr>
          <w:rFonts w:ascii="Calibri" w:eastAsia="Times New Roman" w:hAnsi="Calibri" w:cs="Calibri"/>
          <w:b/>
          <w:bCs/>
          <w:i/>
          <w:iCs/>
          <w:sz w:val="18"/>
          <w:szCs w:val="18"/>
          <w:lang w:eastAsia="en-AU"/>
        </w:rPr>
      </w:pPr>
    </w:p>
    <w:p w14:paraId="286FAE5F" w14:textId="43E30EF0" w:rsidR="00F36DA5" w:rsidRPr="00CC1F67" w:rsidRDefault="00630156" w:rsidP="00E50B2E">
      <w:pPr>
        <w:spacing w:before="80" w:after="80"/>
        <w:rPr>
          <w:rFonts w:ascii="Segoe UI" w:eastAsia="Times New Roman" w:hAnsi="Segoe UI" w:cs="Segoe UI"/>
          <w:i/>
          <w:iCs/>
          <w:sz w:val="18"/>
          <w:szCs w:val="18"/>
          <w:lang w:eastAsia="en-AU"/>
        </w:rPr>
      </w:pPr>
      <w:r w:rsidRPr="00630156">
        <w:rPr>
          <w:rFonts w:ascii="Calibri" w:eastAsia="Times New Roman" w:hAnsi="Calibri" w:cs="Calibri"/>
          <w:b/>
          <w:bCs/>
          <w:i/>
          <w:iCs/>
          <w:sz w:val="18"/>
          <w:szCs w:val="18"/>
          <w:lang w:eastAsia="en-AU"/>
        </w:rPr>
        <w:t xml:space="preserve">Table </w:t>
      </w:r>
      <w:r w:rsidRPr="00630156">
        <w:rPr>
          <w:rFonts w:ascii="Calibri" w:eastAsia="Times New Roman" w:hAnsi="Calibri" w:cs="Calibri"/>
          <w:b/>
          <w:bCs/>
          <w:i/>
          <w:iCs/>
          <w:sz w:val="18"/>
          <w:szCs w:val="18"/>
          <w:lang w:eastAsia="en-AU"/>
        </w:rPr>
        <w:fldChar w:fldCharType="begin"/>
      </w:r>
      <w:r w:rsidRPr="00630156">
        <w:rPr>
          <w:rFonts w:ascii="Calibri" w:eastAsia="Times New Roman" w:hAnsi="Calibri" w:cs="Calibri"/>
          <w:b/>
          <w:bCs/>
          <w:i/>
          <w:iCs/>
          <w:sz w:val="18"/>
          <w:szCs w:val="18"/>
          <w:lang w:eastAsia="en-AU"/>
        </w:rPr>
        <w:instrText xml:space="preserve"> SEQ Table \* ARABIC </w:instrText>
      </w:r>
      <w:r w:rsidRPr="00630156">
        <w:rPr>
          <w:rFonts w:ascii="Calibri" w:eastAsia="Times New Roman" w:hAnsi="Calibri" w:cs="Calibri"/>
          <w:b/>
          <w:bCs/>
          <w:i/>
          <w:iCs/>
          <w:sz w:val="18"/>
          <w:szCs w:val="18"/>
          <w:lang w:eastAsia="en-AU"/>
        </w:rPr>
        <w:fldChar w:fldCharType="separate"/>
      </w:r>
      <w:r w:rsidR="00E8506B">
        <w:rPr>
          <w:rFonts w:ascii="Calibri" w:eastAsia="Times New Roman" w:hAnsi="Calibri" w:cs="Calibri"/>
          <w:b/>
          <w:bCs/>
          <w:i/>
          <w:iCs/>
          <w:noProof/>
          <w:sz w:val="18"/>
          <w:szCs w:val="18"/>
          <w:lang w:eastAsia="en-AU"/>
        </w:rPr>
        <w:t>21</w:t>
      </w:r>
      <w:r w:rsidRPr="00630156">
        <w:rPr>
          <w:rFonts w:ascii="Calibri" w:eastAsia="Times New Roman" w:hAnsi="Calibri" w:cs="Calibri"/>
          <w:b/>
          <w:bCs/>
          <w:i/>
          <w:iCs/>
          <w:sz w:val="18"/>
          <w:szCs w:val="18"/>
          <w:lang w:eastAsia="en-AU"/>
        </w:rPr>
        <w:fldChar w:fldCharType="end"/>
      </w:r>
      <w:r>
        <w:rPr>
          <w:rFonts w:ascii="Calibri" w:eastAsia="Times New Roman" w:hAnsi="Calibri" w:cs="Calibri"/>
          <w:b/>
          <w:bCs/>
          <w:i/>
          <w:iCs/>
          <w:sz w:val="18"/>
          <w:szCs w:val="18"/>
          <w:lang w:eastAsia="en-AU"/>
        </w:rPr>
        <w:t xml:space="preserve"> </w:t>
      </w:r>
      <w:r w:rsidR="00F36DA5" w:rsidRPr="00CC1F67">
        <w:rPr>
          <w:rFonts w:ascii="Calibri" w:eastAsia="Times New Roman" w:hAnsi="Calibri" w:cs="Calibri"/>
          <w:i/>
          <w:iCs/>
          <w:sz w:val="18"/>
          <w:szCs w:val="18"/>
          <w:lang w:eastAsia="en-AU"/>
        </w:rPr>
        <w:t>Indicative</w:t>
      </w:r>
      <w:r w:rsidR="00567894">
        <w:rPr>
          <w:rFonts w:ascii="Calibri" w:eastAsia="Times New Roman" w:hAnsi="Calibri" w:cs="Calibri"/>
          <w:i/>
          <w:iCs/>
          <w:sz w:val="18"/>
          <w:szCs w:val="18"/>
          <w:lang w:eastAsia="en-AU"/>
        </w:rPr>
        <w:t xml:space="preserve"> regulatory</w:t>
      </w:r>
      <w:r w:rsidR="00F36DA5" w:rsidRPr="00CC1F67">
        <w:rPr>
          <w:rFonts w:ascii="Calibri" w:eastAsia="Times New Roman" w:hAnsi="Calibri" w:cs="Calibri"/>
          <w:i/>
          <w:iCs/>
          <w:sz w:val="18"/>
          <w:szCs w:val="18"/>
          <w:lang w:eastAsia="en-AU"/>
        </w:rPr>
        <w:t xml:space="preserve"> costs for Measure 1, Amend definitions to ensure capture of ‘business critical data’, in each sector </w:t>
      </w:r>
    </w:p>
    <w:tbl>
      <w:tblPr>
        <w:tblW w:w="9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0"/>
        <w:gridCol w:w="6107"/>
      </w:tblGrid>
      <w:tr w:rsidR="00F36DA5" w:rsidRPr="00F36DA5" w14:paraId="7BA5B9C5" w14:textId="77777777" w:rsidTr="009763A8">
        <w:trPr>
          <w:trHeight w:val="315"/>
        </w:trPr>
        <w:tc>
          <w:tcPr>
            <w:tcW w:w="3460" w:type="dxa"/>
            <w:tcBorders>
              <w:top w:val="nil"/>
              <w:left w:val="nil"/>
              <w:bottom w:val="single" w:sz="6" w:space="0" w:color="D9D9D9"/>
              <w:right w:val="single" w:sz="6" w:space="0" w:color="D9D9D9"/>
            </w:tcBorders>
            <w:shd w:val="clear" w:color="auto" w:fill="2F5496"/>
            <w:vAlign w:val="center"/>
            <w:hideMark/>
          </w:tcPr>
          <w:p w14:paraId="5F8130C7"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Sector</w:t>
            </w:r>
            <w:r w:rsidRPr="00F36DA5">
              <w:rPr>
                <w:rFonts w:ascii="Arial" w:eastAsia="Times New Roman" w:hAnsi="Arial" w:cs="Arial"/>
                <w:color w:val="FFFFFF"/>
                <w:szCs w:val="20"/>
                <w:lang w:eastAsia="en-AU"/>
              </w:rPr>
              <w:t> </w:t>
            </w:r>
          </w:p>
        </w:tc>
        <w:tc>
          <w:tcPr>
            <w:tcW w:w="6107" w:type="dxa"/>
            <w:tcBorders>
              <w:top w:val="nil"/>
              <w:left w:val="single" w:sz="6" w:space="0" w:color="D9D9D9"/>
              <w:bottom w:val="single" w:sz="6" w:space="0" w:color="D9D9D9"/>
              <w:right w:val="nil"/>
            </w:tcBorders>
            <w:shd w:val="clear" w:color="auto" w:fill="2F5496"/>
            <w:vAlign w:val="center"/>
            <w:hideMark/>
          </w:tcPr>
          <w:p w14:paraId="7A3919F5"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Response</w:t>
            </w:r>
            <w:r w:rsidRPr="00F36DA5">
              <w:rPr>
                <w:rFonts w:ascii="Arial" w:eastAsia="Times New Roman" w:hAnsi="Arial" w:cs="Arial"/>
                <w:color w:val="FFFFFF"/>
                <w:szCs w:val="20"/>
                <w:lang w:eastAsia="en-AU"/>
              </w:rPr>
              <w:t> </w:t>
            </w:r>
          </w:p>
        </w:tc>
      </w:tr>
      <w:tr w:rsidR="00F36DA5" w:rsidRPr="00F36DA5" w14:paraId="5696D884" w14:textId="77777777" w:rsidTr="009763A8">
        <w:trPr>
          <w:trHeight w:val="315"/>
        </w:trPr>
        <w:tc>
          <w:tcPr>
            <w:tcW w:w="3460" w:type="dxa"/>
            <w:tcBorders>
              <w:top w:val="single" w:sz="6" w:space="0" w:color="D9D9D9"/>
              <w:left w:val="nil"/>
              <w:bottom w:val="single" w:sz="6" w:space="0" w:color="D9D9D9"/>
              <w:right w:val="single" w:sz="6" w:space="0" w:color="D9D9D9"/>
            </w:tcBorders>
            <w:shd w:val="clear" w:color="auto" w:fill="F2F2F2"/>
            <w:vAlign w:val="center"/>
            <w:hideMark/>
          </w:tcPr>
          <w:p w14:paraId="1FD4BED1" w14:textId="77777777" w:rsidR="00F36DA5" w:rsidRPr="00F36DA5" w:rsidRDefault="00F36DA5" w:rsidP="00E171F2">
            <w:pPr>
              <w:pStyle w:val="Tablebody0"/>
              <w:rPr>
                <w:rFonts w:ascii="Times New Roman" w:hAnsi="Times New Roman"/>
                <w:sz w:val="24"/>
                <w:szCs w:val="24"/>
                <w:lang w:eastAsia="en-AU"/>
              </w:rPr>
            </w:pPr>
            <w:r w:rsidRPr="00F36DA5">
              <w:rPr>
                <w:lang w:eastAsia="en-AU"/>
              </w:rPr>
              <w:t>Defence Industry </w:t>
            </w:r>
          </w:p>
        </w:tc>
        <w:tc>
          <w:tcPr>
            <w:tcW w:w="6107" w:type="dxa"/>
            <w:tcBorders>
              <w:top w:val="single" w:sz="6" w:space="0" w:color="D9D9D9"/>
              <w:left w:val="single" w:sz="6" w:space="0" w:color="D9D9D9"/>
              <w:bottom w:val="single" w:sz="6" w:space="0" w:color="D9D9D9"/>
              <w:right w:val="nil"/>
            </w:tcBorders>
            <w:shd w:val="clear" w:color="auto" w:fill="auto"/>
            <w:vAlign w:val="center"/>
            <w:hideMark/>
          </w:tcPr>
          <w:p w14:paraId="3FA92254" w14:textId="67263C06" w:rsidR="00F36DA5" w:rsidRPr="00F36DA5" w:rsidRDefault="00F36DA5" w:rsidP="00E171F2">
            <w:pPr>
              <w:pStyle w:val="Tablebody0"/>
              <w:rPr>
                <w:rFonts w:ascii="Times New Roman" w:hAnsi="Times New Roman"/>
                <w:sz w:val="24"/>
                <w:szCs w:val="24"/>
                <w:lang w:eastAsia="en-AU"/>
              </w:rPr>
            </w:pPr>
            <w:r w:rsidRPr="00F36DA5">
              <w:rPr>
                <w:lang w:eastAsia="en-AU"/>
              </w:rPr>
              <w:t>Respondents noted concerns about how the suggested changes will interact with the regulatory framework that currently exists within Defence Industry.</w:t>
            </w:r>
            <w:r w:rsidR="00A362D5">
              <w:rPr>
                <w:lang w:eastAsia="en-AU"/>
              </w:rPr>
              <w:t xml:space="preserve"> </w:t>
            </w:r>
          </w:p>
        </w:tc>
      </w:tr>
      <w:tr w:rsidR="00F36DA5" w:rsidRPr="00F36DA5" w14:paraId="518E7DD9" w14:textId="77777777" w:rsidTr="009763A8">
        <w:trPr>
          <w:trHeight w:val="315"/>
        </w:trPr>
        <w:tc>
          <w:tcPr>
            <w:tcW w:w="3460" w:type="dxa"/>
            <w:tcBorders>
              <w:top w:val="single" w:sz="6" w:space="0" w:color="D9D9D9"/>
              <w:left w:val="nil"/>
              <w:bottom w:val="single" w:sz="6" w:space="0" w:color="D9D9D9"/>
              <w:right w:val="single" w:sz="6" w:space="0" w:color="D9D9D9"/>
            </w:tcBorders>
            <w:shd w:val="clear" w:color="auto" w:fill="F2F2F2"/>
            <w:vAlign w:val="center"/>
            <w:hideMark/>
          </w:tcPr>
          <w:p w14:paraId="73FD1E49" w14:textId="77777777" w:rsidR="00F36DA5" w:rsidRPr="00F36DA5" w:rsidRDefault="00F36DA5" w:rsidP="00E171F2">
            <w:pPr>
              <w:pStyle w:val="Tablebody0"/>
              <w:rPr>
                <w:rFonts w:ascii="Times New Roman" w:hAnsi="Times New Roman"/>
                <w:sz w:val="24"/>
                <w:szCs w:val="24"/>
                <w:lang w:eastAsia="en-AU"/>
              </w:rPr>
            </w:pPr>
            <w:r w:rsidRPr="00F36DA5">
              <w:rPr>
                <w:lang w:eastAsia="en-AU"/>
              </w:rPr>
              <w:t>Energy </w:t>
            </w:r>
          </w:p>
        </w:tc>
        <w:tc>
          <w:tcPr>
            <w:tcW w:w="6107" w:type="dxa"/>
            <w:tcBorders>
              <w:top w:val="single" w:sz="6" w:space="0" w:color="D9D9D9"/>
              <w:left w:val="single" w:sz="6" w:space="0" w:color="D9D9D9"/>
              <w:bottom w:val="single" w:sz="6" w:space="0" w:color="D9D9D9"/>
              <w:right w:val="nil"/>
            </w:tcBorders>
            <w:shd w:val="clear" w:color="auto" w:fill="auto"/>
            <w:vAlign w:val="center"/>
            <w:hideMark/>
          </w:tcPr>
          <w:p w14:paraId="507FCAA8" w14:textId="77777777" w:rsidR="00F36DA5" w:rsidRPr="00F36DA5" w:rsidRDefault="00F36DA5" w:rsidP="00E171F2">
            <w:pPr>
              <w:pStyle w:val="Tablebody0"/>
              <w:rPr>
                <w:rFonts w:ascii="Times New Roman" w:hAnsi="Times New Roman"/>
                <w:sz w:val="24"/>
                <w:szCs w:val="24"/>
                <w:lang w:eastAsia="en-AU"/>
              </w:rPr>
            </w:pPr>
            <w:r w:rsidRPr="00F36DA5">
              <w:rPr>
                <w:lang w:eastAsia="en-AU"/>
              </w:rPr>
              <w:t>Some respondents noted an indicative cost to implement the changes of approximately $0.2m. </w:t>
            </w:r>
          </w:p>
        </w:tc>
      </w:tr>
      <w:tr w:rsidR="00F36DA5" w:rsidRPr="00F36DA5" w14:paraId="2F2838BB" w14:textId="77777777" w:rsidTr="009763A8">
        <w:trPr>
          <w:trHeight w:val="315"/>
        </w:trPr>
        <w:tc>
          <w:tcPr>
            <w:tcW w:w="3460" w:type="dxa"/>
            <w:tcBorders>
              <w:top w:val="single" w:sz="6" w:space="0" w:color="D9D9D9"/>
              <w:left w:val="nil"/>
              <w:bottom w:val="single" w:sz="6" w:space="0" w:color="D9D9D9"/>
              <w:right w:val="single" w:sz="6" w:space="0" w:color="D9D9D9"/>
            </w:tcBorders>
            <w:shd w:val="clear" w:color="auto" w:fill="F2F2F2"/>
            <w:vAlign w:val="center"/>
            <w:hideMark/>
          </w:tcPr>
          <w:p w14:paraId="627EE078" w14:textId="77777777" w:rsidR="00F36DA5" w:rsidRPr="00F36DA5" w:rsidRDefault="00F36DA5" w:rsidP="00E171F2">
            <w:pPr>
              <w:pStyle w:val="Tablebody0"/>
              <w:rPr>
                <w:rFonts w:ascii="Times New Roman" w:hAnsi="Times New Roman"/>
                <w:sz w:val="24"/>
                <w:szCs w:val="24"/>
                <w:lang w:eastAsia="en-AU"/>
              </w:rPr>
            </w:pPr>
            <w:r w:rsidRPr="00F36DA5">
              <w:rPr>
                <w:lang w:eastAsia="en-AU"/>
              </w:rPr>
              <w:t>Financial Services </w:t>
            </w:r>
          </w:p>
        </w:tc>
        <w:tc>
          <w:tcPr>
            <w:tcW w:w="6107" w:type="dxa"/>
            <w:tcBorders>
              <w:top w:val="single" w:sz="6" w:space="0" w:color="D9D9D9"/>
              <w:left w:val="single" w:sz="6" w:space="0" w:color="D9D9D9"/>
              <w:bottom w:val="single" w:sz="6" w:space="0" w:color="D9D9D9"/>
              <w:right w:val="nil"/>
            </w:tcBorders>
            <w:shd w:val="clear" w:color="auto" w:fill="auto"/>
            <w:vAlign w:val="center"/>
            <w:hideMark/>
          </w:tcPr>
          <w:p w14:paraId="3876585A" w14:textId="5B2E38CF" w:rsidR="00F36DA5" w:rsidRPr="00F36DA5" w:rsidRDefault="00F36DA5" w:rsidP="00E171F2">
            <w:pPr>
              <w:pStyle w:val="Tablebody0"/>
              <w:rPr>
                <w:rFonts w:ascii="Times New Roman" w:hAnsi="Times New Roman"/>
                <w:sz w:val="24"/>
                <w:szCs w:val="24"/>
                <w:lang w:eastAsia="en-AU"/>
              </w:rPr>
            </w:pPr>
            <w:r w:rsidRPr="00F36DA5">
              <w:rPr>
                <w:lang w:eastAsia="en-AU"/>
              </w:rPr>
              <w:t>Respondents noted an indicative cost estimate of $0.1m for one-off costs. </w:t>
            </w:r>
          </w:p>
        </w:tc>
      </w:tr>
      <w:tr w:rsidR="00F36DA5" w:rsidRPr="00F36DA5" w14:paraId="267DA146" w14:textId="77777777" w:rsidTr="009763A8">
        <w:trPr>
          <w:trHeight w:val="315"/>
        </w:trPr>
        <w:tc>
          <w:tcPr>
            <w:tcW w:w="3460" w:type="dxa"/>
            <w:tcBorders>
              <w:top w:val="single" w:sz="6" w:space="0" w:color="D9D9D9"/>
              <w:left w:val="nil"/>
              <w:bottom w:val="single" w:sz="6" w:space="0" w:color="D9D9D9"/>
              <w:right w:val="single" w:sz="6" w:space="0" w:color="D9D9D9"/>
            </w:tcBorders>
            <w:shd w:val="clear" w:color="auto" w:fill="F2F2F2"/>
            <w:vAlign w:val="center"/>
            <w:hideMark/>
          </w:tcPr>
          <w:p w14:paraId="35153514" w14:textId="77777777" w:rsidR="00F36DA5" w:rsidRPr="00F36DA5" w:rsidRDefault="00F36DA5" w:rsidP="00E171F2">
            <w:pPr>
              <w:pStyle w:val="Tablebody0"/>
              <w:rPr>
                <w:rFonts w:ascii="Times New Roman" w:hAnsi="Times New Roman"/>
                <w:sz w:val="24"/>
                <w:szCs w:val="24"/>
                <w:lang w:eastAsia="en-AU"/>
              </w:rPr>
            </w:pPr>
            <w:r w:rsidRPr="00F36DA5">
              <w:rPr>
                <w:lang w:eastAsia="en-AU"/>
              </w:rPr>
              <w:t>Transport </w:t>
            </w:r>
          </w:p>
        </w:tc>
        <w:tc>
          <w:tcPr>
            <w:tcW w:w="6107" w:type="dxa"/>
            <w:tcBorders>
              <w:top w:val="single" w:sz="6" w:space="0" w:color="D9D9D9"/>
              <w:left w:val="single" w:sz="6" w:space="0" w:color="D9D9D9"/>
              <w:bottom w:val="single" w:sz="6" w:space="0" w:color="D9D9D9"/>
              <w:right w:val="nil"/>
            </w:tcBorders>
            <w:shd w:val="clear" w:color="auto" w:fill="auto"/>
            <w:vAlign w:val="center"/>
            <w:hideMark/>
          </w:tcPr>
          <w:p w14:paraId="09A1FD43" w14:textId="77777777" w:rsidR="00F36DA5" w:rsidRPr="00F36DA5" w:rsidRDefault="00F36DA5" w:rsidP="00E171F2">
            <w:pPr>
              <w:pStyle w:val="Tablebody0"/>
              <w:rPr>
                <w:rFonts w:ascii="Times New Roman" w:hAnsi="Times New Roman"/>
                <w:sz w:val="24"/>
                <w:szCs w:val="24"/>
                <w:lang w:eastAsia="en-AU"/>
              </w:rPr>
            </w:pPr>
            <w:r w:rsidRPr="00F36DA5">
              <w:rPr>
                <w:lang w:eastAsia="en-AU"/>
              </w:rPr>
              <w:t>Some respondents from this sector noted indicative cost estimates to implement the proposed changes of approximately $1.5m across measures 1, 2 and 3. </w:t>
            </w:r>
          </w:p>
        </w:tc>
      </w:tr>
      <w:tr w:rsidR="00F36DA5" w:rsidRPr="00F36DA5" w14:paraId="18834B70" w14:textId="77777777" w:rsidTr="009763A8">
        <w:trPr>
          <w:trHeight w:val="315"/>
        </w:trPr>
        <w:tc>
          <w:tcPr>
            <w:tcW w:w="3460" w:type="dxa"/>
            <w:tcBorders>
              <w:top w:val="single" w:sz="6" w:space="0" w:color="D9D9D9"/>
              <w:left w:val="nil"/>
              <w:bottom w:val="nil"/>
              <w:right w:val="single" w:sz="6" w:space="0" w:color="D9D9D9"/>
            </w:tcBorders>
            <w:shd w:val="clear" w:color="auto" w:fill="F2F2F2"/>
            <w:vAlign w:val="center"/>
            <w:hideMark/>
          </w:tcPr>
          <w:p w14:paraId="3CA0BB2B" w14:textId="77777777" w:rsidR="00F36DA5" w:rsidRPr="00F36DA5" w:rsidRDefault="00F36DA5" w:rsidP="00E171F2">
            <w:pPr>
              <w:pStyle w:val="Tablebody0"/>
              <w:rPr>
                <w:rFonts w:ascii="Times New Roman" w:hAnsi="Times New Roman"/>
                <w:sz w:val="24"/>
                <w:szCs w:val="24"/>
                <w:lang w:eastAsia="en-AU"/>
              </w:rPr>
            </w:pPr>
            <w:r w:rsidRPr="00F36DA5">
              <w:rPr>
                <w:lang w:eastAsia="en-AU"/>
              </w:rPr>
              <w:t>Communications </w:t>
            </w:r>
          </w:p>
          <w:p w14:paraId="7D39380F" w14:textId="77777777" w:rsidR="00F36DA5" w:rsidRPr="00F36DA5" w:rsidRDefault="00F36DA5" w:rsidP="00E171F2">
            <w:pPr>
              <w:pStyle w:val="Tablebody0"/>
              <w:rPr>
                <w:rFonts w:ascii="Times New Roman" w:hAnsi="Times New Roman"/>
                <w:sz w:val="24"/>
                <w:szCs w:val="24"/>
                <w:lang w:eastAsia="en-AU"/>
              </w:rPr>
            </w:pPr>
            <w:r w:rsidRPr="00F36DA5">
              <w:rPr>
                <w:lang w:eastAsia="en-AU"/>
              </w:rPr>
              <w:t>Healthcare and Medical </w:t>
            </w:r>
          </w:p>
          <w:p w14:paraId="172896AE" w14:textId="77777777" w:rsidR="00F36DA5" w:rsidRPr="00F36DA5" w:rsidRDefault="00F36DA5" w:rsidP="00E171F2">
            <w:pPr>
              <w:pStyle w:val="Tablebody0"/>
              <w:rPr>
                <w:rFonts w:ascii="Times New Roman" w:hAnsi="Times New Roman"/>
                <w:sz w:val="24"/>
                <w:szCs w:val="24"/>
                <w:lang w:eastAsia="en-AU"/>
              </w:rPr>
            </w:pPr>
            <w:r w:rsidRPr="00F36DA5">
              <w:rPr>
                <w:lang w:eastAsia="en-AU"/>
              </w:rPr>
              <w:t>Food and Grocery </w:t>
            </w:r>
          </w:p>
          <w:p w14:paraId="0B29552D" w14:textId="77777777" w:rsidR="00F36DA5" w:rsidRPr="00F36DA5" w:rsidRDefault="00F36DA5" w:rsidP="00E171F2">
            <w:pPr>
              <w:pStyle w:val="Tablebody0"/>
              <w:rPr>
                <w:rFonts w:ascii="Times New Roman" w:hAnsi="Times New Roman"/>
                <w:sz w:val="24"/>
                <w:szCs w:val="24"/>
                <w:lang w:eastAsia="en-AU"/>
              </w:rPr>
            </w:pPr>
            <w:r w:rsidRPr="00F36DA5">
              <w:rPr>
                <w:lang w:eastAsia="en-AU"/>
              </w:rPr>
              <w:t>Space technology </w:t>
            </w:r>
          </w:p>
          <w:p w14:paraId="4BB54928" w14:textId="77777777" w:rsidR="00F36DA5" w:rsidRPr="00F36DA5" w:rsidRDefault="00F36DA5" w:rsidP="00E171F2">
            <w:pPr>
              <w:pStyle w:val="Tablebody0"/>
              <w:rPr>
                <w:rFonts w:ascii="Times New Roman" w:hAnsi="Times New Roman"/>
                <w:sz w:val="24"/>
                <w:szCs w:val="24"/>
                <w:lang w:eastAsia="en-AU"/>
              </w:rPr>
            </w:pPr>
            <w:r w:rsidRPr="00F36DA5">
              <w:rPr>
                <w:lang w:eastAsia="en-AU"/>
              </w:rPr>
              <w:t>Data Storage and Processing </w:t>
            </w:r>
          </w:p>
          <w:p w14:paraId="04C46B03" w14:textId="77777777" w:rsidR="00F36DA5" w:rsidRPr="00F36DA5" w:rsidRDefault="00F36DA5" w:rsidP="00E171F2">
            <w:pPr>
              <w:pStyle w:val="Tablebody0"/>
              <w:rPr>
                <w:rFonts w:ascii="Times New Roman" w:hAnsi="Times New Roman"/>
                <w:sz w:val="24"/>
                <w:szCs w:val="24"/>
                <w:lang w:eastAsia="en-AU"/>
              </w:rPr>
            </w:pPr>
            <w:r w:rsidRPr="00F36DA5">
              <w:rPr>
                <w:lang w:eastAsia="en-AU"/>
              </w:rPr>
              <w:t>Higher Education and Research </w:t>
            </w:r>
          </w:p>
          <w:p w14:paraId="7E49FFA5" w14:textId="77777777" w:rsidR="00F36DA5" w:rsidRPr="00F36DA5" w:rsidRDefault="00F36DA5" w:rsidP="00E171F2">
            <w:pPr>
              <w:pStyle w:val="Tablebody0"/>
              <w:rPr>
                <w:rFonts w:ascii="Times New Roman" w:hAnsi="Times New Roman"/>
                <w:sz w:val="24"/>
                <w:szCs w:val="24"/>
                <w:lang w:eastAsia="en-AU"/>
              </w:rPr>
            </w:pPr>
            <w:r w:rsidRPr="00F36DA5">
              <w:rPr>
                <w:lang w:eastAsia="en-AU"/>
              </w:rPr>
              <w:t>Water and Sewage </w:t>
            </w:r>
          </w:p>
        </w:tc>
        <w:tc>
          <w:tcPr>
            <w:tcW w:w="6107" w:type="dxa"/>
            <w:tcBorders>
              <w:top w:val="single" w:sz="6" w:space="0" w:color="D9D9D9"/>
              <w:left w:val="single" w:sz="6" w:space="0" w:color="D9D9D9"/>
              <w:bottom w:val="nil"/>
              <w:right w:val="nil"/>
            </w:tcBorders>
            <w:shd w:val="clear" w:color="auto" w:fill="auto"/>
            <w:vAlign w:val="center"/>
            <w:hideMark/>
          </w:tcPr>
          <w:p w14:paraId="77E14790" w14:textId="77777777" w:rsidR="00F36DA5" w:rsidRPr="00F36DA5" w:rsidRDefault="00F36DA5" w:rsidP="00E171F2">
            <w:pPr>
              <w:pStyle w:val="Tablebody0"/>
              <w:rPr>
                <w:rFonts w:ascii="Times New Roman" w:hAnsi="Times New Roman"/>
                <w:sz w:val="24"/>
                <w:szCs w:val="24"/>
                <w:lang w:eastAsia="en-AU"/>
              </w:rPr>
            </w:pPr>
            <w:r w:rsidRPr="00F36DA5">
              <w:rPr>
                <w:lang w:eastAsia="en-AU"/>
              </w:rPr>
              <w:t>Respondents from these sectors were not able to provide indicative costs to implement this measure at this time. </w:t>
            </w:r>
          </w:p>
        </w:tc>
      </w:tr>
    </w:tbl>
    <w:p w14:paraId="7FF1BF5B" w14:textId="77777777" w:rsidR="00F36DA5" w:rsidRPr="00F36DA5" w:rsidRDefault="00F36DA5" w:rsidP="00E171F2">
      <w:pPr>
        <w:pStyle w:val="BodyText"/>
        <w:rPr>
          <w:rFonts w:ascii="Segoe UI" w:hAnsi="Segoe UI" w:cs="Segoe UI"/>
          <w:sz w:val="18"/>
          <w:szCs w:val="18"/>
        </w:rPr>
      </w:pPr>
      <w:r w:rsidRPr="00F36DA5">
        <w:t>For additional information on the 2021-22 cost data, refer to Appendix A. </w:t>
      </w:r>
    </w:p>
    <w:p w14:paraId="784704AF" w14:textId="17463DDC" w:rsidR="00F36DA5" w:rsidRPr="00F36DA5" w:rsidRDefault="00F36DA5" w:rsidP="00E171F2">
      <w:pPr>
        <w:pStyle w:val="BodyText"/>
        <w:rPr>
          <w:rFonts w:ascii="Segoe UI" w:hAnsi="Segoe UI" w:cs="Segoe UI"/>
          <w:sz w:val="18"/>
          <w:szCs w:val="18"/>
        </w:rPr>
      </w:pPr>
      <w:r w:rsidRPr="00F36DA5">
        <w:t>Despite some comments from industry on a need for additional guidance and time to consider cost implications, feedback from industry did not indicate a major cost for one-off or ongoing costs to facilitate compliance with the additional clarification to protect ‘business critical data’. After analysing costs provided by industry on the draft IA, the overall cost of compliance (including Measure 1) remain within the range of costs provided by industry during the 2021-22 consultation period.  </w:t>
      </w:r>
    </w:p>
    <w:p w14:paraId="578BACE0" w14:textId="77777777" w:rsidR="00F36DA5" w:rsidRPr="00CC1F67" w:rsidRDefault="00F36DA5" w:rsidP="00E171F2">
      <w:pPr>
        <w:pStyle w:val="Heading4"/>
        <w:rPr>
          <w:rFonts w:ascii="Segoe UI" w:hAnsi="Segoe UI" w:cs="Segoe UI"/>
          <w:sz w:val="18"/>
          <w:szCs w:val="18"/>
        </w:rPr>
      </w:pPr>
      <w:r w:rsidRPr="00CC1F67">
        <w:t>Determining costs of Measure 2 -</w:t>
      </w:r>
      <w:r w:rsidRPr="00CC1F67">
        <w:rPr>
          <w:rFonts w:ascii="Calibri" w:hAnsi="Calibri" w:cs="Calibri"/>
        </w:rPr>
        <w:t xml:space="preserve"> </w:t>
      </w:r>
      <w:r w:rsidRPr="00CC1F67">
        <w:t>Improving our national response to the consequences of significant incidents – Consequent management powers  </w:t>
      </w:r>
    </w:p>
    <w:p w14:paraId="2473FE98" w14:textId="01BC765C" w:rsidR="00F36DA5" w:rsidRPr="00C67415" w:rsidRDefault="00F36DA5" w:rsidP="00E171F2">
      <w:pPr>
        <w:pStyle w:val="BodyText"/>
      </w:pPr>
      <w:r>
        <w:t>The expected costs of Measure 2 are variable and difficult to quantify. For the purposes of costing, it is assumed that the consequence management power will be used, on average, once every three years (frequency of 3.33 across the 10 year costing timeframe)</w:t>
      </w:r>
      <w:r w:rsidR="006D020F">
        <w:t xml:space="preserve">, but given the uncertainty </w:t>
      </w:r>
      <w:r w:rsidR="00854FC8">
        <w:t>about frequency of use, analysis also assumed the power could be used as frequently as once every year</w:t>
      </w:r>
      <w:r>
        <w:t>. This</w:t>
      </w:r>
      <w:r w:rsidR="006E0460">
        <w:t xml:space="preserve"> range in assumed frequency</w:t>
      </w:r>
      <w:r>
        <w:t xml:space="preserve"> is in line with the </w:t>
      </w:r>
      <w:r w:rsidR="00D9251A">
        <w:t>use of the</w:t>
      </w:r>
      <w:r>
        <w:t xml:space="preserve"> SOCI Act’s Government Assistance measures. </w:t>
      </w:r>
      <w:r w:rsidR="00D9251A">
        <w:t xml:space="preserve">Since 2020, the </w:t>
      </w:r>
      <w:r>
        <w:t>Government has not exercised its existing power under the SOCI Act to date</w:t>
      </w:r>
      <w:r w:rsidR="00007B47">
        <w:t xml:space="preserve"> suggesting an expected frequency of once every three years </w:t>
      </w:r>
      <w:r w:rsidR="005C2B74">
        <w:t xml:space="preserve">provides a conservative </w:t>
      </w:r>
      <w:r w:rsidR="00926875">
        <w:t>estimate of cost and benefit</w:t>
      </w:r>
      <w:r w:rsidR="00F20908">
        <w:t>.</w:t>
      </w:r>
      <w:r>
        <w:t> </w:t>
      </w:r>
    </w:p>
    <w:p w14:paraId="10FAD24E" w14:textId="77777777" w:rsidR="00F36DA5" w:rsidRPr="00C67415" w:rsidRDefault="00F36DA5" w:rsidP="00E171F2">
      <w:pPr>
        <w:pStyle w:val="BodyText"/>
      </w:pPr>
      <w:r w:rsidRPr="00F36DA5">
        <w:t>Costs for Measure 2 depend on the size of entity, the duration of an incident and its consequences, the maturity of an entity’s existing approaches to all-hazards risk management, and the difficulty or otherwise of complying with a direction.  </w:t>
      </w:r>
    </w:p>
    <w:p w14:paraId="0162BFF3" w14:textId="77777777" w:rsidR="00F36DA5" w:rsidRPr="00C67415" w:rsidRDefault="00F36DA5" w:rsidP="00E171F2">
      <w:pPr>
        <w:pStyle w:val="BodyText"/>
      </w:pPr>
      <w:r w:rsidRPr="00F36DA5">
        <w:t>Given the challenges associated with quantification in these circumstances, this IA uses hypothetical scenarios to determine categories of costs which may arise where an entity is issued with a direction. These scenarios were introduced earlier in this IA (refer to Section 1.2). Consultation on a draft version of this IA provided an opportunity for industry to validate these categories of costs and provide supporting data.  </w:t>
      </w:r>
    </w:p>
    <w:p w14:paraId="446A76F0" w14:textId="77777777" w:rsidR="00F36DA5" w:rsidRPr="00F36DA5" w:rsidRDefault="00F36DA5" w:rsidP="00E171F2">
      <w:pPr>
        <w:pStyle w:val="Heading4"/>
        <w:rPr>
          <w:rFonts w:ascii="Segoe UI" w:hAnsi="Segoe UI" w:cs="Segoe UI"/>
          <w:sz w:val="18"/>
          <w:szCs w:val="18"/>
        </w:rPr>
      </w:pPr>
      <w:r w:rsidRPr="00F36DA5">
        <w:t>Costs of Measure 2 - Improving our national response to the consequences of significant incidents – Consequent management powers </w:t>
      </w:r>
    </w:p>
    <w:p w14:paraId="4361AEBA" w14:textId="3F08B478" w:rsidR="00F36DA5" w:rsidRPr="00F36DA5" w:rsidRDefault="00F36DA5" w:rsidP="00E171F2">
      <w:pPr>
        <w:pStyle w:val="BodyText"/>
        <w:rPr>
          <w:rFonts w:ascii="Segoe UI" w:hAnsi="Segoe UI" w:cs="Segoe UI"/>
          <w:sz w:val="18"/>
          <w:szCs w:val="18"/>
        </w:rPr>
      </w:pPr>
      <w:r>
        <w:t>The hypothetical scenarios below were provided to industry to help them understand and identify the categories of costs an entity may incur where they are issued a direction</w:t>
      </w:r>
      <w:r w:rsidR="00C06A5F">
        <w:t>.</w:t>
      </w:r>
      <w:r>
        <w:t> </w:t>
      </w:r>
    </w:p>
    <w:p w14:paraId="1578FD33" w14:textId="2A922712" w:rsidR="00F36DA5" w:rsidRPr="00CC1F67" w:rsidRDefault="00630156" w:rsidP="00F36DA5">
      <w:pPr>
        <w:textAlignment w:val="baseline"/>
        <w:rPr>
          <w:rFonts w:ascii="Segoe UI" w:eastAsia="Times New Roman" w:hAnsi="Segoe UI" w:cs="Segoe UI"/>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22</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CC1F67">
        <w:rPr>
          <w:rFonts w:ascii="Calibri" w:eastAsia="Times New Roman" w:hAnsi="Calibri" w:cs="Calibri"/>
          <w:i/>
          <w:iCs/>
          <w:sz w:val="18"/>
          <w:szCs w:val="18"/>
          <w:lang w:eastAsia="en-AU"/>
        </w:rPr>
        <w:t>Hypothetical Scenario – Stolen research data </w:t>
      </w:r>
    </w:p>
    <w:tbl>
      <w:tblPr>
        <w:tblW w:w="95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6"/>
      </w:tblGrid>
      <w:tr w:rsidR="0056102D" w:rsidRPr="00F36DA5" w14:paraId="5AF895F5" w14:textId="77777777" w:rsidTr="00233508">
        <w:trPr>
          <w:trHeight w:val="465"/>
        </w:trPr>
        <w:tc>
          <w:tcPr>
            <w:tcW w:w="9516" w:type="dxa"/>
            <w:tcBorders>
              <w:top w:val="nil"/>
              <w:left w:val="nil"/>
              <w:bottom w:val="single" w:sz="6" w:space="0" w:color="A5A5A5"/>
              <w:right w:val="nil"/>
            </w:tcBorders>
            <w:shd w:val="clear" w:color="auto" w:fill="284B98"/>
            <w:vAlign w:val="center"/>
            <w:hideMark/>
          </w:tcPr>
          <w:p w14:paraId="697C2732" w14:textId="3D8DF5D8" w:rsidR="0056102D" w:rsidRPr="00F36DA5" w:rsidRDefault="0056102D"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Stolen research data</w:t>
            </w:r>
            <w:r w:rsidRPr="00F36DA5">
              <w:rPr>
                <w:rFonts w:ascii="Arial" w:eastAsia="Times New Roman" w:hAnsi="Arial" w:cs="Arial"/>
                <w:color w:val="FFFFFF"/>
                <w:szCs w:val="20"/>
                <w:lang w:eastAsia="en-AU"/>
              </w:rPr>
              <w:t> </w:t>
            </w:r>
            <w:r>
              <w:rPr>
                <w:rFonts w:ascii="Arial" w:eastAsia="Times New Roman" w:hAnsi="Arial" w:cs="Arial"/>
                <w:color w:val="FFFFFF"/>
                <w:szCs w:val="20"/>
                <w:lang w:eastAsia="en-AU"/>
              </w:rPr>
              <w:t>(</w:t>
            </w:r>
            <w:r w:rsidRPr="00F36DA5">
              <w:rPr>
                <w:rFonts w:ascii="Arial" w:eastAsia="Times New Roman" w:hAnsi="Arial" w:cs="Arial"/>
                <w:b/>
                <w:bCs/>
                <w:color w:val="FFFFFF"/>
                <w:szCs w:val="20"/>
                <w:lang w:eastAsia="en-AU"/>
              </w:rPr>
              <w:t>Hypothetical scenario</w:t>
            </w:r>
            <w:r>
              <w:rPr>
                <w:rFonts w:ascii="Arial" w:eastAsia="Times New Roman" w:hAnsi="Arial" w:cs="Arial"/>
                <w:b/>
                <w:bCs/>
                <w:color w:val="FFFFFF"/>
                <w:szCs w:val="20"/>
                <w:lang w:eastAsia="en-AU"/>
              </w:rPr>
              <w:t>)</w:t>
            </w:r>
          </w:p>
        </w:tc>
      </w:tr>
      <w:tr w:rsidR="00F36DA5" w:rsidRPr="00F36DA5" w14:paraId="7A00CBFE" w14:textId="77777777" w:rsidTr="009763A8">
        <w:trPr>
          <w:trHeight w:val="310"/>
        </w:trPr>
        <w:tc>
          <w:tcPr>
            <w:tcW w:w="9516" w:type="dxa"/>
            <w:tcBorders>
              <w:top w:val="single" w:sz="6" w:space="0" w:color="A5A5A5"/>
              <w:left w:val="nil"/>
              <w:bottom w:val="single" w:sz="6" w:space="0" w:color="A5A5A5"/>
              <w:right w:val="nil"/>
            </w:tcBorders>
            <w:shd w:val="clear" w:color="auto" w:fill="FFFFFF" w:themeFill="background2"/>
            <w:hideMark/>
          </w:tcPr>
          <w:p w14:paraId="0D9DCE52"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 xml:space="preserve">Scenario: </w:t>
            </w:r>
            <w:r w:rsidRPr="00F36DA5">
              <w:rPr>
                <w:lang w:eastAsia="en-AU"/>
              </w:rPr>
              <w:t>As part of ongoing efforts to utilise Australian expertise for socioeconomic coercion, confidential research data concerning vulnerabilities found across the critical infrastructure ecosystem is compromised. Once stolen, this data could be used by state-based attackers to undermine other critical infrastructure systems. Exploitation of this vulnerability is imminent and entities are at significant risk if these vulnerabilities are not addressed. Cyber incident reporting in combination with other information indicates to Government that a widespread attack will occur within the next 24 hours, across all vulnerable assets.   </w:t>
            </w:r>
          </w:p>
        </w:tc>
      </w:tr>
      <w:tr w:rsidR="00F36DA5" w:rsidRPr="00F36DA5" w14:paraId="17A9D225" w14:textId="77777777" w:rsidTr="009763A8">
        <w:trPr>
          <w:trHeight w:val="310"/>
        </w:trPr>
        <w:tc>
          <w:tcPr>
            <w:tcW w:w="9516" w:type="dxa"/>
            <w:tcBorders>
              <w:top w:val="single" w:sz="6" w:space="0" w:color="A5A5A5"/>
              <w:left w:val="nil"/>
              <w:bottom w:val="single" w:sz="6" w:space="0" w:color="A5A5A5"/>
              <w:right w:val="nil"/>
            </w:tcBorders>
            <w:shd w:val="clear" w:color="auto" w:fill="F2F2F2" w:themeFill="background2" w:themeFillShade="F2"/>
            <w:hideMark/>
          </w:tcPr>
          <w:p w14:paraId="0B9ED5EC" w14:textId="77777777" w:rsidR="00F36DA5" w:rsidRPr="00F36DA5" w:rsidRDefault="528103AE" w:rsidP="00E171F2">
            <w:pPr>
              <w:pStyle w:val="TableBody"/>
              <w:rPr>
                <w:rFonts w:ascii="Times New Roman" w:hAnsi="Times New Roman"/>
                <w:sz w:val="24"/>
                <w:szCs w:val="24"/>
                <w:lang w:eastAsia="en-AU"/>
              </w:rPr>
            </w:pPr>
            <w:r w:rsidRPr="4C25AF0D">
              <w:rPr>
                <w:b/>
                <w:bCs/>
                <w:lang w:eastAsia="en-AU"/>
              </w:rPr>
              <w:t xml:space="preserve">Operation of Measure 2: </w:t>
            </w:r>
            <w:r w:rsidRPr="4C25AF0D">
              <w:rPr>
                <w:lang w:eastAsia="en-AU"/>
              </w:rPr>
              <w:t>The Minister would first consider whether an effective response to this scenario may be achieved using other relevant powers. If no other power is identified, issuing a direction under the all-hazards power of last resort would allow the Minister to quickly respond by:  </w:t>
            </w:r>
          </w:p>
          <w:p w14:paraId="678181F1" w14:textId="77777777" w:rsidR="00F36DA5" w:rsidRPr="00F36DA5" w:rsidRDefault="00F36DA5" w:rsidP="00B27710">
            <w:pPr>
              <w:pStyle w:val="TableBody"/>
              <w:numPr>
                <w:ilvl w:val="0"/>
                <w:numId w:val="96"/>
              </w:numPr>
              <w:rPr>
                <w:lang w:eastAsia="en-AU"/>
              </w:rPr>
            </w:pPr>
            <w:r w:rsidRPr="00F36DA5">
              <w:rPr>
                <w:lang w:eastAsia="en-AU"/>
              </w:rPr>
              <w:t>leveraging national communication channels and asset registers to understand the potential broad impacts of the incident (including potential impacts or risks to specific entities);  </w:t>
            </w:r>
          </w:p>
          <w:p w14:paraId="6E62F821" w14:textId="77777777" w:rsidR="00F36DA5" w:rsidRPr="00F36DA5" w:rsidRDefault="00F36DA5" w:rsidP="00B27710">
            <w:pPr>
              <w:pStyle w:val="TableBody"/>
              <w:numPr>
                <w:ilvl w:val="0"/>
                <w:numId w:val="96"/>
              </w:numPr>
              <w:rPr>
                <w:lang w:eastAsia="en-AU"/>
              </w:rPr>
            </w:pPr>
            <w:r w:rsidRPr="00F36DA5">
              <w:rPr>
                <w:lang w:eastAsia="en-AU"/>
              </w:rPr>
              <w:t>directing entities to upgrade their IT and OT systems to address any system vulnerabilities, based on current threat information; and </w:t>
            </w:r>
          </w:p>
          <w:p w14:paraId="65D5F44F" w14:textId="77777777" w:rsidR="00F36DA5" w:rsidRPr="00F36DA5" w:rsidRDefault="00F36DA5" w:rsidP="00B27710">
            <w:pPr>
              <w:pStyle w:val="TableBody"/>
              <w:numPr>
                <w:ilvl w:val="0"/>
                <w:numId w:val="96"/>
              </w:numPr>
              <w:rPr>
                <w:lang w:eastAsia="en-AU"/>
              </w:rPr>
            </w:pPr>
            <w:r w:rsidRPr="00F36DA5">
              <w:rPr>
                <w:lang w:eastAsia="en-AU"/>
              </w:rPr>
              <w:t>disclosing information to other government entities or third parties affected by the breach, where necessary to inform of impacts or prevent further disruption.   </w:t>
            </w:r>
          </w:p>
          <w:p w14:paraId="5C0A714F" w14:textId="77777777" w:rsidR="00F36DA5" w:rsidRPr="00F36DA5" w:rsidRDefault="00F36DA5" w:rsidP="00E171F2">
            <w:pPr>
              <w:pStyle w:val="TableBody"/>
              <w:rPr>
                <w:rFonts w:ascii="Times New Roman" w:hAnsi="Times New Roman"/>
                <w:sz w:val="24"/>
                <w:szCs w:val="24"/>
                <w:lang w:eastAsia="en-AU"/>
              </w:rPr>
            </w:pPr>
            <w:r w:rsidRPr="00F36DA5">
              <w:rPr>
                <w:lang w:eastAsia="en-AU"/>
              </w:rPr>
              <w:t>The Minister would be required to report use of the power under s 60 of the SOCI Act. </w:t>
            </w:r>
          </w:p>
        </w:tc>
      </w:tr>
      <w:tr w:rsidR="00F36DA5" w:rsidRPr="00F36DA5" w14:paraId="6D42F051" w14:textId="77777777" w:rsidTr="009763A8">
        <w:trPr>
          <w:trHeight w:val="310"/>
        </w:trPr>
        <w:tc>
          <w:tcPr>
            <w:tcW w:w="9516" w:type="dxa"/>
            <w:tcBorders>
              <w:top w:val="single" w:sz="6" w:space="0" w:color="A5A5A5"/>
              <w:left w:val="nil"/>
              <w:bottom w:val="single" w:sz="6" w:space="0" w:color="A5A5A5"/>
              <w:right w:val="nil"/>
            </w:tcBorders>
            <w:shd w:val="clear" w:color="auto" w:fill="D9E2F3"/>
            <w:hideMark/>
          </w:tcPr>
          <w:p w14:paraId="68EFA53D"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Anticipated costs as a result of the consequence management power: </w:t>
            </w:r>
            <w:r w:rsidRPr="00F36DA5">
              <w:rPr>
                <w:lang w:eastAsia="en-AU"/>
              </w:rPr>
              <w:t> </w:t>
            </w:r>
          </w:p>
          <w:p w14:paraId="4CA30028" w14:textId="77777777" w:rsidR="00F36DA5" w:rsidRPr="00F36DA5" w:rsidRDefault="00F36DA5" w:rsidP="00E171F2">
            <w:pPr>
              <w:pStyle w:val="TableBody"/>
              <w:rPr>
                <w:lang w:eastAsia="en-AU"/>
              </w:rPr>
            </w:pPr>
            <w:r w:rsidRPr="00F36DA5">
              <w:rPr>
                <w:lang w:eastAsia="en-AU"/>
              </w:rPr>
              <w:t>Costs for other critical infrastructure entities associated with ongoing uplift in cyber defences and risk management processes including staff effort, capital expenditure and operating costs; </w:t>
            </w:r>
          </w:p>
          <w:p w14:paraId="2449E70F" w14:textId="77777777" w:rsidR="00F36DA5" w:rsidRPr="00F36DA5" w:rsidRDefault="00F36DA5" w:rsidP="00E171F2">
            <w:pPr>
              <w:pStyle w:val="TableBody"/>
              <w:rPr>
                <w:lang w:eastAsia="en-AU"/>
              </w:rPr>
            </w:pPr>
            <w:r w:rsidRPr="00F36DA5">
              <w:rPr>
                <w:lang w:eastAsia="en-AU"/>
              </w:rPr>
              <w:t>Ransom demands on other critical infrastructure entities; and </w:t>
            </w:r>
          </w:p>
          <w:p w14:paraId="4231ECD6" w14:textId="77777777" w:rsidR="00F36DA5" w:rsidRPr="00F36DA5" w:rsidRDefault="00F36DA5" w:rsidP="00E171F2">
            <w:pPr>
              <w:pStyle w:val="TableBody"/>
              <w:rPr>
                <w:lang w:eastAsia="en-AU"/>
              </w:rPr>
            </w:pPr>
            <w:r w:rsidRPr="00F36DA5">
              <w:rPr>
                <w:lang w:eastAsia="en-AU"/>
              </w:rPr>
              <w:t>Loss of national research and development capability through a reduction in links between researchers and industry. </w:t>
            </w:r>
          </w:p>
          <w:p w14:paraId="1057A509" w14:textId="263348AE" w:rsidR="00F36DA5" w:rsidRPr="00F36DA5" w:rsidRDefault="00F36DA5" w:rsidP="00E171F2">
            <w:pPr>
              <w:pStyle w:val="TableBody"/>
              <w:rPr>
                <w:rFonts w:ascii="Times New Roman" w:hAnsi="Times New Roman"/>
                <w:sz w:val="24"/>
                <w:szCs w:val="24"/>
                <w:lang w:eastAsia="en-AU"/>
              </w:rPr>
            </w:pPr>
            <w:r w:rsidRPr="4F26752A">
              <w:rPr>
                <w:lang w:eastAsia="en-AU"/>
              </w:rPr>
              <w:t>Expected costs may include</w:t>
            </w:r>
            <w:r w:rsidR="00F54CBD">
              <w:rPr>
                <w:sz w:val="16"/>
                <w:szCs w:val="16"/>
                <w:vertAlign w:val="superscript"/>
                <w:lang w:eastAsia="en-AU"/>
              </w:rPr>
              <w:t>:</w:t>
            </w:r>
          </w:p>
          <w:p w14:paraId="0D631534" w14:textId="0279ECBA" w:rsidR="00F36DA5" w:rsidRPr="00F36DA5" w:rsidRDefault="00F36DA5" w:rsidP="00E171F2">
            <w:pPr>
              <w:pStyle w:val="TableBody"/>
              <w:rPr>
                <w:lang w:eastAsia="en-AU"/>
              </w:rPr>
            </w:pPr>
            <w:r w:rsidRPr="00F36DA5">
              <w:rPr>
                <w:lang w:eastAsia="en-AU"/>
              </w:rPr>
              <w:t>1 x Government relations - $85.17</w:t>
            </w:r>
            <w:r w:rsidR="00B3346A">
              <w:rPr>
                <w:lang w:eastAsia="en-AU"/>
              </w:rPr>
              <w:t>*</w:t>
            </w:r>
            <w:r w:rsidRPr="00F36DA5">
              <w:rPr>
                <w:lang w:eastAsia="en-AU"/>
              </w:rPr>
              <w:t xml:space="preserve"> an hour for 18 hours </w:t>
            </w:r>
          </w:p>
          <w:p w14:paraId="2D311195" w14:textId="1C67452E" w:rsidR="00F36DA5" w:rsidRPr="00F36DA5" w:rsidRDefault="00F36DA5" w:rsidP="00E171F2">
            <w:pPr>
              <w:pStyle w:val="TableBody"/>
              <w:rPr>
                <w:lang w:eastAsia="en-AU"/>
              </w:rPr>
            </w:pPr>
            <w:r w:rsidRPr="4F26752A">
              <w:rPr>
                <w:lang w:eastAsia="en-AU"/>
              </w:rPr>
              <w:t>1 x Senior lawyer - $</w:t>
            </w:r>
            <w:r w:rsidR="00092E84">
              <w:rPr>
                <w:lang w:eastAsia="en-AU"/>
              </w:rPr>
              <w:t>3500 per day</w:t>
            </w:r>
            <w:r w:rsidR="00092E84">
              <w:rPr>
                <w:rStyle w:val="FootnoteReference"/>
                <w:lang w:eastAsia="en-AU"/>
              </w:rPr>
              <w:footnoteReference w:id="31"/>
            </w:r>
            <w:r w:rsidRPr="4F26752A">
              <w:rPr>
                <w:lang w:eastAsia="en-AU"/>
              </w:rPr>
              <w:t> </w:t>
            </w:r>
          </w:p>
          <w:p w14:paraId="4E7C429E" w14:textId="04DB121D" w:rsidR="00F36DA5" w:rsidRPr="00F36DA5" w:rsidRDefault="00F36DA5" w:rsidP="00E171F2">
            <w:pPr>
              <w:pStyle w:val="TableBody"/>
              <w:rPr>
                <w:lang w:eastAsia="en-AU"/>
              </w:rPr>
            </w:pPr>
            <w:r w:rsidRPr="00F36DA5">
              <w:rPr>
                <w:lang w:eastAsia="en-AU"/>
              </w:rPr>
              <w:t>1 x middle manager - $85.17</w:t>
            </w:r>
            <w:r w:rsidR="00BE5DD8">
              <w:rPr>
                <w:lang w:eastAsia="en-AU"/>
              </w:rPr>
              <w:t>*</w:t>
            </w:r>
            <w:r w:rsidRPr="00F36DA5">
              <w:rPr>
                <w:lang w:eastAsia="en-AU"/>
              </w:rPr>
              <w:t xml:space="preserve"> an hour for 12 hours </w:t>
            </w:r>
          </w:p>
          <w:p w14:paraId="101477CD" w14:textId="1C5C7380" w:rsidR="00F36DA5" w:rsidRPr="00F36DA5" w:rsidRDefault="00F36DA5" w:rsidP="00E171F2">
            <w:pPr>
              <w:pStyle w:val="TableBody"/>
              <w:rPr>
                <w:lang w:eastAsia="en-AU"/>
              </w:rPr>
            </w:pPr>
            <w:r w:rsidRPr="00F36DA5">
              <w:rPr>
                <w:lang w:eastAsia="en-AU"/>
              </w:rPr>
              <w:t>4 x in house specialists – average wage - $85.17</w:t>
            </w:r>
            <w:r w:rsidR="00BE5DD8">
              <w:rPr>
                <w:lang w:eastAsia="en-AU"/>
              </w:rPr>
              <w:t>*</w:t>
            </w:r>
            <w:r w:rsidRPr="00F36DA5">
              <w:rPr>
                <w:lang w:eastAsia="en-AU"/>
              </w:rPr>
              <w:t xml:space="preserve"> – for 12 hours </w:t>
            </w:r>
          </w:p>
          <w:p w14:paraId="7C44A320" w14:textId="6AE9FABA" w:rsidR="00F36DA5" w:rsidRPr="00F36DA5" w:rsidRDefault="00275EB9" w:rsidP="00E171F2">
            <w:pPr>
              <w:pStyle w:val="TableBody"/>
              <w:rPr>
                <w:lang w:eastAsia="en-AU"/>
              </w:rPr>
            </w:pPr>
            <w:r>
              <w:t>Loss of productivity for the responsible entity or entities involved in the incident</w:t>
            </w:r>
            <w:r>
              <w:rPr>
                <w:lang w:eastAsia="en-AU"/>
              </w:rPr>
              <w:t>, w</w:t>
            </w:r>
            <w:r w:rsidR="00F36DA5" w:rsidRPr="4F26752A">
              <w:rPr>
                <w:lang w:eastAsia="en-AU"/>
              </w:rPr>
              <w:t>hile the incident is being responded to</w:t>
            </w:r>
            <w:r w:rsidR="00B01895">
              <w:rPr>
                <w:lang w:eastAsia="en-AU"/>
              </w:rPr>
              <w:t xml:space="preserve"> </w:t>
            </w:r>
            <w:r w:rsidR="00F36DA5" w:rsidRPr="4F26752A">
              <w:rPr>
                <w:lang w:eastAsia="en-AU"/>
              </w:rPr>
              <w:t>- $500,000 </w:t>
            </w:r>
          </w:p>
          <w:p w14:paraId="5296614D" w14:textId="77777777" w:rsidR="00F36DA5" w:rsidRDefault="00F36DA5" w:rsidP="00E171F2">
            <w:pPr>
              <w:pStyle w:val="TableBody"/>
              <w:rPr>
                <w:lang w:eastAsia="en-AU"/>
              </w:rPr>
            </w:pPr>
            <w:r w:rsidRPr="00F36DA5">
              <w:rPr>
                <w:lang w:eastAsia="en-AU"/>
              </w:rPr>
              <w:t>Capital expenditure - $20,000 </w:t>
            </w:r>
          </w:p>
          <w:p w14:paraId="7032F08B" w14:textId="5FA09CAD" w:rsidR="00B3346A" w:rsidRPr="005D22FF" w:rsidRDefault="00B3346A" w:rsidP="00E171F2">
            <w:pPr>
              <w:pStyle w:val="TableBody"/>
              <w:rPr>
                <w:b/>
                <w:bCs/>
                <w:lang w:eastAsia="en-AU"/>
              </w:rPr>
            </w:pPr>
            <w:r w:rsidRPr="005D22FF">
              <w:rPr>
                <w:rFonts w:ascii="Arial" w:eastAsia="Arial" w:hAnsi="Arial" w:cs="Arial"/>
                <w:b/>
                <w:bCs/>
                <w:sz w:val="16"/>
                <w:szCs w:val="16"/>
              </w:rPr>
              <w:t xml:space="preserve">*Costs reflect OIA guidance on work-related labour costs, available </w:t>
            </w:r>
            <w:hyperlink r:id="rId11" w:history="1">
              <w:r w:rsidRPr="005D22FF">
                <w:rPr>
                  <w:rStyle w:val="Hyperlink"/>
                  <w:rFonts w:ascii="Arial" w:eastAsia="Arial" w:hAnsi="Arial" w:cs="Arial"/>
                  <w:b/>
                  <w:bCs/>
                  <w:sz w:val="16"/>
                  <w:szCs w:val="16"/>
                </w:rPr>
                <w:t>here.</w:t>
              </w:r>
            </w:hyperlink>
          </w:p>
        </w:tc>
      </w:tr>
    </w:tbl>
    <w:p w14:paraId="6E14D36E" w14:textId="21C5794F" w:rsidR="008D061B" w:rsidRDefault="00F36DA5" w:rsidP="00E6462B">
      <w:pPr>
        <w:spacing w:before="120" w:after="120"/>
        <w:textAlignment w:val="baseline"/>
      </w:pPr>
      <w:r w:rsidRPr="00F36DA5">
        <w:t>In relation to the costs outlined above, the transport sector commented that an inability to fulfil contractual requirements may result in loss of productivity cost which exceeds the figure included above. This comment confirms the highly uncertain nature of the cost impact of a Government issued direction. In this context, quantification of all possible cost impacts is difficult because (1) the consequence management power would only be used once every three years, and (2) an entity’s inability to fulfil existing contractual obligations would not occur in every instance. </w:t>
      </w:r>
    </w:p>
    <w:p w14:paraId="2FCB9C19" w14:textId="77777777" w:rsidR="00A27376" w:rsidRDefault="00A27376" w:rsidP="00EA6E10">
      <w:pPr>
        <w:textAlignment w:val="baseline"/>
        <w:rPr>
          <w:rFonts w:ascii="Calibri" w:eastAsia="Times New Roman" w:hAnsi="Calibri" w:cs="Calibri"/>
          <w:b/>
          <w:bCs/>
          <w:i/>
          <w:iCs/>
          <w:sz w:val="18"/>
          <w:szCs w:val="18"/>
          <w:lang w:eastAsia="en-AU"/>
        </w:rPr>
      </w:pPr>
    </w:p>
    <w:p w14:paraId="7DD0937A" w14:textId="33B379A3" w:rsidR="00F36DA5" w:rsidRPr="00CC1F67" w:rsidRDefault="00630156" w:rsidP="00F36DA5">
      <w:pPr>
        <w:textAlignment w:val="baseline"/>
        <w:rPr>
          <w:rFonts w:ascii="Segoe UI" w:eastAsia="Times New Roman" w:hAnsi="Segoe UI" w:cs="Segoe UI"/>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23</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CC1F67">
        <w:rPr>
          <w:rFonts w:ascii="Calibri" w:eastAsia="Times New Roman" w:hAnsi="Calibri" w:cs="Calibri"/>
          <w:i/>
          <w:iCs/>
          <w:sz w:val="18"/>
          <w:szCs w:val="18"/>
          <w:lang w:eastAsia="en-AU"/>
        </w:rPr>
        <w:t>Hypothetical Scenario – Disruptions caused from non-cyber hazards </w:t>
      </w:r>
    </w:p>
    <w:tbl>
      <w:tblPr>
        <w:tblW w:w="94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84"/>
      </w:tblGrid>
      <w:tr w:rsidR="00260986" w:rsidRPr="00F36DA5" w14:paraId="711793AC" w14:textId="77777777" w:rsidTr="002939E3">
        <w:trPr>
          <w:trHeight w:val="462"/>
        </w:trPr>
        <w:tc>
          <w:tcPr>
            <w:tcW w:w="9484" w:type="dxa"/>
            <w:tcBorders>
              <w:top w:val="nil"/>
              <w:left w:val="nil"/>
              <w:bottom w:val="single" w:sz="6" w:space="0" w:color="A5A5A5"/>
              <w:right w:val="nil"/>
            </w:tcBorders>
            <w:shd w:val="clear" w:color="auto" w:fill="284B98"/>
            <w:vAlign w:val="center"/>
            <w:hideMark/>
          </w:tcPr>
          <w:p w14:paraId="0CCEB58D" w14:textId="189962FB" w:rsidR="00260986" w:rsidRPr="00F36DA5" w:rsidRDefault="00260986"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Disruptions caused from non-cyber hazards</w:t>
            </w:r>
            <w:r w:rsidRPr="00F36DA5">
              <w:rPr>
                <w:rFonts w:ascii="Arial" w:eastAsia="Times New Roman" w:hAnsi="Arial" w:cs="Arial"/>
                <w:color w:val="FFFFFF"/>
                <w:szCs w:val="20"/>
                <w:lang w:eastAsia="en-AU"/>
              </w:rPr>
              <w:t> </w:t>
            </w:r>
            <w:r w:rsidR="009C4B91">
              <w:rPr>
                <w:rFonts w:ascii="Arial" w:eastAsia="Times New Roman" w:hAnsi="Arial" w:cs="Arial"/>
                <w:color w:val="FFFFFF"/>
                <w:szCs w:val="20"/>
                <w:lang w:eastAsia="en-AU"/>
              </w:rPr>
              <w:t>(</w:t>
            </w:r>
            <w:r w:rsidRPr="00F36DA5">
              <w:rPr>
                <w:rFonts w:ascii="Arial" w:eastAsia="Times New Roman" w:hAnsi="Arial" w:cs="Arial"/>
                <w:b/>
                <w:bCs/>
                <w:color w:val="FFFFFF"/>
                <w:szCs w:val="20"/>
                <w:lang w:eastAsia="en-AU"/>
              </w:rPr>
              <w:t>Hypothetical scenario</w:t>
            </w:r>
            <w:r w:rsidR="009C4B91">
              <w:rPr>
                <w:rFonts w:ascii="Arial" w:eastAsia="Times New Roman" w:hAnsi="Arial" w:cs="Arial"/>
                <w:b/>
                <w:bCs/>
                <w:color w:val="FFFFFF"/>
                <w:szCs w:val="20"/>
                <w:lang w:eastAsia="en-AU"/>
              </w:rPr>
              <w:t>)</w:t>
            </w:r>
          </w:p>
        </w:tc>
      </w:tr>
      <w:tr w:rsidR="00F36DA5" w:rsidRPr="00F36DA5" w14:paraId="18FE1272" w14:textId="77777777" w:rsidTr="009763A8">
        <w:trPr>
          <w:trHeight w:val="308"/>
        </w:trPr>
        <w:tc>
          <w:tcPr>
            <w:tcW w:w="9484" w:type="dxa"/>
            <w:tcBorders>
              <w:top w:val="single" w:sz="6" w:space="0" w:color="A5A5A5"/>
              <w:left w:val="nil"/>
              <w:bottom w:val="single" w:sz="6" w:space="0" w:color="A5A5A5"/>
              <w:right w:val="nil"/>
            </w:tcBorders>
            <w:shd w:val="clear" w:color="auto" w:fill="FFFFFF" w:themeFill="background2"/>
            <w:hideMark/>
          </w:tcPr>
          <w:p w14:paraId="30892931" w14:textId="77777777" w:rsidR="00F36DA5" w:rsidRPr="00F36DA5" w:rsidRDefault="00F36DA5" w:rsidP="00E171F2">
            <w:pPr>
              <w:pStyle w:val="BodyText"/>
              <w:rPr>
                <w:rFonts w:ascii="Times New Roman" w:hAnsi="Times New Roman"/>
                <w:sz w:val="24"/>
              </w:rPr>
            </w:pPr>
            <w:r w:rsidRPr="00F36DA5">
              <w:rPr>
                <w:b/>
                <w:bCs/>
              </w:rPr>
              <w:t xml:space="preserve">Scenario:  </w:t>
            </w:r>
            <w:r w:rsidRPr="00F36DA5">
              <w:t>A series of heavy rains causes</w:t>
            </w:r>
            <w:r w:rsidRPr="00F36DA5">
              <w:rPr>
                <w:b/>
                <w:bCs/>
              </w:rPr>
              <w:t xml:space="preserve"> </w:t>
            </w:r>
            <w:r w:rsidRPr="00F36DA5">
              <w:t>flooding which affects a facility housing a critical asset. This creates a poisonous effect in the surrounding area, putting local residents and other critical infrastructure at risk of disruption.  </w:t>
            </w:r>
          </w:p>
        </w:tc>
      </w:tr>
      <w:tr w:rsidR="00F36DA5" w:rsidRPr="00F36DA5" w14:paraId="05003DC4" w14:textId="77777777" w:rsidTr="009763A8">
        <w:trPr>
          <w:trHeight w:val="308"/>
        </w:trPr>
        <w:tc>
          <w:tcPr>
            <w:tcW w:w="9484" w:type="dxa"/>
            <w:tcBorders>
              <w:top w:val="single" w:sz="6" w:space="0" w:color="A5A5A5"/>
              <w:left w:val="nil"/>
              <w:bottom w:val="single" w:sz="6" w:space="0" w:color="A5A5A5"/>
              <w:right w:val="nil"/>
            </w:tcBorders>
            <w:shd w:val="clear" w:color="auto" w:fill="F2F2F2" w:themeFill="background2" w:themeFillShade="F2"/>
            <w:hideMark/>
          </w:tcPr>
          <w:p w14:paraId="66166A7D" w14:textId="77777777" w:rsidR="00F36DA5" w:rsidRPr="00F36DA5" w:rsidRDefault="00F36DA5" w:rsidP="00E171F2">
            <w:pPr>
              <w:pStyle w:val="BodyText"/>
              <w:rPr>
                <w:rFonts w:ascii="Times New Roman" w:hAnsi="Times New Roman"/>
                <w:sz w:val="24"/>
              </w:rPr>
            </w:pPr>
            <w:r w:rsidRPr="00F36DA5">
              <w:rPr>
                <w:b/>
                <w:bCs/>
              </w:rPr>
              <w:t xml:space="preserve">Operation of Measure 2: </w:t>
            </w:r>
            <w:r w:rsidRPr="00F36DA5">
              <w:t>Government issues a ‘do not disturb’ / quarantine order for the contaminated area. If the entity is unable or unwilling to cooperate, Government directs the entity to allow emergency access to sensitive land at the facility for decontamination efforts. Using the consequence management power, the Government coordinates alternate supply of critical goods and services to preserve the services and functioning of other critical assets adversely affected by the disruption. </w:t>
            </w:r>
          </w:p>
        </w:tc>
      </w:tr>
      <w:tr w:rsidR="00F36DA5" w:rsidRPr="00F36DA5" w14:paraId="73CAEAAD" w14:textId="77777777" w:rsidTr="009763A8">
        <w:trPr>
          <w:trHeight w:val="570"/>
        </w:trPr>
        <w:tc>
          <w:tcPr>
            <w:tcW w:w="9484" w:type="dxa"/>
            <w:tcBorders>
              <w:top w:val="single" w:sz="6" w:space="0" w:color="A5A5A5"/>
              <w:left w:val="nil"/>
              <w:bottom w:val="single" w:sz="6" w:space="0" w:color="A5A5A5"/>
              <w:right w:val="nil"/>
            </w:tcBorders>
            <w:shd w:val="clear" w:color="auto" w:fill="D9E2F3"/>
            <w:hideMark/>
          </w:tcPr>
          <w:p w14:paraId="754E4172" w14:textId="77777777" w:rsidR="00F36DA5" w:rsidRPr="00F36DA5" w:rsidRDefault="00F36DA5" w:rsidP="00E171F2">
            <w:pPr>
              <w:pStyle w:val="BodyText"/>
              <w:rPr>
                <w:rFonts w:ascii="Times New Roman" w:hAnsi="Times New Roman"/>
                <w:sz w:val="24"/>
              </w:rPr>
            </w:pPr>
            <w:r w:rsidRPr="00F36DA5">
              <w:rPr>
                <w:b/>
                <w:bCs/>
              </w:rPr>
              <w:t>Anticipated costs as a result of the consequence management power: </w:t>
            </w:r>
            <w:r w:rsidRPr="00F36DA5">
              <w:t> </w:t>
            </w:r>
          </w:p>
          <w:p w14:paraId="5631A9EC" w14:textId="77777777" w:rsidR="00F36DA5" w:rsidRPr="00F36DA5" w:rsidRDefault="00F36DA5" w:rsidP="00E171F2">
            <w:pPr>
              <w:pStyle w:val="BodyText"/>
            </w:pPr>
            <w:r w:rsidRPr="00F36DA5">
              <w:t>Loss of productivity/profit for affected critical infrastructure assets if they are asked to prioritise the operation of critical infrastructure ahead of existing orders/contracts. </w:t>
            </w:r>
          </w:p>
          <w:p w14:paraId="4A50B826" w14:textId="77777777" w:rsidR="00F36DA5" w:rsidRPr="00CC1F67" w:rsidRDefault="00F36DA5" w:rsidP="00E171F2">
            <w:pPr>
              <w:pStyle w:val="BodyText"/>
            </w:pPr>
            <w:r w:rsidRPr="00F36DA5">
              <w:t>Loss of productivity/profit for entities which do not receive prioritised critical services with the severity and length of disruption impacting the extent to which prioritisation orders also affect employment in and services provided by those entities. </w:t>
            </w:r>
          </w:p>
          <w:p w14:paraId="15B5557C" w14:textId="5E33FB30" w:rsidR="00F36DA5" w:rsidRPr="00CC1F67" w:rsidRDefault="00F36DA5" w:rsidP="00E171F2">
            <w:pPr>
              <w:pStyle w:val="BodyText"/>
            </w:pPr>
            <w:r>
              <w:t>Expected costs may include:</w:t>
            </w:r>
          </w:p>
          <w:p w14:paraId="689D3B0E" w14:textId="4A589CDB" w:rsidR="00F36DA5" w:rsidRPr="00F36DA5" w:rsidRDefault="00F36DA5" w:rsidP="00E171F2">
            <w:pPr>
              <w:pStyle w:val="BodyText"/>
            </w:pPr>
            <w:r w:rsidRPr="00F36DA5">
              <w:t>1 x Government relations - $85.17</w:t>
            </w:r>
            <w:r w:rsidR="008D061B">
              <w:t>*</w:t>
            </w:r>
            <w:r w:rsidRPr="00F36DA5">
              <w:t xml:space="preserve"> an hour for 40 hours </w:t>
            </w:r>
          </w:p>
          <w:p w14:paraId="43CF8D29" w14:textId="77777777" w:rsidR="008D061B" w:rsidRPr="00F36DA5" w:rsidRDefault="008D061B" w:rsidP="008D061B">
            <w:pPr>
              <w:pStyle w:val="TableBody"/>
              <w:rPr>
                <w:lang w:eastAsia="en-AU"/>
              </w:rPr>
            </w:pPr>
            <w:r w:rsidRPr="4F26752A">
              <w:rPr>
                <w:lang w:eastAsia="en-AU"/>
              </w:rPr>
              <w:t>1 x Senior lawyer - $</w:t>
            </w:r>
            <w:r>
              <w:rPr>
                <w:lang w:eastAsia="en-AU"/>
              </w:rPr>
              <w:t>3500 per day</w:t>
            </w:r>
            <w:r>
              <w:rPr>
                <w:rStyle w:val="FootnoteReference"/>
                <w:lang w:eastAsia="en-AU"/>
              </w:rPr>
              <w:footnoteReference w:id="32"/>
            </w:r>
            <w:r w:rsidRPr="4F26752A">
              <w:rPr>
                <w:lang w:eastAsia="en-AU"/>
              </w:rPr>
              <w:t> </w:t>
            </w:r>
          </w:p>
          <w:p w14:paraId="6638DF7F" w14:textId="616244B9" w:rsidR="00F36DA5" w:rsidRPr="00F36DA5" w:rsidRDefault="00F36DA5" w:rsidP="00E171F2">
            <w:pPr>
              <w:pStyle w:val="BodyText"/>
            </w:pPr>
            <w:r w:rsidRPr="00F36DA5">
              <w:t>1 x middle manager - $85.17</w:t>
            </w:r>
            <w:r w:rsidR="008D061B">
              <w:t>*</w:t>
            </w:r>
            <w:r w:rsidRPr="00F36DA5">
              <w:t xml:space="preserve"> an hour for 40 hours </w:t>
            </w:r>
          </w:p>
          <w:p w14:paraId="2EE30ABE" w14:textId="7F66C124" w:rsidR="00F36DA5" w:rsidRPr="00F36DA5" w:rsidRDefault="00F36DA5" w:rsidP="00E171F2">
            <w:pPr>
              <w:pStyle w:val="BodyText"/>
            </w:pPr>
            <w:r w:rsidRPr="00F36DA5">
              <w:t>4 x in house specialists – average wage - $85.17</w:t>
            </w:r>
            <w:r w:rsidR="008D061B">
              <w:t>*</w:t>
            </w:r>
            <w:r w:rsidRPr="00F36DA5">
              <w:t xml:space="preserve"> an hour – for 40 hours </w:t>
            </w:r>
          </w:p>
          <w:p w14:paraId="571FDB50" w14:textId="586EDF10" w:rsidR="00F36DA5" w:rsidRPr="00F36DA5" w:rsidRDefault="00F36DA5" w:rsidP="00E171F2">
            <w:pPr>
              <w:pStyle w:val="BodyText"/>
            </w:pPr>
            <w:r w:rsidRPr="00F36DA5">
              <w:t>4 x in house specialists – overtime - $156</w:t>
            </w:r>
            <w:r w:rsidR="008D061B">
              <w:t>*</w:t>
            </w:r>
            <w:r w:rsidRPr="00F36DA5">
              <w:t xml:space="preserve"> an hour for 20 hours </w:t>
            </w:r>
          </w:p>
          <w:p w14:paraId="5CC42727" w14:textId="356BA680" w:rsidR="00F36DA5" w:rsidRDefault="00F36DA5" w:rsidP="00E171F2">
            <w:pPr>
              <w:pStyle w:val="BodyText"/>
            </w:pPr>
            <w:r>
              <w:t>Loss of productivity</w:t>
            </w:r>
            <w:r w:rsidR="08800D7F">
              <w:t xml:space="preserve"> for the</w:t>
            </w:r>
            <w:r w:rsidR="00275EB9">
              <w:t xml:space="preserve"> responsible</w:t>
            </w:r>
            <w:r w:rsidR="08800D7F">
              <w:t xml:space="preserve"> </w:t>
            </w:r>
            <w:r w:rsidR="00275EB9">
              <w:t xml:space="preserve">entity or entities involved in the incident, </w:t>
            </w:r>
            <w:r>
              <w:t>while the incident is being responded to</w:t>
            </w:r>
            <w:r w:rsidR="008D061B">
              <w:t xml:space="preserve"> </w:t>
            </w:r>
            <w:r>
              <w:t>- $1,000,000 </w:t>
            </w:r>
          </w:p>
          <w:p w14:paraId="7C2D600E" w14:textId="2CE42D87" w:rsidR="008D061B" w:rsidRPr="00F36DA5" w:rsidRDefault="008D061B" w:rsidP="00E171F2">
            <w:pPr>
              <w:pStyle w:val="BodyText"/>
            </w:pPr>
            <w:r w:rsidRPr="001E22C2">
              <w:rPr>
                <w:rFonts w:ascii="Arial" w:eastAsia="Arial" w:hAnsi="Arial" w:cs="Arial"/>
                <w:b/>
                <w:bCs/>
                <w:color w:val="000000" w:themeColor="text1"/>
                <w:sz w:val="16"/>
                <w:szCs w:val="16"/>
              </w:rPr>
              <w:t xml:space="preserve">*Costs reflect OIA guidance on work-related labour costs, available </w:t>
            </w:r>
            <w:hyperlink r:id="rId12" w:history="1">
              <w:r w:rsidRPr="001E22C2">
                <w:rPr>
                  <w:rStyle w:val="Hyperlink"/>
                  <w:rFonts w:ascii="Arial" w:eastAsia="Arial" w:hAnsi="Arial" w:cs="Arial"/>
                  <w:b/>
                  <w:bCs/>
                  <w:sz w:val="16"/>
                  <w:szCs w:val="16"/>
                </w:rPr>
                <w:t>here.</w:t>
              </w:r>
            </w:hyperlink>
          </w:p>
        </w:tc>
      </w:tr>
    </w:tbl>
    <w:p w14:paraId="4A99D6C6" w14:textId="77777777" w:rsidR="00C67415" w:rsidRDefault="00C67415" w:rsidP="00F36DA5">
      <w:pPr>
        <w:textAlignment w:val="baseline"/>
        <w:rPr>
          <w:rFonts w:ascii="Arial" w:eastAsia="Times New Roman" w:hAnsi="Arial" w:cs="Arial"/>
          <w:szCs w:val="20"/>
          <w:lang w:eastAsia="en-AU"/>
        </w:rPr>
      </w:pPr>
    </w:p>
    <w:p w14:paraId="0AD14160" w14:textId="77777777" w:rsidR="00C67415" w:rsidRDefault="00F36DA5" w:rsidP="00F36DA5">
      <w:pPr>
        <w:textAlignment w:val="baseline"/>
        <w:rPr>
          <w:rFonts w:ascii="Arial" w:eastAsia="Times New Roman" w:hAnsi="Arial" w:cs="Arial"/>
          <w:szCs w:val="20"/>
          <w:lang w:eastAsia="en-AU"/>
        </w:rPr>
      </w:pPr>
      <w:r w:rsidRPr="00F36DA5">
        <w:rPr>
          <w:rFonts w:ascii="Arial" w:eastAsia="Times New Roman" w:hAnsi="Arial" w:cs="Arial"/>
          <w:szCs w:val="20"/>
          <w:lang w:eastAsia="en-AU"/>
        </w:rPr>
        <w:t>The proposed consequence management power extends existing powers in Part 3A of the SOCI Act. The potential impact of existing Part 3A powers was quantified in the 2020 RIS related to Critical Infrastructure Systems of National Significance reforms. The examples used in the 2020 RIS have been summarised below, alongside industry feedback (provided in response to the draft IA) on potential costs:  </w:t>
      </w:r>
    </w:p>
    <w:p w14:paraId="18C5B261" w14:textId="77777777" w:rsidR="00CC1F67" w:rsidRDefault="00CC1F67" w:rsidP="00F36DA5">
      <w:pPr>
        <w:textAlignment w:val="baseline"/>
        <w:rPr>
          <w:rFonts w:ascii="Arial" w:eastAsia="Times New Roman" w:hAnsi="Arial" w:cs="Arial"/>
          <w:szCs w:val="20"/>
          <w:lang w:eastAsia="en-AU"/>
        </w:rPr>
      </w:pPr>
    </w:p>
    <w:tbl>
      <w:tblPr>
        <w:tblW w:w="9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59"/>
      </w:tblGrid>
      <w:tr w:rsidR="00CC1F67" w:rsidRPr="00F36DA5" w14:paraId="2675F9B9" w14:textId="77777777" w:rsidTr="009763A8">
        <w:trPr>
          <w:trHeight w:val="641"/>
        </w:trPr>
        <w:tc>
          <w:tcPr>
            <w:tcW w:w="9559" w:type="dxa"/>
            <w:tcBorders>
              <w:top w:val="single" w:sz="6" w:space="0" w:color="A5A5A5"/>
              <w:left w:val="nil"/>
              <w:bottom w:val="single" w:sz="6" w:space="0" w:color="A5A5A5"/>
              <w:right w:val="nil"/>
            </w:tcBorders>
            <w:shd w:val="clear" w:color="auto" w:fill="D9E2F3"/>
            <w:hideMark/>
          </w:tcPr>
          <w:p w14:paraId="7358F70C" w14:textId="77777777" w:rsidR="00CC1F67" w:rsidRPr="00CC1F67" w:rsidRDefault="00CC1F67" w:rsidP="00CC1F67">
            <w:pPr>
              <w:pStyle w:val="BodyText"/>
              <w:rPr>
                <w:b/>
              </w:rPr>
            </w:pPr>
            <w:r w:rsidRPr="00CC1F67">
              <w:rPr>
                <w:b/>
              </w:rPr>
              <w:t>Example 1: Direction requiring a business to limit any offshore access to its industrial control systems unless approved by Government.  </w:t>
            </w:r>
          </w:p>
          <w:p w14:paraId="370A6FF6" w14:textId="77777777" w:rsidR="00CC1F67" w:rsidRPr="00CC1F67" w:rsidRDefault="00CC1F67" w:rsidP="00CC1F67">
            <w:pPr>
              <w:pStyle w:val="BodyText"/>
            </w:pPr>
            <w:r w:rsidRPr="00CC1F67">
              <w:t>A transport industry participant provided that in circumstances where operational technology providers are offshore, a direction to limit offshore access has the potential to put a stop to their entire operations. As such, the costs of such direction can be in excess of $300,000 a day, depending on how reliant the day-to-day activities are on that particular control system.  </w:t>
            </w:r>
          </w:p>
        </w:tc>
      </w:tr>
    </w:tbl>
    <w:p w14:paraId="16FA0161" w14:textId="77777777" w:rsidR="00CC1F67" w:rsidRDefault="00CC1F67" w:rsidP="00F36DA5">
      <w:pPr>
        <w:textAlignment w:val="baseline"/>
        <w:rPr>
          <w:rFonts w:ascii="Arial" w:eastAsia="Times New Roman" w:hAnsi="Arial" w:cs="Arial"/>
          <w:szCs w:val="20"/>
          <w:lang w:eastAsia="en-AU"/>
        </w:rPr>
      </w:pPr>
    </w:p>
    <w:tbl>
      <w:tblPr>
        <w:tblW w:w="94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3"/>
      </w:tblGrid>
      <w:tr w:rsidR="00CC1F67" w:rsidRPr="00F36DA5" w14:paraId="5546D4A7" w14:textId="77777777" w:rsidTr="009763A8">
        <w:trPr>
          <w:trHeight w:val="826"/>
        </w:trPr>
        <w:tc>
          <w:tcPr>
            <w:tcW w:w="9493" w:type="dxa"/>
            <w:tcBorders>
              <w:top w:val="single" w:sz="6" w:space="0" w:color="A5A5A5"/>
              <w:left w:val="nil"/>
              <w:bottom w:val="single" w:sz="6" w:space="0" w:color="A5A5A5"/>
              <w:right w:val="nil"/>
            </w:tcBorders>
            <w:shd w:val="clear" w:color="auto" w:fill="D9E2F3"/>
            <w:hideMark/>
          </w:tcPr>
          <w:p w14:paraId="1013B18B" w14:textId="77777777" w:rsidR="00085793" w:rsidRDefault="00085793" w:rsidP="00085793">
            <w:pPr>
              <w:textAlignment w:val="baseline"/>
              <w:rPr>
                <w:rFonts w:ascii="Arial" w:eastAsia="Times New Roman" w:hAnsi="Arial" w:cs="Arial"/>
                <w:szCs w:val="20"/>
                <w:lang w:eastAsia="en-AU"/>
              </w:rPr>
            </w:pPr>
            <w:r w:rsidRPr="00F36DA5">
              <w:rPr>
                <w:rFonts w:ascii="Arial" w:eastAsia="Times New Roman" w:hAnsi="Arial" w:cs="Arial"/>
                <w:b/>
                <w:bCs/>
                <w:szCs w:val="20"/>
                <w:lang w:eastAsia="en-AU"/>
              </w:rPr>
              <w:t>Example 2: A direction preventing a business from outsourcing the operations of its core network to certain low-cost, low-quality providers.</w:t>
            </w:r>
            <w:r w:rsidRPr="00F36DA5">
              <w:rPr>
                <w:rFonts w:ascii="Arial" w:eastAsia="Times New Roman" w:hAnsi="Arial" w:cs="Arial"/>
                <w:szCs w:val="20"/>
                <w:lang w:eastAsia="en-AU"/>
              </w:rPr>
              <w:t> </w:t>
            </w:r>
          </w:p>
          <w:p w14:paraId="5E8EEA06" w14:textId="77777777" w:rsidR="00085793" w:rsidRPr="00F36DA5" w:rsidRDefault="00085793" w:rsidP="00085793">
            <w:pPr>
              <w:textAlignment w:val="baseline"/>
              <w:rPr>
                <w:rFonts w:ascii="Segoe UI" w:eastAsia="Times New Roman" w:hAnsi="Segoe UI" w:cs="Segoe UI"/>
                <w:sz w:val="18"/>
                <w:szCs w:val="18"/>
                <w:lang w:eastAsia="en-AU"/>
              </w:rPr>
            </w:pPr>
          </w:p>
          <w:p w14:paraId="2BB4E1CA" w14:textId="77777777" w:rsidR="00CC1F67" w:rsidRPr="00085793" w:rsidRDefault="00085793" w:rsidP="00085793">
            <w:pPr>
              <w:textAlignment w:val="baseline"/>
              <w:rPr>
                <w:rFonts w:ascii="Segoe UI" w:eastAsia="Times New Roman" w:hAnsi="Segoe UI" w:cs="Segoe UI"/>
                <w:sz w:val="18"/>
                <w:szCs w:val="18"/>
                <w:lang w:eastAsia="en-AU"/>
              </w:rPr>
            </w:pPr>
            <w:r w:rsidRPr="00F36DA5">
              <w:rPr>
                <w:rFonts w:ascii="Arial" w:eastAsia="Times New Roman" w:hAnsi="Arial" w:cs="Arial"/>
                <w:szCs w:val="20"/>
                <w:lang w:eastAsia="en-AU"/>
              </w:rPr>
              <w:t>Industry commented it is unlikely to engage a low-cost, low-quality service provider. The stakeholder estimated its costs associated with core network replacement may be up to $500,000.  </w:t>
            </w:r>
          </w:p>
        </w:tc>
      </w:tr>
    </w:tbl>
    <w:p w14:paraId="1958F572" w14:textId="77777777" w:rsidR="00CC1F67" w:rsidRDefault="00CC1F67" w:rsidP="00F36DA5">
      <w:pPr>
        <w:textAlignment w:val="baseline"/>
        <w:rPr>
          <w:rFonts w:ascii="Arial" w:eastAsia="Times New Roman" w:hAnsi="Arial" w:cs="Arial"/>
          <w:szCs w:val="20"/>
          <w:lang w:eastAsia="en-AU"/>
        </w:rPr>
      </w:pP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06"/>
      </w:tblGrid>
      <w:tr w:rsidR="00CC1F67" w:rsidRPr="00F36DA5" w14:paraId="71154C39" w14:textId="77777777" w:rsidTr="009763A8">
        <w:trPr>
          <w:trHeight w:val="568"/>
        </w:trPr>
        <w:tc>
          <w:tcPr>
            <w:tcW w:w="9506" w:type="dxa"/>
            <w:tcBorders>
              <w:top w:val="single" w:sz="6" w:space="0" w:color="A5A5A5"/>
              <w:left w:val="nil"/>
              <w:bottom w:val="single" w:sz="6" w:space="0" w:color="A5A5A5"/>
              <w:right w:val="nil"/>
            </w:tcBorders>
            <w:shd w:val="clear" w:color="auto" w:fill="D9E2F3"/>
            <w:hideMark/>
          </w:tcPr>
          <w:p w14:paraId="04CCC3AD" w14:textId="77777777" w:rsidR="00085793" w:rsidRDefault="00085793" w:rsidP="00085793">
            <w:pPr>
              <w:textAlignment w:val="baseline"/>
              <w:rPr>
                <w:rFonts w:ascii="Arial" w:eastAsia="Times New Roman" w:hAnsi="Arial" w:cs="Arial"/>
                <w:szCs w:val="20"/>
                <w:lang w:eastAsia="en-AU"/>
              </w:rPr>
            </w:pPr>
            <w:r w:rsidRPr="00F36DA5">
              <w:rPr>
                <w:rFonts w:ascii="Arial" w:eastAsia="Times New Roman" w:hAnsi="Arial" w:cs="Arial"/>
                <w:b/>
                <w:bCs/>
                <w:szCs w:val="20"/>
                <w:lang w:eastAsia="en-AU"/>
              </w:rPr>
              <w:t>Example 3: A direction preventing a business from sourcing core operational systems technology from certain low-cost, low-quality providers.</w:t>
            </w:r>
            <w:r w:rsidRPr="00F36DA5">
              <w:rPr>
                <w:rFonts w:ascii="Arial" w:eastAsia="Times New Roman" w:hAnsi="Arial" w:cs="Arial"/>
                <w:szCs w:val="20"/>
                <w:lang w:eastAsia="en-AU"/>
              </w:rPr>
              <w:t> </w:t>
            </w:r>
          </w:p>
          <w:p w14:paraId="3E7B6C3C" w14:textId="77777777" w:rsidR="00085793" w:rsidRPr="00F36DA5" w:rsidRDefault="00085793" w:rsidP="00085793">
            <w:pPr>
              <w:textAlignment w:val="baseline"/>
              <w:rPr>
                <w:rFonts w:ascii="Segoe UI" w:eastAsia="Times New Roman" w:hAnsi="Segoe UI" w:cs="Segoe UI"/>
                <w:sz w:val="18"/>
                <w:szCs w:val="18"/>
                <w:lang w:eastAsia="en-AU"/>
              </w:rPr>
            </w:pPr>
          </w:p>
          <w:p w14:paraId="1FF40FF7" w14:textId="77777777" w:rsidR="00CC1F67" w:rsidRPr="00085793" w:rsidRDefault="00085793" w:rsidP="00085793">
            <w:pPr>
              <w:textAlignment w:val="baseline"/>
              <w:rPr>
                <w:rFonts w:ascii="Arial" w:eastAsia="Times New Roman" w:hAnsi="Arial" w:cs="Arial"/>
                <w:szCs w:val="20"/>
                <w:lang w:eastAsia="en-AU"/>
              </w:rPr>
            </w:pPr>
            <w:r w:rsidRPr="00F36DA5">
              <w:rPr>
                <w:rFonts w:ascii="Arial" w:eastAsia="Times New Roman" w:hAnsi="Arial" w:cs="Arial"/>
                <w:szCs w:val="20"/>
                <w:lang w:eastAsia="en-AU"/>
              </w:rPr>
              <w:t>An aviation industry participant provided that costs incurred will depend largely on the system involved. For example, replacing an operational technology system may also require replacement of the equipment involved. For a baggage handling system, this might be more than $50 million. </w:t>
            </w:r>
          </w:p>
        </w:tc>
      </w:tr>
    </w:tbl>
    <w:p w14:paraId="591A0A36" w14:textId="77777777" w:rsidR="00F36DA5" w:rsidRPr="00F36DA5" w:rsidRDefault="00F36DA5" w:rsidP="00F36DA5">
      <w:pPr>
        <w:textAlignment w:val="baseline"/>
        <w:rPr>
          <w:rFonts w:ascii="Segoe UI" w:eastAsia="Times New Roman" w:hAnsi="Segoe UI" w:cs="Segoe UI"/>
          <w:sz w:val="18"/>
          <w:szCs w:val="18"/>
          <w:lang w:eastAsia="en-AU"/>
        </w:rPr>
      </w:pPr>
      <w:r w:rsidRPr="00F36DA5">
        <w:rPr>
          <w:rFonts w:ascii="Arial" w:eastAsia="Times New Roman" w:hAnsi="Arial" w:cs="Arial"/>
          <w:sz w:val="22"/>
          <w:lang w:eastAsia="en-AU"/>
        </w:rPr>
        <w:t> </w:t>
      </w:r>
    </w:p>
    <w:p w14:paraId="57069BD9" w14:textId="485C016F" w:rsidR="00F36DA5" w:rsidRPr="00FC552B" w:rsidRDefault="00F36DA5" w:rsidP="00F36DA5">
      <w:pPr>
        <w:textAlignment w:val="baseline"/>
        <w:rPr>
          <w:rFonts w:eastAsia="Times New Roman" w:cs="Times New Roman"/>
          <w:szCs w:val="24"/>
          <w:lang w:eastAsia="en-AU"/>
        </w:rPr>
      </w:pPr>
      <w:r w:rsidRPr="00FC552B">
        <w:rPr>
          <w:rFonts w:eastAsia="Times New Roman" w:cs="Times New Roman"/>
          <w:szCs w:val="24"/>
          <w:lang w:eastAsia="en-AU"/>
        </w:rPr>
        <w:t xml:space="preserve">For further information on these examples and underpinning assumptions, see the 2020 RIS </w:t>
      </w:r>
      <w:hyperlink r:id="rId13" w:tgtFrame="_blank" w:history="1">
        <w:hyperlink r:id="rId14">
          <w:r w:rsidR="001C74F3" w:rsidRPr="006D7D38">
            <w:rPr>
              <w:bCs/>
              <w:color w:val="2B579A"/>
              <w:u w:val="single"/>
              <w:shd w:val="clear" w:color="auto" w:fill="E6E6E6"/>
            </w:rPr>
            <w:t>here</w:t>
          </w:r>
        </w:hyperlink>
        <w:r w:rsidR="001C74F3" w:rsidRPr="00DA571D">
          <w:rPr>
            <w:rFonts w:ascii="Arial" w:hAnsi="Arial" w:cs="Arial"/>
            <w:bCs/>
          </w:rPr>
          <w:t>.</w:t>
        </w:r>
      </w:hyperlink>
      <w:r w:rsidRPr="00FC552B">
        <w:rPr>
          <w:rFonts w:eastAsia="Times New Roman" w:cs="Times New Roman"/>
          <w:szCs w:val="24"/>
          <w:lang w:eastAsia="en-AU"/>
        </w:rPr>
        <w:t>  </w:t>
      </w:r>
    </w:p>
    <w:p w14:paraId="3395B2B1" w14:textId="77777777" w:rsidR="00FC552B" w:rsidRPr="00085793" w:rsidRDefault="00F36DA5" w:rsidP="00FC552B">
      <w:pPr>
        <w:textAlignment w:val="baseline"/>
        <w:rPr>
          <w:rFonts w:eastAsia="Times New Roman" w:cs="Times New Roman"/>
          <w:szCs w:val="24"/>
          <w:lang w:eastAsia="en-AU"/>
        </w:rPr>
      </w:pPr>
      <w:r w:rsidRPr="00FC552B">
        <w:rPr>
          <w:rFonts w:eastAsia="Times New Roman" w:cs="Times New Roman"/>
          <w:szCs w:val="24"/>
          <w:lang w:eastAsia="en-AU"/>
        </w:rPr>
        <w:t>Responses to the Consultation Paper highlighted industry and individuals’ concerns with a rapidly evolving risk environment. For example, consultation highlighted the increasing scale and severity of cyber incidents. Stakeholders expressed concerns on the role emerging technologies (such as generative artificial intelligence) will play in cybercrime. In addition, consultation has highlighted the following insights:  </w:t>
      </w:r>
    </w:p>
    <w:p w14:paraId="10F5087F" w14:textId="77777777" w:rsidR="00FC552B" w:rsidRDefault="00F36DA5" w:rsidP="00510557">
      <w:pPr>
        <w:pStyle w:val="ListParagraph"/>
        <w:numPr>
          <w:ilvl w:val="0"/>
          <w:numId w:val="21"/>
        </w:numPr>
        <w:contextualSpacing/>
      </w:pPr>
      <w:r w:rsidRPr="00FC552B">
        <w:t>Industry are aware that a breach of non-critical systems could provide a staging point for compromise of a critical system. </w:t>
      </w:r>
    </w:p>
    <w:p w14:paraId="23539B99" w14:textId="77777777" w:rsidR="00FC552B" w:rsidRPr="00FC552B" w:rsidRDefault="00F36DA5" w:rsidP="00510557">
      <w:pPr>
        <w:pStyle w:val="ListParagraph"/>
        <w:numPr>
          <w:ilvl w:val="0"/>
          <w:numId w:val="21"/>
        </w:numPr>
        <w:contextualSpacing/>
      </w:pPr>
      <w:r w:rsidRPr="00FC552B">
        <w:t>The addition of the consequence management power in the SOCI Act will complement the Information Commissioner's existing powers, supporting a more immediate response to a cyber incident. </w:t>
      </w:r>
    </w:p>
    <w:p w14:paraId="5984FD8B" w14:textId="77777777" w:rsidR="00F36DA5" w:rsidRPr="00FC552B" w:rsidRDefault="00F36DA5" w:rsidP="00510557">
      <w:pPr>
        <w:pStyle w:val="ListParagraph"/>
        <w:numPr>
          <w:ilvl w:val="0"/>
          <w:numId w:val="21"/>
        </w:numPr>
        <w:contextualSpacing/>
      </w:pPr>
      <w:r w:rsidRPr="00FC552B">
        <w:t>The consequence management power would enable an impacted critical infrastructure entity to focus on restoring their operations, whilst the Government is able to assist with the economy-wide impacts. </w:t>
      </w:r>
    </w:p>
    <w:p w14:paraId="5DFFA9D7" w14:textId="77777777" w:rsidR="00FC552B" w:rsidRDefault="00F36DA5" w:rsidP="00FC552B">
      <w:pPr>
        <w:textAlignment w:val="baseline"/>
        <w:rPr>
          <w:rFonts w:eastAsia="Times New Roman" w:cs="Times New Roman"/>
          <w:szCs w:val="24"/>
          <w:lang w:eastAsia="en-AU"/>
        </w:rPr>
      </w:pPr>
      <w:r w:rsidRPr="00FC552B">
        <w:rPr>
          <w:rFonts w:eastAsia="Times New Roman" w:cs="Times New Roman"/>
          <w:szCs w:val="24"/>
          <w:lang w:eastAsia="en-AU"/>
        </w:rPr>
        <w:t>The nature of the power contemplated under Measure 2 means it will not affect (or impose a cost on) all regulated entities – only a small number of entities in a small number of cases, where a direction is issued. Through consultation, industry have indicated in relation to the potential costs of a consequence management power, that:  </w:t>
      </w:r>
    </w:p>
    <w:p w14:paraId="34238FF9" w14:textId="77777777" w:rsidR="00FC552B" w:rsidRPr="00FC552B" w:rsidRDefault="00F36DA5" w:rsidP="00510557">
      <w:pPr>
        <w:pStyle w:val="ListParagraph"/>
        <w:numPr>
          <w:ilvl w:val="0"/>
          <w:numId w:val="21"/>
        </w:numPr>
        <w:contextualSpacing/>
      </w:pPr>
      <w:r w:rsidRPr="00FC552B">
        <w:t>The allocation of costs will be contingent on critical infrastructure owners and operators complying with a direction issued by Government. </w:t>
      </w:r>
    </w:p>
    <w:p w14:paraId="53570864" w14:textId="77777777" w:rsidR="00F36DA5" w:rsidRPr="00FC552B" w:rsidRDefault="00F36DA5" w:rsidP="00510557">
      <w:pPr>
        <w:pStyle w:val="ListParagraph"/>
        <w:numPr>
          <w:ilvl w:val="0"/>
          <w:numId w:val="21"/>
        </w:numPr>
        <w:contextualSpacing/>
      </w:pPr>
      <w:r w:rsidRPr="00FC552B">
        <w:t>Government should consider providing support for costs incurred by industry as a result of any directives Government may issue. </w:t>
      </w:r>
    </w:p>
    <w:p w14:paraId="4CE9C25D" w14:textId="77777777" w:rsidR="00F36DA5" w:rsidRPr="00FC552B" w:rsidRDefault="00F36DA5" w:rsidP="00F36DA5">
      <w:pPr>
        <w:textAlignment w:val="baseline"/>
        <w:rPr>
          <w:rFonts w:eastAsia="Times New Roman" w:cs="Times New Roman"/>
          <w:szCs w:val="24"/>
          <w:lang w:eastAsia="en-AU"/>
        </w:rPr>
      </w:pPr>
      <w:r w:rsidRPr="00FC552B">
        <w:rPr>
          <w:rFonts w:eastAsia="Times New Roman" w:cs="Times New Roman"/>
          <w:szCs w:val="24"/>
          <w:lang w:eastAsia="en-AU"/>
        </w:rPr>
        <w:t>Beyond the potential costs to industry, there is a risk that Government intervention may lead to unintended consequences. However, the safeguards and oversight mechanisms set out in section 3.2.2 are designed to mitigate this risk and ensure any directions are informed by appropriate expertise. The proposed powers are intended for last resort. Proactive risk management remains the primary intended mechanism to eliminate hazards to critical infrastructure.  </w:t>
      </w:r>
    </w:p>
    <w:p w14:paraId="3ED2420D" w14:textId="77777777" w:rsidR="00BE1800" w:rsidRDefault="00BE1800" w:rsidP="00F36DA5">
      <w:pPr>
        <w:textAlignment w:val="baseline"/>
        <w:rPr>
          <w:rFonts w:eastAsia="Times New Roman" w:cs="Times New Roman"/>
          <w:szCs w:val="24"/>
          <w:lang w:eastAsia="en-AU"/>
        </w:rPr>
      </w:pPr>
    </w:p>
    <w:p w14:paraId="233CC584" w14:textId="77777777" w:rsidR="00FC552B" w:rsidRDefault="00F36DA5" w:rsidP="00F36DA5">
      <w:pPr>
        <w:textAlignment w:val="baseline"/>
        <w:rPr>
          <w:rFonts w:eastAsia="Times New Roman" w:cs="Times New Roman"/>
          <w:szCs w:val="24"/>
          <w:lang w:eastAsia="en-AU"/>
        </w:rPr>
      </w:pPr>
      <w:r w:rsidRPr="00FC552B">
        <w:rPr>
          <w:rFonts w:eastAsia="Times New Roman" w:cs="Times New Roman"/>
          <w:szCs w:val="24"/>
          <w:lang w:eastAsia="en-AU"/>
        </w:rPr>
        <w:t>The broader public can be assured that Government can intervene where appropriate and as a last resort, to support incident recovery and limit the cascading impacts of an incident. This intervention should be supplemented by an ongoing partnership between industry and Government, which extends beyond the occurrence of the initial incident.</w:t>
      </w:r>
    </w:p>
    <w:p w14:paraId="6D7215CB" w14:textId="77777777" w:rsidR="00F36DA5" w:rsidRPr="00FC552B" w:rsidRDefault="00F36DA5" w:rsidP="00F36DA5">
      <w:pPr>
        <w:textAlignment w:val="baseline"/>
        <w:rPr>
          <w:rFonts w:eastAsia="Times New Roman" w:cs="Times New Roman"/>
          <w:szCs w:val="24"/>
          <w:lang w:eastAsia="en-AU"/>
        </w:rPr>
      </w:pPr>
      <w:r w:rsidRPr="00FC552B">
        <w:rPr>
          <w:rFonts w:eastAsia="Times New Roman" w:cs="Times New Roman"/>
          <w:szCs w:val="24"/>
          <w:lang w:eastAsia="en-AU"/>
        </w:rPr>
        <w:t>  </w:t>
      </w:r>
    </w:p>
    <w:p w14:paraId="4CBAF977" w14:textId="7C7C83DF" w:rsidR="00F36DA5" w:rsidRDefault="00F36DA5" w:rsidP="00F36DA5">
      <w:pPr>
        <w:textAlignment w:val="baseline"/>
        <w:rPr>
          <w:rFonts w:ascii="Arial" w:eastAsia="Times New Roman" w:hAnsi="Arial" w:cs="Arial"/>
          <w:szCs w:val="20"/>
          <w:lang w:eastAsia="en-AU"/>
        </w:rPr>
      </w:pPr>
      <w:r w:rsidRPr="00FC552B">
        <w:rPr>
          <w:rFonts w:eastAsia="Times New Roman" w:cs="Times New Roman"/>
          <w:szCs w:val="24"/>
          <w:lang w:eastAsia="en-AU"/>
        </w:rPr>
        <w:t>Following consultation with industry participants on the Draft IA, it is anticipated that the financial impacts of this measure could range from $0.5m to $50m per incident, with an expected incident</w:t>
      </w:r>
      <w:r w:rsidRPr="00F36DA5">
        <w:rPr>
          <w:rFonts w:ascii="Arial" w:eastAsia="Times New Roman" w:hAnsi="Arial" w:cs="Arial"/>
          <w:szCs w:val="20"/>
          <w:lang w:eastAsia="en-AU"/>
        </w:rPr>
        <w:t xml:space="preserve"> frequency of one in every three years, suggesting an annual average cost impact of between $0.1m and $16.7m.</w:t>
      </w:r>
      <w:r w:rsidR="009903DE">
        <w:rPr>
          <w:rFonts w:ascii="Arial" w:eastAsia="Times New Roman" w:hAnsi="Arial" w:cs="Arial"/>
          <w:szCs w:val="20"/>
          <w:lang w:eastAsia="en-AU"/>
        </w:rPr>
        <w:t xml:space="preserve"> A frequency of once every year would </w:t>
      </w:r>
      <w:r w:rsidR="00FC4299">
        <w:rPr>
          <w:rFonts w:ascii="Arial" w:eastAsia="Times New Roman" w:hAnsi="Arial" w:cs="Arial"/>
          <w:szCs w:val="20"/>
          <w:lang w:eastAsia="en-AU"/>
        </w:rPr>
        <w:t xml:space="preserve">result in </w:t>
      </w:r>
      <w:r w:rsidR="00FB54D9">
        <w:rPr>
          <w:rFonts w:ascii="Arial" w:eastAsia="Times New Roman" w:hAnsi="Arial" w:cs="Arial"/>
          <w:szCs w:val="20"/>
          <w:lang w:eastAsia="en-AU"/>
        </w:rPr>
        <w:t xml:space="preserve">an annual average cost impact </w:t>
      </w:r>
      <w:r w:rsidR="00BB42C6">
        <w:rPr>
          <w:rFonts w:ascii="Arial" w:eastAsia="Times New Roman" w:hAnsi="Arial" w:cs="Arial"/>
          <w:szCs w:val="20"/>
          <w:lang w:eastAsia="en-AU"/>
        </w:rPr>
        <w:t>from</w:t>
      </w:r>
      <w:r w:rsidR="00FF4BF0">
        <w:rPr>
          <w:rFonts w:ascii="Arial" w:eastAsia="Times New Roman" w:hAnsi="Arial" w:cs="Arial"/>
          <w:szCs w:val="20"/>
          <w:lang w:eastAsia="en-AU"/>
        </w:rPr>
        <w:t xml:space="preserve"> $0.5m to $50m</w:t>
      </w:r>
      <w:r w:rsidR="00786EC8">
        <w:rPr>
          <w:rFonts w:ascii="Arial" w:eastAsia="Times New Roman" w:hAnsi="Arial" w:cs="Arial"/>
          <w:szCs w:val="20"/>
          <w:lang w:eastAsia="en-AU"/>
        </w:rPr>
        <w:t>.</w:t>
      </w:r>
      <w:r w:rsidR="00FF4BF0">
        <w:rPr>
          <w:rFonts w:ascii="Arial" w:eastAsia="Times New Roman" w:hAnsi="Arial" w:cs="Arial"/>
          <w:szCs w:val="20"/>
          <w:lang w:eastAsia="en-AU"/>
        </w:rPr>
        <w:t xml:space="preserve"> </w:t>
      </w:r>
      <w:r w:rsidR="00BE048A">
        <w:rPr>
          <w:rFonts w:ascii="Arial" w:eastAsia="Times New Roman" w:hAnsi="Arial" w:cs="Arial"/>
          <w:szCs w:val="20"/>
          <w:lang w:eastAsia="en-AU"/>
        </w:rPr>
        <w:t>These</w:t>
      </w:r>
      <w:r w:rsidR="00786EC8">
        <w:rPr>
          <w:rFonts w:ascii="Arial" w:eastAsia="Times New Roman" w:hAnsi="Arial" w:cs="Arial"/>
          <w:szCs w:val="20"/>
          <w:lang w:eastAsia="en-AU"/>
        </w:rPr>
        <w:t xml:space="preserve"> annual average cost estimates</w:t>
      </w:r>
      <w:r w:rsidR="00BE048A">
        <w:rPr>
          <w:rFonts w:ascii="Arial" w:eastAsia="Times New Roman" w:hAnsi="Arial" w:cs="Arial"/>
          <w:szCs w:val="20"/>
          <w:lang w:eastAsia="en-AU"/>
        </w:rPr>
        <w:t xml:space="preserve"> are used for the low and high range cos</w:t>
      </w:r>
      <w:r w:rsidR="005F266D">
        <w:rPr>
          <w:rFonts w:ascii="Arial" w:eastAsia="Times New Roman" w:hAnsi="Arial" w:cs="Arial"/>
          <w:szCs w:val="20"/>
          <w:lang w:eastAsia="en-AU"/>
        </w:rPr>
        <w:t xml:space="preserve">t/benefit estimates in </w:t>
      </w:r>
      <w:r w:rsidR="005E034B" w:rsidRPr="002C2ED5">
        <w:rPr>
          <w:rFonts w:ascii="Arial" w:eastAsia="Times New Roman" w:hAnsi="Arial" w:cs="Arial"/>
          <w:szCs w:val="20"/>
          <w:lang w:eastAsia="en-AU"/>
        </w:rPr>
        <w:fldChar w:fldCharType="begin"/>
      </w:r>
      <w:r w:rsidR="005E034B" w:rsidRPr="002C2ED5">
        <w:rPr>
          <w:rFonts w:ascii="Arial" w:eastAsia="Times New Roman" w:hAnsi="Arial" w:cs="Arial"/>
          <w:szCs w:val="20"/>
          <w:lang w:eastAsia="en-AU"/>
        </w:rPr>
        <w:instrText xml:space="preserve"> REF _Ref163735245 \h  \* MERGEFORMAT </w:instrText>
      </w:r>
      <w:r w:rsidR="005E034B" w:rsidRPr="002C2ED5">
        <w:rPr>
          <w:rFonts w:ascii="Arial" w:eastAsia="Times New Roman" w:hAnsi="Arial" w:cs="Arial"/>
          <w:szCs w:val="20"/>
          <w:lang w:eastAsia="en-AU"/>
        </w:rPr>
      </w:r>
      <w:r w:rsidR="005E034B" w:rsidRPr="002C2ED5">
        <w:rPr>
          <w:rFonts w:ascii="Arial" w:eastAsia="Times New Roman" w:hAnsi="Arial" w:cs="Arial"/>
          <w:szCs w:val="20"/>
          <w:lang w:eastAsia="en-AU"/>
        </w:rPr>
        <w:fldChar w:fldCharType="separate"/>
      </w:r>
      <w:r w:rsidR="00E8506B" w:rsidRPr="00E8506B">
        <w:rPr>
          <w:rFonts w:ascii="Arial" w:eastAsia="Times New Roman" w:hAnsi="Arial" w:cs="Arial"/>
          <w:szCs w:val="20"/>
          <w:lang w:eastAsia="en-AU"/>
        </w:rPr>
        <w:t>Table 31</w:t>
      </w:r>
      <w:r w:rsidR="005E034B" w:rsidRPr="002C2ED5">
        <w:rPr>
          <w:rFonts w:ascii="Arial" w:eastAsia="Times New Roman" w:hAnsi="Arial" w:cs="Arial"/>
          <w:szCs w:val="20"/>
          <w:lang w:eastAsia="en-AU"/>
        </w:rPr>
        <w:fldChar w:fldCharType="end"/>
      </w:r>
      <w:r w:rsidR="00786EC8">
        <w:rPr>
          <w:rFonts w:ascii="Arial" w:eastAsia="Times New Roman" w:hAnsi="Arial" w:cs="Arial"/>
          <w:szCs w:val="20"/>
          <w:lang w:eastAsia="en-AU"/>
        </w:rPr>
        <w:t xml:space="preserve"> below</w:t>
      </w:r>
      <w:r w:rsidR="005E034B">
        <w:rPr>
          <w:rFonts w:ascii="Arial" w:eastAsia="Times New Roman" w:hAnsi="Arial" w:cs="Arial"/>
          <w:szCs w:val="20"/>
          <w:lang w:eastAsia="en-AU"/>
        </w:rPr>
        <w:t>.</w:t>
      </w:r>
    </w:p>
    <w:p w14:paraId="3C0139A6" w14:textId="77777777" w:rsidR="00FC552B" w:rsidRPr="00F36DA5" w:rsidRDefault="00FC552B" w:rsidP="00F36DA5">
      <w:pPr>
        <w:textAlignment w:val="baseline"/>
        <w:rPr>
          <w:rFonts w:ascii="Segoe UI" w:eastAsia="Times New Roman" w:hAnsi="Segoe UI" w:cs="Segoe UI"/>
          <w:sz w:val="18"/>
          <w:szCs w:val="18"/>
          <w:lang w:eastAsia="en-AU"/>
        </w:rPr>
      </w:pPr>
    </w:p>
    <w:p w14:paraId="160D72F8" w14:textId="22540AAB" w:rsidR="00F36DA5" w:rsidRDefault="00F36DA5" w:rsidP="00F36DA5">
      <w:pPr>
        <w:textAlignment w:val="baseline"/>
        <w:rPr>
          <w:rFonts w:ascii="Arial" w:eastAsia="Times New Roman" w:hAnsi="Arial" w:cs="Arial"/>
          <w:szCs w:val="20"/>
          <w:lang w:eastAsia="en-AU"/>
        </w:rPr>
      </w:pPr>
      <w:r w:rsidRPr="00F36DA5">
        <w:rPr>
          <w:rFonts w:ascii="Arial" w:eastAsia="Times New Roman" w:hAnsi="Arial" w:cs="Arial"/>
          <w:szCs w:val="20"/>
          <w:lang w:eastAsia="en-AU"/>
        </w:rPr>
        <w:t>Table 2</w:t>
      </w:r>
      <w:r w:rsidR="0083672C">
        <w:rPr>
          <w:rFonts w:ascii="Arial" w:eastAsia="Times New Roman" w:hAnsi="Arial" w:cs="Arial"/>
          <w:szCs w:val="20"/>
          <w:lang w:eastAsia="en-AU"/>
        </w:rPr>
        <w:t>4</w:t>
      </w:r>
      <w:r w:rsidRPr="00F36DA5">
        <w:rPr>
          <w:rFonts w:ascii="Arial" w:eastAsia="Times New Roman" w:hAnsi="Arial" w:cs="Arial"/>
          <w:szCs w:val="20"/>
          <w:lang w:eastAsia="en-AU"/>
        </w:rPr>
        <w:t xml:space="preserve"> outlines the emerging indicative costs for each sector for Measure 2, where provided through consultation feedback. </w:t>
      </w:r>
      <w:hyperlink w:anchor="_5.2_Summary_of" w:history="1">
        <w:r w:rsidR="00225B3F" w:rsidRPr="00212522">
          <w:rPr>
            <w:rStyle w:val="Hyperlink"/>
            <w:rFonts w:ascii="Arial" w:eastAsia="Times New Roman" w:hAnsi="Arial" w:cs="Arial"/>
            <w:szCs w:val="20"/>
            <w:lang w:eastAsia="en-AU"/>
          </w:rPr>
          <w:t>Section 5</w:t>
        </w:r>
      </w:hyperlink>
      <w:r w:rsidR="00225B3F">
        <w:rPr>
          <w:rFonts w:ascii="Arial" w:eastAsia="Times New Roman" w:hAnsi="Arial" w:cs="Arial"/>
          <w:szCs w:val="20"/>
          <w:lang w:eastAsia="en-AU"/>
        </w:rPr>
        <w:t xml:space="preserve"> of this IA provides additional details on responses received through consultation, including how this feedback informed policy development.</w:t>
      </w:r>
    </w:p>
    <w:p w14:paraId="1D004985" w14:textId="77777777" w:rsidR="00FC552B" w:rsidRPr="00F36DA5" w:rsidRDefault="00FC552B" w:rsidP="00F36DA5">
      <w:pPr>
        <w:textAlignment w:val="baseline"/>
        <w:rPr>
          <w:rFonts w:ascii="Segoe UI" w:eastAsia="Times New Roman" w:hAnsi="Segoe UI" w:cs="Segoe UI"/>
          <w:sz w:val="18"/>
          <w:szCs w:val="18"/>
          <w:lang w:eastAsia="en-AU"/>
        </w:rPr>
      </w:pPr>
    </w:p>
    <w:p w14:paraId="2F113A5A" w14:textId="03DD3A25" w:rsidR="00F36DA5" w:rsidRPr="00085793" w:rsidRDefault="00A62112" w:rsidP="00F36DA5">
      <w:pPr>
        <w:textAlignment w:val="baseline"/>
        <w:rPr>
          <w:rFonts w:ascii="Segoe UI" w:eastAsia="Times New Roman" w:hAnsi="Segoe UI" w:cs="Segoe UI"/>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24</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085793">
        <w:rPr>
          <w:rFonts w:ascii="Calibri" w:eastAsia="Times New Roman" w:hAnsi="Calibri" w:cs="Calibri"/>
          <w:i/>
          <w:iCs/>
          <w:sz w:val="18"/>
          <w:szCs w:val="18"/>
          <w:lang w:eastAsia="en-AU"/>
        </w:rPr>
        <w:t>Indicative costs of Measure 2 Improving our national response to the consequences of significant incidents – Consequent management powers, for each sector</w:t>
      </w:r>
      <w:r w:rsidR="00F36DA5" w:rsidRPr="00085793">
        <w:rPr>
          <w:rFonts w:ascii="Calibri" w:eastAsia="Times New Roman" w:hAnsi="Calibri" w:cs="Calibri"/>
          <w:bCs/>
          <w:i/>
          <w:iCs/>
          <w:sz w:val="18"/>
          <w:szCs w:val="18"/>
          <w:lang w:eastAsia="en-AU"/>
        </w:rPr>
        <w:t> </w:t>
      </w:r>
      <w:r w:rsidR="00F36DA5" w:rsidRPr="00085793">
        <w:rPr>
          <w:rFonts w:ascii="Calibri" w:eastAsia="Times New Roman" w:hAnsi="Calibri" w:cs="Calibri"/>
          <w:i/>
          <w:iCs/>
          <w:sz w:val="18"/>
          <w:szCs w:val="18"/>
          <w:lang w:eastAsia="en-AU"/>
        </w:rPr>
        <w:t> </w:t>
      </w:r>
    </w:p>
    <w:tbl>
      <w:tblPr>
        <w:tblW w:w="94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3"/>
        <w:gridCol w:w="5758"/>
      </w:tblGrid>
      <w:tr w:rsidR="00F36DA5" w:rsidRPr="00F36DA5" w14:paraId="01F05A7E" w14:textId="77777777" w:rsidTr="009763A8">
        <w:trPr>
          <w:trHeight w:val="318"/>
        </w:trPr>
        <w:tc>
          <w:tcPr>
            <w:tcW w:w="3723" w:type="dxa"/>
            <w:tcBorders>
              <w:top w:val="nil"/>
              <w:left w:val="nil"/>
              <w:bottom w:val="single" w:sz="6" w:space="0" w:color="D9D9D9" w:themeColor="background2" w:themeShade="D9"/>
              <w:right w:val="single" w:sz="6" w:space="0" w:color="D9D9D9" w:themeColor="background2" w:themeShade="D9"/>
            </w:tcBorders>
            <w:shd w:val="clear" w:color="auto" w:fill="2F5496"/>
            <w:vAlign w:val="center"/>
            <w:hideMark/>
          </w:tcPr>
          <w:p w14:paraId="42F849AA"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Sector</w:t>
            </w:r>
            <w:r w:rsidRPr="00F36DA5">
              <w:rPr>
                <w:rFonts w:ascii="Arial" w:eastAsia="Times New Roman" w:hAnsi="Arial" w:cs="Arial"/>
                <w:color w:val="FFFFFF"/>
                <w:szCs w:val="20"/>
                <w:lang w:eastAsia="en-AU"/>
              </w:rPr>
              <w:t> </w:t>
            </w:r>
          </w:p>
        </w:tc>
        <w:tc>
          <w:tcPr>
            <w:tcW w:w="5758" w:type="dxa"/>
            <w:tcBorders>
              <w:top w:val="nil"/>
              <w:left w:val="single" w:sz="6" w:space="0" w:color="D9D9D9" w:themeColor="background2" w:themeShade="D9"/>
              <w:bottom w:val="single" w:sz="6" w:space="0" w:color="D9D9D9" w:themeColor="background2" w:themeShade="D9"/>
              <w:right w:val="nil"/>
            </w:tcBorders>
            <w:shd w:val="clear" w:color="auto" w:fill="2F5496"/>
            <w:vAlign w:val="center"/>
            <w:hideMark/>
          </w:tcPr>
          <w:p w14:paraId="4A2ED6B9"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Response</w:t>
            </w:r>
            <w:r w:rsidRPr="00F36DA5">
              <w:rPr>
                <w:rFonts w:ascii="Arial" w:eastAsia="Times New Roman" w:hAnsi="Arial" w:cs="Arial"/>
                <w:color w:val="FFFFFF"/>
                <w:szCs w:val="20"/>
                <w:lang w:eastAsia="en-AU"/>
              </w:rPr>
              <w:t> </w:t>
            </w:r>
          </w:p>
        </w:tc>
      </w:tr>
      <w:tr w:rsidR="00F36DA5" w:rsidRPr="00F36DA5" w14:paraId="1BA3C163" w14:textId="77777777" w:rsidTr="009763A8">
        <w:trPr>
          <w:trHeight w:val="318"/>
        </w:trPr>
        <w:tc>
          <w:tcPr>
            <w:tcW w:w="3723"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7CCC3ABC" w14:textId="77777777" w:rsidR="00F36DA5" w:rsidRPr="00F36DA5" w:rsidRDefault="00F36DA5" w:rsidP="00E171F2">
            <w:pPr>
              <w:pStyle w:val="TableBody"/>
              <w:rPr>
                <w:rFonts w:ascii="Times New Roman" w:hAnsi="Times New Roman"/>
                <w:sz w:val="24"/>
                <w:szCs w:val="24"/>
                <w:lang w:eastAsia="en-AU"/>
              </w:rPr>
            </w:pPr>
            <w:r w:rsidRPr="00F36DA5">
              <w:rPr>
                <w:lang w:eastAsia="en-AU"/>
              </w:rPr>
              <w:t>Communications </w:t>
            </w:r>
          </w:p>
        </w:tc>
        <w:tc>
          <w:tcPr>
            <w:tcW w:w="5758" w:type="dxa"/>
            <w:tcBorders>
              <w:top w:val="single" w:sz="6" w:space="0" w:color="D9D9D9" w:themeColor="background2" w:themeShade="D9"/>
              <w:left w:val="single" w:sz="6" w:space="0" w:color="D9D9D9" w:themeColor="background2" w:themeShade="D9"/>
              <w:bottom w:val="single" w:sz="6" w:space="0" w:color="D9D9D9" w:themeColor="background2" w:themeShade="D9"/>
              <w:right w:val="nil"/>
            </w:tcBorders>
            <w:shd w:val="clear" w:color="auto" w:fill="auto"/>
            <w:vAlign w:val="center"/>
            <w:hideMark/>
          </w:tcPr>
          <w:p w14:paraId="41F62986" w14:textId="77777777" w:rsidR="00F36DA5" w:rsidRPr="00F36DA5" w:rsidRDefault="00F36DA5" w:rsidP="00E171F2">
            <w:pPr>
              <w:pStyle w:val="TableBody"/>
              <w:rPr>
                <w:rFonts w:ascii="Times New Roman" w:hAnsi="Times New Roman"/>
                <w:sz w:val="24"/>
                <w:szCs w:val="24"/>
                <w:lang w:eastAsia="en-AU"/>
              </w:rPr>
            </w:pPr>
            <w:r w:rsidRPr="00F36DA5">
              <w:rPr>
                <w:lang w:eastAsia="en-AU"/>
              </w:rPr>
              <w:t>Respondents noted that the cost estimations captured in the hypothetical examples of this measure are too low and that they are unable to cost the impact without additional criteria provided by the Department on potential directives it may give. </w:t>
            </w:r>
          </w:p>
        </w:tc>
      </w:tr>
      <w:tr w:rsidR="00F36DA5" w:rsidRPr="00F36DA5" w14:paraId="521B7434" w14:textId="77777777" w:rsidTr="009763A8">
        <w:trPr>
          <w:trHeight w:val="318"/>
        </w:trPr>
        <w:tc>
          <w:tcPr>
            <w:tcW w:w="3723"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743EC648" w14:textId="77777777" w:rsidR="00F36DA5" w:rsidRPr="00F36DA5" w:rsidRDefault="00F36DA5" w:rsidP="00E171F2">
            <w:pPr>
              <w:pStyle w:val="TableBody"/>
              <w:rPr>
                <w:rFonts w:ascii="Times New Roman" w:hAnsi="Times New Roman"/>
                <w:sz w:val="24"/>
                <w:szCs w:val="24"/>
                <w:lang w:eastAsia="en-AU"/>
              </w:rPr>
            </w:pPr>
            <w:r w:rsidRPr="00F36DA5">
              <w:rPr>
                <w:lang w:eastAsia="en-AU"/>
              </w:rPr>
              <w:t>Defence Industry </w:t>
            </w:r>
          </w:p>
        </w:tc>
        <w:tc>
          <w:tcPr>
            <w:tcW w:w="5758" w:type="dxa"/>
            <w:tcBorders>
              <w:top w:val="single" w:sz="6" w:space="0" w:color="D9D9D9" w:themeColor="background2" w:themeShade="D9"/>
              <w:left w:val="single" w:sz="6" w:space="0" w:color="D9D9D9" w:themeColor="background2" w:themeShade="D9"/>
              <w:bottom w:val="single" w:sz="6" w:space="0" w:color="D9D9D9" w:themeColor="background2" w:themeShade="D9"/>
              <w:right w:val="nil"/>
            </w:tcBorders>
            <w:shd w:val="clear" w:color="auto" w:fill="auto"/>
            <w:vAlign w:val="center"/>
            <w:hideMark/>
          </w:tcPr>
          <w:p w14:paraId="2749B7C3" w14:textId="77777777" w:rsidR="00F36DA5" w:rsidRPr="00F36DA5" w:rsidRDefault="00F36DA5" w:rsidP="00E171F2">
            <w:pPr>
              <w:pStyle w:val="TableBody"/>
              <w:rPr>
                <w:rFonts w:ascii="Times New Roman" w:hAnsi="Times New Roman"/>
                <w:sz w:val="24"/>
                <w:szCs w:val="24"/>
                <w:lang w:eastAsia="en-AU"/>
              </w:rPr>
            </w:pPr>
            <w:r w:rsidRPr="4F26752A">
              <w:rPr>
                <w:lang w:eastAsia="en-AU"/>
              </w:rPr>
              <w:t>Respondents noted concerns about how the suggested changes will interact with the regulatory framework that currently exists within Defence Industry. </w:t>
            </w:r>
          </w:p>
        </w:tc>
      </w:tr>
      <w:tr w:rsidR="00F36DA5" w:rsidRPr="00F36DA5" w14:paraId="04766B10" w14:textId="77777777" w:rsidTr="009763A8">
        <w:trPr>
          <w:trHeight w:val="318"/>
        </w:trPr>
        <w:tc>
          <w:tcPr>
            <w:tcW w:w="3723"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0245C9DC" w14:textId="77777777" w:rsidR="00F36DA5" w:rsidRPr="00F36DA5" w:rsidRDefault="00F36DA5" w:rsidP="00E171F2">
            <w:pPr>
              <w:pStyle w:val="TableBody"/>
              <w:rPr>
                <w:rFonts w:ascii="Times New Roman" w:hAnsi="Times New Roman"/>
                <w:sz w:val="24"/>
                <w:szCs w:val="24"/>
                <w:lang w:eastAsia="en-AU"/>
              </w:rPr>
            </w:pPr>
            <w:r w:rsidRPr="00F36DA5">
              <w:rPr>
                <w:lang w:eastAsia="en-AU"/>
              </w:rPr>
              <w:t>Energy </w:t>
            </w:r>
          </w:p>
        </w:tc>
        <w:tc>
          <w:tcPr>
            <w:tcW w:w="5758" w:type="dxa"/>
            <w:tcBorders>
              <w:top w:val="single" w:sz="6" w:space="0" w:color="D9D9D9" w:themeColor="background2" w:themeShade="D9"/>
              <w:left w:val="single" w:sz="6" w:space="0" w:color="D9D9D9" w:themeColor="background2" w:themeShade="D9"/>
              <w:bottom w:val="single" w:sz="6" w:space="0" w:color="D9D9D9" w:themeColor="background2" w:themeShade="D9"/>
              <w:right w:val="nil"/>
            </w:tcBorders>
            <w:shd w:val="clear" w:color="auto" w:fill="auto"/>
            <w:vAlign w:val="center"/>
            <w:hideMark/>
          </w:tcPr>
          <w:p w14:paraId="4A5D9DAA" w14:textId="77777777" w:rsidR="00F36DA5" w:rsidRPr="00F36DA5" w:rsidRDefault="00F36DA5" w:rsidP="00E171F2">
            <w:pPr>
              <w:pStyle w:val="TableBody"/>
              <w:rPr>
                <w:rFonts w:ascii="Times New Roman" w:hAnsi="Times New Roman"/>
                <w:sz w:val="24"/>
                <w:szCs w:val="24"/>
                <w:lang w:eastAsia="en-AU"/>
              </w:rPr>
            </w:pPr>
            <w:r w:rsidRPr="00F36DA5">
              <w:rPr>
                <w:lang w:eastAsia="en-AU"/>
              </w:rPr>
              <w:t>Some respondents noted an indicative cost to implement the changes to be in the range of $1-20m. </w:t>
            </w:r>
          </w:p>
        </w:tc>
      </w:tr>
      <w:tr w:rsidR="00F36DA5" w:rsidRPr="00F36DA5" w14:paraId="1DE90629" w14:textId="77777777" w:rsidTr="009763A8">
        <w:trPr>
          <w:trHeight w:val="318"/>
        </w:trPr>
        <w:tc>
          <w:tcPr>
            <w:tcW w:w="3723"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4DF6094C" w14:textId="77777777" w:rsidR="00F36DA5" w:rsidRPr="00F36DA5" w:rsidRDefault="00F36DA5" w:rsidP="00E171F2">
            <w:pPr>
              <w:pStyle w:val="TableBody"/>
              <w:rPr>
                <w:rFonts w:ascii="Times New Roman" w:hAnsi="Times New Roman"/>
                <w:sz w:val="24"/>
                <w:szCs w:val="24"/>
                <w:lang w:eastAsia="en-AU"/>
              </w:rPr>
            </w:pPr>
            <w:r w:rsidRPr="00F36DA5">
              <w:rPr>
                <w:lang w:eastAsia="en-AU"/>
              </w:rPr>
              <w:t>Financial Services and Markets </w:t>
            </w:r>
          </w:p>
        </w:tc>
        <w:tc>
          <w:tcPr>
            <w:tcW w:w="5758" w:type="dxa"/>
            <w:tcBorders>
              <w:top w:val="single" w:sz="6" w:space="0" w:color="D9D9D9" w:themeColor="background2" w:themeShade="D9"/>
              <w:left w:val="single" w:sz="6" w:space="0" w:color="D9D9D9" w:themeColor="background2" w:themeShade="D9"/>
              <w:bottom w:val="single" w:sz="6" w:space="0" w:color="D9D9D9" w:themeColor="background2" w:themeShade="D9"/>
              <w:right w:val="nil"/>
            </w:tcBorders>
            <w:shd w:val="clear" w:color="auto" w:fill="auto"/>
            <w:vAlign w:val="center"/>
            <w:hideMark/>
          </w:tcPr>
          <w:p w14:paraId="72CF8332" w14:textId="77777777" w:rsidR="00F36DA5" w:rsidRPr="00F36DA5" w:rsidRDefault="00F36DA5" w:rsidP="00E171F2">
            <w:pPr>
              <w:pStyle w:val="TableBody"/>
              <w:rPr>
                <w:rFonts w:ascii="Times New Roman" w:hAnsi="Times New Roman"/>
                <w:sz w:val="24"/>
                <w:szCs w:val="24"/>
                <w:lang w:eastAsia="en-AU"/>
              </w:rPr>
            </w:pPr>
            <w:r w:rsidRPr="00F36DA5">
              <w:rPr>
                <w:lang w:eastAsia="en-AU"/>
              </w:rPr>
              <w:t>Respondents noted concerns about the suggested changes and the potential for additional costs of compliance as it would depend largely on the system requirements resulting from the change. </w:t>
            </w:r>
          </w:p>
        </w:tc>
      </w:tr>
      <w:tr w:rsidR="00F36DA5" w:rsidRPr="00F36DA5" w14:paraId="6B627D46" w14:textId="77777777" w:rsidTr="009763A8">
        <w:trPr>
          <w:trHeight w:val="318"/>
        </w:trPr>
        <w:tc>
          <w:tcPr>
            <w:tcW w:w="3723"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0F9E0314" w14:textId="77777777" w:rsidR="00F36DA5" w:rsidRPr="00F36DA5" w:rsidRDefault="00F36DA5" w:rsidP="00E171F2">
            <w:pPr>
              <w:pStyle w:val="TableBody"/>
              <w:rPr>
                <w:rFonts w:ascii="Times New Roman" w:hAnsi="Times New Roman"/>
                <w:sz w:val="24"/>
                <w:szCs w:val="24"/>
                <w:lang w:eastAsia="en-AU"/>
              </w:rPr>
            </w:pPr>
            <w:r w:rsidRPr="00F36DA5">
              <w:rPr>
                <w:lang w:eastAsia="en-AU"/>
              </w:rPr>
              <w:t>Transport </w:t>
            </w:r>
          </w:p>
        </w:tc>
        <w:tc>
          <w:tcPr>
            <w:tcW w:w="5758" w:type="dxa"/>
            <w:tcBorders>
              <w:top w:val="single" w:sz="6" w:space="0" w:color="D9D9D9" w:themeColor="background2" w:themeShade="D9"/>
              <w:left w:val="single" w:sz="6" w:space="0" w:color="D9D9D9" w:themeColor="background2" w:themeShade="D9"/>
              <w:bottom w:val="single" w:sz="6" w:space="0" w:color="D9D9D9" w:themeColor="background2" w:themeShade="D9"/>
              <w:right w:val="nil"/>
            </w:tcBorders>
            <w:shd w:val="clear" w:color="auto" w:fill="auto"/>
            <w:vAlign w:val="center"/>
            <w:hideMark/>
          </w:tcPr>
          <w:p w14:paraId="3BE8C1E0" w14:textId="77777777" w:rsidR="00F36DA5" w:rsidRPr="00F36DA5" w:rsidRDefault="00F36DA5" w:rsidP="00E171F2">
            <w:pPr>
              <w:pStyle w:val="TableBody"/>
              <w:rPr>
                <w:rFonts w:ascii="Times New Roman" w:hAnsi="Times New Roman"/>
                <w:sz w:val="24"/>
                <w:szCs w:val="24"/>
                <w:lang w:eastAsia="en-AU"/>
              </w:rPr>
            </w:pPr>
            <w:r w:rsidRPr="00F36DA5">
              <w:rPr>
                <w:lang w:eastAsia="en-AU"/>
              </w:rPr>
              <w:t>Some respondents from this sector noted indicative cost estimates to implement the proposed changes of approximately $1.5m across measures 1, 2 and 3, with others noting a cost range of $1-50m for measure 2. </w:t>
            </w:r>
          </w:p>
        </w:tc>
      </w:tr>
      <w:tr w:rsidR="00F36DA5" w:rsidRPr="00F36DA5" w14:paraId="6D5DE21E" w14:textId="77777777" w:rsidTr="009763A8">
        <w:trPr>
          <w:trHeight w:val="318"/>
        </w:trPr>
        <w:tc>
          <w:tcPr>
            <w:tcW w:w="3723" w:type="dxa"/>
            <w:tcBorders>
              <w:top w:val="single" w:sz="6" w:space="0" w:color="D9D9D9" w:themeColor="background2" w:themeShade="D9"/>
              <w:left w:val="nil"/>
              <w:bottom w:val="nil"/>
              <w:right w:val="single" w:sz="6" w:space="0" w:color="D9D9D9" w:themeColor="background2" w:themeShade="D9"/>
            </w:tcBorders>
            <w:shd w:val="clear" w:color="auto" w:fill="F2F2F2" w:themeFill="background2" w:themeFillShade="F2"/>
            <w:vAlign w:val="center"/>
            <w:hideMark/>
          </w:tcPr>
          <w:p w14:paraId="3C6CCA89" w14:textId="77777777" w:rsidR="00F36DA5" w:rsidRPr="00F36DA5" w:rsidRDefault="00F36DA5" w:rsidP="00E171F2">
            <w:pPr>
              <w:pStyle w:val="TableBody"/>
              <w:rPr>
                <w:rFonts w:ascii="Times New Roman" w:hAnsi="Times New Roman"/>
                <w:sz w:val="24"/>
                <w:szCs w:val="24"/>
                <w:lang w:eastAsia="en-AU"/>
              </w:rPr>
            </w:pPr>
            <w:r w:rsidRPr="00F36DA5">
              <w:rPr>
                <w:lang w:eastAsia="en-AU"/>
              </w:rPr>
              <w:t>Data Storage and Processing </w:t>
            </w:r>
          </w:p>
          <w:p w14:paraId="34A2B706" w14:textId="77777777" w:rsidR="00F36DA5" w:rsidRPr="00F36DA5" w:rsidRDefault="00F36DA5" w:rsidP="00E171F2">
            <w:pPr>
              <w:pStyle w:val="TableBody"/>
              <w:rPr>
                <w:rFonts w:ascii="Times New Roman" w:hAnsi="Times New Roman"/>
                <w:sz w:val="24"/>
                <w:szCs w:val="24"/>
                <w:lang w:eastAsia="en-AU"/>
              </w:rPr>
            </w:pPr>
            <w:r w:rsidRPr="00F36DA5">
              <w:rPr>
                <w:lang w:eastAsia="en-AU"/>
              </w:rPr>
              <w:t>Healthcare and Medical </w:t>
            </w:r>
          </w:p>
          <w:p w14:paraId="61541F12" w14:textId="77777777" w:rsidR="00F36DA5" w:rsidRPr="00F36DA5" w:rsidRDefault="00F36DA5" w:rsidP="00E171F2">
            <w:pPr>
              <w:pStyle w:val="TableBody"/>
              <w:rPr>
                <w:rFonts w:ascii="Times New Roman" w:hAnsi="Times New Roman"/>
                <w:sz w:val="24"/>
                <w:szCs w:val="24"/>
                <w:lang w:eastAsia="en-AU"/>
              </w:rPr>
            </w:pPr>
            <w:r w:rsidRPr="00F36DA5">
              <w:rPr>
                <w:lang w:eastAsia="en-AU"/>
              </w:rPr>
              <w:t>Higher Education and Research </w:t>
            </w:r>
          </w:p>
          <w:p w14:paraId="7338D0B9" w14:textId="77777777" w:rsidR="00F36DA5" w:rsidRPr="00F36DA5" w:rsidRDefault="00F36DA5" w:rsidP="00E171F2">
            <w:pPr>
              <w:pStyle w:val="TableBody"/>
              <w:rPr>
                <w:rFonts w:ascii="Times New Roman" w:hAnsi="Times New Roman"/>
                <w:sz w:val="24"/>
                <w:szCs w:val="24"/>
                <w:lang w:eastAsia="en-AU"/>
              </w:rPr>
            </w:pPr>
            <w:r w:rsidRPr="00F36DA5">
              <w:rPr>
                <w:lang w:eastAsia="en-AU"/>
              </w:rPr>
              <w:t>Space  </w:t>
            </w:r>
          </w:p>
          <w:p w14:paraId="65AC4B95" w14:textId="77777777" w:rsidR="00F36DA5" w:rsidRPr="00F36DA5" w:rsidRDefault="00F36DA5" w:rsidP="00E171F2">
            <w:pPr>
              <w:pStyle w:val="TableBody"/>
              <w:rPr>
                <w:rFonts w:ascii="Times New Roman" w:hAnsi="Times New Roman"/>
                <w:sz w:val="24"/>
                <w:szCs w:val="24"/>
                <w:lang w:eastAsia="en-AU"/>
              </w:rPr>
            </w:pPr>
            <w:r w:rsidRPr="00F36DA5">
              <w:rPr>
                <w:lang w:eastAsia="en-AU"/>
              </w:rPr>
              <w:t>Water and Sewage </w:t>
            </w:r>
          </w:p>
          <w:p w14:paraId="2C9DB425" w14:textId="0A5ADF20" w:rsidR="00F36DA5" w:rsidRPr="00F36DA5" w:rsidRDefault="00F36DA5" w:rsidP="00E171F2">
            <w:pPr>
              <w:pStyle w:val="TableBody"/>
              <w:rPr>
                <w:rFonts w:ascii="Times New Roman" w:hAnsi="Times New Roman"/>
                <w:sz w:val="24"/>
                <w:szCs w:val="24"/>
                <w:lang w:eastAsia="en-AU"/>
              </w:rPr>
            </w:pPr>
            <w:r w:rsidRPr="00F36DA5">
              <w:rPr>
                <w:lang w:eastAsia="en-AU"/>
              </w:rPr>
              <w:t>Food and Grocery </w:t>
            </w:r>
          </w:p>
        </w:tc>
        <w:tc>
          <w:tcPr>
            <w:tcW w:w="5758" w:type="dxa"/>
            <w:tcBorders>
              <w:top w:val="single" w:sz="6" w:space="0" w:color="D9D9D9" w:themeColor="background2" w:themeShade="D9"/>
              <w:left w:val="single" w:sz="6" w:space="0" w:color="D9D9D9" w:themeColor="background2" w:themeShade="D9"/>
              <w:bottom w:val="nil"/>
              <w:right w:val="nil"/>
            </w:tcBorders>
            <w:shd w:val="clear" w:color="auto" w:fill="auto"/>
            <w:vAlign w:val="center"/>
            <w:hideMark/>
          </w:tcPr>
          <w:p w14:paraId="3914C888" w14:textId="77777777" w:rsidR="00F36DA5" w:rsidRPr="00F36DA5" w:rsidRDefault="00F36DA5" w:rsidP="00E171F2">
            <w:pPr>
              <w:pStyle w:val="TableBody"/>
              <w:rPr>
                <w:rFonts w:ascii="Times New Roman" w:hAnsi="Times New Roman"/>
                <w:sz w:val="24"/>
                <w:szCs w:val="24"/>
                <w:lang w:eastAsia="en-AU"/>
              </w:rPr>
            </w:pPr>
            <w:r w:rsidRPr="00F36DA5">
              <w:rPr>
                <w:lang w:eastAsia="en-AU"/>
              </w:rPr>
              <w:t>Respondents from these sectors did not provide cost estimates.  </w:t>
            </w:r>
          </w:p>
        </w:tc>
      </w:tr>
    </w:tbl>
    <w:p w14:paraId="45B89B80" w14:textId="77777777" w:rsidR="00F36DA5" w:rsidRPr="00F36DA5" w:rsidRDefault="00F36DA5" w:rsidP="00E171F2">
      <w:pPr>
        <w:pStyle w:val="Heading4"/>
        <w:rPr>
          <w:rFonts w:ascii="Segoe UI" w:hAnsi="Segoe UI" w:cs="Segoe UI"/>
          <w:sz w:val="18"/>
          <w:szCs w:val="18"/>
        </w:rPr>
      </w:pPr>
      <w:r w:rsidRPr="00F36DA5">
        <w:t>Determining costs of Measure 3 - Enforcing Critical infrastructure risk management obligations – review and remedy powers </w:t>
      </w:r>
    </w:p>
    <w:p w14:paraId="5632480D" w14:textId="4BF118C1" w:rsidR="00F36DA5" w:rsidRPr="00F36DA5" w:rsidRDefault="00F36DA5" w:rsidP="00E171F2">
      <w:pPr>
        <w:pStyle w:val="BodyText"/>
        <w:rPr>
          <w:rFonts w:ascii="Segoe UI" w:hAnsi="Segoe UI" w:cs="Segoe UI"/>
          <w:sz w:val="18"/>
          <w:szCs w:val="18"/>
        </w:rPr>
      </w:pPr>
      <w:r w:rsidRPr="00F36DA5">
        <w:t>Measure 3 proposes a written directions power to direct an entity to remedy a seriously deficient RMP. Data collected during the 2021-22 consultation period provide the basis for quantification of impacts under Measure 3. This is because cost estimates captured during this consultation period for the 11 relevant sectors assumed full compliance with RMP obligations from all entities. As such, costs included in relation to Measure 3 represent enforcement costs (or costs related to non-compliance), rather than a new regulatory cost.  </w:t>
      </w:r>
    </w:p>
    <w:p w14:paraId="2AA2F97D" w14:textId="6B14725D" w:rsidR="00F36DA5" w:rsidRPr="00F36DA5" w:rsidRDefault="00F36DA5" w:rsidP="00E171F2">
      <w:pPr>
        <w:pStyle w:val="BodyText"/>
        <w:rPr>
          <w:rFonts w:ascii="Segoe UI" w:hAnsi="Segoe UI" w:cs="Segoe UI"/>
          <w:sz w:val="18"/>
          <w:szCs w:val="18"/>
        </w:rPr>
      </w:pPr>
      <w:r w:rsidRPr="00F36DA5">
        <w:t>Costs are anticipated to range anywhere from low expense to the maximum cost indicated by the 2022 RIS, depending on the magnitude of deficiency of an entit</w:t>
      </w:r>
      <w:r w:rsidR="001420DE">
        <w:t>y’s</w:t>
      </w:r>
      <w:r w:rsidRPr="00F36DA5">
        <w:t xml:space="preserve"> RMP. The expected costs associated with mandatory implementation of the CIRMP rules are </w:t>
      </w:r>
      <w:r w:rsidR="00255159">
        <w:t>taken from the 20</w:t>
      </w:r>
      <w:r w:rsidR="001F33EF">
        <w:t>21-</w:t>
      </w:r>
      <w:r w:rsidR="00255159">
        <w:t xml:space="preserve">22 </w:t>
      </w:r>
      <w:r w:rsidR="001F33EF">
        <w:t>consultation period</w:t>
      </w:r>
      <w:r w:rsidR="00255159">
        <w:t xml:space="preserve"> and are </w:t>
      </w:r>
      <w:r w:rsidRPr="00F36DA5">
        <w:t xml:space="preserve">outlined in </w:t>
      </w:r>
      <w:r w:rsidRPr="002C2ED5">
        <w:t>Table 24 below</w:t>
      </w:r>
      <w:r w:rsidR="00AF4941">
        <w:t xml:space="preserve">. They </w:t>
      </w:r>
      <w:r w:rsidRPr="00F36DA5">
        <w:t>include: </w:t>
      </w:r>
    </w:p>
    <w:p w14:paraId="4949FEEF" w14:textId="5B1D3AAD" w:rsidR="00F36DA5" w:rsidRPr="00F36DA5" w:rsidRDefault="00F36DA5" w:rsidP="00510557">
      <w:pPr>
        <w:pStyle w:val="ListParagraph"/>
        <w:numPr>
          <w:ilvl w:val="0"/>
          <w:numId w:val="21"/>
        </w:numPr>
        <w:contextualSpacing/>
      </w:pPr>
      <w:r w:rsidRPr="00F36DA5">
        <w:t>A one-off aggregated cost of $1,</w:t>
      </w:r>
      <w:r w:rsidR="00241D2C">
        <w:t>823.92</w:t>
      </w:r>
      <w:r w:rsidRPr="00F36DA5">
        <w:t xml:space="preserve"> million, across critical infrastructure assets nationally, to achieve compliance with the RMP obligations and CIRMP rules; and  </w:t>
      </w:r>
    </w:p>
    <w:p w14:paraId="36C5FE73" w14:textId="5B99FBE0" w:rsidR="00F36DA5" w:rsidRPr="00F36DA5" w:rsidRDefault="00F36DA5" w:rsidP="00510557">
      <w:pPr>
        <w:pStyle w:val="ListParagraph"/>
        <w:numPr>
          <w:ilvl w:val="0"/>
          <w:numId w:val="21"/>
        </w:numPr>
        <w:contextualSpacing/>
      </w:pPr>
      <w:r w:rsidRPr="00F36DA5">
        <w:t>An ongoing aggregated cost of $1,</w:t>
      </w:r>
      <w:r w:rsidR="00FC692D">
        <w:t>226.16</w:t>
      </w:r>
      <w:r w:rsidRPr="00F36DA5">
        <w:t xml:space="preserve"> million per year, across critical infrastructure assets nationally, to maintain compliance. </w:t>
      </w:r>
    </w:p>
    <w:p w14:paraId="64BF63A2" w14:textId="26D22362" w:rsidR="00F36DA5" w:rsidRPr="00085793" w:rsidRDefault="00A62112" w:rsidP="00F36DA5">
      <w:pPr>
        <w:textAlignment w:val="baseline"/>
        <w:rPr>
          <w:rFonts w:ascii="Segoe UI" w:eastAsia="Times New Roman" w:hAnsi="Segoe UI" w:cs="Segoe UI"/>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25</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3F2D2A">
        <w:rPr>
          <w:rFonts w:ascii="Calibri" w:eastAsia="Times New Roman" w:hAnsi="Calibri" w:cs="Calibri"/>
          <w:i/>
          <w:iCs/>
          <w:sz w:val="18"/>
          <w:szCs w:val="18"/>
          <w:lang w:eastAsia="en-AU"/>
        </w:rPr>
        <w:t>Summary</w:t>
      </w:r>
      <w:r w:rsidR="00F36DA5" w:rsidRPr="00085793">
        <w:rPr>
          <w:rFonts w:ascii="Calibri" w:eastAsia="Times New Roman" w:hAnsi="Calibri" w:cs="Calibri"/>
          <w:i/>
          <w:iCs/>
          <w:sz w:val="18"/>
          <w:szCs w:val="18"/>
          <w:lang w:eastAsia="en-AU"/>
        </w:rPr>
        <w:t xml:space="preserve"> of </w:t>
      </w:r>
      <w:r w:rsidR="009C5BF4">
        <w:rPr>
          <w:rFonts w:ascii="Calibri" w:eastAsia="Times New Roman" w:hAnsi="Calibri" w:cs="Calibri"/>
          <w:i/>
          <w:iCs/>
          <w:sz w:val="18"/>
          <w:szCs w:val="18"/>
          <w:lang w:eastAsia="en-AU"/>
        </w:rPr>
        <w:t xml:space="preserve">regulatory </w:t>
      </w:r>
      <w:r w:rsidR="00F36DA5" w:rsidRPr="00085793">
        <w:rPr>
          <w:rFonts w:ascii="Calibri" w:eastAsia="Times New Roman" w:hAnsi="Calibri" w:cs="Calibri"/>
          <w:i/>
          <w:iCs/>
          <w:sz w:val="18"/>
          <w:szCs w:val="18"/>
          <w:lang w:eastAsia="en-AU"/>
        </w:rPr>
        <w:t>costs from 2021-22 consultation period (</w:t>
      </w:r>
      <w:r w:rsidR="009D2238">
        <w:rPr>
          <w:rFonts w:ascii="Calibri" w:eastAsia="Times New Roman" w:hAnsi="Calibri" w:cs="Calibri"/>
          <w:i/>
          <w:iCs/>
          <w:sz w:val="18"/>
          <w:szCs w:val="18"/>
          <w:lang w:eastAsia="en-AU"/>
        </w:rPr>
        <w:t>taken from the 20</w:t>
      </w:r>
      <w:r w:rsidR="001F33EF">
        <w:rPr>
          <w:rFonts w:ascii="Calibri" w:eastAsia="Times New Roman" w:hAnsi="Calibri" w:cs="Calibri"/>
          <w:i/>
          <w:iCs/>
          <w:sz w:val="18"/>
          <w:szCs w:val="18"/>
          <w:lang w:eastAsia="en-AU"/>
        </w:rPr>
        <w:t>21-22 consultation period</w:t>
      </w:r>
      <w:r w:rsidR="009D2238">
        <w:rPr>
          <w:rFonts w:ascii="Calibri" w:eastAsia="Times New Roman" w:hAnsi="Calibri" w:cs="Calibri"/>
          <w:i/>
          <w:iCs/>
          <w:sz w:val="18"/>
          <w:szCs w:val="18"/>
          <w:lang w:eastAsia="en-AU"/>
        </w:rPr>
        <w:t xml:space="preserve"> and </w:t>
      </w:r>
      <w:r w:rsidR="00255159">
        <w:rPr>
          <w:rFonts w:ascii="Calibri" w:eastAsia="Times New Roman" w:hAnsi="Calibri" w:cs="Calibri"/>
          <w:i/>
          <w:iCs/>
          <w:sz w:val="18"/>
          <w:szCs w:val="18"/>
          <w:lang w:eastAsia="en-AU"/>
        </w:rPr>
        <w:t>i</w:t>
      </w:r>
      <w:r w:rsidR="00F36DA5" w:rsidRPr="00085793">
        <w:rPr>
          <w:rFonts w:ascii="Calibri" w:eastAsia="Times New Roman" w:hAnsi="Calibri" w:cs="Calibri"/>
          <w:i/>
          <w:iCs/>
          <w:sz w:val="18"/>
          <w:szCs w:val="18"/>
          <w:lang w:eastAsia="en-AU"/>
        </w:rPr>
        <w:t xml:space="preserve">ndexed to </w:t>
      </w:r>
      <w:r w:rsidR="00255159">
        <w:rPr>
          <w:rFonts w:ascii="Calibri" w:eastAsia="Times New Roman" w:hAnsi="Calibri" w:cs="Calibri"/>
          <w:i/>
          <w:iCs/>
          <w:sz w:val="18"/>
          <w:szCs w:val="18"/>
          <w:lang w:eastAsia="en-AU"/>
        </w:rPr>
        <w:t>June 2024</w:t>
      </w:r>
      <w:r w:rsidR="00F36DA5" w:rsidRPr="00085793">
        <w:rPr>
          <w:rFonts w:ascii="Calibri" w:eastAsia="Times New Roman" w:hAnsi="Calibri" w:cs="Calibri"/>
          <w:i/>
          <w:iCs/>
          <w:sz w:val="18"/>
          <w:szCs w:val="18"/>
          <w:lang w:eastAsia="en-AU"/>
        </w:rPr>
        <w:t>) </w:t>
      </w:r>
    </w:p>
    <w:tbl>
      <w:tblPr>
        <w:tblW w:w="9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9"/>
        <w:gridCol w:w="1909"/>
        <w:gridCol w:w="1909"/>
        <w:gridCol w:w="1909"/>
        <w:gridCol w:w="1916"/>
      </w:tblGrid>
      <w:tr w:rsidR="00F36DA5" w:rsidRPr="00F36DA5" w14:paraId="199CFB62" w14:textId="77777777" w:rsidTr="009763A8">
        <w:trPr>
          <w:trHeight w:val="392"/>
        </w:trPr>
        <w:tc>
          <w:tcPr>
            <w:tcW w:w="1909" w:type="dxa"/>
            <w:vMerge w:val="restart"/>
            <w:tcBorders>
              <w:top w:val="nil"/>
              <w:left w:val="nil"/>
              <w:bottom w:val="single" w:sz="6" w:space="0" w:color="A5A5A5"/>
              <w:right w:val="single" w:sz="6" w:space="0" w:color="A5A5A5"/>
            </w:tcBorders>
            <w:shd w:val="clear" w:color="auto" w:fill="284B98"/>
            <w:vAlign w:val="center"/>
            <w:hideMark/>
          </w:tcPr>
          <w:p w14:paraId="1D5E203C"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 type</w:t>
            </w:r>
            <w:r w:rsidRPr="00F36DA5">
              <w:rPr>
                <w:rFonts w:ascii="Arial" w:eastAsia="Times New Roman" w:hAnsi="Arial" w:cs="Arial"/>
                <w:color w:val="FFFFFF"/>
                <w:szCs w:val="20"/>
                <w:lang w:eastAsia="en-AU"/>
              </w:rPr>
              <w:t> </w:t>
            </w:r>
          </w:p>
        </w:tc>
        <w:tc>
          <w:tcPr>
            <w:tcW w:w="7643" w:type="dxa"/>
            <w:gridSpan w:val="4"/>
            <w:tcBorders>
              <w:top w:val="nil"/>
              <w:left w:val="single" w:sz="6" w:space="0" w:color="A5A5A5"/>
              <w:bottom w:val="single" w:sz="6" w:space="0" w:color="A5A5A5"/>
              <w:right w:val="nil"/>
            </w:tcBorders>
            <w:shd w:val="clear" w:color="auto" w:fill="284B98"/>
            <w:vAlign w:val="center"/>
            <w:hideMark/>
          </w:tcPr>
          <w:p w14:paraId="3F07643B"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Costs ($ million)</w:t>
            </w:r>
            <w:r w:rsidRPr="00F36DA5">
              <w:rPr>
                <w:rFonts w:ascii="Arial" w:eastAsia="Times New Roman" w:hAnsi="Arial" w:cs="Arial"/>
                <w:color w:val="FFFFFF"/>
                <w:szCs w:val="20"/>
                <w:lang w:eastAsia="en-AU"/>
              </w:rPr>
              <w:t> </w:t>
            </w:r>
          </w:p>
        </w:tc>
      </w:tr>
      <w:tr w:rsidR="00F36DA5" w:rsidRPr="00F36DA5" w14:paraId="4F1F3790" w14:textId="77777777" w:rsidTr="009763A8">
        <w:trPr>
          <w:trHeight w:val="392"/>
        </w:trPr>
        <w:tc>
          <w:tcPr>
            <w:tcW w:w="0" w:type="auto"/>
            <w:vMerge/>
            <w:tcBorders>
              <w:top w:val="nil"/>
              <w:left w:val="nil"/>
              <w:bottom w:val="single" w:sz="6" w:space="0" w:color="A5A5A5"/>
              <w:right w:val="single" w:sz="6" w:space="0" w:color="A5A5A5"/>
            </w:tcBorders>
            <w:shd w:val="clear" w:color="auto" w:fill="auto"/>
            <w:vAlign w:val="center"/>
            <w:hideMark/>
          </w:tcPr>
          <w:p w14:paraId="3664B12C" w14:textId="77777777" w:rsidR="00F36DA5" w:rsidRPr="00F36DA5" w:rsidRDefault="00F36DA5" w:rsidP="00F36DA5">
            <w:pPr>
              <w:rPr>
                <w:rFonts w:ascii="Times New Roman" w:eastAsia="Times New Roman" w:hAnsi="Times New Roman" w:cs="Times New Roman"/>
                <w:sz w:val="24"/>
                <w:szCs w:val="24"/>
                <w:lang w:eastAsia="en-AU"/>
              </w:rPr>
            </w:pPr>
          </w:p>
        </w:tc>
        <w:tc>
          <w:tcPr>
            <w:tcW w:w="1909" w:type="dxa"/>
            <w:tcBorders>
              <w:top w:val="single" w:sz="6" w:space="0" w:color="A5A5A5"/>
              <w:left w:val="single" w:sz="6" w:space="0" w:color="A5A5A5"/>
              <w:bottom w:val="single" w:sz="6" w:space="0" w:color="A5A5A5"/>
              <w:right w:val="single" w:sz="6" w:space="0" w:color="A5A5A5"/>
            </w:tcBorders>
            <w:shd w:val="clear" w:color="auto" w:fill="F2F2F2"/>
            <w:vAlign w:val="center"/>
            <w:hideMark/>
          </w:tcPr>
          <w:p w14:paraId="4FEDC544" w14:textId="77777777" w:rsidR="00F36DA5" w:rsidRPr="00F36DA5" w:rsidRDefault="00F36DA5" w:rsidP="00E171F2">
            <w:pPr>
              <w:pStyle w:val="TableBody"/>
              <w:rPr>
                <w:rFonts w:ascii="Times New Roman" w:hAnsi="Times New Roman"/>
                <w:sz w:val="24"/>
                <w:szCs w:val="24"/>
                <w:lang w:eastAsia="en-AU"/>
              </w:rPr>
            </w:pPr>
            <w:r w:rsidRPr="00F36DA5">
              <w:rPr>
                <w:lang w:eastAsia="en-AU"/>
              </w:rPr>
              <w:t>Industry </w:t>
            </w:r>
          </w:p>
        </w:tc>
        <w:tc>
          <w:tcPr>
            <w:tcW w:w="1909" w:type="dxa"/>
            <w:tcBorders>
              <w:top w:val="single" w:sz="6" w:space="0" w:color="A5A5A5"/>
              <w:left w:val="single" w:sz="6" w:space="0" w:color="A5A5A5"/>
              <w:bottom w:val="single" w:sz="6" w:space="0" w:color="A5A5A5"/>
              <w:right w:val="single" w:sz="6" w:space="0" w:color="A5A5A5"/>
            </w:tcBorders>
            <w:shd w:val="clear" w:color="auto" w:fill="F2F2F2"/>
            <w:vAlign w:val="center"/>
            <w:hideMark/>
          </w:tcPr>
          <w:p w14:paraId="6FB5AB33" w14:textId="77777777" w:rsidR="00F36DA5" w:rsidRPr="00F36DA5" w:rsidRDefault="00F36DA5" w:rsidP="00E171F2">
            <w:pPr>
              <w:pStyle w:val="TableBody"/>
              <w:rPr>
                <w:rFonts w:ascii="Times New Roman" w:hAnsi="Times New Roman"/>
                <w:sz w:val="24"/>
                <w:szCs w:val="24"/>
                <w:lang w:eastAsia="en-AU"/>
              </w:rPr>
            </w:pPr>
            <w:r w:rsidRPr="00F36DA5">
              <w:rPr>
                <w:lang w:eastAsia="en-AU"/>
              </w:rPr>
              <w:t>Community </w:t>
            </w:r>
          </w:p>
        </w:tc>
        <w:tc>
          <w:tcPr>
            <w:tcW w:w="1909" w:type="dxa"/>
            <w:tcBorders>
              <w:top w:val="single" w:sz="6" w:space="0" w:color="A5A5A5"/>
              <w:left w:val="single" w:sz="6" w:space="0" w:color="A5A5A5"/>
              <w:bottom w:val="single" w:sz="6" w:space="0" w:color="A5A5A5"/>
              <w:right w:val="single" w:sz="6" w:space="0" w:color="A5A5A5"/>
            </w:tcBorders>
            <w:shd w:val="clear" w:color="auto" w:fill="F2F2F2"/>
            <w:vAlign w:val="center"/>
            <w:hideMark/>
          </w:tcPr>
          <w:p w14:paraId="2775BA24" w14:textId="77777777" w:rsidR="00F36DA5" w:rsidRPr="00F36DA5" w:rsidRDefault="00F36DA5" w:rsidP="00E171F2">
            <w:pPr>
              <w:pStyle w:val="TableBody"/>
              <w:rPr>
                <w:rFonts w:ascii="Times New Roman" w:hAnsi="Times New Roman"/>
                <w:sz w:val="24"/>
                <w:szCs w:val="24"/>
                <w:lang w:eastAsia="en-AU"/>
              </w:rPr>
            </w:pPr>
            <w:r w:rsidRPr="00F36DA5">
              <w:rPr>
                <w:lang w:eastAsia="en-AU"/>
              </w:rPr>
              <w:t>Individuals </w:t>
            </w:r>
          </w:p>
        </w:tc>
        <w:tc>
          <w:tcPr>
            <w:tcW w:w="1913" w:type="dxa"/>
            <w:tcBorders>
              <w:top w:val="single" w:sz="6" w:space="0" w:color="A5A5A5"/>
              <w:left w:val="single" w:sz="6" w:space="0" w:color="A5A5A5"/>
              <w:bottom w:val="single" w:sz="6" w:space="0" w:color="A5A5A5"/>
              <w:right w:val="nil"/>
            </w:tcBorders>
            <w:shd w:val="clear" w:color="auto" w:fill="F2F2F2"/>
            <w:vAlign w:val="center"/>
            <w:hideMark/>
          </w:tcPr>
          <w:p w14:paraId="6A72BF3B" w14:textId="77777777" w:rsidR="00F36DA5" w:rsidRPr="00F36DA5" w:rsidRDefault="00F36DA5" w:rsidP="00E171F2">
            <w:pPr>
              <w:pStyle w:val="TableBody"/>
              <w:rPr>
                <w:rFonts w:ascii="Times New Roman" w:hAnsi="Times New Roman"/>
                <w:sz w:val="24"/>
                <w:szCs w:val="24"/>
                <w:lang w:eastAsia="en-AU"/>
              </w:rPr>
            </w:pPr>
            <w:r w:rsidRPr="00F36DA5">
              <w:rPr>
                <w:lang w:eastAsia="en-AU"/>
              </w:rPr>
              <w:t>Total cost </w:t>
            </w:r>
          </w:p>
        </w:tc>
      </w:tr>
      <w:tr w:rsidR="00F36DA5" w:rsidRPr="00F36DA5" w14:paraId="69E06BD4" w14:textId="77777777" w:rsidTr="009763A8">
        <w:trPr>
          <w:trHeight w:val="392"/>
        </w:trPr>
        <w:tc>
          <w:tcPr>
            <w:tcW w:w="1909" w:type="dxa"/>
            <w:tcBorders>
              <w:top w:val="single" w:sz="6" w:space="0" w:color="A5A5A5"/>
              <w:left w:val="nil"/>
              <w:bottom w:val="single" w:sz="6" w:space="0" w:color="A5A5A5"/>
              <w:right w:val="single" w:sz="6" w:space="0" w:color="A5A5A5"/>
            </w:tcBorders>
            <w:shd w:val="clear" w:color="auto" w:fill="F2F2F2"/>
            <w:vAlign w:val="center"/>
            <w:hideMark/>
          </w:tcPr>
          <w:p w14:paraId="7BA37630"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szCs w:val="20"/>
                <w:lang w:eastAsia="en-AU"/>
              </w:rPr>
              <w:t>One-off </w:t>
            </w:r>
          </w:p>
        </w:tc>
        <w:tc>
          <w:tcPr>
            <w:tcW w:w="1909"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48F9F856" w14:textId="3D390B1D" w:rsidR="00F36DA5" w:rsidRPr="00F36DA5" w:rsidRDefault="00F36DA5" w:rsidP="00E171F2">
            <w:pPr>
              <w:pStyle w:val="TableBody"/>
              <w:rPr>
                <w:rFonts w:ascii="Times New Roman" w:hAnsi="Times New Roman"/>
                <w:sz w:val="24"/>
                <w:szCs w:val="24"/>
                <w:lang w:eastAsia="en-AU"/>
              </w:rPr>
            </w:pPr>
            <w:r w:rsidRPr="00F36DA5">
              <w:rPr>
                <w:lang w:eastAsia="en-AU"/>
              </w:rPr>
              <w:t>$1,</w:t>
            </w:r>
            <w:r w:rsidR="002319C7">
              <w:rPr>
                <w:lang w:eastAsia="en-AU"/>
              </w:rPr>
              <w:t>823.92</w:t>
            </w:r>
            <w:r w:rsidRPr="00F36DA5">
              <w:rPr>
                <w:lang w:eastAsia="en-AU"/>
              </w:rPr>
              <w:t>  </w:t>
            </w:r>
          </w:p>
        </w:tc>
        <w:tc>
          <w:tcPr>
            <w:tcW w:w="1909"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38B8E079" w14:textId="77777777" w:rsidR="00F36DA5" w:rsidRPr="00F36DA5" w:rsidRDefault="00F36DA5" w:rsidP="00E171F2">
            <w:pPr>
              <w:pStyle w:val="TableBody"/>
              <w:rPr>
                <w:rFonts w:ascii="Times New Roman" w:hAnsi="Times New Roman"/>
                <w:sz w:val="24"/>
                <w:szCs w:val="24"/>
                <w:lang w:eastAsia="en-AU"/>
              </w:rPr>
            </w:pPr>
            <w:r w:rsidRPr="00F36DA5">
              <w:rPr>
                <w:lang w:eastAsia="en-AU"/>
              </w:rPr>
              <w:t>Nil </w:t>
            </w:r>
          </w:p>
        </w:tc>
        <w:tc>
          <w:tcPr>
            <w:tcW w:w="1909" w:type="dxa"/>
            <w:tcBorders>
              <w:top w:val="single" w:sz="6" w:space="0" w:color="A5A5A5"/>
              <w:left w:val="single" w:sz="6" w:space="0" w:color="A5A5A5"/>
              <w:bottom w:val="single" w:sz="6" w:space="0" w:color="A5A5A5"/>
              <w:right w:val="single" w:sz="6" w:space="0" w:color="A5A5A5"/>
            </w:tcBorders>
            <w:shd w:val="clear" w:color="auto" w:fill="auto"/>
            <w:vAlign w:val="center"/>
            <w:hideMark/>
          </w:tcPr>
          <w:p w14:paraId="278844A5" w14:textId="77777777" w:rsidR="00F36DA5" w:rsidRPr="00F36DA5" w:rsidRDefault="00F36DA5" w:rsidP="00E171F2">
            <w:pPr>
              <w:pStyle w:val="TableBody"/>
              <w:rPr>
                <w:rFonts w:ascii="Times New Roman" w:hAnsi="Times New Roman"/>
                <w:sz w:val="24"/>
                <w:szCs w:val="24"/>
                <w:lang w:eastAsia="en-AU"/>
              </w:rPr>
            </w:pPr>
            <w:r w:rsidRPr="00F36DA5">
              <w:rPr>
                <w:lang w:eastAsia="en-AU"/>
              </w:rPr>
              <w:t>Nil </w:t>
            </w:r>
          </w:p>
        </w:tc>
        <w:tc>
          <w:tcPr>
            <w:tcW w:w="1913" w:type="dxa"/>
            <w:tcBorders>
              <w:top w:val="single" w:sz="6" w:space="0" w:color="A5A5A5"/>
              <w:left w:val="single" w:sz="6" w:space="0" w:color="A5A5A5"/>
              <w:bottom w:val="single" w:sz="6" w:space="0" w:color="A5A5A5"/>
              <w:right w:val="nil"/>
            </w:tcBorders>
            <w:shd w:val="clear" w:color="auto" w:fill="auto"/>
            <w:vAlign w:val="center"/>
            <w:hideMark/>
          </w:tcPr>
          <w:p w14:paraId="31BE3ABE" w14:textId="497B0C2E" w:rsidR="00F36DA5" w:rsidRPr="00F36DA5" w:rsidRDefault="00F36DA5" w:rsidP="00E171F2">
            <w:pPr>
              <w:pStyle w:val="TableBody"/>
              <w:rPr>
                <w:rFonts w:ascii="Times New Roman" w:hAnsi="Times New Roman"/>
                <w:sz w:val="24"/>
                <w:szCs w:val="24"/>
                <w:lang w:eastAsia="en-AU"/>
              </w:rPr>
            </w:pPr>
            <w:r w:rsidRPr="00F36DA5">
              <w:rPr>
                <w:lang w:eastAsia="en-AU"/>
              </w:rPr>
              <w:t>$1,</w:t>
            </w:r>
            <w:r w:rsidR="002319C7">
              <w:rPr>
                <w:lang w:eastAsia="en-AU"/>
              </w:rPr>
              <w:t>823.92</w:t>
            </w:r>
          </w:p>
        </w:tc>
      </w:tr>
      <w:tr w:rsidR="00F36DA5" w:rsidRPr="00F36DA5" w14:paraId="0E0B4032" w14:textId="77777777" w:rsidTr="009763A8">
        <w:trPr>
          <w:trHeight w:val="392"/>
        </w:trPr>
        <w:tc>
          <w:tcPr>
            <w:tcW w:w="1909" w:type="dxa"/>
            <w:tcBorders>
              <w:top w:val="single" w:sz="6" w:space="0" w:color="A5A5A5"/>
              <w:left w:val="nil"/>
              <w:bottom w:val="nil"/>
              <w:right w:val="single" w:sz="6" w:space="0" w:color="A5A5A5"/>
            </w:tcBorders>
            <w:shd w:val="clear" w:color="auto" w:fill="F2F2F2"/>
            <w:vAlign w:val="center"/>
            <w:hideMark/>
          </w:tcPr>
          <w:p w14:paraId="619597EE"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szCs w:val="20"/>
                <w:lang w:eastAsia="en-AU"/>
              </w:rPr>
              <w:t>Ongoing (per year) </w:t>
            </w:r>
          </w:p>
        </w:tc>
        <w:tc>
          <w:tcPr>
            <w:tcW w:w="1909" w:type="dxa"/>
            <w:tcBorders>
              <w:top w:val="single" w:sz="6" w:space="0" w:color="A5A5A5"/>
              <w:left w:val="single" w:sz="6" w:space="0" w:color="A5A5A5"/>
              <w:bottom w:val="nil"/>
              <w:right w:val="single" w:sz="6" w:space="0" w:color="A5A5A5"/>
            </w:tcBorders>
            <w:shd w:val="clear" w:color="auto" w:fill="auto"/>
            <w:vAlign w:val="center"/>
            <w:hideMark/>
          </w:tcPr>
          <w:p w14:paraId="42F25F3A" w14:textId="761B1EA2" w:rsidR="00F36DA5" w:rsidRPr="00F36DA5" w:rsidRDefault="00F36DA5" w:rsidP="00E171F2">
            <w:pPr>
              <w:pStyle w:val="TableBody"/>
              <w:rPr>
                <w:rFonts w:ascii="Times New Roman" w:hAnsi="Times New Roman"/>
                <w:sz w:val="24"/>
                <w:szCs w:val="24"/>
                <w:lang w:eastAsia="en-AU"/>
              </w:rPr>
            </w:pPr>
            <w:r w:rsidRPr="00F36DA5">
              <w:rPr>
                <w:lang w:eastAsia="en-AU"/>
              </w:rPr>
              <w:t>$1,2</w:t>
            </w:r>
            <w:r w:rsidR="002319C7">
              <w:rPr>
                <w:lang w:eastAsia="en-AU"/>
              </w:rPr>
              <w:t>26.16</w:t>
            </w:r>
            <w:r w:rsidRPr="00F36DA5">
              <w:rPr>
                <w:lang w:eastAsia="en-AU"/>
              </w:rPr>
              <w:t> </w:t>
            </w:r>
          </w:p>
        </w:tc>
        <w:tc>
          <w:tcPr>
            <w:tcW w:w="1909" w:type="dxa"/>
            <w:tcBorders>
              <w:top w:val="single" w:sz="6" w:space="0" w:color="A5A5A5"/>
              <w:left w:val="single" w:sz="6" w:space="0" w:color="A5A5A5"/>
              <w:bottom w:val="nil"/>
              <w:right w:val="single" w:sz="6" w:space="0" w:color="A5A5A5"/>
            </w:tcBorders>
            <w:shd w:val="clear" w:color="auto" w:fill="auto"/>
            <w:vAlign w:val="center"/>
            <w:hideMark/>
          </w:tcPr>
          <w:p w14:paraId="673BFEC6" w14:textId="77777777" w:rsidR="00F36DA5" w:rsidRPr="00F36DA5" w:rsidRDefault="00F36DA5" w:rsidP="00E171F2">
            <w:pPr>
              <w:pStyle w:val="TableBody"/>
              <w:rPr>
                <w:rFonts w:ascii="Times New Roman" w:hAnsi="Times New Roman"/>
                <w:sz w:val="24"/>
                <w:szCs w:val="24"/>
                <w:lang w:eastAsia="en-AU"/>
              </w:rPr>
            </w:pPr>
            <w:r w:rsidRPr="00F36DA5">
              <w:rPr>
                <w:lang w:eastAsia="en-AU"/>
              </w:rPr>
              <w:t>Nil </w:t>
            </w:r>
          </w:p>
        </w:tc>
        <w:tc>
          <w:tcPr>
            <w:tcW w:w="1909" w:type="dxa"/>
            <w:tcBorders>
              <w:top w:val="single" w:sz="6" w:space="0" w:color="A5A5A5"/>
              <w:left w:val="single" w:sz="6" w:space="0" w:color="A5A5A5"/>
              <w:bottom w:val="nil"/>
              <w:right w:val="single" w:sz="6" w:space="0" w:color="A5A5A5"/>
            </w:tcBorders>
            <w:shd w:val="clear" w:color="auto" w:fill="auto"/>
            <w:vAlign w:val="center"/>
            <w:hideMark/>
          </w:tcPr>
          <w:p w14:paraId="03A9CF72" w14:textId="77777777" w:rsidR="00F36DA5" w:rsidRPr="00F36DA5" w:rsidRDefault="00F36DA5" w:rsidP="00E171F2">
            <w:pPr>
              <w:pStyle w:val="TableBody"/>
              <w:rPr>
                <w:rFonts w:ascii="Times New Roman" w:hAnsi="Times New Roman"/>
                <w:sz w:val="24"/>
                <w:szCs w:val="24"/>
                <w:lang w:eastAsia="en-AU"/>
              </w:rPr>
            </w:pPr>
            <w:r w:rsidRPr="00F36DA5">
              <w:rPr>
                <w:lang w:eastAsia="en-AU"/>
              </w:rPr>
              <w:t>Nil </w:t>
            </w:r>
          </w:p>
        </w:tc>
        <w:tc>
          <w:tcPr>
            <w:tcW w:w="1913" w:type="dxa"/>
            <w:tcBorders>
              <w:top w:val="single" w:sz="6" w:space="0" w:color="A5A5A5"/>
              <w:left w:val="single" w:sz="6" w:space="0" w:color="A5A5A5"/>
              <w:bottom w:val="nil"/>
              <w:right w:val="nil"/>
            </w:tcBorders>
            <w:shd w:val="clear" w:color="auto" w:fill="auto"/>
            <w:vAlign w:val="center"/>
            <w:hideMark/>
          </w:tcPr>
          <w:p w14:paraId="2487EFE7" w14:textId="405E3804" w:rsidR="00F36DA5" w:rsidRPr="00F36DA5" w:rsidRDefault="00F36DA5" w:rsidP="00E171F2">
            <w:pPr>
              <w:pStyle w:val="TableBody"/>
              <w:rPr>
                <w:rFonts w:ascii="Times New Roman" w:hAnsi="Times New Roman"/>
                <w:sz w:val="24"/>
                <w:szCs w:val="24"/>
                <w:lang w:eastAsia="en-AU"/>
              </w:rPr>
            </w:pPr>
            <w:r w:rsidRPr="00F36DA5">
              <w:rPr>
                <w:lang w:eastAsia="en-AU"/>
              </w:rPr>
              <w:t>$1,2</w:t>
            </w:r>
            <w:r w:rsidR="002319C7">
              <w:rPr>
                <w:lang w:eastAsia="en-AU"/>
              </w:rPr>
              <w:t>2</w:t>
            </w:r>
            <w:r w:rsidRPr="00F36DA5">
              <w:rPr>
                <w:lang w:eastAsia="en-AU"/>
              </w:rPr>
              <w:t>6.</w:t>
            </w:r>
            <w:r w:rsidR="002319C7">
              <w:rPr>
                <w:lang w:eastAsia="en-AU"/>
              </w:rPr>
              <w:t>16</w:t>
            </w:r>
            <w:r w:rsidRPr="00F36DA5">
              <w:rPr>
                <w:lang w:eastAsia="en-AU"/>
              </w:rPr>
              <w:t>  </w:t>
            </w:r>
          </w:p>
        </w:tc>
      </w:tr>
    </w:tbl>
    <w:p w14:paraId="60AA7862" w14:textId="77777777" w:rsidR="00F36DA5" w:rsidRPr="00F36DA5" w:rsidRDefault="00F36DA5" w:rsidP="00F36DA5">
      <w:pPr>
        <w:textAlignment w:val="baseline"/>
        <w:rPr>
          <w:rFonts w:ascii="Segoe UI" w:eastAsia="Times New Roman" w:hAnsi="Segoe UI" w:cs="Segoe UI"/>
          <w:sz w:val="18"/>
          <w:szCs w:val="18"/>
          <w:lang w:eastAsia="en-AU"/>
        </w:rPr>
      </w:pPr>
      <w:r w:rsidRPr="00F36DA5">
        <w:rPr>
          <w:rFonts w:ascii="Arial" w:eastAsia="Times New Roman" w:hAnsi="Arial" w:cs="Arial"/>
          <w:szCs w:val="20"/>
          <w:lang w:eastAsia="en-AU"/>
        </w:rPr>
        <w:t> </w:t>
      </w:r>
    </w:p>
    <w:p w14:paraId="06D9269D" w14:textId="03A605BA" w:rsidR="00F36DA5" w:rsidRPr="00F36DA5" w:rsidRDefault="00F36DA5" w:rsidP="00F36DA5">
      <w:pPr>
        <w:textAlignment w:val="baseline"/>
        <w:rPr>
          <w:rFonts w:ascii="Segoe UI" w:eastAsia="Times New Roman" w:hAnsi="Segoe UI" w:cs="Segoe UI"/>
          <w:sz w:val="18"/>
          <w:szCs w:val="18"/>
          <w:lang w:eastAsia="en-AU"/>
        </w:rPr>
      </w:pPr>
      <w:r w:rsidRPr="4F26752A">
        <w:rPr>
          <w:rFonts w:ascii="Arial" w:eastAsia="Times New Roman" w:hAnsi="Arial" w:cs="Arial"/>
          <w:lang w:eastAsia="en-AU"/>
        </w:rPr>
        <w:t xml:space="preserve">In addition to the above average costs, </w:t>
      </w:r>
      <w:r w:rsidR="00AF4941">
        <w:rPr>
          <w:rFonts w:ascii="Arial" w:eastAsia="Times New Roman" w:hAnsi="Arial" w:cs="Arial"/>
          <w:lang w:eastAsia="en-AU"/>
        </w:rPr>
        <w:t>the 20</w:t>
      </w:r>
      <w:r w:rsidR="00AA051E">
        <w:rPr>
          <w:rFonts w:ascii="Arial" w:eastAsia="Times New Roman" w:hAnsi="Arial" w:cs="Arial"/>
          <w:lang w:eastAsia="en-AU"/>
        </w:rPr>
        <w:t>21-22 consultation period</w:t>
      </w:r>
      <w:r w:rsidR="00AF4941">
        <w:rPr>
          <w:rFonts w:ascii="Arial" w:eastAsia="Times New Roman" w:hAnsi="Arial" w:cs="Arial"/>
          <w:lang w:eastAsia="en-AU"/>
        </w:rPr>
        <w:t xml:space="preserve"> undert</w:t>
      </w:r>
      <w:r w:rsidR="00787D91">
        <w:rPr>
          <w:rFonts w:ascii="Arial" w:eastAsia="Times New Roman" w:hAnsi="Arial" w:cs="Arial"/>
          <w:lang w:eastAsia="en-AU"/>
        </w:rPr>
        <w:t xml:space="preserve">ook </w:t>
      </w:r>
      <w:r w:rsidRPr="4F26752A">
        <w:rPr>
          <w:rFonts w:ascii="Arial" w:eastAsia="Times New Roman" w:hAnsi="Arial" w:cs="Arial"/>
          <w:lang w:eastAsia="en-AU"/>
        </w:rPr>
        <w:t>analysis to determine the estimated regulatory burden by rule and obligation for each sector. This data is summarised in the tables below.  </w:t>
      </w:r>
    </w:p>
    <w:p w14:paraId="53AB14CC" w14:textId="77777777" w:rsidR="0084331B" w:rsidRDefault="0084331B" w:rsidP="00F36DA5">
      <w:pPr>
        <w:textAlignment w:val="baseline"/>
        <w:rPr>
          <w:rFonts w:ascii="Calibri" w:eastAsia="Times New Roman" w:hAnsi="Calibri" w:cs="Calibri"/>
          <w:b/>
          <w:bCs/>
          <w:i/>
          <w:iCs/>
          <w:color w:val="44546A"/>
          <w:sz w:val="18"/>
          <w:szCs w:val="18"/>
          <w:lang w:eastAsia="en-AU"/>
        </w:rPr>
      </w:pPr>
    </w:p>
    <w:p w14:paraId="6549C60D" w14:textId="0176364F" w:rsidR="00F36DA5" w:rsidRPr="00085793" w:rsidRDefault="00A62112" w:rsidP="00F36DA5">
      <w:pPr>
        <w:textAlignment w:val="baseline"/>
        <w:rPr>
          <w:rFonts w:ascii="Calibri" w:eastAsia="Times New Roman" w:hAnsi="Calibri" w:cs="Calibri"/>
          <w:bCs/>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26</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085793">
        <w:rPr>
          <w:rFonts w:ascii="Calibri" w:eastAsia="Times New Roman" w:hAnsi="Calibri" w:cs="Calibri"/>
          <w:bCs/>
          <w:i/>
          <w:iCs/>
          <w:sz w:val="18"/>
          <w:szCs w:val="18"/>
          <w:lang w:eastAsia="en-AU"/>
        </w:rPr>
        <w:t>Regulatory burden estimate by rule and obligation (2021-22 consultation period) </w:t>
      </w:r>
    </w:p>
    <w:tbl>
      <w:tblPr>
        <w:tblW w:w="95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4"/>
        <w:gridCol w:w="1718"/>
        <w:gridCol w:w="1719"/>
        <w:gridCol w:w="1719"/>
        <w:gridCol w:w="1746"/>
      </w:tblGrid>
      <w:tr w:rsidR="00F36DA5" w:rsidRPr="00F36DA5" w14:paraId="5123148A" w14:textId="77777777" w:rsidTr="009763A8">
        <w:trPr>
          <w:trHeight w:val="510"/>
        </w:trPr>
        <w:tc>
          <w:tcPr>
            <w:tcW w:w="2624" w:type="dxa"/>
            <w:tcBorders>
              <w:top w:val="nil"/>
              <w:left w:val="nil"/>
              <w:bottom w:val="single" w:sz="6" w:space="0" w:color="D9D9D9"/>
              <w:right w:val="single" w:sz="6" w:space="0" w:color="D9D9D9"/>
            </w:tcBorders>
            <w:shd w:val="clear" w:color="auto" w:fill="284B98"/>
            <w:vAlign w:val="center"/>
            <w:hideMark/>
          </w:tcPr>
          <w:p w14:paraId="5A3FC8CC"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Percentage of 10 year estimate</w:t>
            </w:r>
            <w:r w:rsidRPr="00F36DA5">
              <w:rPr>
                <w:rFonts w:ascii="Arial" w:eastAsia="Times New Roman" w:hAnsi="Arial" w:cs="Arial"/>
                <w:color w:val="FFFFFF"/>
                <w:szCs w:val="20"/>
                <w:lang w:eastAsia="en-AU"/>
              </w:rPr>
              <w:t> </w:t>
            </w:r>
          </w:p>
        </w:tc>
        <w:tc>
          <w:tcPr>
            <w:tcW w:w="1718" w:type="dxa"/>
            <w:tcBorders>
              <w:top w:val="nil"/>
              <w:left w:val="single" w:sz="6" w:space="0" w:color="D9D9D9"/>
              <w:bottom w:val="single" w:sz="6" w:space="0" w:color="D9D9D9"/>
              <w:right w:val="single" w:sz="6" w:space="0" w:color="D9D9D9"/>
            </w:tcBorders>
            <w:shd w:val="clear" w:color="auto" w:fill="284B98"/>
            <w:vAlign w:val="center"/>
            <w:hideMark/>
          </w:tcPr>
          <w:p w14:paraId="5C071F69"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Gas</w:t>
            </w:r>
            <w:r w:rsidRPr="00F36DA5">
              <w:rPr>
                <w:rFonts w:ascii="Arial" w:eastAsia="Times New Roman" w:hAnsi="Arial" w:cs="Arial"/>
                <w:color w:val="FFFFFF"/>
                <w:szCs w:val="20"/>
                <w:lang w:eastAsia="en-AU"/>
              </w:rPr>
              <w:t> </w:t>
            </w:r>
          </w:p>
        </w:tc>
        <w:tc>
          <w:tcPr>
            <w:tcW w:w="1719" w:type="dxa"/>
            <w:tcBorders>
              <w:top w:val="nil"/>
              <w:left w:val="single" w:sz="6" w:space="0" w:color="D9D9D9"/>
              <w:bottom w:val="single" w:sz="6" w:space="0" w:color="D9D9D9"/>
              <w:right w:val="single" w:sz="6" w:space="0" w:color="D9D9D9"/>
            </w:tcBorders>
            <w:shd w:val="clear" w:color="auto" w:fill="284B98"/>
            <w:vAlign w:val="center"/>
            <w:hideMark/>
          </w:tcPr>
          <w:p w14:paraId="184CEF2A"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Liquid Fuels</w:t>
            </w:r>
            <w:r w:rsidRPr="00F36DA5">
              <w:rPr>
                <w:rFonts w:ascii="Arial" w:eastAsia="Times New Roman" w:hAnsi="Arial" w:cs="Arial"/>
                <w:color w:val="FFFFFF"/>
                <w:szCs w:val="20"/>
                <w:lang w:eastAsia="en-AU"/>
              </w:rPr>
              <w:t> </w:t>
            </w:r>
          </w:p>
        </w:tc>
        <w:tc>
          <w:tcPr>
            <w:tcW w:w="1719" w:type="dxa"/>
            <w:tcBorders>
              <w:top w:val="nil"/>
              <w:left w:val="single" w:sz="6" w:space="0" w:color="D9D9D9"/>
              <w:bottom w:val="single" w:sz="6" w:space="0" w:color="D9D9D9"/>
              <w:right w:val="single" w:sz="6" w:space="0" w:color="D9D9D9"/>
            </w:tcBorders>
            <w:shd w:val="clear" w:color="auto" w:fill="284B98"/>
            <w:vAlign w:val="center"/>
            <w:hideMark/>
          </w:tcPr>
          <w:p w14:paraId="5A7FE6F0"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Water</w:t>
            </w:r>
            <w:r w:rsidRPr="00F36DA5">
              <w:rPr>
                <w:rFonts w:ascii="Arial" w:eastAsia="Times New Roman" w:hAnsi="Arial" w:cs="Arial"/>
                <w:color w:val="FFFFFF"/>
                <w:szCs w:val="20"/>
                <w:lang w:eastAsia="en-AU"/>
              </w:rPr>
              <w:t> </w:t>
            </w:r>
          </w:p>
        </w:tc>
        <w:tc>
          <w:tcPr>
            <w:tcW w:w="1746" w:type="dxa"/>
            <w:tcBorders>
              <w:top w:val="nil"/>
              <w:left w:val="single" w:sz="6" w:space="0" w:color="D9D9D9"/>
              <w:bottom w:val="single" w:sz="6" w:space="0" w:color="D9D9D9"/>
              <w:right w:val="nil"/>
            </w:tcBorders>
            <w:shd w:val="clear" w:color="auto" w:fill="284B98"/>
            <w:vAlign w:val="center"/>
            <w:hideMark/>
          </w:tcPr>
          <w:p w14:paraId="77CB665E"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Broadcasting</w:t>
            </w:r>
            <w:r w:rsidRPr="00F36DA5">
              <w:rPr>
                <w:rFonts w:ascii="Arial" w:eastAsia="Times New Roman" w:hAnsi="Arial" w:cs="Arial"/>
                <w:color w:val="FFFFFF"/>
                <w:szCs w:val="20"/>
                <w:lang w:eastAsia="en-AU"/>
              </w:rPr>
              <w:t> </w:t>
            </w:r>
          </w:p>
        </w:tc>
      </w:tr>
      <w:tr w:rsidR="00F36DA5" w:rsidRPr="00F36DA5" w14:paraId="3CB8BE56"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49D7DDA8" w14:textId="77777777" w:rsidR="00F36DA5" w:rsidRPr="00F36DA5" w:rsidRDefault="00F36DA5" w:rsidP="00E171F2">
            <w:pPr>
              <w:pStyle w:val="TableBody"/>
              <w:rPr>
                <w:rFonts w:ascii="Times New Roman" w:hAnsi="Times New Roman"/>
                <w:sz w:val="24"/>
                <w:szCs w:val="24"/>
                <w:lang w:eastAsia="en-AU"/>
              </w:rPr>
            </w:pPr>
            <w:r w:rsidRPr="00F36DA5">
              <w:rPr>
                <w:lang w:eastAsia="en-AU"/>
              </w:rPr>
              <w:t>RMP obligations in the Act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95F429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7%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8B269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7%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353AF64"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3%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2C7C6EF0"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44% </w:t>
            </w:r>
          </w:p>
        </w:tc>
      </w:tr>
      <w:tr w:rsidR="00F36DA5" w:rsidRPr="00F36DA5" w14:paraId="70D01602"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166AB838" w14:textId="77777777" w:rsidR="00F36DA5" w:rsidRPr="00F36DA5" w:rsidRDefault="00F36DA5" w:rsidP="00E171F2">
            <w:pPr>
              <w:pStyle w:val="TableBody"/>
              <w:rPr>
                <w:rFonts w:ascii="Times New Roman" w:hAnsi="Times New Roman"/>
                <w:sz w:val="24"/>
                <w:szCs w:val="24"/>
                <w:lang w:eastAsia="en-AU"/>
              </w:rPr>
            </w:pPr>
            <w:r w:rsidRPr="00F36DA5">
              <w:rPr>
                <w:lang w:eastAsia="en-AU"/>
              </w:rPr>
              <w:t>General rules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72A010E"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3%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1773F37"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3%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6C1059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0%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06010958"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10% </w:t>
            </w:r>
          </w:p>
        </w:tc>
      </w:tr>
      <w:tr w:rsidR="00F36DA5" w:rsidRPr="00F36DA5" w14:paraId="69994595"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79E94EE6"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CIRMP Rules</w:t>
            </w:r>
            <w:r w:rsidRPr="00F36DA5">
              <w:rPr>
                <w:lang w:eastAsia="en-AU"/>
              </w:rPr>
              <w:t> </w:t>
            </w:r>
          </w:p>
        </w:tc>
        <w:tc>
          <w:tcPr>
            <w:tcW w:w="1718"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0684B748"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1719"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2C780406"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1719"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133F1CDE"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1746" w:type="dxa"/>
            <w:tcBorders>
              <w:top w:val="single" w:sz="6" w:space="0" w:color="D9D9D9"/>
              <w:left w:val="single" w:sz="6" w:space="0" w:color="D9D9D9"/>
              <w:bottom w:val="single" w:sz="6" w:space="0" w:color="D9D9D9"/>
              <w:right w:val="nil"/>
            </w:tcBorders>
            <w:shd w:val="clear" w:color="auto" w:fill="F2F2F2"/>
            <w:vAlign w:val="center"/>
            <w:hideMark/>
          </w:tcPr>
          <w:p w14:paraId="77433D72"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r>
      <w:tr w:rsidR="00F36DA5" w:rsidRPr="00F36DA5" w14:paraId="254A540B"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380F590B" w14:textId="77777777" w:rsidR="00F36DA5" w:rsidRPr="00F36DA5" w:rsidRDefault="00F36DA5" w:rsidP="00E171F2">
            <w:pPr>
              <w:pStyle w:val="TableBody"/>
              <w:rPr>
                <w:rFonts w:ascii="Times New Roman" w:hAnsi="Times New Roman"/>
                <w:sz w:val="24"/>
                <w:szCs w:val="24"/>
                <w:lang w:eastAsia="en-AU"/>
              </w:rPr>
            </w:pPr>
            <w:r w:rsidRPr="00F36DA5">
              <w:rPr>
                <w:lang w:eastAsia="en-AU"/>
              </w:rPr>
              <w:t>Cyber and information security hazard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FD7D4C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w:t>
            </w:r>
            <w:r w:rsidR="00406115">
              <w:rPr>
                <w:color w:val="000000"/>
                <w:lang w:eastAsia="en-AU"/>
              </w:rPr>
              <w:t>8%</w:t>
            </w:r>
            <w:r w:rsidRPr="00F36DA5">
              <w:rPr>
                <w:color w:val="000000"/>
                <w:lang w:eastAsia="en-AU"/>
              </w:rPr>
              <w:t>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60A078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w:t>
            </w:r>
            <w:r w:rsidR="00E01146">
              <w:rPr>
                <w:color w:val="000000"/>
                <w:lang w:eastAsia="en-AU"/>
              </w:rPr>
              <w:t>8</w:t>
            </w:r>
            <w:r w:rsidRPr="00F36DA5">
              <w:rPr>
                <w:color w:val="000000"/>
                <w:lang w:eastAsia="en-AU"/>
              </w:rPr>
              <w:t>%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9D03D01"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36%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24C14394"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10% </w:t>
            </w:r>
          </w:p>
        </w:tc>
      </w:tr>
      <w:tr w:rsidR="00F36DA5" w:rsidRPr="00F36DA5" w14:paraId="1D0D5F9C"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2F86E437" w14:textId="77777777" w:rsidR="00F36DA5" w:rsidRPr="00F36DA5" w:rsidRDefault="00F36DA5" w:rsidP="00E171F2">
            <w:pPr>
              <w:pStyle w:val="TableBody"/>
              <w:rPr>
                <w:rFonts w:ascii="Times New Roman" w:hAnsi="Times New Roman"/>
                <w:sz w:val="24"/>
                <w:szCs w:val="24"/>
                <w:lang w:eastAsia="en-AU"/>
              </w:rPr>
            </w:pPr>
            <w:r w:rsidRPr="00F36DA5">
              <w:rPr>
                <w:lang w:eastAsia="en-AU"/>
              </w:rPr>
              <w:t>Personnel hazard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4EDF0F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12%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743000A"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12%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0654937" w14:textId="77777777" w:rsidR="00F36DA5" w:rsidRPr="00F36DA5" w:rsidRDefault="00E01146" w:rsidP="00E171F2">
            <w:pPr>
              <w:pStyle w:val="TableBody"/>
              <w:rPr>
                <w:rFonts w:ascii="Times New Roman" w:hAnsi="Times New Roman"/>
                <w:sz w:val="24"/>
                <w:szCs w:val="24"/>
                <w:lang w:eastAsia="en-AU"/>
              </w:rPr>
            </w:pPr>
            <w:r>
              <w:rPr>
                <w:color w:val="000000"/>
                <w:lang w:eastAsia="en-AU"/>
              </w:rPr>
              <w:t>4</w:t>
            </w:r>
            <w:r w:rsidR="00F36DA5" w:rsidRPr="00F36DA5">
              <w:rPr>
                <w:color w:val="000000"/>
                <w:lang w:eastAsia="en-AU"/>
              </w:rPr>
              <w:t>%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48B684B1"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w:t>
            </w:r>
            <w:r w:rsidR="00E01146">
              <w:rPr>
                <w:color w:val="000000"/>
                <w:lang w:eastAsia="en-AU"/>
              </w:rPr>
              <w:t>5</w:t>
            </w:r>
            <w:r w:rsidRPr="00F36DA5">
              <w:rPr>
                <w:color w:val="000000"/>
                <w:lang w:eastAsia="en-AU"/>
              </w:rPr>
              <w:t>% </w:t>
            </w:r>
          </w:p>
        </w:tc>
      </w:tr>
      <w:tr w:rsidR="00F36DA5" w:rsidRPr="00F36DA5" w14:paraId="194A856F"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2519955A" w14:textId="77777777" w:rsidR="00F36DA5" w:rsidRPr="00F36DA5" w:rsidRDefault="00F36DA5" w:rsidP="00E171F2">
            <w:pPr>
              <w:pStyle w:val="TableBody"/>
              <w:rPr>
                <w:rFonts w:ascii="Times New Roman" w:hAnsi="Times New Roman"/>
                <w:sz w:val="24"/>
                <w:szCs w:val="24"/>
                <w:lang w:eastAsia="en-AU"/>
              </w:rPr>
            </w:pPr>
            <w:r w:rsidRPr="00F36DA5">
              <w:rPr>
                <w:lang w:eastAsia="en-AU"/>
              </w:rPr>
              <w:t>Supply chain hazard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1836194"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18%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8435A56"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18%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AED5A7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1EB4CDDE"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10% </w:t>
            </w:r>
          </w:p>
        </w:tc>
      </w:tr>
      <w:tr w:rsidR="00F36DA5" w:rsidRPr="00F36DA5" w14:paraId="30997E4E"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5AEDA740" w14:textId="77777777" w:rsidR="00F36DA5" w:rsidRPr="00F36DA5" w:rsidRDefault="00F36DA5" w:rsidP="00E171F2">
            <w:pPr>
              <w:pStyle w:val="TableBody"/>
              <w:rPr>
                <w:rFonts w:ascii="Times New Roman" w:hAnsi="Times New Roman"/>
                <w:sz w:val="24"/>
                <w:szCs w:val="24"/>
                <w:lang w:eastAsia="en-AU"/>
              </w:rPr>
            </w:pPr>
            <w:r w:rsidRPr="00F36DA5">
              <w:rPr>
                <w:lang w:eastAsia="en-AU"/>
              </w:rPr>
              <w:t>Physical and natural hazard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A36175E"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24%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82B582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24%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1E286D1"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53%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1A5B0347"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5% </w:t>
            </w:r>
          </w:p>
        </w:tc>
      </w:tr>
      <w:tr w:rsidR="00F36DA5" w:rsidRPr="00F36DA5" w14:paraId="3D987E0A" w14:textId="77777777" w:rsidTr="009763A8">
        <w:trPr>
          <w:trHeight w:val="309"/>
        </w:trPr>
        <w:tc>
          <w:tcPr>
            <w:tcW w:w="2624" w:type="dxa"/>
            <w:tcBorders>
              <w:top w:val="single" w:sz="6" w:space="0" w:color="D9D9D9"/>
              <w:left w:val="nil"/>
              <w:bottom w:val="single" w:sz="6" w:space="0" w:color="D9D9D9"/>
              <w:right w:val="single" w:sz="6" w:space="0" w:color="D9D9D9"/>
            </w:tcBorders>
            <w:shd w:val="clear" w:color="auto" w:fill="F2F2F2"/>
            <w:vAlign w:val="center"/>
            <w:hideMark/>
          </w:tcPr>
          <w:p w14:paraId="0B8F4311" w14:textId="77777777" w:rsidR="00F36DA5" w:rsidRPr="00F36DA5" w:rsidRDefault="00F36DA5" w:rsidP="00E171F2">
            <w:pPr>
              <w:pStyle w:val="TableBody"/>
              <w:rPr>
                <w:rFonts w:ascii="Times New Roman" w:hAnsi="Times New Roman"/>
                <w:sz w:val="24"/>
                <w:szCs w:val="24"/>
                <w:lang w:eastAsia="en-AU"/>
              </w:rPr>
            </w:pPr>
            <w:r w:rsidRPr="00F36DA5">
              <w:rPr>
                <w:lang w:eastAsia="en-AU"/>
              </w:rPr>
              <w:t>Material risk </w:t>
            </w:r>
          </w:p>
        </w:tc>
        <w:tc>
          <w:tcPr>
            <w:tcW w:w="171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20C96A8"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8%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7FC5658"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8% </w:t>
            </w:r>
          </w:p>
        </w:tc>
        <w:tc>
          <w:tcPr>
            <w:tcW w:w="171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68920FE"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0% </w:t>
            </w:r>
          </w:p>
        </w:tc>
        <w:tc>
          <w:tcPr>
            <w:tcW w:w="1746" w:type="dxa"/>
            <w:tcBorders>
              <w:top w:val="single" w:sz="6" w:space="0" w:color="D9D9D9"/>
              <w:left w:val="single" w:sz="6" w:space="0" w:color="D9D9D9"/>
              <w:bottom w:val="single" w:sz="6" w:space="0" w:color="D9D9D9"/>
              <w:right w:val="nil"/>
            </w:tcBorders>
            <w:shd w:val="clear" w:color="auto" w:fill="auto"/>
            <w:vAlign w:val="center"/>
            <w:hideMark/>
          </w:tcPr>
          <w:p w14:paraId="05C3A4DE"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6% </w:t>
            </w:r>
          </w:p>
        </w:tc>
      </w:tr>
      <w:tr w:rsidR="00F36DA5" w:rsidRPr="00F36DA5" w14:paraId="0E6812A2" w14:textId="77777777" w:rsidTr="009763A8">
        <w:trPr>
          <w:trHeight w:val="309"/>
        </w:trPr>
        <w:tc>
          <w:tcPr>
            <w:tcW w:w="2624" w:type="dxa"/>
            <w:tcBorders>
              <w:top w:val="single" w:sz="6" w:space="0" w:color="D9D9D9"/>
              <w:left w:val="nil"/>
              <w:bottom w:val="nil"/>
              <w:right w:val="single" w:sz="6" w:space="0" w:color="D9D9D9"/>
            </w:tcBorders>
            <w:shd w:val="clear" w:color="auto" w:fill="F2F2F2"/>
            <w:vAlign w:val="center"/>
            <w:hideMark/>
          </w:tcPr>
          <w:p w14:paraId="1E28119D"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Total</w:t>
            </w:r>
            <w:r w:rsidRPr="00F36DA5">
              <w:rPr>
                <w:lang w:eastAsia="en-AU"/>
              </w:rPr>
              <w:t> </w:t>
            </w:r>
          </w:p>
        </w:tc>
        <w:tc>
          <w:tcPr>
            <w:tcW w:w="1718" w:type="dxa"/>
            <w:tcBorders>
              <w:top w:val="single" w:sz="6" w:space="0" w:color="D9D9D9"/>
              <w:left w:val="single" w:sz="6" w:space="0" w:color="D9D9D9"/>
              <w:bottom w:val="nil"/>
              <w:right w:val="single" w:sz="6" w:space="0" w:color="D9D9D9"/>
            </w:tcBorders>
            <w:shd w:val="clear" w:color="auto" w:fill="auto"/>
            <w:vAlign w:val="center"/>
            <w:hideMark/>
          </w:tcPr>
          <w:p w14:paraId="02386E8F"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1719" w:type="dxa"/>
            <w:tcBorders>
              <w:top w:val="single" w:sz="6" w:space="0" w:color="D9D9D9"/>
              <w:left w:val="single" w:sz="6" w:space="0" w:color="D9D9D9"/>
              <w:bottom w:val="nil"/>
              <w:right w:val="single" w:sz="6" w:space="0" w:color="D9D9D9"/>
            </w:tcBorders>
            <w:shd w:val="clear" w:color="auto" w:fill="auto"/>
            <w:vAlign w:val="center"/>
            <w:hideMark/>
          </w:tcPr>
          <w:p w14:paraId="49F6121B"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1719" w:type="dxa"/>
            <w:tcBorders>
              <w:top w:val="single" w:sz="6" w:space="0" w:color="D9D9D9"/>
              <w:left w:val="single" w:sz="6" w:space="0" w:color="D9D9D9"/>
              <w:bottom w:val="nil"/>
              <w:right w:val="single" w:sz="6" w:space="0" w:color="D9D9D9"/>
            </w:tcBorders>
            <w:shd w:val="clear" w:color="auto" w:fill="auto"/>
            <w:vAlign w:val="center"/>
            <w:hideMark/>
          </w:tcPr>
          <w:p w14:paraId="00216B75"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1746" w:type="dxa"/>
            <w:tcBorders>
              <w:top w:val="single" w:sz="6" w:space="0" w:color="D9D9D9"/>
              <w:left w:val="single" w:sz="6" w:space="0" w:color="D9D9D9"/>
              <w:bottom w:val="nil"/>
              <w:right w:val="nil"/>
            </w:tcBorders>
            <w:shd w:val="clear" w:color="auto" w:fill="auto"/>
            <w:vAlign w:val="center"/>
            <w:hideMark/>
          </w:tcPr>
          <w:p w14:paraId="1D242339"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r>
    </w:tbl>
    <w:p w14:paraId="499F994F" w14:textId="2D448E54" w:rsidR="00E50B2E" w:rsidRDefault="00E50B2E" w:rsidP="00F36DA5">
      <w:pPr>
        <w:textAlignment w:val="baseline"/>
        <w:rPr>
          <w:rFonts w:ascii="Calibri" w:eastAsia="Times New Roman" w:hAnsi="Calibri" w:cs="Calibri"/>
          <w:b/>
          <w:bCs/>
          <w:i/>
          <w:iCs/>
          <w:color w:val="44546A"/>
          <w:sz w:val="18"/>
          <w:szCs w:val="18"/>
          <w:lang w:eastAsia="en-AU"/>
        </w:rPr>
      </w:pPr>
    </w:p>
    <w:p w14:paraId="3A1507DB" w14:textId="77777777" w:rsidR="00E50B2E" w:rsidRDefault="00E50B2E">
      <w:pPr>
        <w:spacing w:before="80" w:after="80"/>
        <w:rPr>
          <w:rFonts w:ascii="Calibri" w:eastAsia="Times New Roman" w:hAnsi="Calibri" w:cs="Calibri"/>
          <w:b/>
          <w:bCs/>
          <w:i/>
          <w:iCs/>
          <w:color w:val="44546A"/>
          <w:sz w:val="18"/>
          <w:szCs w:val="18"/>
          <w:lang w:eastAsia="en-AU"/>
        </w:rPr>
      </w:pPr>
      <w:r>
        <w:rPr>
          <w:rFonts w:ascii="Calibri" w:eastAsia="Times New Roman" w:hAnsi="Calibri" w:cs="Calibri"/>
          <w:b/>
          <w:bCs/>
          <w:i/>
          <w:iCs/>
          <w:color w:val="44546A"/>
          <w:sz w:val="18"/>
          <w:szCs w:val="18"/>
          <w:lang w:eastAsia="en-AU"/>
        </w:rPr>
        <w:br w:type="page"/>
      </w:r>
    </w:p>
    <w:p w14:paraId="0AC937FB" w14:textId="2EAE6B02" w:rsidR="00F36DA5" w:rsidRPr="00085793" w:rsidRDefault="00A62112" w:rsidP="00F36DA5">
      <w:pPr>
        <w:textAlignment w:val="baseline"/>
        <w:rPr>
          <w:rFonts w:ascii="Segoe UI" w:eastAsia="Times New Roman" w:hAnsi="Segoe UI" w:cs="Segoe UI"/>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27</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085793">
        <w:rPr>
          <w:rFonts w:ascii="Calibri" w:eastAsia="Times New Roman" w:hAnsi="Calibri" w:cs="Calibri"/>
          <w:i/>
          <w:iCs/>
          <w:sz w:val="18"/>
          <w:szCs w:val="18"/>
          <w:lang w:eastAsia="en-AU"/>
        </w:rPr>
        <w:t>Regulatory burden estimate by rule and obligation (2021-22 consultation period) </w:t>
      </w:r>
    </w:p>
    <w:tbl>
      <w:tblPr>
        <w:tblW w:w="95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8"/>
        <w:gridCol w:w="1736"/>
        <w:gridCol w:w="1721"/>
        <w:gridCol w:w="1738"/>
        <w:gridCol w:w="1733"/>
      </w:tblGrid>
      <w:tr w:rsidR="00F36DA5" w:rsidRPr="00F36DA5" w14:paraId="58738F10" w14:textId="77777777" w:rsidTr="009763A8">
        <w:trPr>
          <w:trHeight w:val="527"/>
        </w:trPr>
        <w:tc>
          <w:tcPr>
            <w:tcW w:w="2628" w:type="dxa"/>
            <w:tcBorders>
              <w:top w:val="nil"/>
              <w:left w:val="nil"/>
              <w:bottom w:val="single" w:sz="6" w:space="0" w:color="D9D9D9"/>
              <w:right w:val="single" w:sz="6" w:space="0" w:color="D9D9D9"/>
            </w:tcBorders>
            <w:shd w:val="clear" w:color="auto" w:fill="284B98"/>
            <w:vAlign w:val="center"/>
            <w:hideMark/>
          </w:tcPr>
          <w:p w14:paraId="64754836"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Percentage of 10 year estimate</w:t>
            </w:r>
            <w:r w:rsidRPr="00F36DA5">
              <w:rPr>
                <w:rFonts w:ascii="Arial" w:eastAsia="Times New Roman" w:hAnsi="Arial" w:cs="Arial"/>
                <w:color w:val="FFFFFF"/>
                <w:szCs w:val="20"/>
                <w:lang w:eastAsia="en-AU"/>
              </w:rPr>
              <w:t> </w:t>
            </w:r>
          </w:p>
        </w:tc>
        <w:tc>
          <w:tcPr>
            <w:tcW w:w="1736" w:type="dxa"/>
            <w:tcBorders>
              <w:top w:val="nil"/>
              <w:left w:val="single" w:sz="6" w:space="0" w:color="D9D9D9"/>
              <w:bottom w:val="single" w:sz="6" w:space="0" w:color="D9D9D9"/>
              <w:right w:val="single" w:sz="6" w:space="0" w:color="D9D9D9"/>
            </w:tcBorders>
            <w:shd w:val="clear" w:color="auto" w:fill="284B98"/>
            <w:vAlign w:val="center"/>
            <w:hideMark/>
          </w:tcPr>
          <w:p w14:paraId="02602A05"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Critical Hospitals</w:t>
            </w:r>
            <w:r w:rsidRPr="00F36DA5">
              <w:rPr>
                <w:rFonts w:ascii="Arial" w:eastAsia="Times New Roman" w:hAnsi="Arial" w:cs="Arial"/>
                <w:color w:val="FFFFFF"/>
                <w:szCs w:val="20"/>
                <w:lang w:eastAsia="en-AU"/>
              </w:rPr>
              <w:t> </w:t>
            </w:r>
          </w:p>
        </w:tc>
        <w:tc>
          <w:tcPr>
            <w:tcW w:w="1721" w:type="dxa"/>
            <w:tcBorders>
              <w:top w:val="nil"/>
              <w:left w:val="single" w:sz="6" w:space="0" w:color="D9D9D9"/>
              <w:bottom w:val="single" w:sz="6" w:space="0" w:color="D9D9D9"/>
              <w:right w:val="single" w:sz="6" w:space="0" w:color="D9D9D9"/>
            </w:tcBorders>
            <w:shd w:val="clear" w:color="auto" w:fill="284B98"/>
            <w:vAlign w:val="center"/>
            <w:hideMark/>
          </w:tcPr>
          <w:p w14:paraId="3E38B298"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Data</w:t>
            </w:r>
            <w:r w:rsidRPr="00F36DA5">
              <w:rPr>
                <w:rFonts w:ascii="Arial" w:eastAsia="Times New Roman" w:hAnsi="Arial" w:cs="Arial"/>
                <w:color w:val="FFFFFF"/>
                <w:szCs w:val="20"/>
                <w:lang w:eastAsia="en-AU"/>
              </w:rPr>
              <w:t> </w:t>
            </w:r>
          </w:p>
        </w:tc>
        <w:tc>
          <w:tcPr>
            <w:tcW w:w="1738" w:type="dxa"/>
            <w:tcBorders>
              <w:top w:val="nil"/>
              <w:left w:val="single" w:sz="6" w:space="0" w:color="D9D9D9"/>
              <w:bottom w:val="single" w:sz="6" w:space="0" w:color="D9D9D9"/>
              <w:right w:val="single" w:sz="6" w:space="0" w:color="D9D9D9"/>
            </w:tcBorders>
            <w:shd w:val="clear" w:color="auto" w:fill="284B98"/>
            <w:vAlign w:val="center"/>
            <w:hideMark/>
          </w:tcPr>
          <w:p w14:paraId="20285494"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Electricity</w:t>
            </w:r>
            <w:r w:rsidRPr="00F36DA5">
              <w:rPr>
                <w:rFonts w:ascii="Arial" w:eastAsia="Times New Roman" w:hAnsi="Arial" w:cs="Arial"/>
                <w:color w:val="FFFFFF"/>
                <w:szCs w:val="20"/>
                <w:lang w:eastAsia="en-AU"/>
              </w:rPr>
              <w:t> </w:t>
            </w:r>
          </w:p>
        </w:tc>
        <w:tc>
          <w:tcPr>
            <w:tcW w:w="1733" w:type="dxa"/>
            <w:tcBorders>
              <w:top w:val="nil"/>
              <w:left w:val="single" w:sz="6" w:space="0" w:color="D9D9D9"/>
              <w:bottom w:val="single" w:sz="6" w:space="0" w:color="D9D9D9"/>
              <w:right w:val="nil"/>
            </w:tcBorders>
            <w:shd w:val="clear" w:color="auto" w:fill="284B98"/>
            <w:vAlign w:val="center"/>
            <w:hideMark/>
          </w:tcPr>
          <w:p w14:paraId="464176B3"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Energy Market Operator</w:t>
            </w:r>
            <w:r w:rsidRPr="00F36DA5">
              <w:rPr>
                <w:rFonts w:ascii="Arial" w:eastAsia="Times New Roman" w:hAnsi="Arial" w:cs="Arial"/>
                <w:color w:val="FFFFFF"/>
                <w:szCs w:val="20"/>
                <w:lang w:eastAsia="en-AU"/>
              </w:rPr>
              <w:t> </w:t>
            </w:r>
          </w:p>
        </w:tc>
      </w:tr>
      <w:tr w:rsidR="00F36DA5" w:rsidRPr="00F36DA5" w14:paraId="29D00094"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64443113" w14:textId="77777777" w:rsidR="00F36DA5" w:rsidRPr="00F36DA5" w:rsidRDefault="00F36DA5" w:rsidP="00E171F2">
            <w:pPr>
              <w:pStyle w:val="TableBody"/>
              <w:rPr>
                <w:rFonts w:ascii="Times New Roman" w:hAnsi="Times New Roman"/>
                <w:sz w:val="24"/>
                <w:szCs w:val="24"/>
                <w:lang w:eastAsia="en-AU"/>
              </w:rPr>
            </w:pPr>
            <w:r w:rsidRPr="00F36DA5">
              <w:rPr>
                <w:lang w:eastAsia="en-AU"/>
              </w:rPr>
              <w:t>RMP obligations in the Act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71BA50F"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7%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A97ED4A"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11%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1771C9A"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10%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31912F4A"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8% </w:t>
            </w:r>
          </w:p>
        </w:tc>
      </w:tr>
      <w:tr w:rsidR="00F36DA5" w:rsidRPr="00F36DA5" w14:paraId="6DDF2ED3"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2BB2E750" w14:textId="77777777" w:rsidR="00F36DA5" w:rsidRPr="00F36DA5" w:rsidRDefault="00F36DA5" w:rsidP="00E171F2">
            <w:pPr>
              <w:pStyle w:val="TableBody"/>
              <w:rPr>
                <w:rFonts w:ascii="Times New Roman" w:hAnsi="Times New Roman"/>
                <w:sz w:val="24"/>
                <w:szCs w:val="24"/>
                <w:lang w:eastAsia="en-AU"/>
              </w:rPr>
            </w:pPr>
            <w:r w:rsidRPr="00F36DA5">
              <w:rPr>
                <w:lang w:eastAsia="en-AU"/>
              </w:rPr>
              <w:t>General rules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960AEB9"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D1BADB2"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6%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9E3723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75A2493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22% </w:t>
            </w:r>
          </w:p>
        </w:tc>
      </w:tr>
      <w:tr w:rsidR="00F36DA5" w:rsidRPr="00F36DA5" w14:paraId="47C40438"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261433E3"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CIRMP Rules</w:t>
            </w:r>
            <w:r w:rsidRPr="00F36DA5">
              <w:rPr>
                <w:lang w:eastAsia="en-AU"/>
              </w:rPr>
              <w:t> </w:t>
            </w:r>
          </w:p>
        </w:tc>
        <w:tc>
          <w:tcPr>
            <w:tcW w:w="1736"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70176035"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1721"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4BD2BBCD"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1738"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6E7B8CB3"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1733" w:type="dxa"/>
            <w:tcBorders>
              <w:top w:val="single" w:sz="6" w:space="0" w:color="D9D9D9"/>
              <w:left w:val="single" w:sz="6" w:space="0" w:color="D9D9D9"/>
              <w:bottom w:val="single" w:sz="6" w:space="0" w:color="D9D9D9"/>
              <w:right w:val="nil"/>
            </w:tcBorders>
            <w:shd w:val="clear" w:color="auto" w:fill="F2F2F2"/>
            <w:vAlign w:val="center"/>
            <w:hideMark/>
          </w:tcPr>
          <w:p w14:paraId="14D19814"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r>
      <w:tr w:rsidR="00F36DA5" w:rsidRPr="00F36DA5" w14:paraId="30F48951"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45E2A0B9" w14:textId="77777777" w:rsidR="00F36DA5" w:rsidRPr="00F36DA5" w:rsidRDefault="00F36DA5" w:rsidP="00E171F2">
            <w:pPr>
              <w:pStyle w:val="TableBody"/>
              <w:rPr>
                <w:rFonts w:ascii="Times New Roman" w:hAnsi="Times New Roman"/>
                <w:sz w:val="24"/>
                <w:szCs w:val="24"/>
                <w:lang w:eastAsia="en-AU"/>
              </w:rPr>
            </w:pPr>
            <w:r w:rsidRPr="00F36DA5">
              <w:rPr>
                <w:lang w:eastAsia="en-AU"/>
              </w:rPr>
              <w:t>Cyber and information security hazard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23CC4E2" w14:textId="77777777" w:rsidR="00F36DA5" w:rsidRPr="00F36DA5" w:rsidRDefault="006D4CB7" w:rsidP="00E171F2">
            <w:pPr>
              <w:pStyle w:val="TableBody"/>
              <w:rPr>
                <w:rFonts w:ascii="Times New Roman" w:hAnsi="Times New Roman"/>
                <w:sz w:val="24"/>
                <w:szCs w:val="24"/>
                <w:lang w:eastAsia="en-AU"/>
              </w:rPr>
            </w:pPr>
            <w:r>
              <w:rPr>
                <w:color w:val="000000"/>
                <w:lang w:eastAsia="en-AU"/>
              </w:rPr>
              <w:t>49</w:t>
            </w:r>
            <w:r w:rsidR="00F36DA5" w:rsidRPr="00F36DA5">
              <w:rPr>
                <w:color w:val="000000"/>
                <w:lang w:eastAsia="en-AU"/>
              </w:rPr>
              <w:t>%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059C641"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14%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F176F46"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14%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2114AB18"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25% </w:t>
            </w:r>
          </w:p>
        </w:tc>
      </w:tr>
      <w:tr w:rsidR="00F36DA5" w:rsidRPr="00F36DA5" w14:paraId="5A59DE38"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3044BAD9" w14:textId="77777777" w:rsidR="00F36DA5" w:rsidRPr="00F36DA5" w:rsidRDefault="00F36DA5" w:rsidP="00E171F2">
            <w:pPr>
              <w:pStyle w:val="TableBody"/>
              <w:rPr>
                <w:rFonts w:ascii="Times New Roman" w:hAnsi="Times New Roman"/>
                <w:sz w:val="24"/>
                <w:szCs w:val="24"/>
                <w:lang w:eastAsia="en-AU"/>
              </w:rPr>
            </w:pPr>
            <w:r w:rsidRPr="00F36DA5">
              <w:rPr>
                <w:lang w:eastAsia="en-AU"/>
              </w:rPr>
              <w:t>Personnel hazard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7C0E92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14%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EBE5517"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11%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6D322DC"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9%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6CECFAAE"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5% </w:t>
            </w:r>
          </w:p>
        </w:tc>
      </w:tr>
      <w:tr w:rsidR="00F36DA5" w:rsidRPr="00F36DA5" w14:paraId="51B0C3AD"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44AEF1AB" w14:textId="77777777" w:rsidR="00F36DA5" w:rsidRPr="00F36DA5" w:rsidRDefault="00F36DA5" w:rsidP="00E171F2">
            <w:pPr>
              <w:pStyle w:val="TableBody"/>
              <w:rPr>
                <w:rFonts w:ascii="Times New Roman" w:hAnsi="Times New Roman"/>
                <w:sz w:val="24"/>
                <w:szCs w:val="24"/>
                <w:lang w:eastAsia="en-AU"/>
              </w:rPr>
            </w:pPr>
            <w:r w:rsidRPr="00F36DA5">
              <w:rPr>
                <w:lang w:eastAsia="en-AU"/>
              </w:rPr>
              <w:t>Supply chain hazard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67A1979"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7%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52FDD19"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6%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841CD04"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25%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3F62F07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5% </w:t>
            </w:r>
          </w:p>
        </w:tc>
      </w:tr>
      <w:tr w:rsidR="00F36DA5" w:rsidRPr="00F36DA5" w14:paraId="27E68841"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054F9CA4" w14:textId="77777777" w:rsidR="00F36DA5" w:rsidRPr="00F36DA5" w:rsidRDefault="00F36DA5" w:rsidP="00E171F2">
            <w:pPr>
              <w:pStyle w:val="TableBody"/>
              <w:rPr>
                <w:rFonts w:ascii="Times New Roman" w:hAnsi="Times New Roman"/>
                <w:sz w:val="24"/>
                <w:szCs w:val="24"/>
                <w:lang w:eastAsia="en-AU"/>
              </w:rPr>
            </w:pPr>
            <w:r w:rsidRPr="00F36DA5">
              <w:rPr>
                <w:lang w:eastAsia="en-AU"/>
              </w:rPr>
              <w:t>Physical and natural hazard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A38FC6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11%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7388197"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w:t>
            </w:r>
            <w:r w:rsidR="001834EB">
              <w:rPr>
                <w:color w:val="000000"/>
                <w:lang w:eastAsia="en-AU"/>
              </w:rPr>
              <w:t>5</w:t>
            </w:r>
            <w:r w:rsidRPr="00F36DA5">
              <w:rPr>
                <w:color w:val="000000"/>
                <w:lang w:eastAsia="en-AU"/>
              </w:rPr>
              <w:t>%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DD06D3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w:t>
            </w:r>
            <w:r w:rsidR="00177AD4">
              <w:rPr>
                <w:color w:val="000000"/>
                <w:lang w:eastAsia="en-AU"/>
              </w:rPr>
              <w:t>5</w:t>
            </w:r>
            <w:r w:rsidRPr="00F36DA5">
              <w:rPr>
                <w:color w:val="000000"/>
                <w:lang w:eastAsia="en-AU"/>
              </w:rPr>
              <w:t>%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2FFA1438"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31% </w:t>
            </w:r>
          </w:p>
        </w:tc>
      </w:tr>
      <w:tr w:rsidR="00F36DA5" w:rsidRPr="00F36DA5" w14:paraId="6317BB58" w14:textId="77777777" w:rsidTr="009763A8">
        <w:trPr>
          <w:trHeight w:val="319"/>
        </w:trPr>
        <w:tc>
          <w:tcPr>
            <w:tcW w:w="2628" w:type="dxa"/>
            <w:tcBorders>
              <w:top w:val="single" w:sz="6" w:space="0" w:color="D9D9D9"/>
              <w:left w:val="nil"/>
              <w:bottom w:val="single" w:sz="6" w:space="0" w:color="D9D9D9"/>
              <w:right w:val="single" w:sz="6" w:space="0" w:color="D9D9D9"/>
            </w:tcBorders>
            <w:shd w:val="clear" w:color="auto" w:fill="F2F2F2"/>
            <w:vAlign w:val="center"/>
            <w:hideMark/>
          </w:tcPr>
          <w:p w14:paraId="5205EC45" w14:textId="77777777" w:rsidR="00F36DA5" w:rsidRPr="00F36DA5" w:rsidRDefault="00F36DA5" w:rsidP="00E171F2">
            <w:pPr>
              <w:pStyle w:val="TableBody"/>
              <w:rPr>
                <w:rFonts w:ascii="Times New Roman" w:hAnsi="Times New Roman"/>
                <w:sz w:val="24"/>
                <w:szCs w:val="24"/>
                <w:lang w:eastAsia="en-AU"/>
              </w:rPr>
            </w:pPr>
            <w:r w:rsidRPr="00F36DA5">
              <w:rPr>
                <w:lang w:eastAsia="en-AU"/>
              </w:rPr>
              <w:t>Material risk </w:t>
            </w:r>
          </w:p>
        </w:tc>
        <w:tc>
          <w:tcPr>
            <w:tcW w:w="1736"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845F7E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8% </w:t>
            </w:r>
          </w:p>
        </w:tc>
        <w:tc>
          <w:tcPr>
            <w:tcW w:w="172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3F44DEF1"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7% </w:t>
            </w:r>
          </w:p>
        </w:tc>
        <w:tc>
          <w:tcPr>
            <w:tcW w:w="1738"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5029A4F5"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15% </w:t>
            </w:r>
          </w:p>
        </w:tc>
        <w:tc>
          <w:tcPr>
            <w:tcW w:w="1733" w:type="dxa"/>
            <w:tcBorders>
              <w:top w:val="single" w:sz="6" w:space="0" w:color="D9D9D9"/>
              <w:left w:val="single" w:sz="6" w:space="0" w:color="D9D9D9"/>
              <w:bottom w:val="single" w:sz="6" w:space="0" w:color="D9D9D9"/>
              <w:right w:val="nil"/>
            </w:tcBorders>
            <w:shd w:val="clear" w:color="auto" w:fill="auto"/>
            <w:vAlign w:val="center"/>
            <w:hideMark/>
          </w:tcPr>
          <w:p w14:paraId="68AA29F0"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 </w:t>
            </w:r>
          </w:p>
        </w:tc>
      </w:tr>
      <w:tr w:rsidR="00F36DA5" w:rsidRPr="00F36DA5" w14:paraId="656DC9E5" w14:textId="77777777" w:rsidTr="009763A8">
        <w:trPr>
          <w:trHeight w:val="319"/>
        </w:trPr>
        <w:tc>
          <w:tcPr>
            <w:tcW w:w="2628" w:type="dxa"/>
            <w:tcBorders>
              <w:top w:val="single" w:sz="6" w:space="0" w:color="D9D9D9"/>
              <w:left w:val="nil"/>
              <w:bottom w:val="nil"/>
              <w:right w:val="single" w:sz="6" w:space="0" w:color="D9D9D9"/>
            </w:tcBorders>
            <w:shd w:val="clear" w:color="auto" w:fill="F2F2F2"/>
            <w:vAlign w:val="center"/>
            <w:hideMark/>
          </w:tcPr>
          <w:p w14:paraId="207B1309"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Total</w:t>
            </w:r>
            <w:r w:rsidRPr="00F36DA5">
              <w:rPr>
                <w:lang w:eastAsia="en-AU"/>
              </w:rPr>
              <w:t> </w:t>
            </w:r>
          </w:p>
        </w:tc>
        <w:tc>
          <w:tcPr>
            <w:tcW w:w="1736" w:type="dxa"/>
            <w:tcBorders>
              <w:top w:val="single" w:sz="6" w:space="0" w:color="D9D9D9"/>
              <w:left w:val="single" w:sz="6" w:space="0" w:color="D9D9D9"/>
              <w:bottom w:val="nil"/>
              <w:right w:val="single" w:sz="6" w:space="0" w:color="D9D9D9"/>
            </w:tcBorders>
            <w:shd w:val="clear" w:color="auto" w:fill="auto"/>
            <w:vAlign w:val="center"/>
            <w:hideMark/>
          </w:tcPr>
          <w:p w14:paraId="2C96019C"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1721" w:type="dxa"/>
            <w:tcBorders>
              <w:top w:val="single" w:sz="6" w:space="0" w:color="D9D9D9"/>
              <w:left w:val="single" w:sz="6" w:space="0" w:color="D9D9D9"/>
              <w:bottom w:val="nil"/>
              <w:right w:val="single" w:sz="6" w:space="0" w:color="D9D9D9"/>
            </w:tcBorders>
            <w:shd w:val="clear" w:color="auto" w:fill="auto"/>
            <w:vAlign w:val="center"/>
            <w:hideMark/>
          </w:tcPr>
          <w:p w14:paraId="11C88023"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1738" w:type="dxa"/>
            <w:tcBorders>
              <w:top w:val="single" w:sz="6" w:space="0" w:color="D9D9D9"/>
              <w:left w:val="single" w:sz="6" w:space="0" w:color="D9D9D9"/>
              <w:bottom w:val="nil"/>
              <w:right w:val="single" w:sz="6" w:space="0" w:color="D9D9D9"/>
            </w:tcBorders>
            <w:shd w:val="clear" w:color="auto" w:fill="auto"/>
            <w:vAlign w:val="center"/>
            <w:hideMark/>
          </w:tcPr>
          <w:p w14:paraId="53E8769C"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1733" w:type="dxa"/>
            <w:tcBorders>
              <w:top w:val="single" w:sz="6" w:space="0" w:color="D9D9D9"/>
              <w:left w:val="single" w:sz="6" w:space="0" w:color="D9D9D9"/>
              <w:bottom w:val="nil"/>
              <w:right w:val="nil"/>
            </w:tcBorders>
            <w:shd w:val="clear" w:color="auto" w:fill="auto"/>
            <w:vAlign w:val="center"/>
            <w:hideMark/>
          </w:tcPr>
          <w:p w14:paraId="181B2BD8"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r>
    </w:tbl>
    <w:p w14:paraId="3FE73A85" w14:textId="77777777" w:rsidR="00F36DA5" w:rsidRPr="0084331B" w:rsidRDefault="00F36DA5" w:rsidP="00F36DA5">
      <w:pPr>
        <w:textAlignment w:val="baseline"/>
        <w:rPr>
          <w:rFonts w:ascii="Segoe UI" w:eastAsia="Times New Roman" w:hAnsi="Segoe UI" w:cs="Segoe UI"/>
          <w:b/>
          <w:sz w:val="18"/>
          <w:szCs w:val="18"/>
          <w:lang w:eastAsia="en-AU"/>
        </w:rPr>
      </w:pPr>
      <w:r w:rsidRPr="00F36DA5">
        <w:rPr>
          <w:rFonts w:ascii="Arial" w:eastAsia="Times New Roman" w:hAnsi="Arial" w:cs="Arial"/>
          <w:szCs w:val="20"/>
          <w:lang w:eastAsia="en-AU"/>
        </w:rPr>
        <w:t> </w:t>
      </w:r>
    </w:p>
    <w:p w14:paraId="24BCE279" w14:textId="20EB8C72" w:rsidR="00F36DA5" w:rsidRPr="00085793" w:rsidRDefault="00A62112" w:rsidP="00F36DA5">
      <w:pPr>
        <w:textAlignment w:val="baseline"/>
        <w:rPr>
          <w:rFonts w:ascii="Segoe UI" w:eastAsia="Times New Roman" w:hAnsi="Segoe UI" w:cs="Segoe UI"/>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28</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085793">
        <w:rPr>
          <w:rFonts w:ascii="Calibri" w:eastAsia="Times New Roman" w:hAnsi="Calibri" w:cs="Calibri"/>
          <w:i/>
          <w:iCs/>
          <w:sz w:val="18"/>
          <w:szCs w:val="18"/>
          <w:lang w:eastAsia="en-AU"/>
        </w:rPr>
        <w:t>Regulatory burden estimate by rule and obligation (2021-22 consultation period)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71"/>
        <w:gridCol w:w="2369"/>
        <w:gridCol w:w="2372"/>
      </w:tblGrid>
      <w:tr w:rsidR="00F36DA5" w:rsidRPr="00F36DA5" w14:paraId="63F12E85" w14:textId="77777777" w:rsidTr="009763A8">
        <w:trPr>
          <w:trHeight w:val="515"/>
        </w:trPr>
        <w:tc>
          <w:tcPr>
            <w:tcW w:w="2378" w:type="dxa"/>
            <w:tcBorders>
              <w:top w:val="nil"/>
              <w:left w:val="nil"/>
              <w:bottom w:val="single" w:sz="6" w:space="0" w:color="D9D9D9"/>
              <w:right w:val="single" w:sz="6" w:space="0" w:color="D9D9D9"/>
            </w:tcBorders>
            <w:shd w:val="clear" w:color="auto" w:fill="284B98"/>
            <w:vAlign w:val="center"/>
            <w:hideMark/>
          </w:tcPr>
          <w:p w14:paraId="7D4913D8"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Percentage of 10 year estimate</w:t>
            </w:r>
            <w:r w:rsidRPr="00F36DA5">
              <w:rPr>
                <w:rFonts w:ascii="Arial" w:eastAsia="Times New Roman" w:hAnsi="Arial" w:cs="Arial"/>
                <w:color w:val="FFFFFF"/>
                <w:szCs w:val="20"/>
                <w:lang w:eastAsia="en-AU"/>
              </w:rPr>
              <w:t> </w:t>
            </w:r>
          </w:p>
        </w:tc>
        <w:tc>
          <w:tcPr>
            <w:tcW w:w="2371" w:type="dxa"/>
            <w:tcBorders>
              <w:top w:val="nil"/>
              <w:left w:val="single" w:sz="6" w:space="0" w:color="D9D9D9"/>
              <w:bottom w:val="single" w:sz="6" w:space="0" w:color="D9D9D9"/>
              <w:right w:val="single" w:sz="6" w:space="0" w:color="D9D9D9"/>
            </w:tcBorders>
            <w:shd w:val="clear" w:color="auto" w:fill="284B98"/>
            <w:vAlign w:val="center"/>
            <w:hideMark/>
          </w:tcPr>
          <w:p w14:paraId="778B4824"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Food and Grocery</w:t>
            </w:r>
            <w:r w:rsidRPr="00F36DA5">
              <w:rPr>
                <w:rFonts w:ascii="Arial" w:eastAsia="Times New Roman" w:hAnsi="Arial" w:cs="Arial"/>
                <w:color w:val="FFFFFF"/>
                <w:szCs w:val="20"/>
                <w:lang w:eastAsia="en-AU"/>
              </w:rPr>
              <w:t> </w:t>
            </w:r>
          </w:p>
        </w:tc>
        <w:tc>
          <w:tcPr>
            <w:tcW w:w="2369" w:type="dxa"/>
            <w:tcBorders>
              <w:top w:val="nil"/>
              <w:left w:val="single" w:sz="6" w:space="0" w:color="D9D9D9"/>
              <w:bottom w:val="single" w:sz="6" w:space="0" w:color="D9D9D9"/>
              <w:right w:val="single" w:sz="6" w:space="0" w:color="D9D9D9"/>
            </w:tcBorders>
            <w:shd w:val="clear" w:color="auto" w:fill="284B98"/>
            <w:vAlign w:val="center"/>
            <w:hideMark/>
          </w:tcPr>
          <w:p w14:paraId="355B84E4"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Freight</w:t>
            </w:r>
            <w:r w:rsidRPr="00F36DA5">
              <w:rPr>
                <w:rFonts w:ascii="Arial" w:eastAsia="Times New Roman" w:hAnsi="Arial" w:cs="Arial"/>
                <w:color w:val="FFFFFF"/>
                <w:szCs w:val="20"/>
                <w:lang w:eastAsia="en-AU"/>
              </w:rPr>
              <w:t> </w:t>
            </w:r>
          </w:p>
        </w:tc>
        <w:tc>
          <w:tcPr>
            <w:tcW w:w="2372" w:type="dxa"/>
            <w:tcBorders>
              <w:top w:val="nil"/>
              <w:left w:val="single" w:sz="6" w:space="0" w:color="D9D9D9"/>
              <w:bottom w:val="single" w:sz="6" w:space="0" w:color="D9D9D9"/>
              <w:right w:val="nil"/>
            </w:tcBorders>
            <w:shd w:val="clear" w:color="auto" w:fill="284B98"/>
            <w:vAlign w:val="center"/>
            <w:hideMark/>
          </w:tcPr>
          <w:p w14:paraId="1305E364" w14:textId="77777777" w:rsidR="00F36DA5" w:rsidRPr="00F36DA5" w:rsidRDefault="00F36DA5" w:rsidP="00F36DA5">
            <w:pPr>
              <w:jc w:val="cente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Payment Systems</w:t>
            </w:r>
            <w:r w:rsidRPr="00F36DA5">
              <w:rPr>
                <w:rFonts w:ascii="Arial" w:eastAsia="Times New Roman" w:hAnsi="Arial" w:cs="Arial"/>
                <w:color w:val="FFFFFF"/>
                <w:szCs w:val="20"/>
                <w:lang w:eastAsia="en-AU"/>
              </w:rPr>
              <w:t> </w:t>
            </w:r>
          </w:p>
        </w:tc>
      </w:tr>
      <w:tr w:rsidR="00F36DA5" w:rsidRPr="00F36DA5" w14:paraId="4B451514"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36929130" w14:textId="77777777" w:rsidR="00F36DA5" w:rsidRPr="00F36DA5" w:rsidRDefault="00F36DA5" w:rsidP="00E171F2">
            <w:pPr>
              <w:pStyle w:val="TableBody"/>
              <w:rPr>
                <w:rFonts w:ascii="Times New Roman" w:hAnsi="Times New Roman"/>
                <w:sz w:val="24"/>
                <w:szCs w:val="24"/>
                <w:lang w:eastAsia="en-AU"/>
              </w:rPr>
            </w:pPr>
            <w:r w:rsidRPr="00F36DA5">
              <w:rPr>
                <w:lang w:eastAsia="en-AU"/>
              </w:rPr>
              <w:t>RMP obligations in the Act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FD8B55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5%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7B2328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w:t>
            </w:r>
            <w:r w:rsidR="003C0B7B">
              <w:rPr>
                <w:color w:val="000000"/>
                <w:lang w:eastAsia="en-AU"/>
              </w:rPr>
              <w:t>8</w:t>
            </w:r>
            <w:r w:rsidRPr="00F36DA5">
              <w:rPr>
                <w:color w:val="000000"/>
                <w:lang w:eastAsia="en-AU"/>
              </w:rPr>
              <w:t>%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7A4885E1"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17% </w:t>
            </w:r>
          </w:p>
        </w:tc>
      </w:tr>
      <w:tr w:rsidR="00F36DA5" w:rsidRPr="00F36DA5" w14:paraId="5AFB667B"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34468259" w14:textId="77777777" w:rsidR="00F36DA5" w:rsidRPr="00F36DA5" w:rsidRDefault="00F36DA5" w:rsidP="00E171F2">
            <w:pPr>
              <w:pStyle w:val="TableBody"/>
              <w:rPr>
                <w:rFonts w:ascii="Times New Roman" w:hAnsi="Times New Roman"/>
                <w:sz w:val="24"/>
                <w:szCs w:val="24"/>
                <w:lang w:eastAsia="en-AU"/>
              </w:rPr>
            </w:pPr>
            <w:r w:rsidRPr="00F36DA5">
              <w:rPr>
                <w:lang w:eastAsia="en-AU"/>
              </w:rPr>
              <w:t>General rules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0036142" w14:textId="77777777" w:rsidR="00F36DA5" w:rsidRPr="00F36DA5" w:rsidRDefault="00C73375" w:rsidP="00E171F2">
            <w:pPr>
              <w:pStyle w:val="TableBody"/>
              <w:rPr>
                <w:rFonts w:ascii="Times New Roman" w:hAnsi="Times New Roman"/>
                <w:sz w:val="24"/>
                <w:szCs w:val="24"/>
                <w:lang w:eastAsia="en-AU"/>
              </w:rPr>
            </w:pPr>
            <w:r>
              <w:rPr>
                <w:color w:val="000000"/>
                <w:lang w:eastAsia="en-AU"/>
              </w:rPr>
              <w:t>5</w:t>
            </w:r>
            <w:r w:rsidR="00F36DA5" w:rsidRPr="00F36DA5">
              <w:rPr>
                <w:color w:val="000000"/>
                <w:lang w:eastAsia="en-AU"/>
              </w:rPr>
              <w:t>%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B6DB0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3%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3DFE2C6F"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9% </w:t>
            </w:r>
          </w:p>
        </w:tc>
      </w:tr>
      <w:tr w:rsidR="00F36DA5" w:rsidRPr="00F36DA5" w14:paraId="4AF5C7DC"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79975373"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CIRMP Rules</w:t>
            </w:r>
            <w:r w:rsidRPr="00F36DA5">
              <w:rPr>
                <w:lang w:eastAsia="en-AU"/>
              </w:rPr>
              <w:t> </w:t>
            </w:r>
          </w:p>
        </w:tc>
        <w:tc>
          <w:tcPr>
            <w:tcW w:w="2371"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3D6949A8"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2369" w:type="dxa"/>
            <w:tcBorders>
              <w:top w:val="single" w:sz="6" w:space="0" w:color="D9D9D9"/>
              <w:left w:val="single" w:sz="6" w:space="0" w:color="D9D9D9"/>
              <w:bottom w:val="single" w:sz="6" w:space="0" w:color="D9D9D9"/>
              <w:right w:val="single" w:sz="6" w:space="0" w:color="D9D9D9"/>
            </w:tcBorders>
            <w:shd w:val="clear" w:color="auto" w:fill="F2F2F2"/>
            <w:vAlign w:val="center"/>
            <w:hideMark/>
          </w:tcPr>
          <w:p w14:paraId="0B3B74A5"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c>
          <w:tcPr>
            <w:tcW w:w="2372" w:type="dxa"/>
            <w:tcBorders>
              <w:top w:val="single" w:sz="6" w:space="0" w:color="D9D9D9"/>
              <w:left w:val="single" w:sz="6" w:space="0" w:color="D9D9D9"/>
              <w:bottom w:val="single" w:sz="6" w:space="0" w:color="D9D9D9"/>
              <w:right w:val="nil"/>
            </w:tcBorders>
            <w:shd w:val="clear" w:color="auto" w:fill="F2F2F2"/>
            <w:vAlign w:val="center"/>
            <w:hideMark/>
          </w:tcPr>
          <w:p w14:paraId="02F6A3C7" w14:textId="77777777" w:rsidR="00F36DA5" w:rsidRPr="00F36DA5" w:rsidRDefault="00F36DA5" w:rsidP="00E171F2">
            <w:pPr>
              <w:pStyle w:val="TableBody"/>
              <w:rPr>
                <w:rFonts w:ascii="Times New Roman" w:hAnsi="Times New Roman"/>
                <w:sz w:val="24"/>
                <w:szCs w:val="24"/>
                <w:lang w:eastAsia="en-AU"/>
              </w:rPr>
            </w:pPr>
            <w:r w:rsidRPr="00F36DA5">
              <w:rPr>
                <w:lang w:eastAsia="en-AU"/>
              </w:rPr>
              <w:t> </w:t>
            </w:r>
          </w:p>
        </w:tc>
      </w:tr>
      <w:tr w:rsidR="00F36DA5" w:rsidRPr="00F36DA5" w14:paraId="5C053FC9"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52011019" w14:textId="77777777" w:rsidR="00F36DA5" w:rsidRPr="00F36DA5" w:rsidRDefault="00F36DA5" w:rsidP="00E171F2">
            <w:pPr>
              <w:pStyle w:val="TableBody"/>
              <w:rPr>
                <w:rFonts w:ascii="Times New Roman" w:hAnsi="Times New Roman"/>
                <w:sz w:val="24"/>
                <w:szCs w:val="24"/>
                <w:lang w:eastAsia="en-AU"/>
              </w:rPr>
            </w:pPr>
            <w:r w:rsidRPr="00F36DA5">
              <w:rPr>
                <w:lang w:eastAsia="en-AU"/>
              </w:rPr>
              <w:t>Cyber and information security hazard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DD38360"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w:t>
            </w:r>
            <w:r w:rsidR="00C73375">
              <w:rPr>
                <w:color w:val="000000"/>
                <w:lang w:eastAsia="en-AU"/>
              </w:rPr>
              <w:t>2</w:t>
            </w:r>
            <w:r w:rsidRPr="00F36DA5">
              <w:rPr>
                <w:color w:val="000000"/>
                <w:lang w:eastAsia="en-AU"/>
              </w:rPr>
              <w:t>%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0663A9C2"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w:t>
            </w:r>
            <w:r w:rsidR="001B7380">
              <w:rPr>
                <w:color w:val="000000"/>
                <w:lang w:eastAsia="en-AU"/>
              </w:rPr>
              <w:t>6</w:t>
            </w:r>
            <w:r w:rsidRPr="00F36DA5">
              <w:rPr>
                <w:color w:val="000000"/>
                <w:lang w:eastAsia="en-AU"/>
              </w:rPr>
              <w:t>%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38742D9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18% </w:t>
            </w:r>
          </w:p>
        </w:tc>
      </w:tr>
      <w:tr w:rsidR="00F36DA5" w:rsidRPr="00F36DA5" w14:paraId="26B17F39"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506CE4A0" w14:textId="77777777" w:rsidR="00F36DA5" w:rsidRPr="00F36DA5" w:rsidRDefault="00F36DA5" w:rsidP="00E171F2">
            <w:pPr>
              <w:pStyle w:val="TableBody"/>
              <w:rPr>
                <w:rFonts w:ascii="Times New Roman" w:hAnsi="Times New Roman"/>
                <w:sz w:val="24"/>
                <w:szCs w:val="24"/>
                <w:lang w:eastAsia="en-AU"/>
              </w:rPr>
            </w:pPr>
            <w:r w:rsidRPr="00F36DA5">
              <w:rPr>
                <w:lang w:eastAsia="en-AU"/>
              </w:rPr>
              <w:t>Personnel hazard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C8BA976"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w:t>
            </w:r>
            <w:r w:rsidR="003C0B7B">
              <w:rPr>
                <w:color w:val="000000"/>
                <w:lang w:eastAsia="en-AU"/>
              </w:rPr>
              <w:t>2</w:t>
            </w:r>
            <w:r w:rsidRPr="00F36DA5">
              <w:rPr>
                <w:color w:val="000000"/>
                <w:lang w:eastAsia="en-AU"/>
              </w:rPr>
              <w:t>%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14F0FDD2"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7%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7C460EC4"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4% </w:t>
            </w:r>
          </w:p>
        </w:tc>
      </w:tr>
      <w:tr w:rsidR="00F36DA5" w:rsidRPr="00F36DA5" w14:paraId="53966A23"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026A77AA" w14:textId="77777777" w:rsidR="00F36DA5" w:rsidRPr="00F36DA5" w:rsidRDefault="00F36DA5" w:rsidP="00E171F2">
            <w:pPr>
              <w:pStyle w:val="TableBody"/>
              <w:rPr>
                <w:rFonts w:ascii="Times New Roman" w:hAnsi="Times New Roman"/>
                <w:sz w:val="24"/>
                <w:szCs w:val="24"/>
                <w:lang w:eastAsia="en-AU"/>
              </w:rPr>
            </w:pPr>
            <w:r w:rsidRPr="00F36DA5">
              <w:rPr>
                <w:lang w:eastAsia="en-AU"/>
              </w:rPr>
              <w:t>Supply chain hazard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497D72F3"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12%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CAFA4FA"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w:t>
            </w:r>
            <w:r w:rsidR="001B7380">
              <w:rPr>
                <w:color w:val="000000"/>
                <w:lang w:eastAsia="en-AU"/>
              </w:rPr>
              <w:t>2</w:t>
            </w:r>
            <w:r w:rsidRPr="00F36DA5">
              <w:rPr>
                <w:color w:val="000000"/>
                <w:lang w:eastAsia="en-AU"/>
              </w:rPr>
              <w:t>%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2958ED5A"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9% </w:t>
            </w:r>
          </w:p>
        </w:tc>
      </w:tr>
      <w:tr w:rsidR="00F36DA5" w:rsidRPr="00F36DA5" w14:paraId="74E501A5"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4C72B5C1" w14:textId="77777777" w:rsidR="00F36DA5" w:rsidRPr="00F36DA5" w:rsidRDefault="00F36DA5" w:rsidP="00E171F2">
            <w:pPr>
              <w:pStyle w:val="TableBody"/>
              <w:rPr>
                <w:rFonts w:ascii="Times New Roman" w:hAnsi="Times New Roman"/>
                <w:sz w:val="24"/>
                <w:szCs w:val="24"/>
                <w:lang w:eastAsia="en-AU"/>
              </w:rPr>
            </w:pPr>
            <w:r w:rsidRPr="00F36DA5">
              <w:rPr>
                <w:lang w:eastAsia="en-AU"/>
              </w:rPr>
              <w:t>Physical and natural hazard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7B37C4F"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13%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6BB4E2AD"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11%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1568E9FB"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14% </w:t>
            </w:r>
          </w:p>
        </w:tc>
      </w:tr>
      <w:tr w:rsidR="00F36DA5" w:rsidRPr="00F36DA5" w14:paraId="621BEFF9" w14:textId="77777777" w:rsidTr="009763A8">
        <w:trPr>
          <w:trHeight w:val="312"/>
        </w:trPr>
        <w:tc>
          <w:tcPr>
            <w:tcW w:w="2378" w:type="dxa"/>
            <w:tcBorders>
              <w:top w:val="single" w:sz="6" w:space="0" w:color="D9D9D9"/>
              <w:left w:val="nil"/>
              <w:bottom w:val="single" w:sz="6" w:space="0" w:color="D9D9D9"/>
              <w:right w:val="single" w:sz="6" w:space="0" w:color="D9D9D9"/>
            </w:tcBorders>
            <w:shd w:val="clear" w:color="auto" w:fill="F2F2F2"/>
            <w:vAlign w:val="center"/>
            <w:hideMark/>
          </w:tcPr>
          <w:p w14:paraId="107D1161" w14:textId="77777777" w:rsidR="00F36DA5" w:rsidRPr="00F36DA5" w:rsidRDefault="00F36DA5" w:rsidP="00E171F2">
            <w:pPr>
              <w:pStyle w:val="TableBody"/>
              <w:rPr>
                <w:rFonts w:ascii="Times New Roman" w:hAnsi="Times New Roman"/>
                <w:sz w:val="24"/>
                <w:szCs w:val="24"/>
                <w:lang w:eastAsia="en-AU"/>
              </w:rPr>
            </w:pPr>
            <w:r w:rsidRPr="00F36DA5">
              <w:rPr>
                <w:lang w:eastAsia="en-AU"/>
              </w:rPr>
              <w:t>Material risk </w:t>
            </w:r>
          </w:p>
        </w:tc>
        <w:tc>
          <w:tcPr>
            <w:tcW w:w="2371"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29106239"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11% </w:t>
            </w:r>
          </w:p>
        </w:tc>
        <w:tc>
          <w:tcPr>
            <w:tcW w:w="2369" w:type="dxa"/>
            <w:tcBorders>
              <w:top w:val="single" w:sz="6" w:space="0" w:color="D9D9D9"/>
              <w:left w:val="single" w:sz="6" w:space="0" w:color="D9D9D9"/>
              <w:bottom w:val="single" w:sz="6" w:space="0" w:color="D9D9D9"/>
              <w:right w:val="single" w:sz="6" w:space="0" w:color="D9D9D9"/>
            </w:tcBorders>
            <w:shd w:val="clear" w:color="auto" w:fill="auto"/>
            <w:vAlign w:val="center"/>
            <w:hideMark/>
          </w:tcPr>
          <w:p w14:paraId="7494F015"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13% </w:t>
            </w:r>
          </w:p>
        </w:tc>
        <w:tc>
          <w:tcPr>
            <w:tcW w:w="2372" w:type="dxa"/>
            <w:tcBorders>
              <w:top w:val="single" w:sz="6" w:space="0" w:color="D9D9D9"/>
              <w:left w:val="single" w:sz="6" w:space="0" w:color="D9D9D9"/>
              <w:bottom w:val="single" w:sz="6" w:space="0" w:color="D9D9D9"/>
              <w:right w:val="nil"/>
            </w:tcBorders>
            <w:shd w:val="clear" w:color="auto" w:fill="auto"/>
            <w:vAlign w:val="center"/>
            <w:hideMark/>
          </w:tcPr>
          <w:p w14:paraId="10CB4B7F" w14:textId="77777777" w:rsidR="00F36DA5" w:rsidRPr="00F36DA5" w:rsidRDefault="00F36DA5" w:rsidP="00E171F2">
            <w:pPr>
              <w:pStyle w:val="TableBody"/>
              <w:rPr>
                <w:rFonts w:ascii="Times New Roman" w:hAnsi="Times New Roman"/>
                <w:sz w:val="24"/>
                <w:szCs w:val="24"/>
                <w:lang w:eastAsia="en-AU"/>
              </w:rPr>
            </w:pPr>
            <w:r w:rsidRPr="00F36DA5">
              <w:rPr>
                <w:color w:val="000000"/>
                <w:lang w:eastAsia="en-AU"/>
              </w:rPr>
              <w:t>29% </w:t>
            </w:r>
          </w:p>
        </w:tc>
      </w:tr>
      <w:tr w:rsidR="00F36DA5" w:rsidRPr="00F36DA5" w14:paraId="484B27A3" w14:textId="77777777" w:rsidTr="009763A8">
        <w:trPr>
          <w:trHeight w:val="312"/>
        </w:trPr>
        <w:tc>
          <w:tcPr>
            <w:tcW w:w="2378" w:type="dxa"/>
            <w:tcBorders>
              <w:top w:val="single" w:sz="6" w:space="0" w:color="D9D9D9"/>
              <w:left w:val="nil"/>
              <w:bottom w:val="nil"/>
              <w:right w:val="single" w:sz="6" w:space="0" w:color="D9D9D9"/>
            </w:tcBorders>
            <w:shd w:val="clear" w:color="auto" w:fill="F2F2F2"/>
            <w:vAlign w:val="center"/>
            <w:hideMark/>
          </w:tcPr>
          <w:p w14:paraId="64D1FD12" w14:textId="77777777" w:rsidR="00F36DA5" w:rsidRPr="00F36DA5" w:rsidRDefault="00F36DA5" w:rsidP="00E171F2">
            <w:pPr>
              <w:pStyle w:val="TableBody"/>
              <w:rPr>
                <w:rFonts w:ascii="Times New Roman" w:hAnsi="Times New Roman"/>
                <w:sz w:val="24"/>
                <w:szCs w:val="24"/>
                <w:lang w:eastAsia="en-AU"/>
              </w:rPr>
            </w:pPr>
            <w:r w:rsidRPr="00F36DA5">
              <w:rPr>
                <w:b/>
                <w:bCs/>
                <w:lang w:eastAsia="en-AU"/>
              </w:rPr>
              <w:t>Total</w:t>
            </w:r>
            <w:r w:rsidRPr="00F36DA5">
              <w:rPr>
                <w:lang w:eastAsia="en-AU"/>
              </w:rPr>
              <w:t> </w:t>
            </w:r>
          </w:p>
        </w:tc>
        <w:tc>
          <w:tcPr>
            <w:tcW w:w="2371" w:type="dxa"/>
            <w:tcBorders>
              <w:top w:val="single" w:sz="6" w:space="0" w:color="D9D9D9"/>
              <w:left w:val="single" w:sz="6" w:space="0" w:color="D9D9D9"/>
              <w:bottom w:val="nil"/>
              <w:right w:val="single" w:sz="6" w:space="0" w:color="D9D9D9"/>
            </w:tcBorders>
            <w:shd w:val="clear" w:color="auto" w:fill="auto"/>
            <w:vAlign w:val="center"/>
            <w:hideMark/>
          </w:tcPr>
          <w:p w14:paraId="66E67EAB"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2369" w:type="dxa"/>
            <w:tcBorders>
              <w:top w:val="single" w:sz="6" w:space="0" w:color="D9D9D9"/>
              <w:left w:val="single" w:sz="6" w:space="0" w:color="D9D9D9"/>
              <w:bottom w:val="nil"/>
              <w:right w:val="single" w:sz="6" w:space="0" w:color="D9D9D9"/>
            </w:tcBorders>
            <w:shd w:val="clear" w:color="auto" w:fill="auto"/>
            <w:vAlign w:val="center"/>
            <w:hideMark/>
          </w:tcPr>
          <w:p w14:paraId="33964BE0"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c>
          <w:tcPr>
            <w:tcW w:w="2372" w:type="dxa"/>
            <w:tcBorders>
              <w:top w:val="single" w:sz="6" w:space="0" w:color="D9D9D9"/>
              <w:left w:val="single" w:sz="6" w:space="0" w:color="D9D9D9"/>
              <w:bottom w:val="nil"/>
              <w:right w:val="nil"/>
            </w:tcBorders>
            <w:shd w:val="clear" w:color="auto" w:fill="auto"/>
            <w:vAlign w:val="center"/>
            <w:hideMark/>
          </w:tcPr>
          <w:p w14:paraId="27E99D7A" w14:textId="77777777" w:rsidR="00F36DA5" w:rsidRPr="00F36DA5" w:rsidRDefault="00F36DA5" w:rsidP="00E171F2">
            <w:pPr>
              <w:pStyle w:val="TableBody"/>
              <w:rPr>
                <w:rFonts w:ascii="Times New Roman" w:hAnsi="Times New Roman"/>
                <w:sz w:val="24"/>
                <w:szCs w:val="24"/>
                <w:lang w:eastAsia="en-AU"/>
              </w:rPr>
            </w:pPr>
            <w:r w:rsidRPr="00F36DA5">
              <w:rPr>
                <w:b/>
                <w:bCs/>
                <w:color w:val="000000"/>
                <w:lang w:eastAsia="en-AU"/>
              </w:rPr>
              <w:t>100%</w:t>
            </w:r>
            <w:r w:rsidRPr="00F36DA5">
              <w:rPr>
                <w:color w:val="000000"/>
                <w:lang w:eastAsia="en-AU"/>
              </w:rPr>
              <w:t> </w:t>
            </w:r>
          </w:p>
        </w:tc>
      </w:tr>
    </w:tbl>
    <w:p w14:paraId="063C7BA6" w14:textId="77777777" w:rsidR="00F36DA5" w:rsidRPr="00F36DA5" w:rsidRDefault="00F36DA5" w:rsidP="00F36DA5">
      <w:pPr>
        <w:textAlignment w:val="baseline"/>
        <w:rPr>
          <w:rFonts w:ascii="Segoe UI" w:eastAsia="Times New Roman" w:hAnsi="Segoe UI" w:cs="Segoe UI"/>
          <w:sz w:val="18"/>
          <w:szCs w:val="18"/>
          <w:lang w:eastAsia="en-AU"/>
        </w:rPr>
      </w:pPr>
      <w:r w:rsidRPr="00F36DA5">
        <w:rPr>
          <w:rFonts w:ascii="Arial" w:eastAsia="Times New Roman" w:hAnsi="Arial" w:cs="Arial"/>
          <w:szCs w:val="20"/>
          <w:lang w:eastAsia="en-AU"/>
        </w:rPr>
        <w:t> </w:t>
      </w:r>
    </w:p>
    <w:p w14:paraId="59604434" w14:textId="21469FC8" w:rsidR="00F36DA5" w:rsidRPr="00F36DA5" w:rsidRDefault="00F36DA5" w:rsidP="00E171F2">
      <w:pPr>
        <w:pStyle w:val="BodyText"/>
        <w:rPr>
          <w:rFonts w:ascii="Segoe UI" w:hAnsi="Segoe UI" w:cs="Segoe UI"/>
          <w:sz w:val="18"/>
          <w:szCs w:val="18"/>
        </w:rPr>
      </w:pPr>
      <w:r w:rsidRPr="00F36DA5">
        <w:t xml:space="preserve">The costs described in </w:t>
      </w:r>
      <w:r w:rsidR="00097A23">
        <w:t>T</w:t>
      </w:r>
      <w:r w:rsidRPr="00F36DA5">
        <w:t>ables 2</w:t>
      </w:r>
      <w:r w:rsidR="0083672C">
        <w:t>5</w:t>
      </w:r>
      <w:r w:rsidRPr="00F36DA5">
        <w:t>, 2</w:t>
      </w:r>
      <w:r w:rsidR="0083672C">
        <w:t>6</w:t>
      </w:r>
      <w:r w:rsidRPr="00F36DA5">
        <w:t>, 2</w:t>
      </w:r>
      <w:r w:rsidR="0083672C">
        <w:t>7</w:t>
      </w:r>
      <w:r w:rsidRPr="00F36DA5">
        <w:t xml:space="preserve"> and 2</w:t>
      </w:r>
      <w:r w:rsidR="0083672C">
        <w:t>8</w:t>
      </w:r>
      <w:r w:rsidRPr="00F36DA5">
        <w:t xml:space="preserve"> were put to industry for validation in the draft IA. As with Measure 1, industry did not dispute the costs included in the 2022 RIS. Some parts of industry expressed the view that the nature of the proposed power would made provision of precise costs hard to estimate. However, the proposed costs were generally considered reasonable. </w:t>
      </w:r>
    </w:p>
    <w:p w14:paraId="5D2561DF" w14:textId="77777777" w:rsidR="00F36DA5" w:rsidRPr="00F36DA5" w:rsidRDefault="00F36DA5" w:rsidP="00E171F2">
      <w:pPr>
        <w:pStyle w:val="BodyText"/>
        <w:rPr>
          <w:rFonts w:ascii="Segoe UI" w:hAnsi="Segoe UI" w:cs="Segoe UI"/>
          <w:sz w:val="18"/>
          <w:szCs w:val="18"/>
        </w:rPr>
      </w:pPr>
      <w:r w:rsidRPr="00F36DA5">
        <w:t>For sectors required to comply with the CIRMP rules there are no anticipated additional costs beyond the total range and estimated regulatory burden in the 2022 RIS where an entity is instructed to take action to meet this baseline. Overall, costs of Measure 3 represent an enforcement cost, and likely falls within the range of costs provided by industry during the 2021-22 consultation period.  </w:t>
      </w:r>
    </w:p>
    <w:p w14:paraId="7E287FD3" w14:textId="77777777" w:rsidR="00F36DA5" w:rsidRPr="00F36DA5" w:rsidRDefault="00F36DA5" w:rsidP="00E171F2">
      <w:pPr>
        <w:pStyle w:val="BodyText"/>
        <w:rPr>
          <w:rFonts w:ascii="Segoe UI" w:hAnsi="Segoe UI" w:cs="Segoe UI"/>
          <w:sz w:val="18"/>
          <w:szCs w:val="18"/>
        </w:rPr>
      </w:pPr>
      <w:r w:rsidRPr="00F36DA5">
        <w:t>It is expected that the Department would intervene as little as once every 3 years to rectify a deficient RMP.  </w:t>
      </w:r>
    </w:p>
    <w:p w14:paraId="72BCBD5B" w14:textId="03DA1059" w:rsidR="00F36DA5" w:rsidRPr="00F36DA5" w:rsidRDefault="00F36DA5" w:rsidP="0BBA59E1">
      <w:pPr>
        <w:pStyle w:val="BodyText"/>
        <w:rPr>
          <w:rFonts w:ascii="Segoe UI" w:hAnsi="Segoe UI" w:cs="Segoe UI"/>
          <w:sz w:val="18"/>
          <w:szCs w:val="18"/>
        </w:rPr>
      </w:pPr>
      <w:r>
        <w:t xml:space="preserve">While the average cost </w:t>
      </w:r>
      <w:r w:rsidR="53F008FE">
        <w:t xml:space="preserve">for an entity </w:t>
      </w:r>
      <w:r>
        <w:t xml:space="preserve">to implement an RMP is $8.8m for one-off implementation costs, with $4m in on-going costs as defined in Table 18, the nature of Measure 3 means </w:t>
      </w:r>
      <w:r w:rsidR="7F6E1FA9">
        <w:t>that exercise of the power would only require an entity to comply with an existing obligation, rather than introduce a new regulatory cost</w:t>
      </w:r>
      <w:r>
        <w:t xml:space="preserve"> Therefore, there would be limited regulatory cost to an entity should the power be exercised. This impact is lesser still </w:t>
      </w:r>
      <w:r w:rsidR="3B229F22">
        <w:t>‘</w:t>
      </w:r>
      <w:r>
        <w:t>where only some aspects of an entity’s RMP requires rectification. </w:t>
      </w:r>
    </w:p>
    <w:p w14:paraId="4DB94810" w14:textId="6E5A7465" w:rsidR="00F36DA5" w:rsidRPr="00F36DA5" w:rsidRDefault="78F1C533" w:rsidP="00E171F2">
      <w:pPr>
        <w:pStyle w:val="BodyText"/>
        <w:rPr>
          <w:rFonts w:ascii="Segoe UI" w:hAnsi="Segoe UI" w:cs="Segoe UI"/>
          <w:sz w:val="18"/>
          <w:szCs w:val="18"/>
        </w:rPr>
      </w:pPr>
      <w:r>
        <w:t>Further, the average cost of $8.8 million is heavily in</w:t>
      </w:r>
      <w:r w:rsidR="5AEF8498">
        <w:t xml:space="preserve">fluenced by one submission </w:t>
      </w:r>
      <w:r w:rsidR="38742D53">
        <w:t xml:space="preserve">to the draft version of this IA </w:t>
      </w:r>
      <w:r w:rsidR="5AEF8498">
        <w:t xml:space="preserve">which suggested that </w:t>
      </w:r>
      <w:r>
        <w:t>exercise of the power may cost up to $20 million. While this is possible, the Department considers</w:t>
      </w:r>
      <w:r w:rsidR="4C07B1C8">
        <w:t xml:space="preserve"> it unlikely. The Department suggests that $2 million may be a more reasonable estimate, noting that the cost is of enforcement rather than </w:t>
      </w:r>
      <w:r w:rsidR="3537818D">
        <w:t xml:space="preserve">regulatory </w:t>
      </w:r>
      <w:r w:rsidR="4C07B1C8">
        <w:t>compliance.</w:t>
      </w:r>
      <w:r>
        <w:t xml:space="preserve"> </w:t>
      </w:r>
    </w:p>
    <w:p w14:paraId="580E7F54" w14:textId="77777777" w:rsidR="00F36DA5" w:rsidRPr="00F36DA5" w:rsidRDefault="00F36DA5" w:rsidP="00E171F2">
      <w:pPr>
        <w:pStyle w:val="BodyText"/>
        <w:rPr>
          <w:rFonts w:ascii="Segoe UI" w:hAnsi="Segoe UI" w:cs="Segoe UI"/>
          <w:sz w:val="18"/>
          <w:szCs w:val="18"/>
        </w:rPr>
      </w:pPr>
      <w:r w:rsidRPr="00F36DA5">
        <w:t>For additional information on use of 2021-2022 data, see Appendix A.  </w:t>
      </w:r>
    </w:p>
    <w:p w14:paraId="3F379A79" w14:textId="77777777" w:rsidR="00F36DA5" w:rsidRPr="00F36DA5" w:rsidRDefault="00F36DA5" w:rsidP="00E171F2">
      <w:pPr>
        <w:pStyle w:val="Heading4"/>
        <w:rPr>
          <w:rFonts w:ascii="Segoe UI" w:hAnsi="Segoe UI" w:cs="Segoe UI"/>
          <w:sz w:val="18"/>
          <w:szCs w:val="18"/>
        </w:rPr>
      </w:pPr>
      <w:r w:rsidRPr="00F36DA5">
        <w:t>Costs of Measure 3 - Enforcing Critical infrastructure risk management obligations – review and remedy powers </w:t>
      </w:r>
    </w:p>
    <w:p w14:paraId="532DEF72" w14:textId="77777777" w:rsidR="00F36DA5" w:rsidRPr="00F36DA5" w:rsidRDefault="00F36DA5" w:rsidP="00E04EE0">
      <w:pPr>
        <w:pStyle w:val="BodyText"/>
        <w:rPr>
          <w:rFonts w:ascii="Segoe UI" w:hAnsi="Segoe UI" w:cs="Segoe UI"/>
          <w:sz w:val="18"/>
          <w:szCs w:val="18"/>
        </w:rPr>
      </w:pPr>
      <w:r w:rsidRPr="00F36DA5">
        <w:t>The economy-wide costs expected to be incurred by industry as a result of Measure 3 are expected to be low. This is because:  </w:t>
      </w:r>
    </w:p>
    <w:p w14:paraId="3A59B16C" w14:textId="77777777" w:rsidR="007608C0" w:rsidRDefault="00F36DA5" w:rsidP="00E04EE0">
      <w:pPr>
        <w:pStyle w:val="ListParagraph"/>
        <w:numPr>
          <w:ilvl w:val="0"/>
          <w:numId w:val="21"/>
        </w:numPr>
      </w:pPr>
      <w:r w:rsidRPr="00F36DA5">
        <w:t>The impact of this measure is expected to be limited, as the directions power should only apply to a small number of entities who receive a direction to rectify a deficient RMP</w:t>
      </w:r>
      <w:r w:rsidR="007608C0">
        <w:t xml:space="preserve">; </w:t>
      </w:r>
    </w:p>
    <w:p w14:paraId="2508297E" w14:textId="645AEB27" w:rsidR="00D5580E" w:rsidRDefault="007608C0" w:rsidP="00E04EE0">
      <w:pPr>
        <w:pStyle w:val="ListParagraph"/>
        <w:numPr>
          <w:ilvl w:val="0"/>
          <w:numId w:val="21"/>
        </w:numPr>
      </w:pPr>
      <w:r>
        <w:t>D</w:t>
      </w:r>
      <w:r w:rsidR="00F36DA5" w:rsidRPr="00F36DA5">
        <w:t>irections will only require compliance with the existing RMP obligation</w:t>
      </w:r>
      <w:r w:rsidR="00D5580E">
        <w:t xml:space="preserve">s; and </w:t>
      </w:r>
    </w:p>
    <w:p w14:paraId="2447B9F0" w14:textId="3304F29B" w:rsidR="00F36DA5" w:rsidRDefault="00F36DA5" w:rsidP="00E04EE0">
      <w:pPr>
        <w:pStyle w:val="ListParagraph"/>
        <w:numPr>
          <w:ilvl w:val="0"/>
          <w:numId w:val="21"/>
        </w:numPr>
      </w:pPr>
      <w:r w:rsidRPr="00F36DA5">
        <w:t>It is anticipated that the directions power will be used on average once every three years. </w:t>
      </w:r>
    </w:p>
    <w:p w14:paraId="1F519343" w14:textId="5B4D1392" w:rsidR="00E46775" w:rsidRDefault="00D1401B" w:rsidP="00E46775">
      <w:r>
        <w:t>Based on OIA guidance on the R</w:t>
      </w:r>
      <w:r w:rsidR="00E35A83">
        <w:t>BMF</w:t>
      </w:r>
      <w:r>
        <w:t xml:space="preserve">, costs associated with measure 3 are considered non-compliance and enforcement costs because: </w:t>
      </w:r>
    </w:p>
    <w:p w14:paraId="6A220D58" w14:textId="7E9F673F" w:rsidR="00D1401B" w:rsidRDefault="00C074C2" w:rsidP="00D1401B">
      <w:pPr>
        <w:pStyle w:val="ListParagraph"/>
        <w:numPr>
          <w:ilvl w:val="0"/>
          <w:numId w:val="106"/>
        </w:numPr>
      </w:pPr>
      <w:r>
        <w:t xml:space="preserve">Costs incurred by an entity under measure 3 </w:t>
      </w:r>
      <w:r w:rsidR="00807EAC">
        <w:t xml:space="preserve">will only arise where a business fails to comply with government requirements (existing RMP obligations) and action is necessary by the business to ensure compliance. </w:t>
      </w:r>
    </w:p>
    <w:p w14:paraId="706DC7C1" w14:textId="7699EABE" w:rsidR="009C160C" w:rsidRPr="00F36DA5" w:rsidRDefault="009C160C" w:rsidP="00436D55">
      <w:pPr>
        <w:pStyle w:val="ListParagraph"/>
        <w:numPr>
          <w:ilvl w:val="0"/>
          <w:numId w:val="106"/>
        </w:numPr>
      </w:pPr>
      <w:r>
        <w:t xml:space="preserve">Any new administrative processes, such as engagement with government on the contents of an entity’s RMP, </w:t>
      </w:r>
      <w:r w:rsidR="00E35A83">
        <w:t>are considered enforcement actions and sit outside the scope of the RBMF.</w:t>
      </w:r>
      <w:r w:rsidR="00862981">
        <w:rPr>
          <w:rStyle w:val="FootnoteReference"/>
        </w:rPr>
        <w:footnoteReference w:id="33"/>
      </w:r>
    </w:p>
    <w:p w14:paraId="48E2E109" w14:textId="5A75BA87" w:rsidR="003D619E" w:rsidRDefault="00F36DA5" w:rsidP="00E04EE0">
      <w:pPr>
        <w:pStyle w:val="ListParagraph"/>
      </w:pPr>
      <w:r>
        <w:t>With reference to Tables 2</w:t>
      </w:r>
      <w:r w:rsidR="0083672C">
        <w:t>5</w:t>
      </w:r>
      <w:r>
        <w:t xml:space="preserve"> – 2</w:t>
      </w:r>
      <w:r w:rsidR="0083672C">
        <w:t>8</w:t>
      </w:r>
      <w:r>
        <w:t xml:space="preserve"> above, cost estimates captured during the 2021-22 consultation period for the 11 relevant sectors contemplate a range of cost impacts up to the highest ‘feasible’ cost.</w:t>
      </w:r>
      <w:r w:rsidR="00B46162">
        <w:t xml:space="preserve"> </w:t>
      </w:r>
      <w:r>
        <w:t xml:space="preserve">This analysis also considered the estimated regulatory burden by rule and obligation. </w:t>
      </w:r>
    </w:p>
    <w:p w14:paraId="6EB4F7A3" w14:textId="67F4D4C2" w:rsidR="00F36DA5" w:rsidRDefault="0098298A" w:rsidP="00436D55">
      <w:pPr>
        <w:pStyle w:val="ListParagraph"/>
      </w:pPr>
      <w:r>
        <w:t>In the context of measure 3, these costs represent the cost</w:t>
      </w:r>
      <w:r w:rsidR="003D619E">
        <w:t xml:space="preserve">s an entity may incur to enhance </w:t>
      </w:r>
      <w:r>
        <w:t xml:space="preserve">their risk management practices to the baseline set by the RMP obligations. </w:t>
      </w:r>
      <w:r w:rsidR="00F36DA5">
        <w:t>Therefore, the review and remedy power is unlikely to increase the sector-wide cost beyond the ‘high’ range cost already considered during the 2021-22 consultation period</w:t>
      </w:r>
      <w:r w:rsidR="00F4567D">
        <w:t xml:space="preserve"> – as any direction </w:t>
      </w:r>
      <w:r w:rsidR="005B2A75">
        <w:t>issued under measure 3 represent</w:t>
      </w:r>
      <w:r w:rsidR="00A610B4">
        <w:t xml:space="preserve"> enforcement and non-compliance costs which will not exceed the figures outlined in Tables 2</w:t>
      </w:r>
      <w:r w:rsidR="0083672C">
        <w:t>5</w:t>
      </w:r>
      <w:r w:rsidR="00A610B4">
        <w:t xml:space="preserve"> – 2</w:t>
      </w:r>
      <w:r w:rsidR="0083672C">
        <w:t>8</w:t>
      </w:r>
      <w:r w:rsidR="00A610B4">
        <w:t xml:space="preserve"> above. </w:t>
      </w:r>
    </w:p>
    <w:p w14:paraId="2F8D250C" w14:textId="360E45CE" w:rsidR="00F36DA5" w:rsidRPr="00FC552B" w:rsidRDefault="00F36DA5" w:rsidP="0084331B">
      <w:pPr>
        <w:pStyle w:val="ListBullet"/>
        <w:numPr>
          <w:ilvl w:val="0"/>
          <w:numId w:val="0"/>
        </w:numPr>
        <w:rPr>
          <w:rFonts w:ascii="Segoe UI" w:hAnsi="Segoe UI" w:cs="Segoe UI"/>
          <w:sz w:val="18"/>
          <w:szCs w:val="18"/>
        </w:rPr>
      </w:pPr>
      <w:r>
        <w:t>Following consultation with industry participants on the draft IA, the below table outlines indicative costs for each sector. </w:t>
      </w:r>
      <w:hyperlink w:anchor="_5.2_Summary_of" w:history="1">
        <w:r w:rsidR="00225B3F" w:rsidRPr="00212522">
          <w:rPr>
            <w:rStyle w:val="Hyperlink"/>
            <w:rFonts w:ascii="Arial" w:eastAsia="Times New Roman" w:hAnsi="Arial" w:cs="Arial"/>
            <w:szCs w:val="20"/>
            <w:lang w:eastAsia="en-AU"/>
          </w:rPr>
          <w:t>Section 5</w:t>
        </w:r>
      </w:hyperlink>
      <w:r w:rsidR="00225B3F">
        <w:rPr>
          <w:rFonts w:ascii="Arial" w:eastAsia="Times New Roman" w:hAnsi="Arial" w:cs="Arial"/>
          <w:szCs w:val="20"/>
          <w:lang w:eastAsia="en-AU"/>
        </w:rPr>
        <w:t xml:space="preserve"> of this IA provides additional details on responses received through consultation, including how this feedback informed policy development.</w:t>
      </w:r>
    </w:p>
    <w:p w14:paraId="54D30883" w14:textId="6A6DCCB4" w:rsidR="00F36DA5" w:rsidRPr="00085793" w:rsidRDefault="00A62112" w:rsidP="00F36DA5">
      <w:pPr>
        <w:textAlignment w:val="baseline"/>
        <w:rPr>
          <w:rFonts w:ascii="Calibri" w:eastAsia="Times New Roman" w:hAnsi="Calibri" w:cs="Calibri"/>
          <w:bCs/>
          <w:i/>
          <w:iCs/>
          <w:sz w:val="18"/>
          <w:szCs w:val="18"/>
          <w:lang w:eastAsia="en-AU"/>
        </w:rPr>
      </w:pPr>
      <w:r w:rsidRPr="00630156">
        <w:rPr>
          <w:rFonts w:ascii="Calibri" w:hAnsi="Calibri" w:cs="Calibri"/>
          <w:b/>
          <w:bCs/>
          <w:i/>
          <w:iCs/>
          <w:sz w:val="18"/>
          <w:szCs w:val="18"/>
          <w:lang w:eastAsia="en-AU"/>
        </w:rPr>
        <w:t xml:space="preserve">Table </w:t>
      </w:r>
      <w:r w:rsidRPr="00630156">
        <w:rPr>
          <w:rFonts w:ascii="Calibri" w:hAnsi="Calibri" w:cs="Calibri"/>
          <w:b/>
          <w:bCs/>
          <w:i/>
          <w:iCs/>
          <w:sz w:val="18"/>
          <w:szCs w:val="18"/>
          <w:lang w:eastAsia="en-AU"/>
        </w:rPr>
        <w:fldChar w:fldCharType="begin"/>
      </w:r>
      <w:r w:rsidRPr="00630156">
        <w:rPr>
          <w:rFonts w:ascii="Calibri" w:hAnsi="Calibri" w:cs="Calibri"/>
          <w:b/>
          <w:bCs/>
          <w:i/>
          <w:iCs/>
          <w:sz w:val="18"/>
          <w:szCs w:val="18"/>
          <w:lang w:eastAsia="en-AU"/>
        </w:rPr>
        <w:instrText xml:space="preserve"> SEQ Table \* ARABIC </w:instrText>
      </w:r>
      <w:r w:rsidRPr="00630156">
        <w:rPr>
          <w:rFonts w:ascii="Calibri" w:hAnsi="Calibri" w:cs="Calibri"/>
          <w:b/>
          <w:bCs/>
          <w:i/>
          <w:iCs/>
          <w:sz w:val="18"/>
          <w:szCs w:val="18"/>
          <w:lang w:eastAsia="en-AU"/>
        </w:rPr>
        <w:fldChar w:fldCharType="separate"/>
      </w:r>
      <w:r w:rsidR="00E8506B">
        <w:rPr>
          <w:rFonts w:ascii="Calibri" w:hAnsi="Calibri" w:cs="Calibri"/>
          <w:b/>
          <w:bCs/>
          <w:i/>
          <w:iCs/>
          <w:noProof/>
          <w:sz w:val="18"/>
          <w:szCs w:val="18"/>
          <w:lang w:eastAsia="en-AU"/>
        </w:rPr>
        <w:t>29</w:t>
      </w:r>
      <w:r w:rsidRPr="00630156">
        <w:rPr>
          <w:rFonts w:ascii="Calibri" w:hAnsi="Calibri" w:cs="Calibri"/>
          <w:b/>
          <w:i/>
          <w:sz w:val="18"/>
          <w:szCs w:val="18"/>
          <w:lang w:eastAsia="en-AU"/>
        </w:rPr>
        <w:fldChar w:fldCharType="end"/>
      </w:r>
      <w:r>
        <w:rPr>
          <w:rFonts w:ascii="Calibri" w:hAnsi="Calibri" w:cs="Calibri"/>
          <w:b/>
          <w:i/>
          <w:sz w:val="18"/>
          <w:szCs w:val="18"/>
          <w:lang w:eastAsia="en-AU"/>
        </w:rPr>
        <w:t xml:space="preserve"> </w:t>
      </w:r>
      <w:r w:rsidR="00F36DA5" w:rsidRPr="00085793">
        <w:rPr>
          <w:rFonts w:ascii="Calibri" w:eastAsia="Times New Roman" w:hAnsi="Calibri" w:cs="Calibri"/>
          <w:bCs/>
          <w:i/>
          <w:iCs/>
          <w:sz w:val="18"/>
          <w:szCs w:val="18"/>
          <w:lang w:eastAsia="en-AU"/>
        </w:rPr>
        <w:t xml:space="preserve">Indicative </w:t>
      </w:r>
      <w:r w:rsidR="003E702E">
        <w:rPr>
          <w:rFonts w:ascii="Calibri" w:eastAsia="Times New Roman" w:hAnsi="Calibri" w:cs="Calibri"/>
          <w:bCs/>
          <w:i/>
          <w:iCs/>
          <w:sz w:val="18"/>
          <w:szCs w:val="18"/>
          <w:lang w:eastAsia="en-AU"/>
        </w:rPr>
        <w:t xml:space="preserve">economy-wide (or indirect) </w:t>
      </w:r>
      <w:r w:rsidR="00F36DA5" w:rsidRPr="00085793">
        <w:rPr>
          <w:rFonts w:ascii="Calibri" w:eastAsia="Times New Roman" w:hAnsi="Calibri" w:cs="Calibri"/>
          <w:bCs/>
          <w:i/>
          <w:iCs/>
          <w:sz w:val="18"/>
          <w:szCs w:val="18"/>
          <w:lang w:eastAsia="en-AU"/>
        </w:rPr>
        <w:t>costs of Measure 3 - Enforcing Critical infrastructure risk management obligations – review and remedy powers, for each sector </w:t>
      </w:r>
    </w:p>
    <w:tbl>
      <w:tblPr>
        <w:tblW w:w="9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1"/>
        <w:gridCol w:w="6783"/>
      </w:tblGrid>
      <w:tr w:rsidR="00F36DA5" w:rsidRPr="00F36DA5" w14:paraId="65081FDA" w14:textId="77777777" w:rsidTr="009763A8">
        <w:trPr>
          <w:trHeight w:val="308"/>
        </w:trPr>
        <w:tc>
          <w:tcPr>
            <w:tcW w:w="2481" w:type="dxa"/>
            <w:tcBorders>
              <w:top w:val="nil"/>
              <w:left w:val="nil"/>
              <w:bottom w:val="single" w:sz="6" w:space="0" w:color="D9D9D9"/>
              <w:right w:val="single" w:sz="6" w:space="0" w:color="D9D9D9"/>
            </w:tcBorders>
            <w:shd w:val="clear" w:color="auto" w:fill="2F5496"/>
            <w:vAlign w:val="center"/>
            <w:hideMark/>
          </w:tcPr>
          <w:p w14:paraId="3EFA6A8C"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Sector</w:t>
            </w:r>
            <w:r w:rsidRPr="00F36DA5">
              <w:rPr>
                <w:rFonts w:ascii="Arial" w:eastAsia="Times New Roman" w:hAnsi="Arial" w:cs="Arial"/>
                <w:color w:val="FFFFFF"/>
                <w:szCs w:val="20"/>
                <w:lang w:eastAsia="en-AU"/>
              </w:rPr>
              <w:t> </w:t>
            </w:r>
          </w:p>
        </w:tc>
        <w:tc>
          <w:tcPr>
            <w:tcW w:w="6783" w:type="dxa"/>
            <w:tcBorders>
              <w:top w:val="nil"/>
              <w:left w:val="single" w:sz="6" w:space="0" w:color="D9D9D9"/>
              <w:bottom w:val="single" w:sz="6" w:space="0" w:color="D9D9D9"/>
              <w:right w:val="nil"/>
            </w:tcBorders>
            <w:shd w:val="clear" w:color="auto" w:fill="2F5496"/>
            <w:vAlign w:val="center"/>
            <w:hideMark/>
          </w:tcPr>
          <w:p w14:paraId="27D65859" w14:textId="77777777" w:rsidR="00F36DA5" w:rsidRPr="00F36DA5" w:rsidRDefault="00F36DA5" w:rsidP="00F36DA5">
            <w:pPr>
              <w:textAlignment w:val="baseline"/>
              <w:rPr>
                <w:rFonts w:ascii="Times New Roman" w:eastAsia="Times New Roman" w:hAnsi="Times New Roman" w:cs="Times New Roman"/>
                <w:sz w:val="24"/>
                <w:szCs w:val="24"/>
                <w:lang w:eastAsia="en-AU"/>
              </w:rPr>
            </w:pPr>
            <w:r w:rsidRPr="00F36DA5">
              <w:rPr>
                <w:rFonts w:ascii="Arial" w:eastAsia="Times New Roman" w:hAnsi="Arial" w:cs="Arial"/>
                <w:b/>
                <w:bCs/>
                <w:color w:val="FFFFFF"/>
                <w:szCs w:val="20"/>
                <w:lang w:eastAsia="en-AU"/>
              </w:rPr>
              <w:t>Response</w:t>
            </w:r>
            <w:r w:rsidRPr="00F36DA5">
              <w:rPr>
                <w:rFonts w:ascii="Arial" w:eastAsia="Times New Roman" w:hAnsi="Arial" w:cs="Arial"/>
                <w:color w:val="FFFFFF"/>
                <w:szCs w:val="20"/>
                <w:lang w:eastAsia="en-AU"/>
              </w:rPr>
              <w:t> </w:t>
            </w:r>
          </w:p>
        </w:tc>
      </w:tr>
      <w:tr w:rsidR="00F36DA5" w:rsidRPr="00F36DA5" w14:paraId="6CE59DF3" w14:textId="77777777" w:rsidTr="009763A8">
        <w:trPr>
          <w:trHeight w:val="308"/>
        </w:trPr>
        <w:tc>
          <w:tcPr>
            <w:tcW w:w="2481" w:type="dxa"/>
            <w:tcBorders>
              <w:top w:val="single" w:sz="6" w:space="0" w:color="D9D9D9"/>
              <w:left w:val="nil"/>
              <w:bottom w:val="single" w:sz="6" w:space="0" w:color="D9D9D9"/>
              <w:right w:val="single" w:sz="6" w:space="0" w:color="D9D9D9"/>
            </w:tcBorders>
            <w:shd w:val="clear" w:color="auto" w:fill="F2F2F2"/>
            <w:vAlign w:val="center"/>
            <w:hideMark/>
          </w:tcPr>
          <w:p w14:paraId="03BAE004" w14:textId="77777777" w:rsidR="00F36DA5" w:rsidRPr="00F36DA5" w:rsidRDefault="00F36DA5" w:rsidP="00E171F2">
            <w:pPr>
              <w:pStyle w:val="TableBody"/>
              <w:rPr>
                <w:rFonts w:ascii="Times New Roman" w:hAnsi="Times New Roman"/>
                <w:sz w:val="24"/>
                <w:szCs w:val="24"/>
                <w:lang w:eastAsia="en-AU"/>
              </w:rPr>
            </w:pPr>
            <w:r w:rsidRPr="00F36DA5">
              <w:rPr>
                <w:lang w:eastAsia="en-AU"/>
              </w:rPr>
              <w:t>Energy </w:t>
            </w:r>
          </w:p>
        </w:tc>
        <w:tc>
          <w:tcPr>
            <w:tcW w:w="6783" w:type="dxa"/>
            <w:tcBorders>
              <w:top w:val="single" w:sz="6" w:space="0" w:color="D9D9D9"/>
              <w:left w:val="single" w:sz="6" w:space="0" w:color="D9D9D9"/>
              <w:bottom w:val="single" w:sz="6" w:space="0" w:color="D9D9D9"/>
              <w:right w:val="nil"/>
            </w:tcBorders>
            <w:shd w:val="clear" w:color="auto" w:fill="auto"/>
            <w:vAlign w:val="center"/>
            <w:hideMark/>
          </w:tcPr>
          <w:p w14:paraId="3330A98F" w14:textId="3A075C04" w:rsidR="00F36DA5" w:rsidRPr="00D8495B" w:rsidRDefault="00F36DA5" w:rsidP="00BF0818">
            <w:pPr>
              <w:pStyle w:val="TableBody"/>
              <w:ind w:left="137"/>
            </w:pPr>
            <w:r w:rsidRPr="00D8495B">
              <w:t>Some respondents noted an indicative cost to implement the changes to be in the range of $1-20m. </w:t>
            </w:r>
            <w:r w:rsidR="0057593E">
              <w:t>It is assumed these costs from industry represent enforcement and non-compliance costs – i.e.</w:t>
            </w:r>
            <w:r w:rsidR="007A27E2">
              <w:t>,</w:t>
            </w:r>
            <w:r w:rsidR="0057593E">
              <w:t xml:space="preserve"> the cost of </w:t>
            </w:r>
            <w:r w:rsidR="00CC4A7D">
              <w:t xml:space="preserve">an entity </w:t>
            </w:r>
            <w:r w:rsidR="0057593E">
              <w:t xml:space="preserve">being directed to rectify a </w:t>
            </w:r>
            <w:r w:rsidR="00BF0818">
              <w:t>seriously</w:t>
            </w:r>
            <w:r w:rsidR="0057593E">
              <w:t xml:space="preserve"> deficient RMP to t</w:t>
            </w:r>
            <w:r w:rsidR="007A27E2">
              <w:t>he meet RMP obligations.</w:t>
            </w:r>
            <w:r w:rsidR="00CC4A7D">
              <w:t xml:space="preserve"> These costs are expected to align with costs set out in Table 2</w:t>
            </w:r>
            <w:r w:rsidR="00DB1E36">
              <w:t>5</w:t>
            </w:r>
            <w:r w:rsidR="00CC4A7D">
              <w:t xml:space="preserve"> – 2</w:t>
            </w:r>
            <w:r w:rsidR="00DB1E36">
              <w:t>8</w:t>
            </w:r>
            <w:r w:rsidR="00CC4A7D">
              <w:t xml:space="preserve"> above. </w:t>
            </w:r>
          </w:p>
        </w:tc>
      </w:tr>
      <w:tr w:rsidR="00F36DA5" w:rsidRPr="00F36DA5" w14:paraId="3B1F6366" w14:textId="77777777" w:rsidTr="009763A8">
        <w:trPr>
          <w:trHeight w:val="308"/>
        </w:trPr>
        <w:tc>
          <w:tcPr>
            <w:tcW w:w="2481" w:type="dxa"/>
            <w:tcBorders>
              <w:top w:val="single" w:sz="6" w:space="0" w:color="D9D9D9"/>
              <w:left w:val="nil"/>
              <w:bottom w:val="single" w:sz="6" w:space="0" w:color="D9D9D9"/>
              <w:right w:val="single" w:sz="6" w:space="0" w:color="D9D9D9"/>
            </w:tcBorders>
            <w:shd w:val="clear" w:color="auto" w:fill="F2F2F2"/>
            <w:vAlign w:val="center"/>
            <w:hideMark/>
          </w:tcPr>
          <w:p w14:paraId="3FE96CA9" w14:textId="77777777" w:rsidR="00F36DA5" w:rsidRPr="00F36DA5" w:rsidRDefault="00F36DA5" w:rsidP="00E171F2">
            <w:pPr>
              <w:pStyle w:val="TableBody"/>
              <w:rPr>
                <w:rFonts w:ascii="Times New Roman" w:hAnsi="Times New Roman"/>
                <w:sz w:val="24"/>
                <w:szCs w:val="24"/>
                <w:lang w:eastAsia="en-AU"/>
              </w:rPr>
            </w:pPr>
            <w:r w:rsidRPr="00F36DA5">
              <w:rPr>
                <w:lang w:eastAsia="en-AU"/>
              </w:rPr>
              <w:t>Transport </w:t>
            </w:r>
          </w:p>
        </w:tc>
        <w:tc>
          <w:tcPr>
            <w:tcW w:w="6783" w:type="dxa"/>
            <w:tcBorders>
              <w:top w:val="single" w:sz="6" w:space="0" w:color="D9D9D9"/>
              <w:left w:val="single" w:sz="6" w:space="0" w:color="D9D9D9"/>
              <w:bottom w:val="single" w:sz="6" w:space="0" w:color="D9D9D9"/>
              <w:right w:val="nil"/>
            </w:tcBorders>
            <w:shd w:val="clear" w:color="auto" w:fill="auto"/>
            <w:vAlign w:val="center"/>
            <w:hideMark/>
          </w:tcPr>
          <w:p w14:paraId="78FA731F" w14:textId="0B5ED8EF" w:rsidR="00F36DA5" w:rsidRPr="00D8495B" w:rsidRDefault="00F36DA5" w:rsidP="00D8495B">
            <w:pPr>
              <w:pStyle w:val="TableBody"/>
              <w:ind w:left="137"/>
            </w:pPr>
            <w:r w:rsidRPr="00D8495B">
              <w:t>Some respondents from this sector noted indicative cost of approximately $1.5m across measures 1, 2 and 3. </w:t>
            </w:r>
          </w:p>
        </w:tc>
      </w:tr>
      <w:tr w:rsidR="00F36DA5" w:rsidRPr="00F36DA5" w14:paraId="2F2EE442" w14:textId="77777777" w:rsidTr="009763A8">
        <w:trPr>
          <w:trHeight w:val="416"/>
        </w:trPr>
        <w:tc>
          <w:tcPr>
            <w:tcW w:w="2481" w:type="dxa"/>
            <w:tcBorders>
              <w:top w:val="single" w:sz="6" w:space="0" w:color="D9D9D9"/>
              <w:left w:val="nil"/>
              <w:bottom w:val="single" w:sz="6" w:space="0" w:color="D9D9D9"/>
              <w:right w:val="single" w:sz="6" w:space="0" w:color="D9D9D9"/>
            </w:tcBorders>
            <w:shd w:val="clear" w:color="auto" w:fill="F2F2F2"/>
            <w:vAlign w:val="center"/>
            <w:hideMark/>
          </w:tcPr>
          <w:p w14:paraId="3E3512B3" w14:textId="77777777" w:rsidR="00F36DA5" w:rsidRPr="00F36DA5" w:rsidRDefault="00F36DA5" w:rsidP="00E171F2">
            <w:pPr>
              <w:pStyle w:val="TableBody"/>
              <w:rPr>
                <w:rFonts w:ascii="Times New Roman" w:hAnsi="Times New Roman"/>
                <w:sz w:val="24"/>
                <w:szCs w:val="24"/>
                <w:lang w:eastAsia="en-AU"/>
              </w:rPr>
            </w:pPr>
            <w:r w:rsidRPr="00F36DA5">
              <w:rPr>
                <w:lang w:eastAsia="en-AU"/>
              </w:rPr>
              <w:t>Communications </w:t>
            </w:r>
          </w:p>
          <w:p w14:paraId="151B4448" w14:textId="77777777" w:rsidR="00F36DA5" w:rsidRPr="00F36DA5" w:rsidRDefault="00F36DA5" w:rsidP="00E171F2">
            <w:pPr>
              <w:pStyle w:val="TableBody"/>
              <w:rPr>
                <w:rFonts w:ascii="Times New Roman" w:hAnsi="Times New Roman"/>
                <w:sz w:val="24"/>
                <w:szCs w:val="24"/>
                <w:lang w:eastAsia="en-AU"/>
              </w:rPr>
            </w:pPr>
            <w:r w:rsidRPr="00F36DA5">
              <w:rPr>
                <w:lang w:eastAsia="en-AU"/>
              </w:rPr>
              <w:t>Data Storage and Processing </w:t>
            </w:r>
          </w:p>
          <w:p w14:paraId="52173D2C" w14:textId="77777777" w:rsidR="00F36DA5" w:rsidRPr="00F36DA5" w:rsidRDefault="00F36DA5" w:rsidP="00E171F2">
            <w:pPr>
              <w:pStyle w:val="TableBody"/>
              <w:rPr>
                <w:rFonts w:ascii="Times New Roman" w:hAnsi="Times New Roman"/>
                <w:sz w:val="24"/>
                <w:szCs w:val="24"/>
                <w:lang w:eastAsia="en-AU"/>
              </w:rPr>
            </w:pPr>
            <w:r w:rsidRPr="00F36DA5">
              <w:rPr>
                <w:lang w:eastAsia="en-AU"/>
              </w:rPr>
              <w:t>Defence Industry  </w:t>
            </w:r>
          </w:p>
          <w:p w14:paraId="6092919B" w14:textId="77777777" w:rsidR="00F36DA5" w:rsidRPr="00F36DA5" w:rsidRDefault="00F36DA5" w:rsidP="00E171F2">
            <w:pPr>
              <w:pStyle w:val="TableBody"/>
              <w:rPr>
                <w:rFonts w:ascii="Times New Roman" w:hAnsi="Times New Roman"/>
                <w:sz w:val="24"/>
                <w:szCs w:val="24"/>
                <w:lang w:eastAsia="en-AU"/>
              </w:rPr>
            </w:pPr>
            <w:r w:rsidRPr="00F36DA5">
              <w:rPr>
                <w:lang w:eastAsia="en-AU"/>
              </w:rPr>
              <w:t>Financial Services and Markets </w:t>
            </w:r>
          </w:p>
          <w:p w14:paraId="71E8D23B" w14:textId="77777777" w:rsidR="00F36DA5" w:rsidRPr="00F36DA5" w:rsidRDefault="00F36DA5" w:rsidP="00E171F2">
            <w:pPr>
              <w:pStyle w:val="TableBody"/>
              <w:rPr>
                <w:rFonts w:ascii="Times New Roman" w:hAnsi="Times New Roman"/>
                <w:sz w:val="24"/>
                <w:szCs w:val="24"/>
                <w:lang w:eastAsia="en-AU"/>
              </w:rPr>
            </w:pPr>
            <w:r w:rsidRPr="00F36DA5">
              <w:rPr>
                <w:lang w:eastAsia="en-AU"/>
              </w:rPr>
              <w:t>Food and Grocery </w:t>
            </w:r>
          </w:p>
          <w:p w14:paraId="0BD602FE" w14:textId="77777777" w:rsidR="00F36DA5" w:rsidRPr="00F36DA5" w:rsidRDefault="00F36DA5" w:rsidP="00E171F2">
            <w:pPr>
              <w:pStyle w:val="TableBody"/>
              <w:rPr>
                <w:rFonts w:ascii="Times New Roman" w:hAnsi="Times New Roman"/>
                <w:sz w:val="24"/>
                <w:szCs w:val="24"/>
                <w:lang w:eastAsia="en-AU"/>
              </w:rPr>
            </w:pPr>
            <w:r w:rsidRPr="00F36DA5">
              <w:rPr>
                <w:lang w:eastAsia="en-AU"/>
              </w:rPr>
              <w:t>Higher Education and Research </w:t>
            </w:r>
          </w:p>
          <w:p w14:paraId="2C3D90EF" w14:textId="77777777" w:rsidR="00F36DA5" w:rsidRPr="00F36DA5" w:rsidRDefault="00F36DA5" w:rsidP="00E171F2">
            <w:pPr>
              <w:pStyle w:val="TableBody"/>
              <w:rPr>
                <w:rFonts w:ascii="Times New Roman" w:hAnsi="Times New Roman"/>
                <w:sz w:val="24"/>
                <w:szCs w:val="24"/>
                <w:lang w:eastAsia="en-AU"/>
              </w:rPr>
            </w:pPr>
            <w:r w:rsidRPr="00F36DA5">
              <w:rPr>
                <w:lang w:eastAsia="en-AU"/>
              </w:rPr>
              <w:t>Healthcare and Medical </w:t>
            </w:r>
          </w:p>
          <w:p w14:paraId="50EDDF50" w14:textId="77777777" w:rsidR="00F36DA5" w:rsidRPr="00F36DA5" w:rsidRDefault="00F36DA5" w:rsidP="00E171F2">
            <w:pPr>
              <w:pStyle w:val="TableBody"/>
              <w:rPr>
                <w:rFonts w:ascii="Times New Roman" w:hAnsi="Times New Roman"/>
                <w:sz w:val="24"/>
                <w:szCs w:val="24"/>
                <w:lang w:eastAsia="en-AU"/>
              </w:rPr>
            </w:pPr>
            <w:r w:rsidRPr="00F36DA5">
              <w:rPr>
                <w:lang w:eastAsia="en-AU"/>
              </w:rPr>
              <w:t>Water and Sewage </w:t>
            </w:r>
          </w:p>
        </w:tc>
        <w:tc>
          <w:tcPr>
            <w:tcW w:w="6783" w:type="dxa"/>
            <w:tcBorders>
              <w:top w:val="single" w:sz="6" w:space="0" w:color="D9D9D9"/>
              <w:left w:val="single" w:sz="6" w:space="0" w:color="D9D9D9"/>
              <w:bottom w:val="single" w:sz="6" w:space="0" w:color="D9D9D9"/>
              <w:right w:val="nil"/>
            </w:tcBorders>
            <w:shd w:val="clear" w:color="auto" w:fill="auto"/>
            <w:vAlign w:val="center"/>
            <w:hideMark/>
          </w:tcPr>
          <w:p w14:paraId="509CECA2" w14:textId="77777777" w:rsidR="00F36DA5" w:rsidRPr="00D8495B" w:rsidRDefault="00F36DA5" w:rsidP="00D8495B">
            <w:pPr>
              <w:pStyle w:val="TableBody"/>
              <w:ind w:left="137"/>
            </w:pPr>
            <w:r w:rsidRPr="00D8495B">
              <w:t>Respondents from these sectors were not able to provide indicative costs to implement this measure at this time. </w:t>
            </w:r>
          </w:p>
        </w:tc>
      </w:tr>
      <w:tr w:rsidR="00F36DA5" w:rsidRPr="00F36DA5" w14:paraId="5D807789" w14:textId="77777777" w:rsidTr="009763A8">
        <w:trPr>
          <w:trHeight w:val="239"/>
        </w:trPr>
        <w:tc>
          <w:tcPr>
            <w:tcW w:w="2481" w:type="dxa"/>
            <w:tcBorders>
              <w:top w:val="single" w:sz="6" w:space="0" w:color="D9D9D9"/>
              <w:left w:val="nil"/>
              <w:bottom w:val="nil"/>
              <w:right w:val="single" w:sz="6" w:space="0" w:color="D9D9D9"/>
            </w:tcBorders>
            <w:shd w:val="clear" w:color="auto" w:fill="F2F2F2"/>
            <w:vAlign w:val="center"/>
            <w:hideMark/>
          </w:tcPr>
          <w:p w14:paraId="34F796E9" w14:textId="77777777" w:rsidR="00F36DA5" w:rsidRPr="00F36DA5" w:rsidRDefault="00F36DA5" w:rsidP="00E171F2">
            <w:pPr>
              <w:pStyle w:val="TableBody"/>
              <w:rPr>
                <w:rFonts w:ascii="Times New Roman" w:hAnsi="Times New Roman"/>
                <w:sz w:val="24"/>
                <w:szCs w:val="24"/>
                <w:lang w:eastAsia="en-AU"/>
              </w:rPr>
            </w:pPr>
            <w:r w:rsidRPr="00F36DA5">
              <w:rPr>
                <w:lang w:eastAsia="en-AU"/>
              </w:rPr>
              <w:t>Cyber peak body </w:t>
            </w:r>
          </w:p>
        </w:tc>
        <w:tc>
          <w:tcPr>
            <w:tcW w:w="6783" w:type="dxa"/>
            <w:tcBorders>
              <w:top w:val="single" w:sz="6" w:space="0" w:color="D9D9D9"/>
              <w:left w:val="single" w:sz="6" w:space="0" w:color="D9D9D9"/>
              <w:bottom w:val="nil"/>
              <w:right w:val="nil"/>
            </w:tcBorders>
            <w:shd w:val="clear" w:color="auto" w:fill="auto"/>
            <w:vAlign w:val="center"/>
            <w:hideMark/>
          </w:tcPr>
          <w:p w14:paraId="196547CE" w14:textId="77777777" w:rsidR="00F36DA5" w:rsidRPr="00D8495B" w:rsidRDefault="00F36DA5" w:rsidP="00D8495B">
            <w:pPr>
              <w:pStyle w:val="TableBody"/>
              <w:ind w:left="137"/>
            </w:pPr>
            <w:r w:rsidRPr="00D8495B">
              <w:t>Respondents agreed with the changes, however, were unable to provide any cost estimates for the impacts at this time. </w:t>
            </w:r>
          </w:p>
        </w:tc>
      </w:tr>
    </w:tbl>
    <w:p w14:paraId="2476AA79" w14:textId="77777777" w:rsidR="0084331B" w:rsidRPr="005354DC" w:rsidRDefault="0084331B" w:rsidP="0084331B">
      <w:pPr>
        <w:pStyle w:val="Heading2"/>
        <w:spacing w:before="120"/>
        <w:rPr>
          <w:rFonts w:ascii="Arial" w:hAnsi="Arial"/>
        </w:rPr>
      </w:pPr>
      <w:bookmarkStart w:id="76" w:name="_Toc162527638"/>
      <w:bookmarkStart w:id="77" w:name="_Toc164683838"/>
      <w:bookmarkStart w:id="78" w:name="_Toc176182554"/>
      <w:bookmarkStart w:id="79" w:name="_Toc176183940"/>
      <w:r w:rsidRPr="2F6B7F1D">
        <w:rPr>
          <w:rFonts w:ascii="Arial" w:hAnsi="Arial"/>
        </w:rPr>
        <w:t>4.3.2 Benefits of Option 2 – Legislative Reform</w:t>
      </w:r>
      <w:bookmarkEnd w:id="76"/>
      <w:bookmarkEnd w:id="77"/>
      <w:bookmarkEnd w:id="78"/>
      <w:bookmarkEnd w:id="79"/>
    </w:p>
    <w:p w14:paraId="7776A66A" w14:textId="77777777" w:rsidR="0084331B" w:rsidRDefault="0084331B" w:rsidP="0084331B">
      <w:pPr>
        <w:spacing w:after="120"/>
        <w:rPr>
          <w:rFonts w:ascii="Arial" w:hAnsi="Arial" w:cs="Arial"/>
          <w:szCs w:val="20"/>
        </w:rPr>
      </w:pPr>
      <w:r w:rsidRPr="591A7590">
        <w:rPr>
          <w:rFonts w:ascii="Arial" w:hAnsi="Arial" w:cs="Arial"/>
          <w:szCs w:val="20"/>
        </w:rPr>
        <w:t xml:space="preserve">The proposed reforms to the SOCI Act aim to reduce the frequency and impact of any disruption to availability, integrity, reliability, or confidentiality of critical infrastructure. </w:t>
      </w:r>
    </w:p>
    <w:p w14:paraId="1DDB3522" w14:textId="1EA4E229" w:rsidR="0084331B" w:rsidRDefault="0084331B" w:rsidP="0084331B">
      <w:pPr>
        <w:spacing w:after="120"/>
        <w:rPr>
          <w:rFonts w:ascii="Arial" w:hAnsi="Arial" w:cs="Arial"/>
          <w:szCs w:val="20"/>
        </w:rPr>
      </w:pPr>
      <w:r w:rsidRPr="3A9E9E7F">
        <w:rPr>
          <w:rFonts w:ascii="Arial" w:hAnsi="Arial" w:cs="Arial"/>
          <w:szCs w:val="20"/>
        </w:rPr>
        <w:t>The benefits of Measure 1</w:t>
      </w:r>
      <w:r>
        <w:rPr>
          <w:rFonts w:ascii="Arial" w:hAnsi="Arial" w:cs="Arial"/>
          <w:szCs w:val="20"/>
        </w:rPr>
        <w:t>, a</w:t>
      </w:r>
      <w:r w:rsidRPr="00A756CB">
        <w:rPr>
          <w:rFonts w:ascii="Arial" w:hAnsi="Arial" w:cs="Arial"/>
          <w:szCs w:val="20"/>
        </w:rPr>
        <w:t>mend definitions to ensure capture of ‘business critical data’</w:t>
      </w:r>
      <w:r w:rsidRPr="3A9E9E7F">
        <w:rPr>
          <w:rFonts w:ascii="Arial" w:hAnsi="Arial" w:cs="Arial"/>
          <w:szCs w:val="20"/>
        </w:rPr>
        <w:t xml:space="preserve"> include: </w:t>
      </w:r>
    </w:p>
    <w:p w14:paraId="7D92204E" w14:textId="77777777" w:rsidR="0084331B" w:rsidRPr="00A567AB" w:rsidRDefault="0084331B" w:rsidP="00510557">
      <w:pPr>
        <w:pStyle w:val="ListParagraph"/>
        <w:numPr>
          <w:ilvl w:val="0"/>
          <w:numId w:val="21"/>
        </w:numPr>
        <w:contextualSpacing/>
      </w:pPr>
      <w:r w:rsidRPr="00A567AB">
        <w:t xml:space="preserve">Increased protection for secondary systems operated by existing critical infrastructure entities. </w:t>
      </w:r>
    </w:p>
    <w:p w14:paraId="69EE510F" w14:textId="77777777" w:rsidR="0084331B" w:rsidRPr="00A567AB" w:rsidRDefault="0084331B" w:rsidP="00510557">
      <w:pPr>
        <w:pStyle w:val="ListParagraph"/>
        <w:numPr>
          <w:ilvl w:val="0"/>
          <w:numId w:val="21"/>
        </w:numPr>
        <w:contextualSpacing/>
      </w:pPr>
      <w:r w:rsidRPr="00A567AB">
        <w:t>Reduced likelihood and severity of cyber</w:t>
      </w:r>
      <w:r w:rsidR="001420DE">
        <w:t xml:space="preserve"> incidents impacting</w:t>
      </w:r>
      <w:r w:rsidRPr="00A567AB">
        <w:t xml:space="preserve"> these systems and reduced likelihood of migration from </w:t>
      </w:r>
      <w:r w:rsidR="001420DE">
        <w:t>impacts</w:t>
      </w:r>
      <w:r w:rsidR="001420DE" w:rsidRPr="00A567AB">
        <w:t xml:space="preserve"> </w:t>
      </w:r>
      <w:r w:rsidRPr="00A567AB">
        <w:t xml:space="preserve">on secondary systems to critical </w:t>
      </w:r>
      <w:r w:rsidRPr="00A567AB" w:rsidDel="004A4B5D">
        <w:t>systems</w:t>
      </w:r>
      <w:r w:rsidRPr="00A567AB">
        <w:t>.</w:t>
      </w:r>
    </w:p>
    <w:p w14:paraId="76A8AF0C" w14:textId="77777777" w:rsidR="0084331B" w:rsidRPr="00A567AB" w:rsidRDefault="0084331B" w:rsidP="00510557">
      <w:pPr>
        <w:pStyle w:val="ListParagraph"/>
        <w:numPr>
          <w:ilvl w:val="0"/>
          <w:numId w:val="21"/>
        </w:numPr>
        <w:contextualSpacing/>
      </w:pPr>
      <w:r w:rsidRPr="00A567AB">
        <w:t>Ability for Government to provide assistance when secondary systems are affected by a hazard and to limit and eliminate the consequences stemming from an incident.</w:t>
      </w:r>
    </w:p>
    <w:p w14:paraId="40505034" w14:textId="77777777" w:rsidR="0084331B" w:rsidRDefault="0084331B" w:rsidP="0084331B">
      <w:pPr>
        <w:spacing w:after="120"/>
        <w:rPr>
          <w:rFonts w:ascii="Arial" w:hAnsi="Arial" w:cs="Arial"/>
          <w:szCs w:val="20"/>
        </w:rPr>
      </w:pPr>
      <w:r w:rsidRPr="3A9E9E7F">
        <w:rPr>
          <w:rFonts w:ascii="Arial" w:hAnsi="Arial" w:cs="Arial"/>
          <w:szCs w:val="20"/>
        </w:rPr>
        <w:t>The benefits of Measure 2</w:t>
      </w:r>
      <w:r>
        <w:rPr>
          <w:rFonts w:ascii="Arial" w:hAnsi="Arial" w:cs="Arial"/>
          <w:szCs w:val="20"/>
        </w:rPr>
        <w:t>, l</w:t>
      </w:r>
      <w:r w:rsidRPr="00A756CB">
        <w:rPr>
          <w:rFonts w:ascii="Arial" w:hAnsi="Arial" w:cs="Arial"/>
          <w:szCs w:val="20"/>
        </w:rPr>
        <w:t>egislate an all-hazards power of last resor</w:t>
      </w:r>
      <w:r>
        <w:rPr>
          <w:rFonts w:ascii="Arial" w:hAnsi="Arial" w:cs="Arial"/>
          <w:szCs w:val="20"/>
        </w:rPr>
        <w:t xml:space="preserve">t, </w:t>
      </w:r>
      <w:r w:rsidRPr="3A9E9E7F">
        <w:rPr>
          <w:rFonts w:ascii="Arial" w:hAnsi="Arial" w:cs="Arial"/>
          <w:szCs w:val="20"/>
        </w:rPr>
        <w:t xml:space="preserve">include: </w:t>
      </w:r>
    </w:p>
    <w:p w14:paraId="6421A3A5" w14:textId="77777777" w:rsidR="0084331B" w:rsidRPr="00A567AB" w:rsidRDefault="0084331B" w:rsidP="00510557">
      <w:pPr>
        <w:pStyle w:val="ListParagraph"/>
        <w:numPr>
          <w:ilvl w:val="0"/>
          <w:numId w:val="21"/>
        </w:numPr>
        <w:contextualSpacing/>
      </w:pPr>
      <w:r w:rsidRPr="00A567AB">
        <w:t xml:space="preserve">Support from Government to seamlessly coordinate incident responses. </w:t>
      </w:r>
    </w:p>
    <w:p w14:paraId="798FD917" w14:textId="77777777" w:rsidR="0084331B" w:rsidRPr="00A567AB" w:rsidRDefault="0084331B" w:rsidP="00510557">
      <w:pPr>
        <w:pStyle w:val="ListParagraph"/>
        <w:numPr>
          <w:ilvl w:val="0"/>
          <w:numId w:val="21"/>
        </w:numPr>
        <w:contextualSpacing/>
      </w:pPr>
      <w:r w:rsidRPr="00A567AB">
        <w:t xml:space="preserve">Flexibility in responding to evolving threats and the potentially significant impact of an all-hazards event on the Australian economy and community. </w:t>
      </w:r>
    </w:p>
    <w:p w14:paraId="1E8833A1" w14:textId="77777777" w:rsidR="0084331B" w:rsidRPr="00A567AB" w:rsidRDefault="0084331B" w:rsidP="00510557">
      <w:pPr>
        <w:pStyle w:val="ListParagraph"/>
        <w:numPr>
          <w:ilvl w:val="0"/>
          <w:numId w:val="21"/>
        </w:numPr>
        <w:contextualSpacing/>
      </w:pPr>
      <w:r w:rsidRPr="00A567AB">
        <w:t>Allowing entities to perform actions to limit consequences that other legislation or contracts would preclude them from performing.</w:t>
      </w:r>
    </w:p>
    <w:p w14:paraId="6A316D18" w14:textId="77777777" w:rsidR="0084331B" w:rsidRDefault="0084331B" w:rsidP="0084331B">
      <w:pPr>
        <w:spacing w:after="120"/>
        <w:rPr>
          <w:rFonts w:ascii="Arial" w:hAnsi="Arial" w:cs="Arial"/>
          <w:szCs w:val="20"/>
        </w:rPr>
      </w:pPr>
      <w:r w:rsidRPr="3A9E9E7F">
        <w:rPr>
          <w:rFonts w:ascii="Arial" w:hAnsi="Arial" w:cs="Arial"/>
          <w:szCs w:val="20"/>
        </w:rPr>
        <w:t>The benefits of Measure 3</w:t>
      </w:r>
      <w:r>
        <w:rPr>
          <w:rFonts w:ascii="Arial" w:hAnsi="Arial" w:cs="Arial"/>
          <w:szCs w:val="20"/>
        </w:rPr>
        <w:t>, i</w:t>
      </w:r>
      <w:r w:rsidRPr="00647327">
        <w:rPr>
          <w:rFonts w:ascii="Arial" w:hAnsi="Arial" w:cs="Arial"/>
          <w:szCs w:val="20"/>
        </w:rPr>
        <w:t>ntroduce formal, written directions power,</w:t>
      </w:r>
      <w:r w:rsidRPr="3A9E9E7F">
        <w:rPr>
          <w:rFonts w:ascii="Arial" w:hAnsi="Arial" w:cs="Arial"/>
          <w:szCs w:val="20"/>
        </w:rPr>
        <w:t xml:space="preserve"> include:</w:t>
      </w:r>
    </w:p>
    <w:p w14:paraId="0533281C" w14:textId="77777777" w:rsidR="0084331B" w:rsidRPr="00A567AB" w:rsidRDefault="0084331B" w:rsidP="00510557">
      <w:pPr>
        <w:pStyle w:val="ListParagraph"/>
        <w:numPr>
          <w:ilvl w:val="0"/>
          <w:numId w:val="21"/>
        </w:numPr>
        <w:contextualSpacing/>
      </w:pPr>
      <w:r w:rsidRPr="00A567AB">
        <w:t xml:space="preserve">Retaining the principle-based approach to compliance, including some discretion for entities in how they respond or integrate a direction to address a deficient RMP. </w:t>
      </w:r>
    </w:p>
    <w:p w14:paraId="16966D5A" w14:textId="77777777" w:rsidR="0084331B" w:rsidRPr="00A567AB" w:rsidRDefault="0084331B" w:rsidP="00510557">
      <w:pPr>
        <w:pStyle w:val="ListParagraph"/>
        <w:numPr>
          <w:ilvl w:val="0"/>
          <w:numId w:val="21"/>
        </w:numPr>
        <w:contextualSpacing/>
      </w:pPr>
      <w:r w:rsidRPr="00A567AB">
        <w:t xml:space="preserve">Proactively addressing and mitigating any risks which may arise because of a seriously deficient RMP. </w:t>
      </w:r>
    </w:p>
    <w:p w14:paraId="23EDCB7F" w14:textId="77777777" w:rsidR="0084331B" w:rsidRDefault="0084331B" w:rsidP="0084331B">
      <w:pPr>
        <w:spacing w:after="120"/>
        <w:rPr>
          <w:rFonts w:ascii="Arial" w:hAnsi="Arial" w:cs="Arial"/>
          <w:szCs w:val="20"/>
        </w:rPr>
      </w:pPr>
      <w:r w:rsidRPr="018D5E81">
        <w:rPr>
          <w:rFonts w:ascii="Arial" w:hAnsi="Arial" w:cs="Arial"/>
        </w:rPr>
        <w:t xml:space="preserve">Together, the proposed reforms enhance incident avoidance mechanisms and support the mitigation of impacts after an incident occurs, limiting disrupted operations and overall economic loss. </w:t>
      </w:r>
    </w:p>
    <w:p w14:paraId="74A48AA5" w14:textId="77777777" w:rsidR="0084331B" w:rsidRDefault="0084331B" w:rsidP="0084331B">
      <w:pPr>
        <w:spacing w:after="120"/>
      </w:pPr>
      <w:r w:rsidRPr="018D5E81">
        <w:rPr>
          <w:rFonts w:ascii="Arial" w:eastAsia="Arial" w:hAnsi="Arial" w:cs="Arial"/>
          <w:color w:val="000000" w:themeColor="text1"/>
          <w:szCs w:val="20"/>
        </w:rPr>
        <w:t xml:space="preserve">Option </w:t>
      </w:r>
      <w:r w:rsidR="3ADBBAE8" w:rsidRPr="018D5E81">
        <w:rPr>
          <w:rFonts w:ascii="Arial" w:eastAsia="Arial" w:hAnsi="Arial" w:cs="Arial"/>
          <w:color w:val="000000" w:themeColor="text1"/>
          <w:szCs w:val="20"/>
        </w:rPr>
        <w:t xml:space="preserve">2 </w:t>
      </w:r>
      <w:r w:rsidRPr="018D5E81">
        <w:rPr>
          <w:rFonts w:ascii="Arial" w:eastAsia="Arial" w:hAnsi="Arial" w:cs="Arial"/>
          <w:color w:val="000000" w:themeColor="text1"/>
          <w:szCs w:val="20"/>
        </w:rPr>
        <w:t xml:space="preserve">will be </w:t>
      </w:r>
      <w:r w:rsidR="3ADBBAE8" w:rsidRPr="018D5E81">
        <w:rPr>
          <w:rFonts w:ascii="Arial" w:eastAsia="Arial" w:hAnsi="Arial" w:cs="Arial"/>
          <w:color w:val="000000" w:themeColor="text1"/>
          <w:szCs w:val="20"/>
        </w:rPr>
        <w:t xml:space="preserve">supported by ongoing uplift and engagement through the TISN and other means, as Government remains committed to a collaborative approach to protecting critical infrastructure. </w:t>
      </w:r>
      <w:r w:rsidRPr="018D5E81">
        <w:rPr>
          <w:rFonts w:ascii="Arial" w:eastAsia="Arial" w:hAnsi="Arial" w:cs="Arial"/>
          <w:szCs w:val="20"/>
        </w:rPr>
        <w:t xml:space="preserve"> </w:t>
      </w:r>
    </w:p>
    <w:p w14:paraId="21B50A09" w14:textId="77777777" w:rsidR="00E8506B" w:rsidRDefault="0084331B" w:rsidP="00A54EA3">
      <w:pPr>
        <w:spacing w:after="120"/>
        <w:rPr>
          <w:rFonts w:ascii="Arial" w:hAnsi="Arial" w:cs="Arial"/>
          <w:szCs w:val="20"/>
        </w:rPr>
      </w:pPr>
      <w:r w:rsidRPr="00FD7A5E">
        <w:rPr>
          <w:rFonts w:ascii="Arial" w:hAnsi="Arial" w:cs="Arial"/>
          <w:szCs w:val="20"/>
        </w:rPr>
        <w:t xml:space="preserve">A summary of the direct impacts of each of the three measures captured under option 2 is provided in </w:t>
      </w:r>
      <w:r>
        <w:rPr>
          <w:rFonts w:ascii="Arial" w:hAnsi="Arial" w:cs="Arial"/>
          <w:color w:val="2B579A"/>
          <w:szCs w:val="20"/>
          <w:shd w:val="clear" w:color="auto" w:fill="E6E6E6"/>
        </w:rPr>
        <w:fldChar w:fldCharType="begin"/>
      </w:r>
      <w:r>
        <w:rPr>
          <w:rFonts w:ascii="Arial" w:hAnsi="Arial" w:cs="Arial"/>
          <w:szCs w:val="20"/>
        </w:rPr>
        <w:instrText xml:space="preserve"> REF _Ref163753466 \h  \* MERGEFORMAT </w:instrText>
      </w:r>
      <w:r>
        <w:rPr>
          <w:rFonts w:ascii="Arial" w:hAnsi="Arial" w:cs="Arial"/>
          <w:color w:val="2B579A"/>
          <w:szCs w:val="20"/>
          <w:shd w:val="clear" w:color="auto" w:fill="E6E6E6"/>
        </w:rPr>
      </w:r>
      <w:r>
        <w:rPr>
          <w:rFonts w:ascii="Arial" w:hAnsi="Arial" w:cs="Arial"/>
          <w:color w:val="2B579A"/>
          <w:szCs w:val="20"/>
          <w:shd w:val="clear" w:color="auto" w:fill="E6E6E6"/>
        </w:rPr>
        <w:fldChar w:fldCharType="separate"/>
      </w:r>
    </w:p>
    <w:p w14:paraId="375FF181" w14:textId="23AE20EB" w:rsidR="00EA6E10" w:rsidRDefault="00E8506B" w:rsidP="00A54EA3">
      <w:pPr>
        <w:spacing w:after="120"/>
        <w:rPr>
          <w:rFonts w:ascii="Arial" w:hAnsi="Arial" w:cs="Arial"/>
          <w:szCs w:val="20"/>
        </w:rPr>
      </w:pPr>
      <w:r w:rsidRPr="00E8506B">
        <w:rPr>
          <w:rFonts w:ascii="Arial" w:hAnsi="Arial" w:cs="Arial"/>
          <w:szCs w:val="20"/>
        </w:rPr>
        <w:t>Table 30</w:t>
      </w:r>
      <w:r w:rsidR="0084331B">
        <w:rPr>
          <w:rFonts w:ascii="Arial" w:hAnsi="Arial" w:cs="Arial"/>
          <w:color w:val="2B579A"/>
          <w:szCs w:val="20"/>
          <w:shd w:val="clear" w:color="auto" w:fill="E6E6E6"/>
        </w:rPr>
        <w:fldChar w:fldCharType="end"/>
      </w:r>
      <w:r w:rsidR="0084331B">
        <w:rPr>
          <w:rFonts w:ascii="Arial" w:hAnsi="Arial" w:cs="Arial"/>
          <w:szCs w:val="20"/>
        </w:rPr>
        <w:t xml:space="preserve"> and </w:t>
      </w:r>
      <w:r w:rsidR="0084331B">
        <w:rPr>
          <w:rFonts w:ascii="Arial" w:hAnsi="Arial" w:cs="Arial"/>
          <w:color w:val="2B579A"/>
          <w:szCs w:val="20"/>
          <w:shd w:val="clear" w:color="auto" w:fill="E6E6E6"/>
        </w:rPr>
        <w:fldChar w:fldCharType="begin"/>
      </w:r>
      <w:r w:rsidR="0084331B">
        <w:rPr>
          <w:rFonts w:ascii="Arial" w:hAnsi="Arial" w:cs="Arial"/>
          <w:szCs w:val="20"/>
        </w:rPr>
        <w:instrText xml:space="preserve"> REF _Ref163753475 \h  \* MERGEFORMAT </w:instrText>
      </w:r>
      <w:r w:rsidR="0084331B">
        <w:rPr>
          <w:rFonts w:ascii="Arial" w:hAnsi="Arial" w:cs="Arial"/>
          <w:color w:val="2B579A"/>
          <w:szCs w:val="20"/>
          <w:shd w:val="clear" w:color="auto" w:fill="E6E6E6"/>
        </w:rPr>
      </w:r>
      <w:r w:rsidR="0084331B">
        <w:rPr>
          <w:rFonts w:ascii="Arial" w:hAnsi="Arial" w:cs="Arial"/>
          <w:color w:val="2B579A"/>
          <w:szCs w:val="20"/>
          <w:shd w:val="clear" w:color="auto" w:fill="E6E6E6"/>
        </w:rPr>
        <w:fldChar w:fldCharType="separate"/>
      </w:r>
      <w:r w:rsidRPr="00E8506B">
        <w:rPr>
          <w:rFonts w:ascii="Arial" w:hAnsi="Arial" w:cs="Arial"/>
          <w:szCs w:val="20"/>
        </w:rPr>
        <w:t>Table 31</w:t>
      </w:r>
      <w:r w:rsidR="0084331B">
        <w:rPr>
          <w:rFonts w:ascii="Arial" w:hAnsi="Arial" w:cs="Arial"/>
          <w:color w:val="2B579A"/>
          <w:szCs w:val="20"/>
          <w:shd w:val="clear" w:color="auto" w:fill="E6E6E6"/>
        </w:rPr>
        <w:fldChar w:fldCharType="end"/>
      </w:r>
      <w:r w:rsidR="0084331B">
        <w:rPr>
          <w:rFonts w:ascii="Arial" w:hAnsi="Arial" w:cs="Arial"/>
          <w:szCs w:val="20"/>
        </w:rPr>
        <w:t xml:space="preserve"> </w:t>
      </w:r>
      <w:r w:rsidR="0084331B" w:rsidRPr="00FD7A5E">
        <w:rPr>
          <w:rFonts w:ascii="Arial" w:hAnsi="Arial" w:cs="Arial"/>
          <w:szCs w:val="20"/>
        </w:rPr>
        <w:t xml:space="preserve">below. A break-even analysis of these benefits compared to the total estimated cost of the measures is found </w:t>
      </w:r>
      <w:r w:rsidR="0084331B">
        <w:rPr>
          <w:rFonts w:ascii="Arial" w:hAnsi="Arial" w:cs="Arial"/>
          <w:szCs w:val="20"/>
        </w:rPr>
        <w:t xml:space="preserve">in </w:t>
      </w:r>
      <w:r w:rsidR="0084331B">
        <w:rPr>
          <w:rFonts w:ascii="Arial" w:hAnsi="Arial" w:cs="Arial"/>
          <w:color w:val="2B579A"/>
          <w:szCs w:val="20"/>
          <w:shd w:val="clear" w:color="auto" w:fill="E6E6E6"/>
        </w:rPr>
        <w:fldChar w:fldCharType="begin"/>
      </w:r>
      <w:r w:rsidR="0084331B">
        <w:rPr>
          <w:rFonts w:ascii="Arial" w:hAnsi="Arial" w:cs="Arial"/>
          <w:szCs w:val="20"/>
        </w:rPr>
        <w:instrText xml:space="preserve"> REF _Ref163753475 \h  \* MERGEFORMAT </w:instrText>
      </w:r>
      <w:r w:rsidR="0084331B">
        <w:rPr>
          <w:rFonts w:ascii="Arial" w:hAnsi="Arial" w:cs="Arial"/>
          <w:color w:val="2B579A"/>
          <w:szCs w:val="20"/>
          <w:shd w:val="clear" w:color="auto" w:fill="E6E6E6"/>
        </w:rPr>
      </w:r>
      <w:r w:rsidR="0084331B">
        <w:rPr>
          <w:rFonts w:ascii="Arial" w:hAnsi="Arial" w:cs="Arial"/>
          <w:color w:val="2B579A"/>
          <w:szCs w:val="20"/>
          <w:shd w:val="clear" w:color="auto" w:fill="E6E6E6"/>
        </w:rPr>
        <w:fldChar w:fldCharType="separate"/>
      </w:r>
      <w:r w:rsidRPr="00E8506B">
        <w:rPr>
          <w:rFonts w:ascii="Arial" w:hAnsi="Arial" w:cs="Arial"/>
          <w:szCs w:val="20"/>
        </w:rPr>
        <w:t>Table 31</w:t>
      </w:r>
      <w:r w:rsidR="0084331B">
        <w:rPr>
          <w:rFonts w:ascii="Arial" w:hAnsi="Arial" w:cs="Arial"/>
          <w:color w:val="2B579A"/>
          <w:szCs w:val="20"/>
          <w:shd w:val="clear" w:color="auto" w:fill="E6E6E6"/>
        </w:rPr>
        <w:fldChar w:fldCharType="end"/>
      </w:r>
      <w:r w:rsidR="0084331B" w:rsidRPr="00FD7A5E">
        <w:rPr>
          <w:rFonts w:ascii="Arial" w:hAnsi="Arial" w:cs="Arial"/>
          <w:szCs w:val="20"/>
        </w:rPr>
        <w:t>. The break-even analysis is expressed as the number of incidents that would need to be avoided for the benefits (that is, the avoided costs) of the measures to equal the costs of implementation and compliance with the proposed measure</w:t>
      </w:r>
      <w:r w:rsidR="00EA6E10">
        <w:rPr>
          <w:rFonts w:ascii="Arial" w:hAnsi="Arial" w:cs="Arial"/>
          <w:szCs w:val="20"/>
        </w:rPr>
        <w:t xml:space="preserve"> </w:t>
      </w:r>
      <w:bookmarkStart w:id="80" w:name="_Ref163753466"/>
    </w:p>
    <w:p w14:paraId="4A60540F" w14:textId="2206C078" w:rsidR="0084331B" w:rsidRPr="00085793" w:rsidRDefault="0084331B" w:rsidP="00A54EA3">
      <w:pPr>
        <w:spacing w:after="120"/>
        <w:rPr>
          <w:rFonts w:ascii="Calibri" w:eastAsia="Times New Roman" w:hAnsi="Calibri" w:cs="Calibri"/>
          <w:bCs/>
          <w:i/>
          <w:iCs/>
          <w:sz w:val="18"/>
          <w:szCs w:val="18"/>
          <w:lang w:eastAsia="en-AU"/>
        </w:rPr>
      </w:pPr>
      <w:r w:rsidRPr="00085793">
        <w:rPr>
          <w:rFonts w:ascii="Calibri" w:eastAsia="Times New Roman" w:hAnsi="Calibri" w:cs="Calibri"/>
          <w:b/>
          <w:bCs/>
          <w:i/>
          <w:iCs/>
          <w:sz w:val="18"/>
          <w:szCs w:val="18"/>
          <w:lang w:eastAsia="en-AU"/>
        </w:rPr>
        <w:t xml:space="preserve">Table </w:t>
      </w:r>
      <w:r w:rsidRPr="00085793">
        <w:rPr>
          <w:rFonts w:ascii="Calibri" w:eastAsia="Times New Roman" w:hAnsi="Calibri" w:cs="Calibri"/>
          <w:b/>
          <w:bCs/>
          <w:i/>
          <w:iCs/>
          <w:color w:val="2B579A"/>
          <w:sz w:val="18"/>
          <w:szCs w:val="18"/>
          <w:shd w:val="clear" w:color="auto" w:fill="E6E6E6"/>
          <w:lang w:eastAsia="en-AU"/>
        </w:rPr>
        <w:fldChar w:fldCharType="begin"/>
      </w:r>
      <w:r w:rsidRPr="00085793">
        <w:rPr>
          <w:rFonts w:ascii="Calibri" w:eastAsia="Times New Roman" w:hAnsi="Calibri" w:cs="Calibri"/>
          <w:b/>
          <w:bCs/>
          <w:i/>
          <w:iCs/>
          <w:sz w:val="18"/>
          <w:szCs w:val="18"/>
          <w:lang w:eastAsia="en-AU"/>
        </w:rPr>
        <w:instrText xml:space="preserve"> SEQ Table \* ARABIC </w:instrText>
      </w:r>
      <w:r w:rsidRPr="00085793">
        <w:rPr>
          <w:rFonts w:ascii="Calibri" w:eastAsia="Times New Roman" w:hAnsi="Calibri" w:cs="Calibri"/>
          <w:b/>
          <w:bCs/>
          <w:i/>
          <w:iCs/>
          <w:color w:val="2B579A"/>
          <w:sz w:val="18"/>
          <w:szCs w:val="18"/>
          <w:shd w:val="clear" w:color="auto" w:fill="E6E6E6"/>
          <w:lang w:eastAsia="en-AU"/>
        </w:rPr>
        <w:fldChar w:fldCharType="separate"/>
      </w:r>
      <w:r w:rsidR="00E8506B">
        <w:rPr>
          <w:rFonts w:ascii="Calibri" w:eastAsia="Times New Roman" w:hAnsi="Calibri" w:cs="Calibri"/>
          <w:b/>
          <w:bCs/>
          <w:i/>
          <w:iCs/>
          <w:noProof/>
          <w:sz w:val="18"/>
          <w:szCs w:val="18"/>
          <w:lang w:eastAsia="en-AU"/>
        </w:rPr>
        <w:t>30</w:t>
      </w:r>
      <w:r w:rsidRPr="00085793">
        <w:rPr>
          <w:rFonts w:ascii="Calibri" w:eastAsia="Times New Roman" w:hAnsi="Calibri" w:cs="Calibri"/>
          <w:b/>
          <w:bCs/>
          <w:i/>
          <w:iCs/>
          <w:color w:val="2B579A"/>
          <w:sz w:val="18"/>
          <w:szCs w:val="18"/>
          <w:shd w:val="clear" w:color="auto" w:fill="E6E6E6"/>
          <w:lang w:eastAsia="en-AU"/>
        </w:rPr>
        <w:fldChar w:fldCharType="end"/>
      </w:r>
      <w:bookmarkEnd w:id="80"/>
      <w:r w:rsidRPr="00085793">
        <w:rPr>
          <w:rFonts w:ascii="Calibri" w:eastAsia="Times New Roman" w:hAnsi="Calibri" w:cs="Calibri"/>
          <w:bCs/>
          <w:i/>
          <w:iCs/>
          <w:sz w:val="18"/>
          <w:szCs w:val="18"/>
          <w:lang w:eastAsia="en-AU"/>
        </w:rPr>
        <w:t xml:space="preserve"> Summary of Scenarios</w:t>
      </w:r>
    </w:p>
    <w:tbl>
      <w:tblPr>
        <w:tblW w:w="9118" w:type="dxa"/>
        <w:tblLook w:val="04A0" w:firstRow="1" w:lastRow="0" w:firstColumn="1" w:lastColumn="0" w:noHBand="0" w:noVBand="1"/>
      </w:tblPr>
      <w:tblGrid>
        <w:gridCol w:w="2282"/>
        <w:gridCol w:w="2189"/>
        <w:gridCol w:w="2193"/>
        <w:gridCol w:w="2189"/>
        <w:gridCol w:w="265"/>
      </w:tblGrid>
      <w:tr w:rsidR="0084331B" w:rsidRPr="007146AC" w14:paraId="122D71E7" w14:textId="77777777" w:rsidTr="008432A2">
        <w:trPr>
          <w:gridAfter w:val="1"/>
          <w:wAfter w:w="265" w:type="dxa"/>
          <w:trHeight w:val="566"/>
        </w:trPr>
        <w:tc>
          <w:tcPr>
            <w:tcW w:w="2282" w:type="dxa"/>
            <w:vMerge w:val="restart"/>
            <w:tcBorders>
              <w:top w:val="nil"/>
              <w:left w:val="nil"/>
              <w:bottom w:val="single" w:sz="8" w:space="0" w:color="D9D9D9"/>
              <w:right w:val="single" w:sz="8" w:space="0" w:color="D9D9D9"/>
            </w:tcBorders>
            <w:shd w:val="clear" w:color="000000" w:fill="284B98"/>
            <w:vAlign w:val="center"/>
            <w:hideMark/>
          </w:tcPr>
          <w:p w14:paraId="6C859CD6" w14:textId="77777777" w:rsidR="0084331B" w:rsidRPr="007146AC" w:rsidRDefault="0084331B" w:rsidP="0084331B">
            <w:pPr>
              <w:rPr>
                <w:rFonts w:ascii="Calibri" w:eastAsia="Times New Roman" w:hAnsi="Calibri" w:cs="Calibri"/>
                <w:color w:val="000000"/>
                <w:lang w:eastAsia="en-AU"/>
              </w:rPr>
            </w:pPr>
            <w:r w:rsidRPr="007146AC">
              <w:rPr>
                <w:rFonts w:ascii="Calibri" w:eastAsia="Times New Roman" w:hAnsi="Calibri" w:cs="Calibri"/>
                <w:color w:val="000000"/>
                <w:lang w:eastAsia="en-AU"/>
              </w:rPr>
              <w:t> </w:t>
            </w:r>
          </w:p>
        </w:tc>
        <w:tc>
          <w:tcPr>
            <w:tcW w:w="2189" w:type="dxa"/>
            <w:vMerge w:val="restart"/>
            <w:tcBorders>
              <w:top w:val="nil"/>
              <w:left w:val="single" w:sz="8" w:space="0" w:color="D9D9D9"/>
              <w:bottom w:val="single" w:sz="8" w:space="0" w:color="D9D9D9"/>
              <w:right w:val="single" w:sz="8" w:space="0" w:color="D9D9D9"/>
            </w:tcBorders>
            <w:shd w:val="clear" w:color="000000" w:fill="284B98"/>
            <w:vAlign w:val="center"/>
            <w:hideMark/>
          </w:tcPr>
          <w:p w14:paraId="5CDEB254" w14:textId="77777777" w:rsidR="0084331B" w:rsidRPr="007146AC" w:rsidRDefault="0084331B" w:rsidP="0084331B">
            <w:pPr>
              <w:jc w:val="center"/>
              <w:rPr>
                <w:rFonts w:ascii="Arial" w:eastAsia="Times New Roman" w:hAnsi="Arial" w:cs="Arial"/>
                <w:b/>
                <w:bCs/>
                <w:color w:val="FFFFFF"/>
                <w:szCs w:val="20"/>
                <w:lang w:eastAsia="en-AU"/>
              </w:rPr>
            </w:pPr>
            <w:r w:rsidRPr="007146AC">
              <w:rPr>
                <w:rFonts w:ascii="Arial" w:eastAsia="Times New Roman" w:hAnsi="Arial" w:cs="Arial"/>
                <w:b/>
                <w:bCs/>
                <w:color w:val="FFFFFF"/>
                <w:szCs w:val="20"/>
                <w:lang w:eastAsia="en-AU"/>
              </w:rPr>
              <w:t>Low Scenario</w:t>
            </w:r>
          </w:p>
        </w:tc>
        <w:tc>
          <w:tcPr>
            <w:tcW w:w="2193" w:type="dxa"/>
            <w:vMerge w:val="restart"/>
            <w:tcBorders>
              <w:top w:val="nil"/>
              <w:left w:val="single" w:sz="8" w:space="0" w:color="D9D9D9"/>
              <w:bottom w:val="single" w:sz="8" w:space="0" w:color="D9D9D9"/>
              <w:right w:val="single" w:sz="8" w:space="0" w:color="D9D9D9"/>
            </w:tcBorders>
            <w:shd w:val="clear" w:color="000000" w:fill="284B98"/>
            <w:vAlign w:val="center"/>
            <w:hideMark/>
          </w:tcPr>
          <w:p w14:paraId="666C32A1" w14:textId="77777777" w:rsidR="0084331B" w:rsidRPr="007146AC" w:rsidRDefault="0084331B" w:rsidP="0084331B">
            <w:pPr>
              <w:jc w:val="center"/>
              <w:rPr>
                <w:rFonts w:ascii="Arial" w:eastAsia="Times New Roman" w:hAnsi="Arial" w:cs="Arial"/>
                <w:b/>
                <w:bCs/>
                <w:color w:val="FFFFFF"/>
                <w:szCs w:val="20"/>
                <w:lang w:eastAsia="en-AU"/>
              </w:rPr>
            </w:pPr>
            <w:r w:rsidRPr="007146AC">
              <w:rPr>
                <w:rFonts w:ascii="Arial" w:eastAsia="Times New Roman" w:hAnsi="Arial" w:cs="Arial"/>
                <w:b/>
                <w:bCs/>
                <w:color w:val="FFFFFF"/>
                <w:szCs w:val="20"/>
                <w:lang w:eastAsia="en-AU"/>
              </w:rPr>
              <w:t>Medium Scenario</w:t>
            </w:r>
          </w:p>
        </w:tc>
        <w:tc>
          <w:tcPr>
            <w:tcW w:w="2189" w:type="dxa"/>
            <w:vMerge w:val="restart"/>
            <w:tcBorders>
              <w:top w:val="nil"/>
              <w:left w:val="single" w:sz="8" w:space="0" w:color="D9D9D9"/>
              <w:bottom w:val="single" w:sz="8" w:space="0" w:color="D9D9D9"/>
              <w:right w:val="nil"/>
            </w:tcBorders>
            <w:shd w:val="clear" w:color="000000" w:fill="284B98"/>
            <w:vAlign w:val="center"/>
            <w:hideMark/>
          </w:tcPr>
          <w:p w14:paraId="5FDF3CD4" w14:textId="77777777" w:rsidR="0084331B" w:rsidRPr="007146AC" w:rsidRDefault="0084331B" w:rsidP="0084331B">
            <w:pPr>
              <w:jc w:val="center"/>
              <w:rPr>
                <w:rFonts w:ascii="Arial" w:eastAsia="Times New Roman" w:hAnsi="Arial" w:cs="Arial"/>
                <w:b/>
                <w:bCs/>
                <w:color w:val="FFFFFF"/>
                <w:szCs w:val="20"/>
                <w:lang w:eastAsia="en-AU"/>
              </w:rPr>
            </w:pPr>
            <w:r w:rsidRPr="007146AC">
              <w:rPr>
                <w:rFonts w:ascii="Arial" w:eastAsia="Times New Roman" w:hAnsi="Arial" w:cs="Arial"/>
                <w:b/>
                <w:bCs/>
                <w:color w:val="FFFFFF"/>
                <w:szCs w:val="20"/>
                <w:lang w:eastAsia="en-AU"/>
              </w:rPr>
              <w:t>Severe Scenario</w:t>
            </w:r>
          </w:p>
        </w:tc>
      </w:tr>
      <w:tr w:rsidR="0084331B" w:rsidRPr="007146AC" w14:paraId="15C6466F" w14:textId="77777777" w:rsidTr="00E6462B">
        <w:trPr>
          <w:trHeight w:val="60"/>
        </w:trPr>
        <w:tc>
          <w:tcPr>
            <w:tcW w:w="2282" w:type="dxa"/>
            <w:vMerge/>
            <w:tcBorders>
              <w:top w:val="nil"/>
              <w:left w:val="nil"/>
              <w:bottom w:val="single" w:sz="8" w:space="0" w:color="D9D9D9"/>
              <w:right w:val="single" w:sz="8" w:space="0" w:color="D9D9D9"/>
            </w:tcBorders>
            <w:vAlign w:val="center"/>
            <w:hideMark/>
          </w:tcPr>
          <w:p w14:paraId="74775912" w14:textId="77777777" w:rsidR="0084331B" w:rsidRPr="007146AC" w:rsidRDefault="0084331B" w:rsidP="0084331B">
            <w:pPr>
              <w:rPr>
                <w:rFonts w:ascii="Calibri" w:eastAsia="Times New Roman" w:hAnsi="Calibri" w:cs="Calibri"/>
                <w:color w:val="000000"/>
                <w:lang w:eastAsia="en-AU"/>
              </w:rPr>
            </w:pPr>
          </w:p>
        </w:tc>
        <w:tc>
          <w:tcPr>
            <w:tcW w:w="2189" w:type="dxa"/>
            <w:vMerge/>
            <w:tcBorders>
              <w:top w:val="nil"/>
              <w:left w:val="single" w:sz="8" w:space="0" w:color="D9D9D9"/>
              <w:bottom w:val="single" w:sz="8" w:space="0" w:color="D9D9D9"/>
              <w:right w:val="single" w:sz="8" w:space="0" w:color="D9D9D9"/>
            </w:tcBorders>
            <w:vAlign w:val="center"/>
            <w:hideMark/>
          </w:tcPr>
          <w:p w14:paraId="21A1038C" w14:textId="77777777" w:rsidR="0084331B" w:rsidRPr="007146AC" w:rsidRDefault="0084331B" w:rsidP="0084331B">
            <w:pPr>
              <w:rPr>
                <w:rFonts w:ascii="Arial" w:eastAsia="Times New Roman" w:hAnsi="Arial" w:cs="Arial"/>
                <w:b/>
                <w:bCs/>
                <w:color w:val="FFFFFF"/>
                <w:szCs w:val="20"/>
                <w:lang w:eastAsia="en-AU"/>
              </w:rPr>
            </w:pPr>
          </w:p>
        </w:tc>
        <w:tc>
          <w:tcPr>
            <w:tcW w:w="2193" w:type="dxa"/>
            <w:vMerge/>
            <w:tcBorders>
              <w:top w:val="nil"/>
              <w:left w:val="single" w:sz="8" w:space="0" w:color="D9D9D9"/>
              <w:bottom w:val="single" w:sz="8" w:space="0" w:color="D9D9D9"/>
              <w:right w:val="single" w:sz="8" w:space="0" w:color="D9D9D9"/>
            </w:tcBorders>
            <w:vAlign w:val="center"/>
            <w:hideMark/>
          </w:tcPr>
          <w:p w14:paraId="3911DD03" w14:textId="77777777" w:rsidR="0084331B" w:rsidRPr="007146AC" w:rsidRDefault="0084331B" w:rsidP="0084331B">
            <w:pPr>
              <w:rPr>
                <w:rFonts w:ascii="Arial" w:eastAsia="Times New Roman" w:hAnsi="Arial" w:cs="Arial"/>
                <w:b/>
                <w:bCs/>
                <w:color w:val="FFFFFF"/>
                <w:szCs w:val="20"/>
                <w:lang w:eastAsia="en-AU"/>
              </w:rPr>
            </w:pPr>
          </w:p>
        </w:tc>
        <w:tc>
          <w:tcPr>
            <w:tcW w:w="2189" w:type="dxa"/>
            <w:vMerge/>
            <w:tcBorders>
              <w:top w:val="nil"/>
              <w:left w:val="single" w:sz="8" w:space="0" w:color="D9D9D9"/>
              <w:bottom w:val="single" w:sz="8" w:space="0" w:color="D9D9D9"/>
              <w:right w:val="nil"/>
            </w:tcBorders>
            <w:vAlign w:val="center"/>
            <w:hideMark/>
          </w:tcPr>
          <w:p w14:paraId="7D589D0B" w14:textId="77777777" w:rsidR="0084331B" w:rsidRPr="007146AC" w:rsidRDefault="0084331B" w:rsidP="0084331B">
            <w:pPr>
              <w:rPr>
                <w:rFonts w:ascii="Arial" w:eastAsia="Times New Roman" w:hAnsi="Arial" w:cs="Arial"/>
                <w:b/>
                <w:bCs/>
                <w:color w:val="FFFFFF"/>
                <w:szCs w:val="20"/>
                <w:lang w:eastAsia="en-AU"/>
              </w:rPr>
            </w:pPr>
          </w:p>
        </w:tc>
        <w:tc>
          <w:tcPr>
            <w:tcW w:w="265" w:type="dxa"/>
            <w:tcBorders>
              <w:top w:val="nil"/>
              <w:left w:val="nil"/>
              <w:bottom w:val="nil"/>
              <w:right w:val="nil"/>
            </w:tcBorders>
            <w:shd w:val="clear" w:color="auto" w:fill="auto"/>
            <w:noWrap/>
            <w:vAlign w:val="bottom"/>
            <w:hideMark/>
          </w:tcPr>
          <w:p w14:paraId="4B8DB0D9" w14:textId="77777777" w:rsidR="0084331B" w:rsidRPr="007146AC" w:rsidRDefault="0084331B" w:rsidP="0084331B">
            <w:pPr>
              <w:jc w:val="center"/>
              <w:rPr>
                <w:rFonts w:ascii="Arial" w:eastAsia="Times New Roman" w:hAnsi="Arial" w:cs="Arial"/>
                <w:b/>
                <w:bCs/>
                <w:color w:val="FFFFFF"/>
                <w:szCs w:val="20"/>
                <w:lang w:eastAsia="en-AU"/>
              </w:rPr>
            </w:pPr>
          </w:p>
        </w:tc>
      </w:tr>
      <w:tr w:rsidR="0084331B" w:rsidRPr="007146AC" w14:paraId="7F4CAE8C" w14:textId="77777777" w:rsidTr="008432A2">
        <w:trPr>
          <w:trHeight w:val="674"/>
        </w:trPr>
        <w:tc>
          <w:tcPr>
            <w:tcW w:w="2282" w:type="dxa"/>
            <w:tcBorders>
              <w:top w:val="nil"/>
              <w:left w:val="nil"/>
              <w:bottom w:val="nil"/>
              <w:right w:val="single" w:sz="8" w:space="0" w:color="D9D9D9"/>
            </w:tcBorders>
            <w:shd w:val="clear" w:color="000000" w:fill="F2F2F2"/>
            <w:noWrap/>
            <w:vAlign w:val="center"/>
            <w:hideMark/>
          </w:tcPr>
          <w:p w14:paraId="7288BC61" w14:textId="77777777" w:rsidR="0084331B" w:rsidRPr="007146AC" w:rsidRDefault="0084331B" w:rsidP="0084331B">
            <w:pPr>
              <w:rPr>
                <w:rFonts w:ascii="Arial" w:eastAsia="Times New Roman" w:hAnsi="Arial" w:cs="Arial"/>
                <w:color w:val="000000"/>
                <w:szCs w:val="20"/>
                <w:lang w:eastAsia="en-AU"/>
              </w:rPr>
            </w:pPr>
            <w:r w:rsidRPr="007146AC">
              <w:rPr>
                <w:rFonts w:ascii="Arial" w:eastAsia="Times New Roman" w:hAnsi="Arial" w:cs="Arial"/>
                <w:color w:val="000000"/>
                <w:szCs w:val="20"/>
                <w:lang w:eastAsia="en-AU"/>
              </w:rPr>
              <w:t>Intensity of event</w:t>
            </w:r>
          </w:p>
        </w:tc>
        <w:tc>
          <w:tcPr>
            <w:tcW w:w="2189" w:type="dxa"/>
            <w:tcBorders>
              <w:top w:val="nil"/>
              <w:left w:val="nil"/>
              <w:bottom w:val="nil"/>
              <w:right w:val="single" w:sz="8" w:space="0" w:color="D9D9D9"/>
            </w:tcBorders>
            <w:shd w:val="clear" w:color="auto" w:fill="auto"/>
            <w:vAlign w:val="center"/>
            <w:hideMark/>
          </w:tcPr>
          <w:p w14:paraId="02AFCDF4" w14:textId="77777777" w:rsidR="0084331B" w:rsidRPr="007146AC" w:rsidRDefault="0084331B" w:rsidP="0084331B">
            <w:pPr>
              <w:jc w:val="center"/>
              <w:rPr>
                <w:rFonts w:ascii="Arial" w:eastAsia="Times New Roman" w:hAnsi="Arial" w:cs="Arial"/>
                <w:color w:val="000000"/>
                <w:szCs w:val="20"/>
                <w:lang w:eastAsia="en-AU"/>
              </w:rPr>
            </w:pPr>
            <w:r w:rsidRPr="007146AC">
              <w:rPr>
                <w:rFonts w:ascii="Arial" w:eastAsia="Times New Roman" w:hAnsi="Arial" w:cs="Arial"/>
                <w:color w:val="000000"/>
                <w:szCs w:val="20"/>
                <w:lang w:eastAsia="en-AU"/>
              </w:rPr>
              <w:t>25% of Medium Scenario</w:t>
            </w:r>
          </w:p>
        </w:tc>
        <w:tc>
          <w:tcPr>
            <w:tcW w:w="2193" w:type="dxa"/>
            <w:tcBorders>
              <w:top w:val="nil"/>
              <w:left w:val="nil"/>
              <w:bottom w:val="nil"/>
              <w:right w:val="single" w:sz="8" w:space="0" w:color="D9D9D9"/>
            </w:tcBorders>
            <w:shd w:val="clear" w:color="auto" w:fill="auto"/>
            <w:vAlign w:val="center"/>
            <w:hideMark/>
          </w:tcPr>
          <w:p w14:paraId="2D7CAEBB" w14:textId="77777777" w:rsidR="0084331B" w:rsidRPr="007146AC" w:rsidRDefault="0084331B" w:rsidP="0084331B">
            <w:pPr>
              <w:jc w:val="center"/>
              <w:rPr>
                <w:rFonts w:ascii="Arial" w:eastAsia="Times New Roman" w:hAnsi="Arial" w:cs="Arial"/>
                <w:color w:val="000000"/>
                <w:szCs w:val="20"/>
                <w:lang w:eastAsia="en-AU"/>
              </w:rPr>
            </w:pPr>
            <w:r w:rsidRPr="007146AC">
              <w:rPr>
                <w:rFonts w:ascii="Arial" w:eastAsia="Times New Roman" w:hAnsi="Arial" w:cs="Arial"/>
                <w:color w:val="000000"/>
                <w:szCs w:val="20"/>
                <w:lang w:eastAsia="en-AU"/>
              </w:rPr>
              <w:t>Medibank data breach (2022)</w:t>
            </w:r>
          </w:p>
        </w:tc>
        <w:tc>
          <w:tcPr>
            <w:tcW w:w="2189" w:type="dxa"/>
            <w:tcBorders>
              <w:top w:val="nil"/>
              <w:left w:val="nil"/>
              <w:bottom w:val="nil"/>
              <w:right w:val="nil"/>
            </w:tcBorders>
            <w:shd w:val="clear" w:color="auto" w:fill="auto"/>
            <w:vAlign w:val="center"/>
            <w:hideMark/>
          </w:tcPr>
          <w:p w14:paraId="23481268" w14:textId="77777777" w:rsidR="0084331B" w:rsidRPr="007146AC" w:rsidRDefault="0084331B" w:rsidP="0084331B">
            <w:pPr>
              <w:jc w:val="center"/>
              <w:rPr>
                <w:rFonts w:ascii="Arial" w:eastAsia="Times New Roman" w:hAnsi="Arial" w:cs="Arial"/>
                <w:color w:val="000000"/>
                <w:szCs w:val="20"/>
                <w:lang w:eastAsia="en-AU"/>
              </w:rPr>
            </w:pPr>
            <w:r w:rsidRPr="007146AC">
              <w:rPr>
                <w:rFonts w:ascii="Arial" w:eastAsia="Times New Roman" w:hAnsi="Arial" w:cs="Arial"/>
                <w:color w:val="000000"/>
                <w:szCs w:val="20"/>
                <w:lang w:eastAsia="en-AU"/>
              </w:rPr>
              <w:t xml:space="preserve">Optus </w:t>
            </w:r>
            <w:r>
              <w:rPr>
                <w:rFonts w:ascii="Arial" w:eastAsia="Times New Roman" w:hAnsi="Arial" w:cs="Arial"/>
                <w:color w:val="000000"/>
                <w:szCs w:val="20"/>
                <w:lang w:eastAsia="en-AU"/>
              </w:rPr>
              <w:t>d</w:t>
            </w:r>
            <w:r w:rsidRPr="007146AC">
              <w:rPr>
                <w:rFonts w:ascii="Arial" w:eastAsia="Times New Roman" w:hAnsi="Arial" w:cs="Arial"/>
                <w:color w:val="000000"/>
                <w:szCs w:val="20"/>
                <w:lang w:eastAsia="en-AU"/>
              </w:rPr>
              <w:t>ata breach (2022)</w:t>
            </w:r>
          </w:p>
        </w:tc>
        <w:tc>
          <w:tcPr>
            <w:tcW w:w="265" w:type="dxa"/>
            <w:vAlign w:val="center"/>
            <w:hideMark/>
          </w:tcPr>
          <w:p w14:paraId="1EF6DB6D" w14:textId="77777777" w:rsidR="0084331B" w:rsidRPr="007146AC" w:rsidRDefault="0084331B" w:rsidP="0084331B">
            <w:pPr>
              <w:rPr>
                <w:rFonts w:ascii="Times New Roman" w:eastAsia="Times New Roman" w:hAnsi="Times New Roman" w:cs="Times New Roman"/>
                <w:szCs w:val="20"/>
                <w:lang w:eastAsia="en-AU"/>
              </w:rPr>
            </w:pPr>
          </w:p>
        </w:tc>
      </w:tr>
    </w:tbl>
    <w:p w14:paraId="3BD13BC7" w14:textId="58DFC133" w:rsidR="0084331B" w:rsidRPr="00085793" w:rsidRDefault="0084331B" w:rsidP="0084331B">
      <w:pPr>
        <w:textAlignment w:val="baseline"/>
        <w:rPr>
          <w:rFonts w:ascii="Calibri" w:eastAsia="Times New Roman" w:hAnsi="Calibri" w:cs="Calibri"/>
          <w:b/>
          <w:bCs/>
          <w:i/>
          <w:iCs/>
          <w:sz w:val="18"/>
          <w:szCs w:val="18"/>
          <w:lang w:eastAsia="en-AU"/>
        </w:rPr>
      </w:pPr>
      <w:bookmarkStart w:id="81" w:name="_Ref163735245"/>
      <w:bookmarkStart w:id="82" w:name="_Ref163753475"/>
      <w:r w:rsidRPr="00085793">
        <w:rPr>
          <w:rFonts w:ascii="Calibri" w:eastAsia="Times New Roman" w:hAnsi="Calibri" w:cs="Calibri"/>
          <w:b/>
          <w:bCs/>
          <w:i/>
          <w:iCs/>
          <w:sz w:val="18"/>
          <w:szCs w:val="18"/>
          <w:lang w:eastAsia="en-AU"/>
        </w:rPr>
        <w:t xml:space="preserve">Table </w:t>
      </w:r>
      <w:r w:rsidRPr="00085793">
        <w:rPr>
          <w:rFonts w:ascii="Calibri" w:eastAsia="Times New Roman" w:hAnsi="Calibri" w:cs="Calibri"/>
          <w:b/>
          <w:bCs/>
          <w:i/>
          <w:iCs/>
          <w:color w:val="2B579A"/>
          <w:sz w:val="18"/>
          <w:szCs w:val="18"/>
          <w:shd w:val="clear" w:color="auto" w:fill="E6E6E6"/>
          <w:lang w:eastAsia="en-AU"/>
        </w:rPr>
        <w:fldChar w:fldCharType="begin"/>
      </w:r>
      <w:r w:rsidRPr="00085793">
        <w:rPr>
          <w:rFonts w:ascii="Calibri" w:eastAsia="Times New Roman" w:hAnsi="Calibri" w:cs="Calibri"/>
          <w:b/>
          <w:bCs/>
          <w:i/>
          <w:iCs/>
          <w:sz w:val="18"/>
          <w:szCs w:val="18"/>
          <w:lang w:eastAsia="en-AU"/>
        </w:rPr>
        <w:instrText xml:space="preserve"> SEQ Table \* ARABIC </w:instrText>
      </w:r>
      <w:r w:rsidRPr="00085793">
        <w:rPr>
          <w:rFonts w:ascii="Calibri" w:eastAsia="Times New Roman" w:hAnsi="Calibri" w:cs="Calibri"/>
          <w:b/>
          <w:bCs/>
          <w:i/>
          <w:iCs/>
          <w:color w:val="2B579A"/>
          <w:sz w:val="18"/>
          <w:szCs w:val="18"/>
          <w:shd w:val="clear" w:color="auto" w:fill="E6E6E6"/>
          <w:lang w:eastAsia="en-AU"/>
        </w:rPr>
        <w:fldChar w:fldCharType="separate"/>
      </w:r>
      <w:r w:rsidR="00E8506B">
        <w:rPr>
          <w:rFonts w:ascii="Calibri" w:eastAsia="Times New Roman" w:hAnsi="Calibri" w:cs="Calibri"/>
          <w:b/>
          <w:bCs/>
          <w:i/>
          <w:iCs/>
          <w:noProof/>
          <w:sz w:val="18"/>
          <w:szCs w:val="18"/>
          <w:lang w:eastAsia="en-AU"/>
        </w:rPr>
        <w:t>31</w:t>
      </w:r>
      <w:r w:rsidRPr="00085793">
        <w:rPr>
          <w:rFonts w:ascii="Calibri" w:eastAsia="Times New Roman" w:hAnsi="Calibri" w:cs="Calibri"/>
          <w:b/>
          <w:bCs/>
          <w:i/>
          <w:iCs/>
          <w:color w:val="2B579A"/>
          <w:sz w:val="18"/>
          <w:szCs w:val="18"/>
          <w:shd w:val="clear" w:color="auto" w:fill="E6E6E6"/>
          <w:lang w:eastAsia="en-AU"/>
        </w:rPr>
        <w:fldChar w:fldCharType="end"/>
      </w:r>
      <w:bookmarkEnd w:id="81"/>
      <w:bookmarkEnd w:id="82"/>
      <w:r w:rsidRPr="00085793">
        <w:rPr>
          <w:rFonts w:ascii="Calibri" w:eastAsia="Times New Roman" w:hAnsi="Calibri" w:cs="Calibri"/>
          <w:b/>
          <w:bCs/>
          <w:i/>
          <w:iCs/>
          <w:sz w:val="18"/>
          <w:szCs w:val="18"/>
          <w:lang w:eastAsia="en-AU"/>
        </w:rPr>
        <w:t xml:space="preserve"> </w:t>
      </w:r>
      <w:r w:rsidRPr="00085793">
        <w:rPr>
          <w:rFonts w:ascii="Calibri" w:eastAsia="Times New Roman" w:hAnsi="Calibri" w:cs="Calibri"/>
          <w:bCs/>
          <w:i/>
          <w:iCs/>
          <w:sz w:val="18"/>
          <w:szCs w:val="18"/>
          <w:lang w:eastAsia="en-AU"/>
        </w:rPr>
        <w:t>Summary of Benefits (Avoided Costs)</w:t>
      </w:r>
    </w:p>
    <w:tbl>
      <w:tblPr>
        <w:tblW w:w="13572" w:type="dxa"/>
        <w:tblLook w:val="04A0" w:firstRow="1" w:lastRow="0" w:firstColumn="1" w:lastColumn="0" w:noHBand="0" w:noVBand="1"/>
      </w:tblPr>
      <w:tblGrid>
        <w:gridCol w:w="2216"/>
        <w:gridCol w:w="2211"/>
        <w:gridCol w:w="2216"/>
        <w:gridCol w:w="2218"/>
        <w:gridCol w:w="275"/>
        <w:gridCol w:w="2218"/>
        <w:gridCol w:w="2218"/>
      </w:tblGrid>
      <w:tr w:rsidR="0084331B" w:rsidRPr="002B6C18" w14:paraId="454F2F2D" w14:textId="77777777" w:rsidTr="00E6462B">
        <w:trPr>
          <w:gridAfter w:val="3"/>
          <w:wAfter w:w="4711" w:type="dxa"/>
          <w:trHeight w:val="390"/>
        </w:trPr>
        <w:tc>
          <w:tcPr>
            <w:tcW w:w="2216" w:type="dxa"/>
            <w:vMerge w:val="restart"/>
            <w:tcBorders>
              <w:top w:val="nil"/>
              <w:left w:val="nil"/>
              <w:bottom w:val="single" w:sz="8" w:space="0" w:color="D9D9D9" w:themeColor="background2" w:themeShade="D9"/>
              <w:right w:val="single" w:sz="8" w:space="0" w:color="D9D9D9" w:themeColor="background2" w:themeShade="D9"/>
            </w:tcBorders>
            <w:shd w:val="clear" w:color="auto" w:fill="284B98"/>
            <w:vAlign w:val="center"/>
            <w:hideMark/>
          </w:tcPr>
          <w:p w14:paraId="64EF1223" w14:textId="77777777" w:rsidR="0084331B" w:rsidRPr="002B6C18" w:rsidRDefault="0084331B" w:rsidP="0084331B">
            <w:pPr>
              <w:rPr>
                <w:rFonts w:ascii="Calibri" w:eastAsia="Times New Roman" w:hAnsi="Calibri" w:cs="Calibri"/>
                <w:color w:val="000000"/>
                <w:lang w:eastAsia="en-AU"/>
              </w:rPr>
            </w:pPr>
            <w:r w:rsidRPr="002B6C18">
              <w:rPr>
                <w:rFonts w:ascii="Calibri" w:eastAsia="Times New Roman" w:hAnsi="Calibri" w:cs="Calibri"/>
                <w:color w:val="000000"/>
                <w:lang w:eastAsia="en-AU"/>
              </w:rPr>
              <w:t> </w:t>
            </w:r>
          </w:p>
        </w:tc>
        <w:tc>
          <w:tcPr>
            <w:tcW w:w="2211" w:type="dxa"/>
            <w:vMerge w:val="restart"/>
            <w:tcBorders>
              <w:top w:val="nil"/>
              <w:left w:val="single" w:sz="8" w:space="0" w:color="D9D9D9" w:themeColor="background2" w:themeShade="D9"/>
              <w:bottom w:val="single" w:sz="8" w:space="0" w:color="D9D9D9" w:themeColor="background2" w:themeShade="D9"/>
              <w:right w:val="single" w:sz="8" w:space="0" w:color="D9D9D9" w:themeColor="background2" w:themeShade="D9"/>
            </w:tcBorders>
            <w:shd w:val="clear" w:color="auto" w:fill="284B98"/>
            <w:vAlign w:val="center"/>
            <w:hideMark/>
          </w:tcPr>
          <w:p w14:paraId="4297C88B" w14:textId="77777777" w:rsidR="0084331B" w:rsidRPr="002B6C18" w:rsidRDefault="0084331B" w:rsidP="0084331B">
            <w:pPr>
              <w:jc w:val="center"/>
              <w:rPr>
                <w:rFonts w:ascii="Arial" w:eastAsia="Times New Roman" w:hAnsi="Arial" w:cs="Arial"/>
                <w:b/>
                <w:bCs/>
                <w:color w:val="FFFFFF"/>
                <w:szCs w:val="20"/>
                <w:lang w:eastAsia="en-AU"/>
              </w:rPr>
            </w:pPr>
            <w:r w:rsidRPr="002B6C18">
              <w:rPr>
                <w:rFonts w:ascii="Arial" w:eastAsia="Times New Roman" w:hAnsi="Arial" w:cs="Arial"/>
                <w:b/>
                <w:bCs/>
                <w:color w:val="FFFFFF"/>
                <w:szCs w:val="20"/>
                <w:lang w:eastAsia="en-AU"/>
              </w:rPr>
              <w:t>Low Scenario</w:t>
            </w:r>
          </w:p>
        </w:tc>
        <w:tc>
          <w:tcPr>
            <w:tcW w:w="2216" w:type="dxa"/>
            <w:vMerge w:val="restart"/>
            <w:tcBorders>
              <w:top w:val="nil"/>
              <w:left w:val="single" w:sz="8" w:space="0" w:color="D9D9D9" w:themeColor="background2" w:themeShade="D9"/>
              <w:bottom w:val="single" w:sz="8" w:space="0" w:color="D9D9D9" w:themeColor="background2" w:themeShade="D9"/>
              <w:right w:val="single" w:sz="8" w:space="0" w:color="D9D9D9" w:themeColor="background2" w:themeShade="D9"/>
            </w:tcBorders>
            <w:shd w:val="clear" w:color="auto" w:fill="284B98"/>
            <w:vAlign w:val="center"/>
            <w:hideMark/>
          </w:tcPr>
          <w:p w14:paraId="53F551B0" w14:textId="77777777" w:rsidR="0084331B" w:rsidRPr="002B6C18" w:rsidRDefault="0084331B" w:rsidP="0084331B">
            <w:pPr>
              <w:jc w:val="center"/>
              <w:rPr>
                <w:rFonts w:ascii="Arial" w:eastAsia="Times New Roman" w:hAnsi="Arial" w:cs="Arial"/>
                <w:b/>
                <w:bCs/>
                <w:color w:val="FFFFFF"/>
                <w:szCs w:val="20"/>
                <w:lang w:eastAsia="en-AU"/>
              </w:rPr>
            </w:pPr>
            <w:r>
              <w:rPr>
                <w:rFonts w:ascii="Arial" w:eastAsia="Times New Roman" w:hAnsi="Arial" w:cs="Arial"/>
                <w:b/>
                <w:bCs/>
                <w:color w:val="FFFFFF" w:themeColor="background1"/>
                <w:szCs w:val="20"/>
                <w:lang w:eastAsia="en-AU"/>
              </w:rPr>
              <w:t>Medium</w:t>
            </w:r>
            <w:r w:rsidRPr="3A9E9E7F">
              <w:rPr>
                <w:rFonts w:ascii="Arial" w:eastAsia="Times New Roman" w:hAnsi="Arial" w:cs="Arial"/>
                <w:b/>
                <w:bCs/>
                <w:color w:val="FFFFFF" w:themeColor="background1"/>
                <w:szCs w:val="20"/>
                <w:lang w:eastAsia="en-AU"/>
              </w:rPr>
              <w:t xml:space="preserve"> Scenario</w:t>
            </w:r>
          </w:p>
        </w:tc>
        <w:tc>
          <w:tcPr>
            <w:tcW w:w="2218" w:type="dxa"/>
            <w:vMerge w:val="restart"/>
            <w:tcBorders>
              <w:top w:val="nil"/>
              <w:left w:val="single" w:sz="8" w:space="0" w:color="D9D9D9" w:themeColor="background2" w:themeShade="D9"/>
              <w:bottom w:val="single" w:sz="8" w:space="0" w:color="D9D9D9" w:themeColor="background2" w:themeShade="D9"/>
              <w:right w:val="nil"/>
            </w:tcBorders>
            <w:shd w:val="clear" w:color="auto" w:fill="284B98"/>
            <w:vAlign w:val="center"/>
            <w:hideMark/>
          </w:tcPr>
          <w:p w14:paraId="054BBAF0" w14:textId="77777777" w:rsidR="0084331B" w:rsidRPr="002B6C18" w:rsidRDefault="0084331B" w:rsidP="0084331B">
            <w:pPr>
              <w:jc w:val="center"/>
              <w:rPr>
                <w:rFonts w:ascii="Arial" w:eastAsia="Times New Roman" w:hAnsi="Arial" w:cs="Arial"/>
                <w:b/>
                <w:bCs/>
                <w:color w:val="FFFFFF"/>
                <w:szCs w:val="20"/>
                <w:lang w:eastAsia="en-AU"/>
              </w:rPr>
            </w:pPr>
            <w:r w:rsidRPr="002B6C18">
              <w:rPr>
                <w:rFonts w:ascii="Arial" w:eastAsia="Times New Roman" w:hAnsi="Arial" w:cs="Arial"/>
                <w:b/>
                <w:bCs/>
                <w:color w:val="FFFFFF"/>
                <w:szCs w:val="20"/>
                <w:lang w:eastAsia="en-AU"/>
              </w:rPr>
              <w:t>Severe Scenario</w:t>
            </w:r>
          </w:p>
        </w:tc>
      </w:tr>
      <w:tr w:rsidR="0084331B" w:rsidRPr="002B6C18" w14:paraId="4394F90C" w14:textId="77777777" w:rsidTr="00A8540B">
        <w:trPr>
          <w:gridAfter w:val="2"/>
          <w:wAfter w:w="4436" w:type="dxa"/>
          <w:trHeight w:val="102"/>
        </w:trPr>
        <w:tc>
          <w:tcPr>
            <w:tcW w:w="2216" w:type="dxa"/>
            <w:vMerge/>
            <w:vAlign w:val="center"/>
            <w:hideMark/>
          </w:tcPr>
          <w:p w14:paraId="09D1AEB6" w14:textId="77777777" w:rsidR="0084331B" w:rsidRPr="002B6C18" w:rsidRDefault="0084331B" w:rsidP="0084331B">
            <w:pPr>
              <w:rPr>
                <w:rFonts w:ascii="Calibri" w:eastAsia="Times New Roman" w:hAnsi="Calibri" w:cs="Calibri"/>
                <w:color w:val="000000"/>
                <w:lang w:eastAsia="en-AU"/>
              </w:rPr>
            </w:pPr>
          </w:p>
        </w:tc>
        <w:tc>
          <w:tcPr>
            <w:tcW w:w="2211" w:type="dxa"/>
            <w:vMerge/>
            <w:vAlign w:val="center"/>
            <w:hideMark/>
          </w:tcPr>
          <w:p w14:paraId="4C283C08" w14:textId="77777777" w:rsidR="0084331B" w:rsidRPr="002B6C18" w:rsidRDefault="0084331B" w:rsidP="0084331B">
            <w:pPr>
              <w:rPr>
                <w:rFonts w:ascii="Arial" w:eastAsia="Times New Roman" w:hAnsi="Arial" w:cs="Arial"/>
                <w:b/>
                <w:bCs/>
                <w:color w:val="FFFFFF"/>
                <w:szCs w:val="20"/>
                <w:lang w:eastAsia="en-AU"/>
              </w:rPr>
            </w:pPr>
          </w:p>
        </w:tc>
        <w:tc>
          <w:tcPr>
            <w:tcW w:w="2216" w:type="dxa"/>
            <w:vMerge/>
            <w:vAlign w:val="center"/>
            <w:hideMark/>
          </w:tcPr>
          <w:p w14:paraId="3E93D66C" w14:textId="77777777" w:rsidR="0084331B" w:rsidRPr="002B6C18" w:rsidRDefault="0084331B" w:rsidP="0084331B">
            <w:pPr>
              <w:rPr>
                <w:rFonts w:ascii="Arial" w:eastAsia="Times New Roman" w:hAnsi="Arial" w:cs="Arial"/>
                <w:b/>
                <w:bCs/>
                <w:color w:val="FFFFFF"/>
                <w:szCs w:val="20"/>
                <w:lang w:eastAsia="en-AU"/>
              </w:rPr>
            </w:pPr>
          </w:p>
        </w:tc>
        <w:tc>
          <w:tcPr>
            <w:tcW w:w="2218" w:type="dxa"/>
            <w:vMerge/>
            <w:vAlign w:val="center"/>
            <w:hideMark/>
          </w:tcPr>
          <w:p w14:paraId="4895CD11" w14:textId="77777777" w:rsidR="0084331B" w:rsidRPr="002B6C18" w:rsidRDefault="0084331B" w:rsidP="0084331B">
            <w:pPr>
              <w:rPr>
                <w:rFonts w:ascii="Arial" w:eastAsia="Times New Roman" w:hAnsi="Arial" w:cs="Arial"/>
                <w:b/>
                <w:bCs/>
                <w:color w:val="FFFFFF"/>
                <w:szCs w:val="20"/>
                <w:lang w:eastAsia="en-AU"/>
              </w:rPr>
            </w:pPr>
          </w:p>
        </w:tc>
        <w:tc>
          <w:tcPr>
            <w:tcW w:w="275" w:type="dxa"/>
            <w:tcBorders>
              <w:top w:val="nil"/>
              <w:left w:val="nil"/>
              <w:bottom w:val="nil"/>
              <w:right w:val="nil"/>
            </w:tcBorders>
            <w:shd w:val="clear" w:color="auto" w:fill="auto"/>
            <w:noWrap/>
            <w:vAlign w:val="bottom"/>
          </w:tcPr>
          <w:p w14:paraId="35E8EB3B" w14:textId="77777777" w:rsidR="0084331B" w:rsidRPr="002B6C18" w:rsidRDefault="0084331B" w:rsidP="0084331B">
            <w:pPr>
              <w:jc w:val="center"/>
              <w:rPr>
                <w:rFonts w:ascii="Arial" w:eastAsia="Times New Roman" w:hAnsi="Arial" w:cs="Arial"/>
                <w:b/>
                <w:bCs/>
                <w:color w:val="FFFFFF"/>
                <w:szCs w:val="20"/>
                <w:lang w:eastAsia="en-AU"/>
              </w:rPr>
            </w:pPr>
          </w:p>
        </w:tc>
      </w:tr>
      <w:tr w:rsidR="0084331B" w:rsidRPr="002B6C18" w14:paraId="7064A321" w14:textId="77777777" w:rsidTr="00E6462B">
        <w:trPr>
          <w:gridAfter w:val="2"/>
          <w:wAfter w:w="4436" w:type="dxa"/>
          <w:trHeight w:val="80"/>
        </w:trPr>
        <w:tc>
          <w:tcPr>
            <w:tcW w:w="2216" w:type="dxa"/>
            <w:vMerge/>
            <w:vAlign w:val="center"/>
            <w:hideMark/>
          </w:tcPr>
          <w:p w14:paraId="45230731" w14:textId="77777777" w:rsidR="0084331B" w:rsidRPr="002B6C18" w:rsidRDefault="0084331B" w:rsidP="0084331B">
            <w:pPr>
              <w:rPr>
                <w:rFonts w:ascii="Calibri" w:eastAsia="Times New Roman" w:hAnsi="Calibri" w:cs="Calibri"/>
                <w:color w:val="000000"/>
                <w:lang w:eastAsia="en-AU"/>
              </w:rPr>
            </w:pPr>
          </w:p>
        </w:tc>
        <w:tc>
          <w:tcPr>
            <w:tcW w:w="2211" w:type="dxa"/>
            <w:vMerge/>
            <w:vAlign w:val="center"/>
            <w:hideMark/>
          </w:tcPr>
          <w:p w14:paraId="6BD7C7BA" w14:textId="77777777" w:rsidR="0084331B" w:rsidRPr="002B6C18" w:rsidRDefault="0084331B" w:rsidP="0084331B">
            <w:pPr>
              <w:rPr>
                <w:rFonts w:ascii="Arial" w:eastAsia="Times New Roman" w:hAnsi="Arial" w:cs="Arial"/>
                <w:b/>
                <w:bCs/>
                <w:color w:val="FFFFFF"/>
                <w:szCs w:val="20"/>
                <w:lang w:eastAsia="en-AU"/>
              </w:rPr>
            </w:pPr>
          </w:p>
        </w:tc>
        <w:tc>
          <w:tcPr>
            <w:tcW w:w="2216" w:type="dxa"/>
            <w:vMerge/>
            <w:vAlign w:val="center"/>
            <w:hideMark/>
          </w:tcPr>
          <w:p w14:paraId="50161E1C" w14:textId="77777777" w:rsidR="0084331B" w:rsidRPr="002B6C18" w:rsidRDefault="0084331B" w:rsidP="0084331B">
            <w:pPr>
              <w:rPr>
                <w:rFonts w:ascii="Arial" w:eastAsia="Times New Roman" w:hAnsi="Arial" w:cs="Arial"/>
                <w:b/>
                <w:bCs/>
                <w:color w:val="FFFFFF"/>
                <w:szCs w:val="20"/>
                <w:lang w:eastAsia="en-AU"/>
              </w:rPr>
            </w:pPr>
          </w:p>
        </w:tc>
        <w:tc>
          <w:tcPr>
            <w:tcW w:w="2218" w:type="dxa"/>
            <w:vMerge/>
            <w:vAlign w:val="center"/>
            <w:hideMark/>
          </w:tcPr>
          <w:p w14:paraId="7B8DF59B" w14:textId="77777777" w:rsidR="0084331B" w:rsidRPr="002B6C18" w:rsidRDefault="0084331B" w:rsidP="0084331B">
            <w:pPr>
              <w:rPr>
                <w:rFonts w:ascii="Arial" w:eastAsia="Times New Roman" w:hAnsi="Arial" w:cs="Arial"/>
                <w:b/>
                <w:bCs/>
                <w:color w:val="FFFFFF"/>
                <w:szCs w:val="20"/>
                <w:lang w:eastAsia="en-AU"/>
              </w:rPr>
            </w:pPr>
          </w:p>
        </w:tc>
        <w:tc>
          <w:tcPr>
            <w:tcW w:w="275" w:type="dxa"/>
            <w:tcBorders>
              <w:top w:val="nil"/>
              <w:left w:val="nil"/>
              <w:bottom w:val="nil"/>
              <w:right w:val="nil"/>
            </w:tcBorders>
            <w:shd w:val="clear" w:color="auto" w:fill="auto"/>
            <w:noWrap/>
            <w:vAlign w:val="bottom"/>
          </w:tcPr>
          <w:p w14:paraId="1014288F" w14:textId="77777777" w:rsidR="0084331B" w:rsidRPr="002B6C18" w:rsidRDefault="0084331B" w:rsidP="0084331B">
            <w:pPr>
              <w:rPr>
                <w:rFonts w:ascii="Times New Roman" w:eastAsia="Times New Roman" w:hAnsi="Times New Roman" w:cs="Times New Roman"/>
                <w:szCs w:val="20"/>
                <w:lang w:eastAsia="en-AU"/>
              </w:rPr>
            </w:pPr>
          </w:p>
        </w:tc>
      </w:tr>
      <w:tr w:rsidR="0084331B" w:rsidRPr="002B6C18" w14:paraId="7B63C5A7" w14:textId="77777777" w:rsidTr="00A8540B">
        <w:trPr>
          <w:gridAfter w:val="2"/>
          <w:wAfter w:w="4436" w:type="dxa"/>
          <w:trHeight w:val="714"/>
        </w:trPr>
        <w:tc>
          <w:tcPr>
            <w:tcW w:w="2216" w:type="dxa"/>
            <w:tcBorders>
              <w:top w:val="nil"/>
              <w:left w:val="nil"/>
              <w:bottom w:val="single" w:sz="8" w:space="0" w:color="D9D9D9" w:themeColor="background2" w:themeShade="D9"/>
              <w:right w:val="single" w:sz="8" w:space="0" w:color="D9D9D9" w:themeColor="background2" w:themeShade="D9"/>
            </w:tcBorders>
            <w:shd w:val="clear" w:color="auto" w:fill="F2F2F2" w:themeFill="background2" w:themeFillShade="F2"/>
            <w:noWrap/>
            <w:vAlign w:val="center"/>
            <w:hideMark/>
          </w:tcPr>
          <w:p w14:paraId="5FD31722" w14:textId="77777777" w:rsidR="0084331B" w:rsidRPr="002B6C18" w:rsidRDefault="0084331B" w:rsidP="0084331B">
            <w:pPr>
              <w:rPr>
                <w:rFonts w:ascii="Arial" w:eastAsia="Times New Roman" w:hAnsi="Arial" w:cs="Arial"/>
                <w:color w:val="000000"/>
                <w:szCs w:val="20"/>
                <w:lang w:eastAsia="en-AU"/>
              </w:rPr>
            </w:pPr>
            <w:r w:rsidRPr="3A9E9E7F">
              <w:rPr>
                <w:rFonts w:ascii="Arial" w:eastAsia="Times New Roman" w:hAnsi="Arial" w:cs="Arial"/>
                <w:color w:val="000000" w:themeColor="text1"/>
                <w:szCs w:val="20"/>
                <w:lang w:eastAsia="en-AU"/>
              </w:rPr>
              <w:t>Direct avoided costs (Benefits of Option)</w:t>
            </w:r>
          </w:p>
        </w:tc>
        <w:tc>
          <w:tcPr>
            <w:tcW w:w="2211" w:type="dxa"/>
            <w:tcBorders>
              <w:top w:val="nil"/>
              <w:left w:val="nil"/>
              <w:bottom w:val="single" w:sz="8" w:space="0" w:color="D9D9D9" w:themeColor="background2" w:themeShade="D9"/>
              <w:right w:val="single" w:sz="8" w:space="0" w:color="D9D9D9" w:themeColor="background2" w:themeShade="D9"/>
            </w:tcBorders>
            <w:shd w:val="clear" w:color="auto" w:fill="auto"/>
            <w:vAlign w:val="center"/>
            <w:hideMark/>
          </w:tcPr>
          <w:p w14:paraId="402B4DCA" w14:textId="77777777" w:rsidR="0084331B" w:rsidRPr="002B6C18" w:rsidRDefault="0084331B" w:rsidP="0084331B">
            <w:pPr>
              <w:jc w:val="center"/>
              <w:rPr>
                <w:rFonts w:ascii="Arial" w:eastAsia="Times New Roman" w:hAnsi="Arial" w:cs="Arial"/>
                <w:color w:val="000000"/>
                <w:szCs w:val="20"/>
                <w:lang w:eastAsia="en-AU"/>
              </w:rPr>
            </w:pPr>
            <w:r w:rsidRPr="3A9E9E7F">
              <w:rPr>
                <w:rFonts w:ascii="Arial" w:eastAsia="Times New Roman" w:hAnsi="Arial" w:cs="Arial"/>
                <w:color w:val="000000" w:themeColor="text1"/>
                <w:szCs w:val="20"/>
                <w:lang w:eastAsia="en-AU"/>
              </w:rPr>
              <w:t>$6.4m</w:t>
            </w:r>
          </w:p>
        </w:tc>
        <w:tc>
          <w:tcPr>
            <w:tcW w:w="2216" w:type="dxa"/>
            <w:tcBorders>
              <w:top w:val="nil"/>
              <w:left w:val="nil"/>
              <w:bottom w:val="single" w:sz="8" w:space="0" w:color="D9D9D9" w:themeColor="background2" w:themeShade="D9"/>
              <w:right w:val="single" w:sz="8" w:space="0" w:color="D9D9D9" w:themeColor="background2" w:themeShade="D9"/>
            </w:tcBorders>
            <w:shd w:val="clear" w:color="auto" w:fill="auto"/>
            <w:noWrap/>
            <w:vAlign w:val="center"/>
            <w:hideMark/>
          </w:tcPr>
          <w:p w14:paraId="58542170" w14:textId="77777777" w:rsidR="0084331B" w:rsidRPr="002B6C18" w:rsidRDefault="0084331B" w:rsidP="0084331B">
            <w:pPr>
              <w:jc w:val="center"/>
              <w:rPr>
                <w:rFonts w:ascii="Arial" w:eastAsia="Times New Roman" w:hAnsi="Arial" w:cs="Arial"/>
                <w:color w:val="000000"/>
                <w:szCs w:val="20"/>
                <w:lang w:eastAsia="en-AU"/>
              </w:rPr>
            </w:pPr>
            <w:r w:rsidRPr="002B6C18">
              <w:rPr>
                <w:rFonts w:ascii="Arial" w:eastAsia="Times New Roman" w:hAnsi="Arial" w:cs="Arial"/>
                <w:color w:val="000000"/>
                <w:szCs w:val="20"/>
                <w:lang w:eastAsia="en-AU"/>
              </w:rPr>
              <w:t>$26.0m</w:t>
            </w:r>
          </w:p>
        </w:tc>
        <w:tc>
          <w:tcPr>
            <w:tcW w:w="2218" w:type="dxa"/>
            <w:tcBorders>
              <w:top w:val="nil"/>
              <w:left w:val="nil"/>
              <w:bottom w:val="single" w:sz="8" w:space="0" w:color="D9D9D9" w:themeColor="background2" w:themeShade="D9"/>
              <w:right w:val="nil"/>
            </w:tcBorders>
            <w:shd w:val="clear" w:color="auto" w:fill="auto"/>
            <w:noWrap/>
            <w:vAlign w:val="center"/>
            <w:hideMark/>
          </w:tcPr>
          <w:p w14:paraId="2E93A479" w14:textId="77777777" w:rsidR="0084331B" w:rsidRPr="002B6C18" w:rsidRDefault="0084331B" w:rsidP="0084331B">
            <w:pPr>
              <w:jc w:val="center"/>
              <w:rPr>
                <w:rFonts w:ascii="Arial" w:eastAsia="Times New Roman" w:hAnsi="Arial" w:cs="Arial"/>
                <w:color w:val="000000"/>
                <w:szCs w:val="20"/>
                <w:lang w:eastAsia="en-AU"/>
              </w:rPr>
            </w:pPr>
            <w:r w:rsidRPr="3A9E9E7F">
              <w:rPr>
                <w:rFonts w:ascii="Arial" w:eastAsia="Times New Roman" w:hAnsi="Arial" w:cs="Arial"/>
                <w:color w:val="000000" w:themeColor="text1"/>
                <w:szCs w:val="20"/>
                <w:lang w:eastAsia="en-AU"/>
              </w:rPr>
              <w:t>$140.0m</w:t>
            </w:r>
          </w:p>
        </w:tc>
        <w:tc>
          <w:tcPr>
            <w:tcW w:w="275" w:type="dxa"/>
            <w:vAlign w:val="center"/>
          </w:tcPr>
          <w:p w14:paraId="7119872D" w14:textId="77777777" w:rsidR="0084331B" w:rsidRPr="002B6C18" w:rsidRDefault="0084331B" w:rsidP="0084331B">
            <w:pPr>
              <w:rPr>
                <w:rFonts w:ascii="Times New Roman" w:eastAsia="Times New Roman" w:hAnsi="Times New Roman" w:cs="Times New Roman"/>
                <w:szCs w:val="20"/>
                <w:lang w:eastAsia="en-AU"/>
              </w:rPr>
            </w:pPr>
          </w:p>
        </w:tc>
      </w:tr>
      <w:tr w:rsidR="0084331B" w:rsidRPr="002B6C18" w14:paraId="32965293" w14:textId="77777777" w:rsidTr="00A8540B">
        <w:trPr>
          <w:gridAfter w:val="2"/>
          <w:wAfter w:w="4436" w:type="dxa"/>
          <w:trHeight w:val="406"/>
        </w:trPr>
        <w:tc>
          <w:tcPr>
            <w:tcW w:w="8861" w:type="dxa"/>
            <w:gridSpan w:val="4"/>
            <w:tcBorders>
              <w:top w:val="single" w:sz="8" w:space="0" w:color="D9D9D9" w:themeColor="background2" w:themeShade="D9"/>
              <w:left w:val="nil"/>
              <w:bottom w:val="single" w:sz="8" w:space="0" w:color="D9D9D9" w:themeColor="background2" w:themeShade="D9"/>
              <w:right w:val="nil"/>
            </w:tcBorders>
            <w:shd w:val="clear" w:color="auto" w:fill="F2F2F2" w:themeFill="background2" w:themeFillShade="F2"/>
            <w:noWrap/>
            <w:vAlign w:val="center"/>
            <w:hideMark/>
          </w:tcPr>
          <w:p w14:paraId="3DA27EB2" w14:textId="77777777" w:rsidR="0084331B" w:rsidRPr="00477328" w:rsidRDefault="0084331B" w:rsidP="0084331B">
            <w:pPr>
              <w:rPr>
                <w:rFonts w:ascii="Arial" w:eastAsia="Times New Roman" w:hAnsi="Arial" w:cs="Arial"/>
                <w:b/>
                <w:bCs/>
                <w:color w:val="000000"/>
                <w:szCs w:val="20"/>
                <w:lang w:eastAsia="en-AU"/>
              </w:rPr>
            </w:pPr>
            <w:r w:rsidRPr="00477328">
              <w:rPr>
                <w:rFonts w:ascii="Arial" w:eastAsia="Times New Roman" w:hAnsi="Arial" w:cs="Arial"/>
                <w:b/>
                <w:bCs/>
                <w:color w:val="000000" w:themeColor="text1"/>
                <w:szCs w:val="20"/>
                <w:lang w:eastAsia="en-AU"/>
              </w:rPr>
              <w:t xml:space="preserve">Measure 1 - </w:t>
            </w:r>
            <w:r w:rsidRPr="00302A0C">
              <w:rPr>
                <w:rFonts w:ascii="Arial" w:hAnsi="Arial" w:cs="Arial"/>
                <w:szCs w:val="20"/>
              </w:rPr>
              <w:t>Amend definitions to ensure capture of ‘business critical data’</w:t>
            </w:r>
          </w:p>
        </w:tc>
        <w:tc>
          <w:tcPr>
            <w:tcW w:w="275" w:type="dxa"/>
            <w:vAlign w:val="center"/>
          </w:tcPr>
          <w:p w14:paraId="1DE34337" w14:textId="77777777" w:rsidR="0084331B" w:rsidRPr="00606B58" w:rsidRDefault="0084331B" w:rsidP="0084331B">
            <w:pPr>
              <w:rPr>
                <w:rFonts w:ascii="Times New Roman" w:eastAsia="Times New Roman" w:hAnsi="Times New Roman" w:cs="Times New Roman"/>
                <w:b/>
                <w:bCs/>
                <w:szCs w:val="20"/>
                <w:lang w:eastAsia="en-AU"/>
              </w:rPr>
            </w:pPr>
          </w:p>
        </w:tc>
      </w:tr>
      <w:tr w:rsidR="0084331B" w:rsidRPr="002B6C18" w14:paraId="01D2BCAD" w14:textId="77777777" w:rsidTr="00A8540B">
        <w:trPr>
          <w:gridAfter w:val="2"/>
          <w:wAfter w:w="4436" w:type="dxa"/>
          <w:trHeight w:val="680"/>
        </w:trPr>
        <w:tc>
          <w:tcPr>
            <w:tcW w:w="2216" w:type="dxa"/>
            <w:vMerge w:val="restart"/>
            <w:tcBorders>
              <w:top w:val="nil"/>
              <w:left w:val="nil"/>
              <w:bottom w:val="nil"/>
              <w:right w:val="single" w:sz="8" w:space="0" w:color="D9D9D9" w:themeColor="background2" w:themeShade="D9"/>
            </w:tcBorders>
            <w:shd w:val="clear" w:color="auto" w:fill="F2F2F2" w:themeFill="background2" w:themeFillShade="F2"/>
            <w:vAlign w:val="center"/>
            <w:hideMark/>
          </w:tcPr>
          <w:p w14:paraId="4BEA90B7" w14:textId="77777777" w:rsidR="0084331B" w:rsidRPr="002B6C18" w:rsidRDefault="0084331B" w:rsidP="0084331B">
            <w:pPr>
              <w:jc w:val="center"/>
              <w:rPr>
                <w:rFonts w:ascii="Arial" w:eastAsia="Times New Roman" w:hAnsi="Arial" w:cs="Arial"/>
                <w:color w:val="000000"/>
                <w:szCs w:val="20"/>
                <w:lang w:eastAsia="en-AU"/>
              </w:rPr>
            </w:pPr>
            <w:r w:rsidRPr="002B6C18">
              <w:rPr>
                <w:rFonts w:ascii="Arial" w:eastAsia="Times New Roman" w:hAnsi="Arial" w:cs="Arial"/>
                <w:color w:val="000000"/>
                <w:szCs w:val="20"/>
                <w:lang w:eastAsia="en-AU"/>
              </w:rPr>
              <w:t>Approximate number of avoided incidents required for a net benefit</w:t>
            </w:r>
            <w:r>
              <w:rPr>
                <w:rFonts w:ascii="Arial" w:eastAsia="Times New Roman" w:hAnsi="Arial" w:cs="Arial"/>
                <w:color w:val="000000"/>
                <w:szCs w:val="20"/>
                <w:lang w:eastAsia="en-AU"/>
              </w:rPr>
              <w:t xml:space="preserve">* </w:t>
            </w:r>
          </w:p>
        </w:tc>
        <w:tc>
          <w:tcPr>
            <w:tcW w:w="2211" w:type="dxa"/>
            <w:vMerge w:val="restart"/>
            <w:tcBorders>
              <w:top w:val="nil"/>
              <w:left w:val="single" w:sz="8" w:space="0" w:color="D9D9D9" w:themeColor="background2" w:themeShade="D9"/>
              <w:bottom w:val="single" w:sz="8" w:space="0" w:color="D9D9D9" w:themeColor="background2" w:themeShade="D9"/>
              <w:right w:val="single" w:sz="8" w:space="0" w:color="D9D9D9" w:themeColor="background2" w:themeShade="D9"/>
            </w:tcBorders>
            <w:shd w:val="clear" w:color="auto" w:fill="auto"/>
            <w:vAlign w:val="center"/>
            <w:hideMark/>
          </w:tcPr>
          <w:p w14:paraId="00BEA8FB" w14:textId="77777777" w:rsidR="0084331B" w:rsidRPr="002B6C18" w:rsidRDefault="0084331B" w:rsidP="0084331B">
            <w:pPr>
              <w:jc w:val="center"/>
              <w:rPr>
                <w:rFonts w:ascii="Arial" w:eastAsia="Times New Roman" w:hAnsi="Arial" w:cs="Arial"/>
                <w:color w:val="000000"/>
                <w:szCs w:val="20"/>
                <w:lang w:eastAsia="en-AU"/>
              </w:rPr>
            </w:pPr>
            <w:r w:rsidRPr="002B6C18">
              <w:rPr>
                <w:rFonts w:ascii="Arial" w:eastAsia="Times New Roman" w:hAnsi="Arial" w:cs="Arial"/>
                <w:color w:val="000000"/>
                <w:szCs w:val="20"/>
                <w:lang w:eastAsia="en-AU"/>
              </w:rPr>
              <w:t> </w:t>
            </w:r>
            <w:r>
              <w:rPr>
                <w:rFonts w:ascii="Arial" w:eastAsia="Times New Roman" w:hAnsi="Arial" w:cs="Arial"/>
                <w:color w:val="000000"/>
                <w:szCs w:val="20"/>
                <w:lang w:eastAsia="en-AU"/>
              </w:rPr>
              <w:t>1.2 incidents every year</w:t>
            </w:r>
          </w:p>
        </w:tc>
        <w:tc>
          <w:tcPr>
            <w:tcW w:w="2216" w:type="dxa"/>
            <w:vMerge w:val="restart"/>
            <w:tcBorders>
              <w:top w:val="nil"/>
              <w:left w:val="single" w:sz="8" w:space="0" w:color="D9D9D9" w:themeColor="background2" w:themeShade="D9"/>
              <w:bottom w:val="single" w:sz="8" w:space="0" w:color="D9D9D9" w:themeColor="background2" w:themeShade="D9"/>
              <w:right w:val="single" w:sz="8" w:space="0" w:color="D9D9D9" w:themeColor="background2" w:themeShade="D9"/>
            </w:tcBorders>
            <w:shd w:val="clear" w:color="auto" w:fill="auto"/>
            <w:noWrap/>
            <w:vAlign w:val="center"/>
            <w:hideMark/>
          </w:tcPr>
          <w:p w14:paraId="2D655943" w14:textId="77777777" w:rsidR="0084331B" w:rsidRPr="002B6C18" w:rsidRDefault="0084331B" w:rsidP="0084331B">
            <w:pPr>
              <w:jc w:val="center"/>
              <w:rPr>
                <w:rFonts w:ascii="Arial" w:eastAsia="Times New Roman" w:hAnsi="Arial" w:cs="Arial"/>
                <w:color w:val="000000"/>
                <w:szCs w:val="20"/>
                <w:lang w:eastAsia="en-AU"/>
              </w:rPr>
            </w:pPr>
            <w:r>
              <w:rPr>
                <w:rFonts w:ascii="Arial" w:eastAsia="Times New Roman" w:hAnsi="Arial" w:cs="Arial"/>
                <w:color w:val="000000"/>
                <w:szCs w:val="20"/>
                <w:lang w:eastAsia="en-AU"/>
              </w:rPr>
              <w:t>1 incident every three years</w:t>
            </w:r>
          </w:p>
        </w:tc>
        <w:tc>
          <w:tcPr>
            <w:tcW w:w="2218" w:type="dxa"/>
            <w:vMerge w:val="restart"/>
            <w:tcBorders>
              <w:top w:val="nil"/>
              <w:left w:val="single" w:sz="8" w:space="0" w:color="D9D9D9" w:themeColor="background2" w:themeShade="D9"/>
              <w:bottom w:val="single" w:sz="8" w:space="0" w:color="D9D9D9" w:themeColor="background2" w:themeShade="D9"/>
              <w:right w:val="nil"/>
            </w:tcBorders>
            <w:shd w:val="clear" w:color="auto" w:fill="auto"/>
            <w:noWrap/>
            <w:vAlign w:val="center"/>
            <w:hideMark/>
          </w:tcPr>
          <w:p w14:paraId="241E1C09" w14:textId="77777777" w:rsidR="0084331B" w:rsidRPr="002B6C18" w:rsidRDefault="0084331B" w:rsidP="0084331B">
            <w:pPr>
              <w:jc w:val="center"/>
              <w:rPr>
                <w:rFonts w:ascii="Arial" w:eastAsia="Times New Roman" w:hAnsi="Arial" w:cs="Arial"/>
                <w:color w:val="000000"/>
                <w:szCs w:val="20"/>
                <w:lang w:eastAsia="en-AU"/>
              </w:rPr>
            </w:pPr>
            <w:r>
              <w:rPr>
                <w:rFonts w:ascii="Arial" w:eastAsia="Times New Roman" w:hAnsi="Arial" w:cs="Arial"/>
                <w:color w:val="000000"/>
                <w:szCs w:val="20"/>
                <w:lang w:eastAsia="en-AU"/>
              </w:rPr>
              <w:t>1 incident every ten years</w:t>
            </w:r>
          </w:p>
        </w:tc>
        <w:tc>
          <w:tcPr>
            <w:tcW w:w="275" w:type="dxa"/>
            <w:vAlign w:val="center"/>
          </w:tcPr>
          <w:p w14:paraId="32264931" w14:textId="77777777" w:rsidR="0084331B" w:rsidRPr="002B6C18" w:rsidRDefault="0084331B" w:rsidP="0084331B">
            <w:pPr>
              <w:rPr>
                <w:rFonts w:ascii="Times New Roman" w:eastAsia="Times New Roman" w:hAnsi="Times New Roman" w:cs="Times New Roman"/>
                <w:szCs w:val="20"/>
                <w:lang w:eastAsia="en-AU"/>
              </w:rPr>
            </w:pPr>
          </w:p>
        </w:tc>
      </w:tr>
      <w:tr w:rsidR="0084331B" w:rsidRPr="002B6C18" w14:paraId="06EA07A8" w14:textId="77777777" w:rsidTr="00A8540B">
        <w:trPr>
          <w:gridAfter w:val="2"/>
          <w:wAfter w:w="4436" w:type="dxa"/>
          <w:trHeight w:val="714"/>
        </w:trPr>
        <w:tc>
          <w:tcPr>
            <w:tcW w:w="2216" w:type="dxa"/>
            <w:vMerge/>
            <w:vAlign w:val="center"/>
            <w:hideMark/>
          </w:tcPr>
          <w:p w14:paraId="0C9CE8D8" w14:textId="77777777" w:rsidR="0084331B" w:rsidRPr="002B6C18" w:rsidRDefault="0084331B" w:rsidP="0084331B">
            <w:pPr>
              <w:rPr>
                <w:rFonts w:ascii="Arial" w:eastAsia="Times New Roman" w:hAnsi="Arial" w:cs="Arial"/>
                <w:color w:val="000000"/>
                <w:szCs w:val="20"/>
                <w:lang w:eastAsia="en-AU"/>
              </w:rPr>
            </w:pPr>
          </w:p>
        </w:tc>
        <w:tc>
          <w:tcPr>
            <w:tcW w:w="2211" w:type="dxa"/>
            <w:vMerge/>
            <w:vAlign w:val="center"/>
            <w:hideMark/>
          </w:tcPr>
          <w:p w14:paraId="7A9D53D6" w14:textId="77777777" w:rsidR="0084331B" w:rsidRPr="002B6C18" w:rsidRDefault="0084331B" w:rsidP="0084331B">
            <w:pPr>
              <w:rPr>
                <w:rFonts w:ascii="Arial" w:eastAsia="Times New Roman" w:hAnsi="Arial" w:cs="Arial"/>
                <w:color w:val="000000"/>
                <w:szCs w:val="20"/>
                <w:lang w:eastAsia="en-AU"/>
              </w:rPr>
            </w:pPr>
          </w:p>
        </w:tc>
        <w:tc>
          <w:tcPr>
            <w:tcW w:w="2216" w:type="dxa"/>
            <w:vMerge/>
            <w:vAlign w:val="center"/>
            <w:hideMark/>
          </w:tcPr>
          <w:p w14:paraId="00A63C20" w14:textId="77777777" w:rsidR="0084331B" w:rsidRPr="002B6C18" w:rsidRDefault="0084331B" w:rsidP="0084331B">
            <w:pPr>
              <w:rPr>
                <w:rFonts w:ascii="Arial" w:eastAsia="Times New Roman" w:hAnsi="Arial" w:cs="Arial"/>
                <w:color w:val="000000"/>
                <w:szCs w:val="20"/>
                <w:lang w:eastAsia="en-AU"/>
              </w:rPr>
            </w:pPr>
          </w:p>
        </w:tc>
        <w:tc>
          <w:tcPr>
            <w:tcW w:w="2218" w:type="dxa"/>
            <w:vMerge/>
            <w:vAlign w:val="center"/>
            <w:hideMark/>
          </w:tcPr>
          <w:p w14:paraId="045D3C1E" w14:textId="77777777" w:rsidR="0084331B" w:rsidRPr="002B6C18" w:rsidRDefault="0084331B" w:rsidP="0084331B">
            <w:pPr>
              <w:rPr>
                <w:rFonts w:ascii="Arial" w:eastAsia="Times New Roman" w:hAnsi="Arial" w:cs="Arial"/>
                <w:color w:val="000000"/>
                <w:szCs w:val="20"/>
                <w:lang w:eastAsia="en-AU"/>
              </w:rPr>
            </w:pPr>
          </w:p>
        </w:tc>
        <w:tc>
          <w:tcPr>
            <w:tcW w:w="275" w:type="dxa"/>
            <w:tcBorders>
              <w:top w:val="nil"/>
              <w:left w:val="nil"/>
              <w:bottom w:val="nil"/>
              <w:right w:val="nil"/>
            </w:tcBorders>
            <w:shd w:val="clear" w:color="auto" w:fill="auto"/>
            <w:noWrap/>
            <w:vAlign w:val="bottom"/>
          </w:tcPr>
          <w:p w14:paraId="07D80FFD" w14:textId="77777777" w:rsidR="0084331B" w:rsidRPr="002B6C18" w:rsidRDefault="0084331B" w:rsidP="0084331B">
            <w:pPr>
              <w:jc w:val="center"/>
              <w:rPr>
                <w:rFonts w:ascii="Arial" w:eastAsia="Times New Roman" w:hAnsi="Arial" w:cs="Arial"/>
                <w:color w:val="000000"/>
                <w:szCs w:val="20"/>
                <w:lang w:eastAsia="en-AU"/>
              </w:rPr>
            </w:pPr>
          </w:p>
        </w:tc>
      </w:tr>
      <w:tr w:rsidR="0084331B" w:rsidRPr="002B6C18" w14:paraId="599B0789" w14:textId="77777777" w:rsidTr="00A8540B">
        <w:trPr>
          <w:gridAfter w:val="2"/>
          <w:wAfter w:w="4436" w:type="dxa"/>
          <w:trHeight w:val="411"/>
        </w:trPr>
        <w:tc>
          <w:tcPr>
            <w:tcW w:w="8861" w:type="dxa"/>
            <w:gridSpan w:val="4"/>
            <w:tcBorders>
              <w:top w:val="nil"/>
              <w:left w:val="nil"/>
              <w:bottom w:val="single" w:sz="8" w:space="0" w:color="D9D9D9" w:themeColor="background2" w:themeShade="D9"/>
              <w:right w:val="nil"/>
            </w:tcBorders>
            <w:shd w:val="clear" w:color="auto" w:fill="F2F2F2" w:themeFill="background2" w:themeFillShade="F2"/>
            <w:noWrap/>
            <w:vAlign w:val="center"/>
            <w:hideMark/>
          </w:tcPr>
          <w:p w14:paraId="5B3468B7" w14:textId="77777777" w:rsidR="0084331B" w:rsidRPr="00477328" w:rsidRDefault="0084331B" w:rsidP="0084331B">
            <w:pPr>
              <w:rPr>
                <w:rFonts w:ascii="Arial" w:eastAsia="Times New Roman" w:hAnsi="Arial" w:cs="Arial"/>
                <w:b/>
                <w:bCs/>
                <w:color w:val="000000"/>
                <w:szCs w:val="20"/>
                <w:lang w:eastAsia="en-AU"/>
              </w:rPr>
            </w:pPr>
            <w:r w:rsidRPr="00477328">
              <w:rPr>
                <w:rFonts w:ascii="Arial" w:eastAsia="Times New Roman" w:hAnsi="Arial" w:cs="Arial"/>
                <w:b/>
                <w:bCs/>
                <w:color w:val="000000"/>
                <w:szCs w:val="20"/>
                <w:lang w:eastAsia="en-AU"/>
              </w:rPr>
              <w:t xml:space="preserve">Measure 2 - </w:t>
            </w:r>
            <w:r w:rsidRPr="00302A0C">
              <w:rPr>
                <w:rFonts w:ascii="Arial" w:hAnsi="Arial" w:cs="Arial"/>
                <w:szCs w:val="20"/>
              </w:rPr>
              <w:t>Legislate an all-hazards power of last resort</w:t>
            </w:r>
          </w:p>
        </w:tc>
        <w:tc>
          <w:tcPr>
            <w:tcW w:w="275" w:type="dxa"/>
            <w:vAlign w:val="center"/>
          </w:tcPr>
          <w:p w14:paraId="04A218B8" w14:textId="77777777" w:rsidR="0084331B" w:rsidRPr="002B6C18" w:rsidRDefault="0084331B" w:rsidP="0084331B">
            <w:pPr>
              <w:rPr>
                <w:rFonts w:ascii="Times New Roman" w:eastAsia="Times New Roman" w:hAnsi="Times New Roman" w:cs="Times New Roman"/>
                <w:szCs w:val="20"/>
                <w:lang w:eastAsia="en-AU"/>
              </w:rPr>
            </w:pPr>
          </w:p>
        </w:tc>
      </w:tr>
      <w:tr w:rsidR="0084331B" w:rsidRPr="002B6C18" w14:paraId="32F998D5" w14:textId="77777777" w:rsidTr="00A8540B">
        <w:trPr>
          <w:gridAfter w:val="2"/>
          <w:wAfter w:w="4436" w:type="dxa"/>
          <w:trHeight w:val="680"/>
        </w:trPr>
        <w:tc>
          <w:tcPr>
            <w:tcW w:w="2216" w:type="dxa"/>
            <w:vMerge w:val="restart"/>
            <w:tcBorders>
              <w:top w:val="nil"/>
              <w:left w:val="nil"/>
              <w:bottom w:val="single" w:sz="8" w:space="0" w:color="D9D9D9" w:themeColor="background2" w:themeShade="D9"/>
              <w:right w:val="single" w:sz="8" w:space="0" w:color="D9D9D9" w:themeColor="background2" w:themeShade="D9"/>
            </w:tcBorders>
            <w:shd w:val="clear" w:color="auto" w:fill="F2F2F2" w:themeFill="background2" w:themeFillShade="F2"/>
            <w:vAlign w:val="center"/>
            <w:hideMark/>
          </w:tcPr>
          <w:p w14:paraId="2B7CF18E" w14:textId="2973FE9A" w:rsidR="0084331B" w:rsidRPr="002B6C18" w:rsidRDefault="0084331B" w:rsidP="0084331B">
            <w:pPr>
              <w:jc w:val="center"/>
              <w:rPr>
                <w:rFonts w:ascii="Arial" w:eastAsia="Times New Roman" w:hAnsi="Arial" w:cs="Arial"/>
                <w:color w:val="000000"/>
                <w:szCs w:val="20"/>
                <w:lang w:eastAsia="en-AU"/>
              </w:rPr>
            </w:pPr>
            <w:r w:rsidRPr="002B6C18">
              <w:rPr>
                <w:rFonts w:ascii="Arial" w:eastAsia="Times New Roman" w:hAnsi="Arial" w:cs="Arial"/>
                <w:color w:val="000000"/>
                <w:szCs w:val="20"/>
                <w:lang w:eastAsia="en-AU"/>
              </w:rPr>
              <w:t>Approximate number of avoided incidents required for a net benefit</w:t>
            </w:r>
            <w:r w:rsidR="0071033E">
              <w:rPr>
                <w:rFonts w:ascii="Arial" w:eastAsia="Times New Roman" w:hAnsi="Arial" w:cs="Arial"/>
                <w:color w:val="000000"/>
                <w:szCs w:val="20"/>
                <w:lang w:eastAsia="en-AU"/>
              </w:rPr>
              <w:t xml:space="preserve"> – assuming </w:t>
            </w:r>
            <w:r w:rsidR="00A8540B">
              <w:rPr>
                <w:rFonts w:ascii="Arial" w:eastAsia="Times New Roman" w:hAnsi="Arial" w:cs="Arial"/>
                <w:color w:val="000000"/>
                <w:szCs w:val="20"/>
                <w:lang w:eastAsia="en-AU"/>
              </w:rPr>
              <w:t xml:space="preserve">intervention frequency of once every </w:t>
            </w:r>
            <w:r w:rsidR="005F4DE0">
              <w:rPr>
                <w:rFonts w:ascii="Arial" w:eastAsia="Times New Roman" w:hAnsi="Arial" w:cs="Arial"/>
                <w:color w:val="000000"/>
                <w:szCs w:val="20"/>
                <w:lang w:eastAsia="en-AU"/>
              </w:rPr>
              <w:t>three</w:t>
            </w:r>
            <w:r w:rsidR="00A8540B">
              <w:rPr>
                <w:rFonts w:ascii="Arial" w:eastAsia="Times New Roman" w:hAnsi="Arial" w:cs="Arial"/>
                <w:color w:val="000000"/>
                <w:szCs w:val="20"/>
                <w:lang w:eastAsia="en-AU"/>
              </w:rPr>
              <w:t xml:space="preserve"> years</w:t>
            </w:r>
            <w:r>
              <w:rPr>
                <w:rFonts w:ascii="Arial" w:eastAsia="Times New Roman" w:hAnsi="Arial" w:cs="Arial"/>
                <w:color w:val="000000"/>
                <w:szCs w:val="20"/>
                <w:lang w:eastAsia="en-AU"/>
              </w:rPr>
              <w:t>*</w:t>
            </w:r>
          </w:p>
        </w:tc>
        <w:tc>
          <w:tcPr>
            <w:tcW w:w="2211" w:type="dxa"/>
            <w:vMerge w:val="restart"/>
            <w:tcBorders>
              <w:top w:val="nil"/>
              <w:left w:val="single" w:sz="8" w:space="0" w:color="D9D9D9" w:themeColor="background2" w:themeShade="D9"/>
              <w:bottom w:val="single" w:sz="8" w:space="0" w:color="D9D9D9" w:themeColor="background2" w:themeShade="D9"/>
              <w:right w:val="single" w:sz="8" w:space="0" w:color="D9D9D9" w:themeColor="background2" w:themeShade="D9"/>
            </w:tcBorders>
            <w:shd w:val="clear" w:color="auto" w:fill="auto"/>
            <w:vAlign w:val="center"/>
            <w:hideMark/>
          </w:tcPr>
          <w:p w14:paraId="52B2C06D" w14:textId="33BCF243" w:rsidR="00CC7CEB" w:rsidRDefault="0084331B" w:rsidP="00AB0F38">
            <w:pPr>
              <w:jc w:val="center"/>
              <w:rPr>
                <w:rFonts w:ascii="Arial" w:eastAsia="Times New Roman" w:hAnsi="Arial" w:cs="Arial"/>
                <w:color w:val="000000"/>
                <w:lang w:eastAsia="en-AU"/>
              </w:rPr>
            </w:pPr>
            <w:r w:rsidRPr="4F26752A">
              <w:rPr>
                <w:rFonts w:ascii="Arial" w:eastAsia="Times New Roman" w:hAnsi="Arial" w:cs="Arial"/>
                <w:color w:val="000000" w:themeColor="text1"/>
                <w:lang w:eastAsia="en-AU"/>
              </w:rPr>
              <w:t xml:space="preserve">Low </w:t>
            </w:r>
            <w:r w:rsidR="00972E93">
              <w:rPr>
                <w:rFonts w:ascii="Arial" w:eastAsia="Times New Roman" w:hAnsi="Arial" w:cs="Arial"/>
                <w:color w:val="000000" w:themeColor="text1"/>
                <w:lang w:eastAsia="en-AU"/>
              </w:rPr>
              <w:t xml:space="preserve">range estimate </w:t>
            </w:r>
            <w:r w:rsidRPr="4F26752A">
              <w:rPr>
                <w:rFonts w:ascii="Arial" w:eastAsia="Times New Roman" w:hAnsi="Arial" w:cs="Arial"/>
                <w:color w:val="000000" w:themeColor="text1"/>
                <w:lang w:eastAsia="en-AU"/>
              </w:rPr>
              <w:t>- 1 incident every 10 years</w:t>
            </w:r>
          </w:p>
          <w:p w14:paraId="3824CC25" w14:textId="77777777" w:rsidR="0084331B" w:rsidRDefault="0084331B" w:rsidP="0084331B">
            <w:pPr>
              <w:jc w:val="center"/>
              <w:rPr>
                <w:rFonts w:ascii="Arial" w:eastAsia="Times New Roman" w:hAnsi="Arial" w:cs="Arial"/>
                <w:color w:val="000000"/>
                <w:szCs w:val="20"/>
                <w:lang w:eastAsia="en-AU"/>
              </w:rPr>
            </w:pPr>
            <w:r>
              <w:rPr>
                <w:rFonts w:ascii="Arial" w:eastAsia="Times New Roman" w:hAnsi="Arial" w:cs="Arial"/>
                <w:color w:val="000000"/>
                <w:szCs w:val="20"/>
                <w:lang w:eastAsia="en-AU"/>
              </w:rPr>
              <w:t xml:space="preserve"> </w:t>
            </w:r>
          </w:p>
          <w:p w14:paraId="76B8681A" w14:textId="5B81FFB9" w:rsidR="0084331B" w:rsidRDefault="0084331B" w:rsidP="4F26752A">
            <w:pPr>
              <w:jc w:val="center"/>
              <w:rPr>
                <w:rFonts w:ascii="Arial" w:eastAsia="Times New Roman" w:hAnsi="Arial" w:cs="Arial"/>
                <w:color w:val="000000"/>
                <w:lang w:eastAsia="en-AU"/>
              </w:rPr>
            </w:pPr>
            <w:r w:rsidRPr="4F26752A">
              <w:rPr>
                <w:rFonts w:ascii="Arial" w:eastAsia="Times New Roman" w:hAnsi="Arial" w:cs="Arial"/>
                <w:color w:val="000000" w:themeColor="text1"/>
                <w:lang w:eastAsia="en-AU"/>
              </w:rPr>
              <w:t>High</w:t>
            </w:r>
            <w:r w:rsidR="00972E93">
              <w:rPr>
                <w:rFonts w:ascii="Arial" w:eastAsia="Times New Roman" w:hAnsi="Arial" w:cs="Arial"/>
                <w:color w:val="000000" w:themeColor="text1"/>
                <w:lang w:eastAsia="en-AU"/>
              </w:rPr>
              <w:t xml:space="preserve"> range estimate</w:t>
            </w:r>
            <w:r w:rsidRPr="4F26752A">
              <w:rPr>
                <w:rFonts w:ascii="Arial" w:eastAsia="Times New Roman" w:hAnsi="Arial" w:cs="Arial"/>
                <w:color w:val="000000" w:themeColor="text1"/>
                <w:lang w:eastAsia="en-AU"/>
              </w:rPr>
              <w:t xml:space="preserve"> – 2.6 incidents every year</w:t>
            </w:r>
          </w:p>
          <w:p w14:paraId="1B7EA449" w14:textId="77777777" w:rsidR="0084331B" w:rsidRPr="002B6C18" w:rsidRDefault="0084331B" w:rsidP="0084331B">
            <w:pPr>
              <w:jc w:val="center"/>
              <w:rPr>
                <w:rFonts w:ascii="Arial" w:eastAsia="Times New Roman" w:hAnsi="Arial" w:cs="Arial"/>
                <w:color w:val="000000"/>
                <w:szCs w:val="20"/>
                <w:lang w:eastAsia="en-AU"/>
              </w:rPr>
            </w:pPr>
          </w:p>
        </w:tc>
        <w:tc>
          <w:tcPr>
            <w:tcW w:w="2216" w:type="dxa"/>
            <w:vMerge w:val="restart"/>
            <w:tcBorders>
              <w:top w:val="nil"/>
              <w:left w:val="single" w:sz="8" w:space="0" w:color="D9D9D9" w:themeColor="background2" w:themeShade="D9"/>
              <w:bottom w:val="single" w:sz="8" w:space="0" w:color="D9D9D9" w:themeColor="background2" w:themeShade="D9"/>
              <w:right w:val="single" w:sz="8" w:space="0" w:color="D9D9D9" w:themeColor="background2" w:themeShade="D9"/>
            </w:tcBorders>
            <w:shd w:val="clear" w:color="auto" w:fill="auto"/>
            <w:noWrap/>
            <w:vAlign w:val="center"/>
            <w:hideMark/>
          </w:tcPr>
          <w:p w14:paraId="64713B4A" w14:textId="55A97685" w:rsidR="0084331B" w:rsidRDefault="00972E93" w:rsidP="0084331B">
            <w:pPr>
              <w:jc w:val="center"/>
              <w:rPr>
                <w:rFonts w:ascii="Arial" w:eastAsia="Times New Roman" w:hAnsi="Arial" w:cs="Arial"/>
                <w:color w:val="000000"/>
                <w:szCs w:val="20"/>
                <w:lang w:eastAsia="en-AU"/>
              </w:rPr>
            </w:pPr>
            <w:r w:rsidRPr="4F26752A">
              <w:rPr>
                <w:rFonts w:ascii="Arial" w:eastAsia="Times New Roman" w:hAnsi="Arial" w:cs="Arial"/>
                <w:color w:val="000000" w:themeColor="text1"/>
                <w:lang w:eastAsia="en-AU"/>
              </w:rPr>
              <w:t xml:space="preserve">Low </w:t>
            </w:r>
            <w:r>
              <w:rPr>
                <w:rFonts w:ascii="Arial" w:eastAsia="Times New Roman" w:hAnsi="Arial" w:cs="Arial"/>
                <w:color w:val="000000" w:themeColor="text1"/>
                <w:lang w:eastAsia="en-AU"/>
              </w:rPr>
              <w:t xml:space="preserve">range estimate </w:t>
            </w:r>
            <w:r w:rsidRPr="4F26752A">
              <w:rPr>
                <w:rFonts w:ascii="Arial" w:eastAsia="Times New Roman" w:hAnsi="Arial" w:cs="Arial"/>
                <w:color w:val="000000" w:themeColor="text1"/>
                <w:lang w:eastAsia="en-AU"/>
              </w:rPr>
              <w:t xml:space="preserve">- </w:t>
            </w:r>
            <w:r w:rsidR="0084331B">
              <w:rPr>
                <w:rFonts w:ascii="Arial" w:eastAsia="Times New Roman" w:hAnsi="Arial" w:cs="Arial"/>
                <w:color w:val="000000"/>
                <w:szCs w:val="20"/>
                <w:lang w:eastAsia="en-AU"/>
              </w:rPr>
              <w:t xml:space="preserve">– 1 incident every 50+ years </w:t>
            </w:r>
          </w:p>
          <w:p w14:paraId="66FC7D9E" w14:textId="77777777" w:rsidR="0084331B" w:rsidRDefault="0084331B" w:rsidP="0084331B">
            <w:pPr>
              <w:jc w:val="center"/>
              <w:rPr>
                <w:rFonts w:ascii="Arial" w:eastAsia="Times New Roman" w:hAnsi="Arial" w:cs="Arial"/>
                <w:color w:val="000000"/>
                <w:szCs w:val="20"/>
                <w:lang w:eastAsia="en-AU"/>
              </w:rPr>
            </w:pPr>
          </w:p>
          <w:p w14:paraId="7F6BFA46" w14:textId="63E3AB8B" w:rsidR="0084331B" w:rsidRPr="002B6C18" w:rsidRDefault="00972E93" w:rsidP="0084331B">
            <w:pPr>
              <w:jc w:val="center"/>
              <w:rPr>
                <w:rFonts w:ascii="Arial" w:eastAsia="Times New Roman" w:hAnsi="Arial" w:cs="Arial"/>
                <w:color w:val="000000"/>
                <w:szCs w:val="20"/>
                <w:lang w:eastAsia="en-AU"/>
              </w:rPr>
            </w:pPr>
            <w:r w:rsidRPr="4F26752A">
              <w:rPr>
                <w:rFonts w:ascii="Arial" w:eastAsia="Times New Roman" w:hAnsi="Arial" w:cs="Arial"/>
                <w:color w:val="000000" w:themeColor="text1"/>
                <w:lang w:eastAsia="en-AU"/>
              </w:rPr>
              <w:t>High</w:t>
            </w:r>
            <w:r>
              <w:rPr>
                <w:rFonts w:ascii="Arial" w:eastAsia="Times New Roman" w:hAnsi="Arial" w:cs="Arial"/>
                <w:color w:val="000000" w:themeColor="text1"/>
                <w:lang w:eastAsia="en-AU"/>
              </w:rPr>
              <w:t xml:space="preserve"> range estimate</w:t>
            </w:r>
            <w:r w:rsidRPr="4F26752A">
              <w:rPr>
                <w:rFonts w:ascii="Arial" w:eastAsia="Times New Roman" w:hAnsi="Arial" w:cs="Arial"/>
                <w:color w:val="000000" w:themeColor="text1"/>
                <w:lang w:eastAsia="en-AU"/>
              </w:rPr>
              <w:t xml:space="preserve"> – </w:t>
            </w:r>
            <w:r w:rsidR="0084331B" w:rsidRPr="3A9E9E7F">
              <w:rPr>
                <w:rFonts w:ascii="Arial" w:eastAsia="Times New Roman" w:hAnsi="Arial" w:cs="Arial"/>
                <w:color w:val="000000" w:themeColor="text1"/>
                <w:szCs w:val="20"/>
                <w:lang w:eastAsia="en-AU"/>
              </w:rPr>
              <w:t>1 incident every 1.5 years</w:t>
            </w:r>
          </w:p>
        </w:tc>
        <w:tc>
          <w:tcPr>
            <w:tcW w:w="2218" w:type="dxa"/>
            <w:vMerge w:val="restart"/>
            <w:tcBorders>
              <w:top w:val="nil"/>
              <w:left w:val="single" w:sz="8" w:space="0" w:color="D9D9D9" w:themeColor="background2" w:themeShade="D9"/>
              <w:bottom w:val="single" w:sz="8" w:space="0" w:color="D9D9D9" w:themeColor="background2" w:themeShade="D9"/>
              <w:right w:val="nil"/>
            </w:tcBorders>
            <w:shd w:val="clear" w:color="auto" w:fill="auto"/>
            <w:noWrap/>
            <w:vAlign w:val="center"/>
            <w:hideMark/>
          </w:tcPr>
          <w:p w14:paraId="6C6D5480" w14:textId="18656078" w:rsidR="0084331B" w:rsidRDefault="00972E93" w:rsidP="0084331B">
            <w:pPr>
              <w:jc w:val="center"/>
              <w:rPr>
                <w:rFonts w:ascii="Arial" w:eastAsia="Times New Roman" w:hAnsi="Arial" w:cs="Arial"/>
                <w:color w:val="000000"/>
                <w:szCs w:val="20"/>
                <w:lang w:eastAsia="en-AU"/>
              </w:rPr>
            </w:pPr>
            <w:r w:rsidRPr="4F26752A">
              <w:rPr>
                <w:rFonts w:ascii="Arial" w:eastAsia="Times New Roman" w:hAnsi="Arial" w:cs="Arial"/>
                <w:color w:val="000000" w:themeColor="text1"/>
                <w:lang w:eastAsia="en-AU"/>
              </w:rPr>
              <w:t xml:space="preserve">Low </w:t>
            </w:r>
            <w:r>
              <w:rPr>
                <w:rFonts w:ascii="Arial" w:eastAsia="Times New Roman" w:hAnsi="Arial" w:cs="Arial"/>
                <w:color w:val="000000" w:themeColor="text1"/>
                <w:lang w:eastAsia="en-AU"/>
              </w:rPr>
              <w:t xml:space="preserve">range estimate </w:t>
            </w:r>
            <w:r w:rsidRPr="4F26752A">
              <w:rPr>
                <w:rFonts w:ascii="Arial" w:eastAsia="Times New Roman" w:hAnsi="Arial" w:cs="Arial"/>
                <w:color w:val="000000" w:themeColor="text1"/>
                <w:lang w:eastAsia="en-AU"/>
              </w:rPr>
              <w:t>-</w:t>
            </w:r>
            <w:r w:rsidR="0084331B">
              <w:rPr>
                <w:rFonts w:ascii="Arial" w:eastAsia="Times New Roman" w:hAnsi="Arial" w:cs="Arial"/>
                <w:color w:val="000000"/>
                <w:szCs w:val="20"/>
                <w:lang w:eastAsia="en-AU"/>
              </w:rPr>
              <w:t xml:space="preserve"> 1 incident every 50+ years</w:t>
            </w:r>
          </w:p>
          <w:p w14:paraId="394FA31E" w14:textId="77777777" w:rsidR="0084331B" w:rsidRDefault="0084331B" w:rsidP="0084331B">
            <w:pPr>
              <w:jc w:val="center"/>
              <w:rPr>
                <w:rFonts w:ascii="Arial" w:eastAsia="Times New Roman" w:hAnsi="Arial" w:cs="Arial"/>
                <w:color w:val="000000"/>
                <w:szCs w:val="20"/>
                <w:lang w:eastAsia="en-AU"/>
              </w:rPr>
            </w:pPr>
          </w:p>
          <w:p w14:paraId="3F31900A" w14:textId="1DC609EC" w:rsidR="0084331B" w:rsidRPr="002B6C18" w:rsidRDefault="0084331B" w:rsidP="0084331B">
            <w:pPr>
              <w:jc w:val="center"/>
              <w:rPr>
                <w:rFonts w:ascii="Arial" w:eastAsia="Times New Roman" w:hAnsi="Arial" w:cs="Arial"/>
                <w:color w:val="000000"/>
                <w:szCs w:val="20"/>
                <w:lang w:eastAsia="en-AU"/>
              </w:rPr>
            </w:pPr>
            <w:r w:rsidRPr="3A9E9E7F">
              <w:rPr>
                <w:rFonts w:ascii="Arial" w:eastAsia="Times New Roman" w:hAnsi="Arial" w:cs="Arial"/>
                <w:color w:val="000000" w:themeColor="text1"/>
                <w:szCs w:val="20"/>
                <w:lang w:eastAsia="en-AU"/>
              </w:rPr>
              <w:t xml:space="preserve">High </w:t>
            </w:r>
            <w:r w:rsidR="00972E93">
              <w:rPr>
                <w:rFonts w:ascii="Arial" w:eastAsia="Times New Roman" w:hAnsi="Arial" w:cs="Arial"/>
                <w:color w:val="000000" w:themeColor="text1"/>
                <w:szCs w:val="20"/>
                <w:lang w:eastAsia="en-AU"/>
              </w:rPr>
              <w:t xml:space="preserve">range estimate </w:t>
            </w:r>
            <w:r w:rsidRPr="3A9E9E7F">
              <w:rPr>
                <w:rFonts w:ascii="Arial" w:eastAsia="Times New Roman" w:hAnsi="Arial" w:cs="Arial"/>
                <w:color w:val="000000" w:themeColor="text1"/>
                <w:szCs w:val="20"/>
                <w:lang w:eastAsia="en-AU"/>
              </w:rPr>
              <w:t>– 1 Incident every 8.4 years</w:t>
            </w:r>
          </w:p>
        </w:tc>
        <w:tc>
          <w:tcPr>
            <w:tcW w:w="275" w:type="dxa"/>
            <w:vAlign w:val="center"/>
          </w:tcPr>
          <w:p w14:paraId="6B6F96D0" w14:textId="77777777" w:rsidR="0084331B" w:rsidRPr="002B6C18" w:rsidRDefault="0084331B" w:rsidP="0084331B">
            <w:pPr>
              <w:rPr>
                <w:rFonts w:ascii="Times New Roman" w:eastAsia="Times New Roman" w:hAnsi="Times New Roman" w:cs="Times New Roman"/>
                <w:szCs w:val="20"/>
                <w:lang w:eastAsia="en-AU"/>
              </w:rPr>
            </w:pPr>
          </w:p>
        </w:tc>
      </w:tr>
      <w:tr w:rsidR="0084331B" w:rsidRPr="002B6C18" w14:paraId="030C9364" w14:textId="77777777" w:rsidTr="00A8540B">
        <w:trPr>
          <w:gridAfter w:val="2"/>
          <w:wAfter w:w="4436" w:type="dxa"/>
          <w:trHeight w:val="714"/>
        </w:trPr>
        <w:tc>
          <w:tcPr>
            <w:tcW w:w="2216" w:type="dxa"/>
            <w:vMerge/>
            <w:vAlign w:val="center"/>
            <w:hideMark/>
          </w:tcPr>
          <w:p w14:paraId="2C68F32E" w14:textId="77777777" w:rsidR="0084331B" w:rsidRPr="002B6C18" w:rsidRDefault="0084331B" w:rsidP="0084331B">
            <w:pPr>
              <w:rPr>
                <w:rFonts w:ascii="Arial" w:eastAsia="Times New Roman" w:hAnsi="Arial" w:cs="Arial"/>
                <w:color w:val="000000"/>
                <w:szCs w:val="20"/>
                <w:lang w:eastAsia="en-AU"/>
              </w:rPr>
            </w:pPr>
          </w:p>
        </w:tc>
        <w:tc>
          <w:tcPr>
            <w:tcW w:w="2211" w:type="dxa"/>
            <w:vMerge/>
            <w:vAlign w:val="center"/>
            <w:hideMark/>
          </w:tcPr>
          <w:p w14:paraId="5145F058" w14:textId="77777777" w:rsidR="0084331B" w:rsidRPr="002B6C18" w:rsidRDefault="0084331B" w:rsidP="0084331B">
            <w:pPr>
              <w:rPr>
                <w:rFonts w:ascii="Arial" w:eastAsia="Times New Roman" w:hAnsi="Arial" w:cs="Arial"/>
                <w:color w:val="000000"/>
                <w:szCs w:val="20"/>
                <w:lang w:eastAsia="en-AU"/>
              </w:rPr>
            </w:pPr>
          </w:p>
        </w:tc>
        <w:tc>
          <w:tcPr>
            <w:tcW w:w="2216" w:type="dxa"/>
            <w:vMerge/>
            <w:vAlign w:val="center"/>
            <w:hideMark/>
          </w:tcPr>
          <w:p w14:paraId="0322487F" w14:textId="77777777" w:rsidR="0084331B" w:rsidRPr="002B6C18" w:rsidRDefault="0084331B" w:rsidP="0084331B">
            <w:pPr>
              <w:rPr>
                <w:rFonts w:ascii="Arial" w:eastAsia="Times New Roman" w:hAnsi="Arial" w:cs="Arial"/>
                <w:color w:val="000000"/>
                <w:szCs w:val="20"/>
                <w:lang w:eastAsia="en-AU"/>
              </w:rPr>
            </w:pPr>
          </w:p>
        </w:tc>
        <w:tc>
          <w:tcPr>
            <w:tcW w:w="2218" w:type="dxa"/>
            <w:vMerge/>
            <w:vAlign w:val="center"/>
            <w:hideMark/>
          </w:tcPr>
          <w:p w14:paraId="5543F286" w14:textId="77777777" w:rsidR="0084331B" w:rsidRPr="002B6C18" w:rsidRDefault="0084331B" w:rsidP="0084331B">
            <w:pPr>
              <w:rPr>
                <w:rFonts w:ascii="Arial" w:eastAsia="Times New Roman" w:hAnsi="Arial" w:cs="Arial"/>
                <w:color w:val="000000"/>
                <w:szCs w:val="20"/>
                <w:lang w:eastAsia="en-AU"/>
              </w:rPr>
            </w:pPr>
          </w:p>
        </w:tc>
        <w:tc>
          <w:tcPr>
            <w:tcW w:w="275" w:type="dxa"/>
            <w:tcBorders>
              <w:top w:val="nil"/>
              <w:left w:val="nil"/>
              <w:bottom w:val="nil"/>
              <w:right w:val="nil"/>
            </w:tcBorders>
            <w:shd w:val="clear" w:color="auto" w:fill="auto"/>
            <w:noWrap/>
            <w:vAlign w:val="bottom"/>
          </w:tcPr>
          <w:p w14:paraId="2ABBD5FA" w14:textId="77777777" w:rsidR="0084331B" w:rsidRPr="002B6C18" w:rsidRDefault="0084331B" w:rsidP="0084331B">
            <w:pPr>
              <w:jc w:val="center"/>
              <w:rPr>
                <w:rFonts w:ascii="Arial" w:eastAsia="Times New Roman" w:hAnsi="Arial" w:cs="Arial"/>
                <w:color w:val="000000"/>
                <w:szCs w:val="20"/>
                <w:lang w:eastAsia="en-AU"/>
              </w:rPr>
            </w:pPr>
          </w:p>
        </w:tc>
      </w:tr>
      <w:tr w:rsidR="00A8540B" w:rsidRPr="002B6C18" w14:paraId="761540FC" w14:textId="2D37925A" w:rsidTr="00436D55">
        <w:trPr>
          <w:trHeight w:val="381"/>
        </w:trPr>
        <w:tc>
          <w:tcPr>
            <w:tcW w:w="8861" w:type="dxa"/>
            <w:gridSpan w:val="4"/>
            <w:tcBorders>
              <w:top w:val="single" w:sz="8" w:space="0" w:color="D9D9D9" w:themeColor="background2" w:themeShade="D9"/>
              <w:left w:val="nil"/>
              <w:bottom w:val="single" w:sz="8" w:space="0" w:color="D9D9D9" w:themeColor="background2" w:themeShade="D9"/>
              <w:right w:val="nil"/>
            </w:tcBorders>
            <w:shd w:val="clear" w:color="auto" w:fill="F2F2F2" w:themeFill="background2" w:themeFillShade="F2"/>
            <w:noWrap/>
            <w:vAlign w:val="center"/>
            <w:hideMark/>
          </w:tcPr>
          <w:p w14:paraId="147F2651" w14:textId="77777777" w:rsidR="00A8540B" w:rsidRPr="00606B58" w:rsidRDefault="00A8540B" w:rsidP="00A8540B">
            <w:pPr>
              <w:rPr>
                <w:rFonts w:ascii="Arial" w:eastAsia="Times New Roman" w:hAnsi="Arial" w:cs="Arial"/>
                <w:b/>
                <w:bCs/>
                <w:color w:val="000000"/>
                <w:szCs w:val="20"/>
                <w:lang w:eastAsia="en-AU"/>
              </w:rPr>
            </w:pPr>
            <w:r w:rsidRPr="00606B58">
              <w:rPr>
                <w:rFonts w:ascii="Arial" w:eastAsia="Times New Roman" w:hAnsi="Arial" w:cs="Arial"/>
                <w:b/>
                <w:bCs/>
                <w:color w:val="000000"/>
                <w:szCs w:val="20"/>
                <w:lang w:eastAsia="en-AU"/>
              </w:rPr>
              <w:t>Measure 3</w:t>
            </w:r>
            <w:r>
              <w:rPr>
                <w:rFonts w:ascii="Arial" w:eastAsia="Times New Roman" w:hAnsi="Arial" w:cs="Arial"/>
                <w:b/>
                <w:bCs/>
                <w:color w:val="000000"/>
                <w:szCs w:val="20"/>
                <w:lang w:eastAsia="en-AU"/>
              </w:rPr>
              <w:t xml:space="preserve"> - </w:t>
            </w:r>
            <w:r w:rsidRPr="00EF2277">
              <w:rPr>
                <w:rFonts w:ascii="Arial" w:eastAsia="Times New Roman" w:hAnsi="Arial" w:cs="Arial"/>
                <w:szCs w:val="20"/>
                <w:lang w:eastAsia="en-AU"/>
              </w:rPr>
              <w:t>Enforcing Critical infrastructure risk management obligations – review and remedy power</w:t>
            </w:r>
          </w:p>
        </w:tc>
        <w:tc>
          <w:tcPr>
            <w:tcW w:w="275" w:type="dxa"/>
            <w:vAlign w:val="center"/>
          </w:tcPr>
          <w:p w14:paraId="6CEDB3BD" w14:textId="77777777" w:rsidR="00A8540B" w:rsidRPr="002B6C18" w:rsidRDefault="00A8540B" w:rsidP="00A8540B">
            <w:pPr>
              <w:rPr>
                <w:rFonts w:ascii="Times New Roman" w:eastAsia="Times New Roman" w:hAnsi="Times New Roman" w:cs="Times New Roman"/>
                <w:szCs w:val="20"/>
                <w:lang w:eastAsia="en-AU"/>
              </w:rPr>
            </w:pPr>
          </w:p>
        </w:tc>
        <w:tc>
          <w:tcPr>
            <w:tcW w:w="2218" w:type="dxa"/>
            <w:vAlign w:val="center"/>
          </w:tcPr>
          <w:p w14:paraId="47F64423" w14:textId="77777777" w:rsidR="00A8540B" w:rsidRPr="002B6C18" w:rsidRDefault="00A8540B" w:rsidP="00A8540B">
            <w:pPr>
              <w:spacing w:before="80" w:after="80"/>
            </w:pPr>
          </w:p>
        </w:tc>
        <w:tc>
          <w:tcPr>
            <w:tcW w:w="2218" w:type="dxa"/>
            <w:vAlign w:val="center"/>
          </w:tcPr>
          <w:p w14:paraId="4DA0CA75" w14:textId="77777777" w:rsidR="00A8540B" w:rsidRPr="002B6C18" w:rsidRDefault="00A8540B" w:rsidP="00A8540B">
            <w:pPr>
              <w:spacing w:before="80" w:after="80"/>
            </w:pPr>
          </w:p>
        </w:tc>
      </w:tr>
      <w:tr w:rsidR="00A8540B" w:rsidRPr="002B6C18" w14:paraId="08DB45D4" w14:textId="77777777" w:rsidTr="00A8540B">
        <w:trPr>
          <w:gridAfter w:val="2"/>
          <w:wAfter w:w="4436" w:type="dxa"/>
          <w:trHeight w:val="680"/>
        </w:trPr>
        <w:tc>
          <w:tcPr>
            <w:tcW w:w="2216" w:type="dxa"/>
            <w:tcBorders>
              <w:top w:val="nil"/>
              <w:left w:val="nil"/>
              <w:bottom w:val="nil"/>
              <w:right w:val="single" w:sz="8" w:space="0" w:color="D9D9D9" w:themeColor="background2" w:themeShade="D9"/>
            </w:tcBorders>
            <w:shd w:val="clear" w:color="auto" w:fill="F2F2F2" w:themeFill="background2" w:themeFillShade="F2"/>
            <w:vAlign w:val="center"/>
            <w:hideMark/>
          </w:tcPr>
          <w:p w14:paraId="286AEFF8" w14:textId="77777777" w:rsidR="00A8540B" w:rsidRPr="002B6C18" w:rsidRDefault="00A8540B" w:rsidP="00A8540B">
            <w:pPr>
              <w:jc w:val="center"/>
              <w:rPr>
                <w:rFonts w:ascii="Arial" w:eastAsia="Times New Roman" w:hAnsi="Arial" w:cs="Arial"/>
                <w:color w:val="000000"/>
                <w:szCs w:val="20"/>
                <w:lang w:eastAsia="en-AU"/>
              </w:rPr>
            </w:pPr>
            <w:r w:rsidRPr="002B6C18">
              <w:rPr>
                <w:rFonts w:ascii="Arial" w:eastAsia="Times New Roman" w:hAnsi="Arial" w:cs="Arial"/>
                <w:color w:val="000000"/>
                <w:szCs w:val="20"/>
                <w:lang w:eastAsia="en-AU"/>
              </w:rPr>
              <w:t>Approximate number of avoided incidents required for a net benefit</w:t>
            </w:r>
            <w:r>
              <w:rPr>
                <w:rFonts w:ascii="Arial" w:eastAsia="Times New Roman" w:hAnsi="Arial" w:cs="Arial"/>
                <w:color w:val="000000"/>
                <w:szCs w:val="20"/>
                <w:lang w:eastAsia="en-AU"/>
              </w:rPr>
              <w:t>*</w:t>
            </w:r>
          </w:p>
        </w:tc>
        <w:tc>
          <w:tcPr>
            <w:tcW w:w="2211" w:type="dxa"/>
            <w:tcBorders>
              <w:top w:val="nil"/>
              <w:left w:val="single" w:sz="8" w:space="0" w:color="D9D9D9" w:themeColor="background2" w:themeShade="D9"/>
              <w:bottom w:val="nil"/>
              <w:right w:val="single" w:sz="8" w:space="0" w:color="D9D9D9" w:themeColor="background2" w:themeShade="D9"/>
            </w:tcBorders>
            <w:shd w:val="clear" w:color="auto" w:fill="auto"/>
            <w:vAlign w:val="center"/>
            <w:hideMark/>
          </w:tcPr>
          <w:p w14:paraId="2984D0A4" w14:textId="77777777" w:rsidR="00A8540B" w:rsidRPr="002B6C18" w:rsidRDefault="00A8540B" w:rsidP="00A8540B">
            <w:pPr>
              <w:jc w:val="center"/>
              <w:rPr>
                <w:rFonts w:ascii="Arial" w:eastAsia="Times New Roman" w:hAnsi="Arial" w:cs="Arial"/>
                <w:color w:val="000000"/>
                <w:szCs w:val="20"/>
                <w:lang w:eastAsia="en-AU"/>
              </w:rPr>
            </w:pPr>
            <w:r w:rsidRPr="002B6C18">
              <w:rPr>
                <w:rFonts w:ascii="Arial" w:eastAsia="Times New Roman" w:hAnsi="Arial" w:cs="Arial"/>
                <w:color w:val="000000"/>
                <w:szCs w:val="20"/>
                <w:lang w:eastAsia="en-AU"/>
              </w:rPr>
              <w:t> </w:t>
            </w:r>
            <w:r>
              <w:rPr>
                <w:rFonts w:ascii="Arial" w:eastAsia="Times New Roman" w:hAnsi="Arial" w:cs="Arial"/>
                <w:color w:val="000000"/>
                <w:szCs w:val="20"/>
                <w:lang w:eastAsia="en-AU"/>
              </w:rPr>
              <w:t>1.2 incidents every year</w:t>
            </w:r>
          </w:p>
        </w:tc>
        <w:tc>
          <w:tcPr>
            <w:tcW w:w="2216" w:type="dxa"/>
            <w:tcBorders>
              <w:top w:val="nil"/>
              <w:left w:val="single" w:sz="8" w:space="0" w:color="D9D9D9" w:themeColor="background2" w:themeShade="D9"/>
              <w:bottom w:val="nil"/>
              <w:right w:val="single" w:sz="8" w:space="0" w:color="D9D9D9" w:themeColor="background2" w:themeShade="D9"/>
            </w:tcBorders>
            <w:shd w:val="clear" w:color="auto" w:fill="auto"/>
            <w:noWrap/>
            <w:vAlign w:val="center"/>
            <w:hideMark/>
          </w:tcPr>
          <w:p w14:paraId="6744EB5B" w14:textId="77777777" w:rsidR="00A8540B" w:rsidRPr="002B6C18" w:rsidRDefault="00A8540B" w:rsidP="00A8540B">
            <w:pPr>
              <w:jc w:val="center"/>
              <w:rPr>
                <w:rFonts w:ascii="Arial" w:eastAsia="Times New Roman" w:hAnsi="Arial" w:cs="Arial"/>
                <w:color w:val="000000"/>
                <w:szCs w:val="20"/>
                <w:lang w:eastAsia="en-AU"/>
              </w:rPr>
            </w:pPr>
            <w:r>
              <w:rPr>
                <w:rFonts w:ascii="Arial" w:eastAsia="Times New Roman" w:hAnsi="Arial" w:cs="Arial"/>
                <w:color w:val="000000"/>
                <w:szCs w:val="20"/>
                <w:lang w:eastAsia="en-AU"/>
              </w:rPr>
              <w:t>1 incident every three years</w:t>
            </w:r>
          </w:p>
        </w:tc>
        <w:tc>
          <w:tcPr>
            <w:tcW w:w="2218" w:type="dxa"/>
            <w:tcBorders>
              <w:top w:val="nil"/>
              <w:left w:val="single" w:sz="8" w:space="0" w:color="D9D9D9" w:themeColor="background2" w:themeShade="D9"/>
              <w:bottom w:val="nil"/>
              <w:right w:val="nil"/>
            </w:tcBorders>
            <w:shd w:val="clear" w:color="auto" w:fill="auto"/>
            <w:noWrap/>
            <w:vAlign w:val="center"/>
            <w:hideMark/>
          </w:tcPr>
          <w:p w14:paraId="5A0602B6" w14:textId="77777777" w:rsidR="00A8540B" w:rsidRPr="002B6C18" w:rsidRDefault="00A8540B" w:rsidP="00A8540B">
            <w:pPr>
              <w:jc w:val="center"/>
              <w:rPr>
                <w:rFonts w:ascii="Arial" w:eastAsia="Times New Roman" w:hAnsi="Arial" w:cs="Arial"/>
                <w:color w:val="000000"/>
                <w:szCs w:val="20"/>
                <w:lang w:eastAsia="en-AU"/>
              </w:rPr>
            </w:pPr>
            <w:r>
              <w:rPr>
                <w:rFonts w:ascii="Arial" w:eastAsia="Times New Roman" w:hAnsi="Arial" w:cs="Arial"/>
                <w:color w:val="000000"/>
                <w:szCs w:val="20"/>
                <w:lang w:eastAsia="en-AU"/>
              </w:rPr>
              <w:t>1 incident every ten years</w:t>
            </w:r>
          </w:p>
        </w:tc>
        <w:tc>
          <w:tcPr>
            <w:tcW w:w="275" w:type="dxa"/>
            <w:vAlign w:val="center"/>
          </w:tcPr>
          <w:p w14:paraId="33A2D53D" w14:textId="77777777" w:rsidR="00A8540B" w:rsidRPr="002B6C18" w:rsidRDefault="00A8540B" w:rsidP="00A8540B">
            <w:pPr>
              <w:rPr>
                <w:rFonts w:ascii="Times New Roman" w:eastAsia="Times New Roman" w:hAnsi="Times New Roman" w:cs="Times New Roman"/>
                <w:szCs w:val="20"/>
                <w:lang w:eastAsia="en-AU"/>
              </w:rPr>
            </w:pPr>
          </w:p>
        </w:tc>
      </w:tr>
    </w:tbl>
    <w:p w14:paraId="5F128020" w14:textId="77777777" w:rsidR="0084331B" w:rsidRDefault="0084331B" w:rsidP="0084331B">
      <w:pPr>
        <w:rPr>
          <w:rFonts w:ascii="Arial" w:hAnsi="Arial" w:cs="Arial"/>
          <w:i/>
          <w:iCs/>
          <w:szCs w:val="20"/>
        </w:rPr>
      </w:pPr>
    </w:p>
    <w:p w14:paraId="39C751A4" w14:textId="2C30843A" w:rsidR="00FB510A" w:rsidRDefault="0084331B" w:rsidP="4F26752A">
      <w:pPr>
        <w:rPr>
          <w:rFonts w:ascii="Arial" w:hAnsi="Arial" w:cs="Arial"/>
          <w:sz w:val="16"/>
          <w:szCs w:val="16"/>
        </w:rPr>
      </w:pPr>
      <w:r w:rsidRPr="00436D55">
        <w:rPr>
          <w:rFonts w:ascii="Arial" w:hAnsi="Arial" w:cs="Arial"/>
          <w:sz w:val="16"/>
          <w:szCs w:val="16"/>
        </w:rPr>
        <w:t>*Note: As outlined above, the total direct one-off costs for</w:t>
      </w:r>
      <w:r w:rsidR="2357C8A0" w:rsidRPr="4F26752A">
        <w:rPr>
          <w:rFonts w:ascii="Arial" w:hAnsi="Arial" w:cs="Arial"/>
          <w:sz w:val="16"/>
          <w:szCs w:val="16"/>
        </w:rPr>
        <w:t xml:space="preserve"> </w:t>
      </w:r>
      <w:r w:rsidR="00FC27C4">
        <w:rPr>
          <w:rFonts w:ascii="Arial" w:hAnsi="Arial" w:cs="Arial"/>
          <w:sz w:val="16"/>
          <w:szCs w:val="16"/>
        </w:rPr>
        <w:t xml:space="preserve">industry </w:t>
      </w:r>
      <w:r w:rsidR="2357C8A0" w:rsidRPr="4F26752A">
        <w:rPr>
          <w:rFonts w:ascii="Arial" w:hAnsi="Arial" w:cs="Arial"/>
          <w:sz w:val="16"/>
          <w:szCs w:val="16"/>
        </w:rPr>
        <w:t>entities complying with</w:t>
      </w:r>
      <w:r w:rsidRPr="00436D55">
        <w:rPr>
          <w:rFonts w:ascii="Arial" w:hAnsi="Arial" w:cs="Arial"/>
          <w:sz w:val="16"/>
          <w:szCs w:val="16"/>
        </w:rPr>
        <w:t xml:space="preserve"> measures 1 and 3 across all sectors and asset classes are expected to be $</w:t>
      </w:r>
      <w:r w:rsidR="002F6CB3">
        <w:rPr>
          <w:rFonts w:ascii="Arial" w:hAnsi="Arial" w:cs="Arial"/>
          <w:sz w:val="16"/>
          <w:szCs w:val="16"/>
        </w:rPr>
        <w:t>9.0</w:t>
      </w:r>
      <w:r w:rsidRPr="00436D55">
        <w:rPr>
          <w:rFonts w:ascii="Arial" w:hAnsi="Arial" w:cs="Arial"/>
          <w:sz w:val="16"/>
          <w:szCs w:val="16"/>
        </w:rPr>
        <w:t xml:space="preserve"> million, with an on-going cost of $4</w:t>
      </w:r>
      <w:r w:rsidR="002F6CB3">
        <w:rPr>
          <w:rFonts w:ascii="Arial" w:hAnsi="Arial" w:cs="Arial"/>
          <w:sz w:val="16"/>
          <w:szCs w:val="16"/>
        </w:rPr>
        <w:t>.1</w:t>
      </w:r>
      <w:r w:rsidRPr="00436D55">
        <w:rPr>
          <w:rFonts w:ascii="Arial" w:hAnsi="Arial" w:cs="Arial"/>
          <w:sz w:val="16"/>
          <w:szCs w:val="16"/>
        </w:rPr>
        <w:t xml:space="preserve"> million per year. When averaged over a 10-year period, costs amount to </w:t>
      </w:r>
      <w:r w:rsidRPr="00E50B2E">
        <w:rPr>
          <w:rFonts w:ascii="Arial" w:hAnsi="Arial" w:cs="Arial"/>
          <w:sz w:val="16"/>
          <w:szCs w:val="16"/>
        </w:rPr>
        <w:t>approximately $</w:t>
      </w:r>
      <w:r w:rsidR="002F6CB3" w:rsidRPr="00E50B2E">
        <w:rPr>
          <w:rFonts w:ascii="Arial" w:hAnsi="Arial" w:cs="Arial"/>
          <w:sz w:val="16"/>
          <w:szCs w:val="16"/>
        </w:rPr>
        <w:t>5.0</w:t>
      </w:r>
      <w:r w:rsidRPr="00436D55">
        <w:rPr>
          <w:rFonts w:ascii="Arial" w:hAnsi="Arial" w:cs="Arial"/>
          <w:sz w:val="16"/>
          <w:szCs w:val="16"/>
        </w:rPr>
        <w:t xml:space="preserve"> million per year. </w:t>
      </w:r>
    </w:p>
    <w:p w14:paraId="341AD431" w14:textId="77777777" w:rsidR="00836DE5" w:rsidRDefault="00836DE5" w:rsidP="4F26752A">
      <w:pPr>
        <w:rPr>
          <w:rFonts w:ascii="Arial" w:hAnsi="Arial" w:cs="Arial"/>
          <w:szCs w:val="20"/>
        </w:rPr>
      </w:pPr>
    </w:p>
    <w:p w14:paraId="59837547" w14:textId="4951DEA1" w:rsidR="00765558" w:rsidRDefault="00292E64" w:rsidP="00436D55">
      <w:pPr>
        <w:spacing w:after="120"/>
        <w:rPr>
          <w:rFonts w:ascii="Arial" w:hAnsi="Arial" w:cs="Arial"/>
          <w:szCs w:val="20"/>
        </w:rPr>
      </w:pPr>
      <w:r>
        <w:rPr>
          <w:rFonts w:ascii="Arial" w:hAnsi="Arial" w:cs="Arial"/>
          <w:szCs w:val="20"/>
        </w:rPr>
        <w:t>N</w:t>
      </w:r>
      <w:r w:rsidR="0084331B" w:rsidRPr="00436D55">
        <w:rPr>
          <w:rFonts w:ascii="Arial" w:hAnsi="Arial" w:cs="Arial"/>
          <w:szCs w:val="20"/>
        </w:rPr>
        <w:t xml:space="preserve">oting industry responses suggesting expected costs to range from $0.5 million to $50 million per intervention for </w:t>
      </w:r>
      <w:r w:rsidR="00CF65F8">
        <w:rPr>
          <w:rFonts w:ascii="Arial" w:hAnsi="Arial" w:cs="Arial"/>
          <w:szCs w:val="20"/>
        </w:rPr>
        <w:t>M</w:t>
      </w:r>
      <w:r w:rsidR="00CF65F8" w:rsidRPr="00436D55">
        <w:rPr>
          <w:rFonts w:ascii="Arial" w:hAnsi="Arial" w:cs="Arial"/>
          <w:szCs w:val="20"/>
        </w:rPr>
        <w:t xml:space="preserve">easure </w:t>
      </w:r>
      <w:r w:rsidR="0084331B" w:rsidRPr="00436D55">
        <w:rPr>
          <w:rFonts w:ascii="Arial" w:hAnsi="Arial" w:cs="Arial"/>
          <w:szCs w:val="20"/>
        </w:rPr>
        <w:t xml:space="preserve">2 and assuming an expected intervention rate of once every </w:t>
      </w:r>
      <w:r w:rsidR="005F4DE0" w:rsidRPr="00436D55">
        <w:rPr>
          <w:rFonts w:ascii="Arial" w:hAnsi="Arial" w:cs="Arial"/>
          <w:szCs w:val="20"/>
        </w:rPr>
        <w:t>three</w:t>
      </w:r>
      <w:r w:rsidR="0084331B" w:rsidRPr="00436D55">
        <w:rPr>
          <w:rFonts w:ascii="Arial" w:hAnsi="Arial" w:cs="Arial"/>
          <w:szCs w:val="20"/>
        </w:rPr>
        <w:t xml:space="preserve"> years, the total direct annualised costs for this measure is expected to be between $0.16 million and $16.67 million (reflected in the above table as the ‘low’ and ‘high’ break-even estimate</w:t>
      </w:r>
      <w:r w:rsidR="008213AB" w:rsidRPr="00436D55">
        <w:rPr>
          <w:rFonts w:ascii="Arial" w:hAnsi="Arial" w:cs="Arial"/>
          <w:szCs w:val="20"/>
        </w:rPr>
        <w:t>)</w:t>
      </w:r>
      <w:r w:rsidR="0084331B" w:rsidRPr="00436D55">
        <w:rPr>
          <w:rFonts w:ascii="Arial" w:hAnsi="Arial" w:cs="Arial"/>
          <w:szCs w:val="20"/>
        </w:rPr>
        <w:t>.</w:t>
      </w:r>
      <w:r w:rsidR="003B7798" w:rsidRPr="00436D55">
        <w:rPr>
          <w:rFonts w:ascii="Arial" w:hAnsi="Arial" w:cs="Arial"/>
          <w:szCs w:val="20"/>
        </w:rPr>
        <w:t xml:space="preserve"> </w:t>
      </w:r>
      <w:r w:rsidR="00FF4C2D">
        <w:rPr>
          <w:rFonts w:ascii="Arial" w:hAnsi="Arial" w:cs="Arial"/>
          <w:szCs w:val="20"/>
        </w:rPr>
        <w:t>For the purposes of the above analysis, t</w:t>
      </w:r>
      <w:r w:rsidR="00573EDD">
        <w:rPr>
          <w:rFonts w:ascii="Arial" w:hAnsi="Arial" w:cs="Arial"/>
          <w:szCs w:val="20"/>
        </w:rPr>
        <w:t xml:space="preserve">he expected intervention rate </w:t>
      </w:r>
      <w:r w:rsidR="00500F3E">
        <w:rPr>
          <w:rFonts w:ascii="Arial" w:hAnsi="Arial" w:cs="Arial"/>
          <w:szCs w:val="20"/>
        </w:rPr>
        <w:t xml:space="preserve">of once every three years </w:t>
      </w:r>
      <w:r w:rsidR="00573EDD">
        <w:rPr>
          <w:rFonts w:ascii="Arial" w:hAnsi="Arial" w:cs="Arial"/>
          <w:szCs w:val="20"/>
        </w:rPr>
        <w:t xml:space="preserve">was </w:t>
      </w:r>
      <w:r w:rsidR="000A50E1">
        <w:rPr>
          <w:rFonts w:ascii="Arial" w:hAnsi="Arial" w:cs="Arial"/>
          <w:szCs w:val="20"/>
        </w:rPr>
        <w:t xml:space="preserve">based on </w:t>
      </w:r>
      <w:r w:rsidR="00FA0160">
        <w:rPr>
          <w:rFonts w:ascii="Arial" w:hAnsi="Arial" w:cs="Arial"/>
          <w:szCs w:val="20"/>
        </w:rPr>
        <w:t xml:space="preserve">the </w:t>
      </w:r>
      <w:r w:rsidR="00046478">
        <w:rPr>
          <w:rFonts w:ascii="Arial" w:hAnsi="Arial" w:cs="Arial"/>
          <w:szCs w:val="20"/>
        </w:rPr>
        <w:t>usage of</w:t>
      </w:r>
      <w:r w:rsidR="00765558">
        <w:rPr>
          <w:rFonts w:ascii="Arial" w:hAnsi="Arial" w:cs="Arial"/>
          <w:szCs w:val="20"/>
        </w:rPr>
        <w:t xml:space="preserve"> the power</w:t>
      </w:r>
      <w:r w:rsidR="008E089E">
        <w:rPr>
          <w:rFonts w:ascii="Arial" w:hAnsi="Arial" w:cs="Arial"/>
          <w:szCs w:val="20"/>
        </w:rPr>
        <w:t xml:space="preserve"> introduced in the amended SOCI legislation in 2021</w:t>
      </w:r>
      <w:r w:rsidR="00046478">
        <w:rPr>
          <w:rFonts w:ascii="Arial" w:hAnsi="Arial" w:cs="Arial"/>
          <w:szCs w:val="20"/>
        </w:rPr>
        <w:t xml:space="preserve">. The </w:t>
      </w:r>
      <w:r w:rsidR="00CD0C70">
        <w:rPr>
          <w:rFonts w:ascii="Arial" w:hAnsi="Arial" w:cs="Arial"/>
          <w:szCs w:val="20"/>
        </w:rPr>
        <w:t xml:space="preserve">existing power has not been used </w:t>
      </w:r>
      <w:r w:rsidR="00765558">
        <w:rPr>
          <w:rFonts w:ascii="Arial" w:hAnsi="Arial" w:cs="Arial"/>
          <w:szCs w:val="20"/>
        </w:rPr>
        <w:t xml:space="preserve">since </w:t>
      </w:r>
      <w:r w:rsidR="008E089E">
        <w:rPr>
          <w:rFonts w:ascii="Arial" w:hAnsi="Arial" w:cs="Arial"/>
          <w:szCs w:val="20"/>
        </w:rPr>
        <w:t xml:space="preserve">its </w:t>
      </w:r>
      <w:r w:rsidR="00765558">
        <w:rPr>
          <w:rFonts w:ascii="Arial" w:hAnsi="Arial" w:cs="Arial"/>
          <w:szCs w:val="20"/>
        </w:rPr>
        <w:t xml:space="preserve">implementation </w:t>
      </w:r>
      <w:r w:rsidR="00CD0C70">
        <w:rPr>
          <w:rFonts w:ascii="Arial" w:hAnsi="Arial" w:cs="Arial"/>
          <w:szCs w:val="20"/>
        </w:rPr>
        <w:t>and so for the purposes of this analysis</w:t>
      </w:r>
      <w:r w:rsidR="00765558">
        <w:rPr>
          <w:rFonts w:ascii="Arial" w:hAnsi="Arial" w:cs="Arial"/>
          <w:szCs w:val="20"/>
        </w:rPr>
        <w:t xml:space="preserve"> </w:t>
      </w:r>
      <w:r w:rsidR="00190B61">
        <w:rPr>
          <w:rFonts w:ascii="Arial" w:hAnsi="Arial" w:cs="Arial"/>
          <w:szCs w:val="20"/>
        </w:rPr>
        <w:t xml:space="preserve">an intervention frequency </w:t>
      </w:r>
      <w:r w:rsidR="0028453B">
        <w:rPr>
          <w:rFonts w:ascii="Arial" w:hAnsi="Arial" w:cs="Arial"/>
          <w:szCs w:val="20"/>
        </w:rPr>
        <w:t>of once every three year</w:t>
      </w:r>
      <w:r w:rsidR="00AF1DE3">
        <w:rPr>
          <w:rFonts w:ascii="Arial" w:hAnsi="Arial" w:cs="Arial"/>
          <w:szCs w:val="20"/>
        </w:rPr>
        <w:t>s</w:t>
      </w:r>
      <w:r w:rsidR="0028453B">
        <w:rPr>
          <w:rFonts w:ascii="Arial" w:hAnsi="Arial" w:cs="Arial"/>
          <w:szCs w:val="20"/>
        </w:rPr>
        <w:t xml:space="preserve"> </w:t>
      </w:r>
      <w:r w:rsidR="00190B61">
        <w:rPr>
          <w:rFonts w:ascii="Arial" w:hAnsi="Arial" w:cs="Arial"/>
          <w:szCs w:val="20"/>
        </w:rPr>
        <w:t>appear</w:t>
      </w:r>
      <w:r w:rsidR="0028453B">
        <w:rPr>
          <w:rFonts w:ascii="Arial" w:hAnsi="Arial" w:cs="Arial"/>
          <w:szCs w:val="20"/>
        </w:rPr>
        <w:t>ed</w:t>
      </w:r>
      <w:r w:rsidR="00190B61">
        <w:rPr>
          <w:rFonts w:ascii="Arial" w:hAnsi="Arial" w:cs="Arial"/>
          <w:szCs w:val="20"/>
        </w:rPr>
        <w:t xml:space="preserve"> </w:t>
      </w:r>
      <w:r w:rsidR="00B37C39">
        <w:rPr>
          <w:rFonts w:ascii="Arial" w:hAnsi="Arial" w:cs="Arial"/>
          <w:szCs w:val="20"/>
        </w:rPr>
        <w:t>reasonable</w:t>
      </w:r>
      <w:r w:rsidR="00765558">
        <w:rPr>
          <w:rFonts w:ascii="Arial" w:hAnsi="Arial" w:cs="Arial"/>
          <w:szCs w:val="20"/>
        </w:rPr>
        <w:t>.</w:t>
      </w:r>
    </w:p>
    <w:p w14:paraId="63CA289C" w14:textId="5F5D2AF1" w:rsidR="0084331B" w:rsidRPr="00436D55" w:rsidRDefault="00B37C39" w:rsidP="4F26752A">
      <w:pPr>
        <w:rPr>
          <w:rFonts w:ascii="Arial" w:hAnsi="Arial" w:cs="Arial"/>
          <w:szCs w:val="20"/>
        </w:rPr>
      </w:pPr>
      <w:r>
        <w:rPr>
          <w:rFonts w:ascii="Arial" w:hAnsi="Arial" w:cs="Arial"/>
          <w:szCs w:val="20"/>
        </w:rPr>
        <w:t xml:space="preserve">However, given the </w:t>
      </w:r>
      <w:r w:rsidR="00B0354A">
        <w:rPr>
          <w:rFonts w:ascii="Arial" w:hAnsi="Arial" w:cs="Arial"/>
          <w:szCs w:val="20"/>
        </w:rPr>
        <w:t>inherent</w:t>
      </w:r>
      <w:r>
        <w:rPr>
          <w:rFonts w:ascii="Arial" w:hAnsi="Arial" w:cs="Arial"/>
          <w:szCs w:val="20"/>
        </w:rPr>
        <w:t xml:space="preserve"> uncertainty in this assumption, t</w:t>
      </w:r>
      <w:r w:rsidR="00797ECD">
        <w:rPr>
          <w:rFonts w:ascii="Arial" w:hAnsi="Arial" w:cs="Arial"/>
          <w:szCs w:val="20"/>
        </w:rPr>
        <w:t xml:space="preserve">wo additional </w:t>
      </w:r>
      <w:r w:rsidR="008655BF">
        <w:rPr>
          <w:rFonts w:ascii="Arial" w:hAnsi="Arial" w:cs="Arial"/>
          <w:szCs w:val="20"/>
        </w:rPr>
        <w:t>intervention rates</w:t>
      </w:r>
      <w:r w:rsidR="00797ECD">
        <w:rPr>
          <w:rFonts w:ascii="Arial" w:hAnsi="Arial" w:cs="Arial"/>
          <w:szCs w:val="20"/>
        </w:rPr>
        <w:t xml:space="preserve"> </w:t>
      </w:r>
      <w:r w:rsidR="005F262D">
        <w:rPr>
          <w:rFonts w:ascii="Arial" w:hAnsi="Arial" w:cs="Arial"/>
          <w:szCs w:val="20"/>
        </w:rPr>
        <w:t>have been considered</w:t>
      </w:r>
      <w:r w:rsidR="00807045">
        <w:rPr>
          <w:rFonts w:ascii="Arial" w:hAnsi="Arial" w:cs="Arial"/>
          <w:szCs w:val="20"/>
        </w:rPr>
        <w:t xml:space="preserve"> for the </w:t>
      </w:r>
      <w:r w:rsidR="008F603A">
        <w:rPr>
          <w:rFonts w:ascii="Arial" w:hAnsi="Arial" w:cs="Arial"/>
          <w:szCs w:val="20"/>
        </w:rPr>
        <w:t>Measure 2</w:t>
      </w:r>
      <w:r w:rsidR="00807045">
        <w:rPr>
          <w:rFonts w:ascii="Arial" w:hAnsi="Arial" w:cs="Arial"/>
          <w:szCs w:val="20"/>
        </w:rPr>
        <w:t xml:space="preserve"> </w:t>
      </w:r>
      <w:r w:rsidR="00AF58F3">
        <w:rPr>
          <w:rFonts w:ascii="Arial" w:hAnsi="Arial" w:cs="Arial"/>
          <w:szCs w:val="20"/>
        </w:rPr>
        <w:t xml:space="preserve">Moderate </w:t>
      </w:r>
      <w:r w:rsidR="00807045">
        <w:rPr>
          <w:rFonts w:ascii="Arial" w:hAnsi="Arial" w:cs="Arial"/>
          <w:szCs w:val="20"/>
        </w:rPr>
        <w:t>scenario above</w:t>
      </w:r>
      <w:r w:rsidR="008F603A">
        <w:rPr>
          <w:rFonts w:ascii="Arial" w:hAnsi="Arial" w:cs="Arial"/>
          <w:szCs w:val="20"/>
        </w:rPr>
        <w:t>. T</w:t>
      </w:r>
      <w:r w:rsidR="00E9493E">
        <w:rPr>
          <w:rFonts w:ascii="Arial" w:hAnsi="Arial" w:cs="Arial"/>
          <w:szCs w:val="20"/>
        </w:rPr>
        <w:t xml:space="preserve">he first </w:t>
      </w:r>
      <w:r w:rsidR="00E77D05">
        <w:rPr>
          <w:rFonts w:ascii="Arial" w:hAnsi="Arial" w:cs="Arial"/>
          <w:szCs w:val="20"/>
        </w:rPr>
        <w:t>assumed a</w:t>
      </w:r>
      <w:r w:rsidR="00D1751D">
        <w:rPr>
          <w:rFonts w:ascii="Arial" w:hAnsi="Arial" w:cs="Arial"/>
          <w:szCs w:val="20"/>
        </w:rPr>
        <w:t xml:space="preserve"> more </w:t>
      </w:r>
      <w:r w:rsidR="00B446D8">
        <w:rPr>
          <w:rFonts w:ascii="Arial" w:hAnsi="Arial" w:cs="Arial"/>
          <w:szCs w:val="20"/>
        </w:rPr>
        <w:t>frequent</w:t>
      </w:r>
      <w:r w:rsidR="00E438CC">
        <w:rPr>
          <w:rFonts w:ascii="Arial" w:hAnsi="Arial" w:cs="Arial"/>
          <w:szCs w:val="20"/>
        </w:rPr>
        <w:t xml:space="preserve"> intervention </w:t>
      </w:r>
      <w:r w:rsidR="00B446D8">
        <w:rPr>
          <w:rFonts w:ascii="Arial" w:hAnsi="Arial" w:cs="Arial"/>
          <w:szCs w:val="20"/>
        </w:rPr>
        <w:t>rate</w:t>
      </w:r>
      <w:r w:rsidR="00D0281D">
        <w:rPr>
          <w:rFonts w:ascii="Arial" w:hAnsi="Arial" w:cs="Arial"/>
          <w:szCs w:val="20"/>
        </w:rPr>
        <w:t xml:space="preserve"> of once</w:t>
      </w:r>
      <w:r w:rsidR="00E438CC">
        <w:rPr>
          <w:rFonts w:ascii="Arial" w:hAnsi="Arial" w:cs="Arial"/>
          <w:szCs w:val="20"/>
        </w:rPr>
        <w:t xml:space="preserve"> every </w:t>
      </w:r>
      <w:r w:rsidR="00D145BC">
        <w:rPr>
          <w:rFonts w:ascii="Arial" w:hAnsi="Arial" w:cs="Arial"/>
          <w:szCs w:val="20"/>
        </w:rPr>
        <w:t>two years</w:t>
      </w:r>
      <w:r w:rsidR="00442BEA">
        <w:rPr>
          <w:rFonts w:ascii="Arial" w:hAnsi="Arial" w:cs="Arial"/>
          <w:szCs w:val="20"/>
        </w:rPr>
        <w:t xml:space="preserve">. Under this </w:t>
      </w:r>
      <w:r w:rsidR="008655BF">
        <w:rPr>
          <w:rFonts w:ascii="Arial" w:hAnsi="Arial" w:cs="Arial"/>
          <w:szCs w:val="20"/>
        </w:rPr>
        <w:t>assumption</w:t>
      </w:r>
      <w:r w:rsidR="00442BEA">
        <w:rPr>
          <w:rFonts w:ascii="Arial" w:hAnsi="Arial" w:cs="Arial"/>
          <w:szCs w:val="20"/>
        </w:rPr>
        <w:t xml:space="preserve">, </w:t>
      </w:r>
      <w:r w:rsidR="001B43F0">
        <w:rPr>
          <w:rFonts w:ascii="Arial" w:hAnsi="Arial" w:cs="Arial"/>
          <w:szCs w:val="20"/>
        </w:rPr>
        <w:t xml:space="preserve">the </w:t>
      </w:r>
      <w:r w:rsidR="00CF65F8">
        <w:rPr>
          <w:rFonts w:ascii="Arial" w:hAnsi="Arial" w:cs="Arial"/>
          <w:szCs w:val="20"/>
        </w:rPr>
        <w:t>bre</w:t>
      </w:r>
      <w:r w:rsidR="002B2EBE">
        <w:rPr>
          <w:rFonts w:ascii="Arial" w:hAnsi="Arial" w:cs="Arial"/>
          <w:szCs w:val="20"/>
        </w:rPr>
        <w:t xml:space="preserve">ak-even </w:t>
      </w:r>
      <w:r w:rsidR="00A056A1">
        <w:rPr>
          <w:rFonts w:ascii="Arial" w:hAnsi="Arial" w:cs="Arial"/>
          <w:szCs w:val="20"/>
        </w:rPr>
        <w:t xml:space="preserve">incident </w:t>
      </w:r>
      <w:r w:rsidR="00BA5E56">
        <w:rPr>
          <w:rFonts w:ascii="Arial" w:hAnsi="Arial" w:cs="Arial"/>
          <w:szCs w:val="20"/>
        </w:rPr>
        <w:t xml:space="preserve">prevention </w:t>
      </w:r>
      <w:r w:rsidR="00A056A1">
        <w:rPr>
          <w:rFonts w:ascii="Arial" w:hAnsi="Arial" w:cs="Arial"/>
          <w:szCs w:val="20"/>
        </w:rPr>
        <w:t xml:space="preserve">rate </w:t>
      </w:r>
      <w:r w:rsidR="00BA5E56">
        <w:rPr>
          <w:rFonts w:ascii="Arial" w:hAnsi="Arial" w:cs="Arial"/>
          <w:szCs w:val="20"/>
        </w:rPr>
        <w:t>ranges from</w:t>
      </w:r>
      <w:r w:rsidR="002B2EBE">
        <w:rPr>
          <w:rFonts w:ascii="Arial" w:hAnsi="Arial" w:cs="Arial"/>
          <w:szCs w:val="20"/>
        </w:rPr>
        <w:t xml:space="preserve"> </w:t>
      </w:r>
      <w:r w:rsidR="009E25B2">
        <w:rPr>
          <w:rFonts w:ascii="Arial" w:hAnsi="Arial" w:cs="Arial"/>
          <w:szCs w:val="20"/>
        </w:rPr>
        <w:t xml:space="preserve">1 </w:t>
      </w:r>
      <w:r w:rsidR="00564500">
        <w:rPr>
          <w:rFonts w:ascii="Arial" w:hAnsi="Arial" w:cs="Arial"/>
          <w:szCs w:val="20"/>
        </w:rPr>
        <w:t xml:space="preserve">incident </w:t>
      </w:r>
      <w:r w:rsidR="00E97873">
        <w:rPr>
          <w:rFonts w:ascii="Arial" w:hAnsi="Arial" w:cs="Arial"/>
          <w:szCs w:val="20"/>
        </w:rPr>
        <w:t xml:space="preserve">every year </w:t>
      </w:r>
      <w:r w:rsidR="00BA5E56">
        <w:rPr>
          <w:rFonts w:ascii="Arial" w:hAnsi="Arial" w:cs="Arial"/>
          <w:szCs w:val="20"/>
        </w:rPr>
        <w:t>(</w:t>
      </w:r>
      <w:r w:rsidR="00E97873">
        <w:rPr>
          <w:rFonts w:ascii="Arial" w:hAnsi="Arial" w:cs="Arial"/>
          <w:szCs w:val="20"/>
        </w:rPr>
        <w:t>high range estimate</w:t>
      </w:r>
      <w:r w:rsidR="00BA5E56">
        <w:rPr>
          <w:rFonts w:ascii="Arial" w:hAnsi="Arial" w:cs="Arial"/>
          <w:szCs w:val="20"/>
        </w:rPr>
        <w:t>)</w:t>
      </w:r>
      <w:r w:rsidR="00E97873">
        <w:rPr>
          <w:rFonts w:ascii="Arial" w:hAnsi="Arial" w:cs="Arial"/>
          <w:szCs w:val="20"/>
        </w:rPr>
        <w:t xml:space="preserve"> </w:t>
      </w:r>
      <w:r w:rsidR="00321CB6">
        <w:rPr>
          <w:rFonts w:ascii="Arial" w:hAnsi="Arial" w:cs="Arial"/>
          <w:szCs w:val="20"/>
        </w:rPr>
        <w:t xml:space="preserve">and 1 incident every </w:t>
      </w:r>
      <w:r w:rsidR="00A70776">
        <w:rPr>
          <w:rFonts w:ascii="Arial" w:hAnsi="Arial" w:cs="Arial"/>
          <w:szCs w:val="20"/>
        </w:rPr>
        <w:t>50+</w:t>
      </w:r>
      <w:r w:rsidR="00321CB6">
        <w:rPr>
          <w:rFonts w:ascii="Arial" w:hAnsi="Arial" w:cs="Arial"/>
          <w:szCs w:val="20"/>
        </w:rPr>
        <w:t xml:space="preserve"> years </w:t>
      </w:r>
      <w:r w:rsidR="00BA5E56">
        <w:rPr>
          <w:rFonts w:ascii="Arial" w:hAnsi="Arial" w:cs="Arial"/>
          <w:szCs w:val="20"/>
        </w:rPr>
        <w:t>(</w:t>
      </w:r>
      <w:r w:rsidR="00321CB6">
        <w:rPr>
          <w:rFonts w:ascii="Arial" w:hAnsi="Arial" w:cs="Arial"/>
          <w:szCs w:val="20"/>
        </w:rPr>
        <w:t>low range</w:t>
      </w:r>
      <w:r w:rsidR="00BA5E56">
        <w:rPr>
          <w:rFonts w:ascii="Arial" w:hAnsi="Arial" w:cs="Arial"/>
          <w:szCs w:val="20"/>
        </w:rPr>
        <w:t>)</w:t>
      </w:r>
      <w:r w:rsidR="00241DB7">
        <w:rPr>
          <w:rFonts w:ascii="Arial" w:hAnsi="Arial" w:cs="Arial"/>
          <w:szCs w:val="20"/>
        </w:rPr>
        <w:t xml:space="preserve">. </w:t>
      </w:r>
      <w:r w:rsidR="00E9493E">
        <w:rPr>
          <w:rFonts w:ascii="Arial" w:hAnsi="Arial" w:cs="Arial"/>
          <w:szCs w:val="20"/>
        </w:rPr>
        <w:t>The second</w:t>
      </w:r>
      <w:r w:rsidR="000B5DE1">
        <w:rPr>
          <w:rFonts w:ascii="Arial" w:hAnsi="Arial" w:cs="Arial"/>
          <w:szCs w:val="20"/>
        </w:rPr>
        <w:t xml:space="preserve"> </w:t>
      </w:r>
      <w:r w:rsidR="0065282C">
        <w:rPr>
          <w:rFonts w:ascii="Arial" w:hAnsi="Arial" w:cs="Arial"/>
          <w:szCs w:val="20"/>
        </w:rPr>
        <w:t>assumed</w:t>
      </w:r>
      <w:r w:rsidR="00E9493E">
        <w:rPr>
          <w:rFonts w:ascii="Arial" w:hAnsi="Arial" w:cs="Arial"/>
          <w:szCs w:val="20"/>
        </w:rPr>
        <w:t xml:space="preserve"> </w:t>
      </w:r>
      <w:r w:rsidR="00D145BC">
        <w:rPr>
          <w:rFonts w:ascii="Arial" w:hAnsi="Arial" w:cs="Arial"/>
          <w:szCs w:val="20"/>
        </w:rPr>
        <w:t>a</w:t>
      </w:r>
      <w:r w:rsidR="00CE2814">
        <w:rPr>
          <w:rFonts w:ascii="Arial" w:hAnsi="Arial" w:cs="Arial"/>
          <w:szCs w:val="20"/>
        </w:rPr>
        <w:t xml:space="preserve"> less frequent</w:t>
      </w:r>
      <w:r w:rsidR="00E9493E">
        <w:rPr>
          <w:rFonts w:ascii="Arial" w:hAnsi="Arial" w:cs="Arial"/>
          <w:szCs w:val="20"/>
        </w:rPr>
        <w:t xml:space="preserve"> </w:t>
      </w:r>
      <w:r w:rsidR="00D145BC">
        <w:rPr>
          <w:rFonts w:ascii="Arial" w:hAnsi="Arial" w:cs="Arial"/>
          <w:szCs w:val="20"/>
        </w:rPr>
        <w:t xml:space="preserve">intervention </w:t>
      </w:r>
      <w:r w:rsidR="00CE2814">
        <w:rPr>
          <w:rFonts w:ascii="Arial" w:hAnsi="Arial" w:cs="Arial"/>
          <w:szCs w:val="20"/>
        </w:rPr>
        <w:t>rate</w:t>
      </w:r>
      <w:r w:rsidR="0065282C">
        <w:rPr>
          <w:rFonts w:ascii="Arial" w:hAnsi="Arial" w:cs="Arial"/>
          <w:szCs w:val="20"/>
        </w:rPr>
        <w:t xml:space="preserve"> of once </w:t>
      </w:r>
      <w:r w:rsidR="00D145BC">
        <w:rPr>
          <w:rFonts w:ascii="Arial" w:hAnsi="Arial" w:cs="Arial"/>
          <w:szCs w:val="20"/>
        </w:rPr>
        <w:t>every five years</w:t>
      </w:r>
      <w:r w:rsidR="00CE2814">
        <w:rPr>
          <w:rFonts w:ascii="Arial" w:hAnsi="Arial" w:cs="Arial"/>
          <w:szCs w:val="20"/>
        </w:rPr>
        <w:t>.</w:t>
      </w:r>
      <w:r w:rsidR="00D145BC">
        <w:rPr>
          <w:rFonts w:ascii="Arial" w:hAnsi="Arial" w:cs="Arial"/>
          <w:szCs w:val="20"/>
        </w:rPr>
        <w:t xml:space="preserve"> </w:t>
      </w:r>
      <w:r w:rsidR="00534F51">
        <w:rPr>
          <w:rFonts w:ascii="Arial" w:hAnsi="Arial" w:cs="Arial"/>
          <w:szCs w:val="20"/>
        </w:rPr>
        <w:t xml:space="preserve">Under this </w:t>
      </w:r>
      <w:r w:rsidR="008655BF">
        <w:rPr>
          <w:rFonts w:ascii="Arial" w:hAnsi="Arial" w:cs="Arial"/>
          <w:szCs w:val="20"/>
        </w:rPr>
        <w:t>assumption</w:t>
      </w:r>
      <w:r w:rsidR="00534F51">
        <w:rPr>
          <w:rFonts w:ascii="Arial" w:hAnsi="Arial" w:cs="Arial"/>
          <w:szCs w:val="20"/>
        </w:rPr>
        <w:t>, the break-even</w:t>
      </w:r>
      <w:r w:rsidR="002327C2">
        <w:rPr>
          <w:rFonts w:ascii="Arial" w:hAnsi="Arial" w:cs="Arial"/>
          <w:szCs w:val="20"/>
        </w:rPr>
        <w:t xml:space="preserve"> incident </w:t>
      </w:r>
      <w:r w:rsidR="00C12104">
        <w:rPr>
          <w:rFonts w:ascii="Arial" w:hAnsi="Arial" w:cs="Arial"/>
          <w:szCs w:val="20"/>
        </w:rPr>
        <w:t xml:space="preserve">prevention rate ranges </w:t>
      </w:r>
      <w:r w:rsidR="008A6658">
        <w:rPr>
          <w:rFonts w:ascii="Arial" w:hAnsi="Arial" w:cs="Arial"/>
          <w:szCs w:val="20"/>
        </w:rPr>
        <w:t xml:space="preserve">from </w:t>
      </w:r>
      <w:r w:rsidR="00803087">
        <w:rPr>
          <w:rFonts w:ascii="Arial" w:hAnsi="Arial" w:cs="Arial"/>
          <w:szCs w:val="20"/>
        </w:rPr>
        <w:t>1</w:t>
      </w:r>
      <w:r w:rsidR="00FB51D0">
        <w:rPr>
          <w:rFonts w:ascii="Arial" w:hAnsi="Arial" w:cs="Arial"/>
          <w:szCs w:val="20"/>
        </w:rPr>
        <w:t xml:space="preserve"> incident every 2.</w:t>
      </w:r>
      <w:r w:rsidR="001545C1">
        <w:rPr>
          <w:rFonts w:ascii="Arial" w:hAnsi="Arial" w:cs="Arial"/>
          <w:szCs w:val="20"/>
        </w:rPr>
        <w:t>6</w:t>
      </w:r>
      <w:r w:rsidR="00FB51D0">
        <w:rPr>
          <w:rFonts w:ascii="Arial" w:hAnsi="Arial" w:cs="Arial"/>
          <w:szCs w:val="20"/>
        </w:rPr>
        <w:t xml:space="preserve"> years </w:t>
      </w:r>
      <w:r w:rsidR="004E2F84">
        <w:rPr>
          <w:rFonts w:ascii="Arial" w:hAnsi="Arial" w:cs="Arial"/>
          <w:szCs w:val="20"/>
        </w:rPr>
        <w:t>(</w:t>
      </w:r>
      <w:r w:rsidR="00FB51D0">
        <w:rPr>
          <w:rFonts w:ascii="Arial" w:hAnsi="Arial" w:cs="Arial"/>
          <w:szCs w:val="20"/>
        </w:rPr>
        <w:t>high range estimate</w:t>
      </w:r>
      <w:r w:rsidR="004E2F84">
        <w:rPr>
          <w:rFonts w:ascii="Arial" w:hAnsi="Arial" w:cs="Arial"/>
          <w:szCs w:val="20"/>
        </w:rPr>
        <w:t>)</w:t>
      </w:r>
      <w:r w:rsidR="00FB51D0">
        <w:rPr>
          <w:rFonts w:ascii="Arial" w:hAnsi="Arial" w:cs="Arial"/>
          <w:szCs w:val="20"/>
        </w:rPr>
        <w:t xml:space="preserve"> </w:t>
      </w:r>
      <w:r w:rsidR="002274DA">
        <w:rPr>
          <w:rFonts w:ascii="Arial" w:hAnsi="Arial" w:cs="Arial"/>
          <w:szCs w:val="20"/>
        </w:rPr>
        <w:t>and</w:t>
      </w:r>
      <w:r w:rsidR="00FB51D0">
        <w:rPr>
          <w:rFonts w:ascii="Arial" w:hAnsi="Arial" w:cs="Arial"/>
          <w:szCs w:val="20"/>
        </w:rPr>
        <w:t xml:space="preserve"> </w:t>
      </w:r>
      <w:r w:rsidR="00B64081">
        <w:rPr>
          <w:rFonts w:ascii="Arial" w:hAnsi="Arial" w:cs="Arial"/>
          <w:szCs w:val="20"/>
        </w:rPr>
        <w:t xml:space="preserve">1 incident every </w:t>
      </w:r>
      <w:r w:rsidR="00A70776">
        <w:rPr>
          <w:rFonts w:ascii="Arial" w:hAnsi="Arial" w:cs="Arial"/>
          <w:szCs w:val="20"/>
        </w:rPr>
        <w:t>50</w:t>
      </w:r>
      <w:r w:rsidR="00B64081">
        <w:rPr>
          <w:rFonts w:ascii="Arial" w:hAnsi="Arial" w:cs="Arial"/>
          <w:szCs w:val="20"/>
        </w:rPr>
        <w:t xml:space="preserve">+ years </w:t>
      </w:r>
      <w:r w:rsidR="004E2F84">
        <w:rPr>
          <w:rFonts w:ascii="Arial" w:hAnsi="Arial" w:cs="Arial"/>
          <w:szCs w:val="20"/>
        </w:rPr>
        <w:t>(low range estimate)</w:t>
      </w:r>
      <w:r w:rsidR="00803087">
        <w:rPr>
          <w:rFonts w:ascii="Arial" w:hAnsi="Arial" w:cs="Arial"/>
          <w:szCs w:val="20"/>
        </w:rPr>
        <w:t>.</w:t>
      </w:r>
    </w:p>
    <w:p w14:paraId="5D84D278" w14:textId="77777777" w:rsidR="0084331B" w:rsidRPr="0084331B" w:rsidRDefault="0084331B" w:rsidP="0084331B">
      <w:pPr>
        <w:pStyle w:val="Heading3"/>
        <w:spacing w:before="120" w:line="240" w:lineRule="auto"/>
        <w:rPr>
          <w:rFonts w:ascii="Arial" w:hAnsi="Arial" w:cs="Arial"/>
          <w:sz w:val="20"/>
        </w:rPr>
      </w:pPr>
      <w:bookmarkStart w:id="83" w:name="_Toc176182555"/>
      <w:r w:rsidRPr="0084331B">
        <w:rPr>
          <w:rFonts w:ascii="Arial" w:hAnsi="Arial" w:cs="Arial"/>
          <w:sz w:val="20"/>
        </w:rPr>
        <w:t>4.3.3 Likely net benefit of Option 2</w:t>
      </w:r>
      <w:bookmarkEnd w:id="83"/>
    </w:p>
    <w:p w14:paraId="4B8B31B7" w14:textId="7418E71F" w:rsidR="0084331B" w:rsidRDefault="0084331B" w:rsidP="0084331B">
      <w:pPr>
        <w:spacing w:after="120"/>
        <w:rPr>
          <w:rFonts w:ascii="Arial" w:hAnsi="Arial" w:cs="Arial"/>
          <w:szCs w:val="20"/>
        </w:rPr>
      </w:pPr>
      <w:r>
        <w:rPr>
          <w:rFonts w:ascii="Arial" w:hAnsi="Arial" w:cs="Arial"/>
          <w:szCs w:val="20"/>
        </w:rPr>
        <w:t>The</w:t>
      </w:r>
      <w:r w:rsidRPr="591A7590">
        <w:rPr>
          <w:rFonts w:ascii="Arial" w:hAnsi="Arial" w:cs="Arial"/>
          <w:szCs w:val="20"/>
        </w:rPr>
        <w:t xml:space="preserve"> benefits of Option 2 will be at least (and are expected to be more than) the costs of the regulation. This is primarily because the marginal costs of the proposed changes</w:t>
      </w:r>
      <w:r>
        <w:rPr>
          <w:rFonts w:ascii="Arial" w:hAnsi="Arial" w:cs="Arial"/>
          <w:szCs w:val="20"/>
        </w:rPr>
        <w:t xml:space="preserve"> are</w:t>
      </w:r>
      <w:r w:rsidRPr="591A7590">
        <w:rPr>
          <w:rFonts w:ascii="Arial" w:hAnsi="Arial" w:cs="Arial"/>
          <w:szCs w:val="20"/>
        </w:rPr>
        <w:t xml:space="preserve"> expected to b</w:t>
      </w:r>
      <w:r>
        <w:rPr>
          <w:rFonts w:ascii="Arial" w:hAnsi="Arial" w:cs="Arial"/>
          <w:szCs w:val="20"/>
        </w:rPr>
        <w:t>e</w:t>
      </w:r>
      <w:r w:rsidRPr="591A7590">
        <w:rPr>
          <w:rFonts w:ascii="Arial" w:hAnsi="Arial" w:cs="Arial"/>
          <w:szCs w:val="20"/>
        </w:rPr>
        <w:t xml:space="preserve"> small</w:t>
      </w:r>
      <w:r>
        <w:rPr>
          <w:rFonts w:ascii="Arial" w:hAnsi="Arial" w:cs="Arial"/>
          <w:szCs w:val="20"/>
        </w:rPr>
        <w:t>, relative to existing costs associated with compliance under the SOCI Act and the potential avoided costs of future incidents</w:t>
      </w:r>
      <w:r w:rsidRPr="591A7590">
        <w:rPr>
          <w:rFonts w:ascii="Arial" w:hAnsi="Arial" w:cs="Arial"/>
          <w:szCs w:val="20"/>
        </w:rPr>
        <w:t>.</w:t>
      </w:r>
      <w:r>
        <w:rPr>
          <w:rFonts w:ascii="Arial" w:hAnsi="Arial" w:cs="Arial"/>
          <w:szCs w:val="20"/>
        </w:rPr>
        <w:t xml:space="preserve"> These direct cost </w:t>
      </w:r>
      <w:r w:rsidRPr="0047596F">
        <w:rPr>
          <w:rFonts w:ascii="Arial" w:hAnsi="Arial" w:cs="Arial"/>
          <w:szCs w:val="20"/>
        </w:rPr>
        <w:t>impact</w:t>
      </w:r>
      <w:r>
        <w:rPr>
          <w:rFonts w:ascii="Arial" w:hAnsi="Arial" w:cs="Arial"/>
          <w:szCs w:val="20"/>
        </w:rPr>
        <w:t>s</w:t>
      </w:r>
      <w:r w:rsidRPr="0047596F">
        <w:rPr>
          <w:rFonts w:ascii="Arial" w:hAnsi="Arial" w:cs="Arial"/>
          <w:szCs w:val="20"/>
        </w:rPr>
        <w:t xml:space="preserve"> depend on the frequency of interventions taken by Government to enforce compliance with measures 2 and 3</w:t>
      </w:r>
      <w:r>
        <w:rPr>
          <w:rFonts w:ascii="Arial" w:hAnsi="Arial" w:cs="Arial"/>
          <w:szCs w:val="20"/>
        </w:rPr>
        <w:t>. H</w:t>
      </w:r>
      <w:r w:rsidRPr="0047596F">
        <w:rPr>
          <w:rFonts w:ascii="Arial" w:hAnsi="Arial" w:cs="Arial"/>
          <w:szCs w:val="20"/>
        </w:rPr>
        <w:t>owever</w:t>
      </w:r>
      <w:r>
        <w:rPr>
          <w:rFonts w:ascii="Arial" w:hAnsi="Arial" w:cs="Arial"/>
          <w:szCs w:val="20"/>
        </w:rPr>
        <w:t>,</w:t>
      </w:r>
      <w:r w:rsidRPr="0047596F">
        <w:rPr>
          <w:rFonts w:ascii="Arial" w:hAnsi="Arial" w:cs="Arial"/>
          <w:szCs w:val="20"/>
        </w:rPr>
        <w:t xml:space="preserve"> it is noted that due to the expected frequency of interventions being once every </w:t>
      </w:r>
      <w:r>
        <w:rPr>
          <w:rFonts w:ascii="Arial" w:hAnsi="Arial" w:cs="Arial"/>
          <w:szCs w:val="20"/>
        </w:rPr>
        <w:t>three</w:t>
      </w:r>
      <w:r w:rsidRPr="0047596F">
        <w:rPr>
          <w:rFonts w:ascii="Arial" w:hAnsi="Arial" w:cs="Arial"/>
          <w:szCs w:val="20"/>
        </w:rPr>
        <w:t xml:space="preserve"> years, the</w:t>
      </w:r>
      <w:r>
        <w:rPr>
          <w:rFonts w:ascii="Arial" w:hAnsi="Arial" w:cs="Arial"/>
          <w:szCs w:val="20"/>
        </w:rPr>
        <w:t xml:space="preserve"> number of avoided incidents required for total benefits to exceed the cost impact of Option 2 is also low (as set out in </w:t>
      </w:r>
      <w:r w:rsidRPr="00E559E9">
        <w:rPr>
          <w:rFonts w:ascii="Arial" w:hAnsi="Arial" w:cs="Arial"/>
          <w:color w:val="2B579A"/>
          <w:szCs w:val="20"/>
          <w:shd w:val="clear" w:color="auto" w:fill="E6E6E6"/>
        </w:rPr>
        <w:fldChar w:fldCharType="begin"/>
      </w:r>
      <w:r w:rsidRPr="00E559E9">
        <w:rPr>
          <w:rFonts w:ascii="Arial" w:hAnsi="Arial" w:cs="Arial"/>
          <w:szCs w:val="20"/>
        </w:rPr>
        <w:instrText xml:space="preserve"> REF _Ref163735245 \h  \* MERGEFORMAT </w:instrText>
      </w:r>
      <w:r w:rsidRPr="00E559E9">
        <w:rPr>
          <w:rFonts w:ascii="Arial" w:hAnsi="Arial" w:cs="Arial"/>
          <w:color w:val="2B579A"/>
          <w:szCs w:val="20"/>
          <w:shd w:val="clear" w:color="auto" w:fill="E6E6E6"/>
        </w:rPr>
      </w:r>
      <w:r w:rsidRPr="00E559E9">
        <w:rPr>
          <w:rFonts w:ascii="Arial" w:hAnsi="Arial" w:cs="Arial"/>
          <w:color w:val="2B579A"/>
          <w:szCs w:val="20"/>
          <w:shd w:val="clear" w:color="auto" w:fill="E6E6E6"/>
        </w:rPr>
        <w:fldChar w:fldCharType="separate"/>
      </w:r>
      <w:r w:rsidR="00E8506B" w:rsidRPr="00E8506B">
        <w:rPr>
          <w:rFonts w:ascii="Arial" w:hAnsi="Arial" w:cs="Arial"/>
          <w:szCs w:val="20"/>
        </w:rPr>
        <w:t>Table 31</w:t>
      </w:r>
      <w:r w:rsidRPr="00E559E9">
        <w:rPr>
          <w:rFonts w:ascii="Arial" w:hAnsi="Arial" w:cs="Arial"/>
          <w:color w:val="2B579A"/>
          <w:szCs w:val="20"/>
          <w:shd w:val="clear" w:color="auto" w:fill="E6E6E6"/>
        </w:rPr>
        <w:fldChar w:fldCharType="end"/>
      </w:r>
      <w:r w:rsidR="00011C24">
        <w:rPr>
          <w:rFonts w:ascii="Arial" w:hAnsi="Arial" w:cs="Arial"/>
          <w:szCs w:val="20"/>
        </w:rPr>
        <w:t>)</w:t>
      </w:r>
      <w:r>
        <w:rPr>
          <w:rFonts w:ascii="Arial" w:hAnsi="Arial" w:cs="Arial"/>
          <w:szCs w:val="20"/>
        </w:rPr>
        <w:t>. The</w:t>
      </w:r>
      <w:r w:rsidRPr="591A7590">
        <w:rPr>
          <w:rFonts w:ascii="Arial" w:hAnsi="Arial" w:cs="Arial"/>
          <w:szCs w:val="20"/>
        </w:rPr>
        <w:t xml:space="preserve"> benefits of Option 2 will be at least the costs of the regulation</w:t>
      </w:r>
      <w:r w:rsidRPr="0047596F">
        <w:rPr>
          <w:rFonts w:ascii="Arial" w:hAnsi="Arial" w:cs="Arial"/>
          <w:szCs w:val="20"/>
        </w:rPr>
        <w:t>.</w:t>
      </w:r>
      <w:r w:rsidRPr="591A7590">
        <w:rPr>
          <w:rFonts w:ascii="Arial" w:hAnsi="Arial" w:cs="Arial"/>
          <w:szCs w:val="20"/>
        </w:rPr>
        <w:t xml:space="preserve">  </w:t>
      </w:r>
    </w:p>
    <w:p w14:paraId="35FF1771" w14:textId="77777777" w:rsidR="0084331B" w:rsidRDefault="0084331B" w:rsidP="0084331B">
      <w:pPr>
        <w:spacing w:after="120"/>
        <w:rPr>
          <w:rFonts w:ascii="Arial" w:hAnsi="Arial" w:cs="Arial"/>
          <w:szCs w:val="20"/>
        </w:rPr>
      </w:pPr>
      <w:r>
        <w:rPr>
          <w:rFonts w:ascii="Arial" w:hAnsi="Arial" w:cs="Arial"/>
          <w:szCs w:val="20"/>
        </w:rPr>
        <w:t>The</w:t>
      </w:r>
      <w:r w:rsidRPr="591A7590">
        <w:rPr>
          <w:rFonts w:ascii="Arial" w:hAnsi="Arial" w:cs="Arial"/>
          <w:szCs w:val="20"/>
        </w:rPr>
        <w:t xml:space="preserve"> arguments put forward throughout this IA </w:t>
      </w:r>
      <w:r>
        <w:rPr>
          <w:rFonts w:ascii="Arial" w:hAnsi="Arial" w:cs="Arial"/>
          <w:szCs w:val="20"/>
        </w:rPr>
        <w:t>demonstrate</w:t>
      </w:r>
      <w:r w:rsidRPr="591A7590">
        <w:rPr>
          <w:rFonts w:ascii="Arial" w:hAnsi="Arial" w:cs="Arial"/>
          <w:szCs w:val="20"/>
        </w:rPr>
        <w:t xml:space="preserve"> </w:t>
      </w:r>
      <w:r>
        <w:rPr>
          <w:rFonts w:ascii="Arial" w:hAnsi="Arial" w:cs="Arial"/>
          <w:szCs w:val="20"/>
        </w:rPr>
        <w:t xml:space="preserve">an ongoing threat of all-hazards events, and that the </w:t>
      </w:r>
      <w:r w:rsidRPr="591A7590">
        <w:rPr>
          <w:rFonts w:ascii="Arial" w:hAnsi="Arial" w:cs="Arial"/>
          <w:szCs w:val="20"/>
        </w:rPr>
        <w:t xml:space="preserve">severity and frequency of </w:t>
      </w:r>
      <w:r>
        <w:rPr>
          <w:rFonts w:ascii="Arial" w:hAnsi="Arial" w:cs="Arial"/>
          <w:szCs w:val="20"/>
        </w:rPr>
        <w:t>these events continues to grow</w:t>
      </w:r>
      <w:r w:rsidRPr="591A7590">
        <w:rPr>
          <w:rFonts w:ascii="Arial" w:hAnsi="Arial" w:cs="Arial"/>
          <w:szCs w:val="20"/>
        </w:rPr>
        <w:t>. While some events of the magnitude described in this IA (for example, the Medicare and Optus incidents) have previously been considered to represent the worst-case disruption scenarios in Australia, the increasing severity and frequency of similar incidents, particularly in the context of growing cybersecurity incidents, represents a risk to the whole economy.</w:t>
      </w:r>
    </w:p>
    <w:p w14:paraId="16331B5A" w14:textId="77777777" w:rsidR="0084331B" w:rsidRDefault="0084331B" w:rsidP="0084331B">
      <w:pPr>
        <w:spacing w:after="120"/>
        <w:rPr>
          <w:rFonts w:ascii="Arial" w:hAnsi="Arial" w:cs="Arial"/>
          <w:szCs w:val="20"/>
        </w:rPr>
      </w:pPr>
      <w:r>
        <w:rPr>
          <w:rFonts w:ascii="Arial" w:hAnsi="Arial" w:cs="Arial"/>
          <w:szCs w:val="20"/>
        </w:rPr>
        <w:t>T</w:t>
      </w:r>
      <w:r w:rsidRPr="591A7590">
        <w:rPr>
          <w:rFonts w:ascii="Arial" w:hAnsi="Arial" w:cs="Arial"/>
          <w:szCs w:val="20"/>
        </w:rPr>
        <w:t xml:space="preserve">he increasing frequency of incidents makes the proposed reform measures more likely to exceed the anticipated costs over time. </w:t>
      </w:r>
      <w:r>
        <w:rPr>
          <w:rFonts w:ascii="Arial" w:hAnsi="Arial" w:cs="Arial"/>
          <w:szCs w:val="20"/>
        </w:rPr>
        <w:t>T</w:t>
      </w:r>
      <w:r w:rsidRPr="591A7590">
        <w:rPr>
          <w:rFonts w:ascii="Arial" w:hAnsi="Arial" w:cs="Arial"/>
          <w:szCs w:val="20"/>
        </w:rPr>
        <w:t>hrough pursuit of Option 2, the prevention</w:t>
      </w:r>
      <w:r>
        <w:rPr>
          <w:rFonts w:ascii="Arial" w:hAnsi="Arial" w:cs="Arial"/>
          <w:szCs w:val="20"/>
        </w:rPr>
        <w:t xml:space="preserve">, </w:t>
      </w:r>
      <w:r w:rsidDel="00205D59">
        <w:rPr>
          <w:rFonts w:ascii="Arial" w:hAnsi="Arial" w:cs="Arial"/>
          <w:szCs w:val="20"/>
        </w:rPr>
        <w:t>mitigation</w:t>
      </w:r>
      <w:r>
        <w:rPr>
          <w:rFonts w:ascii="Arial" w:hAnsi="Arial" w:cs="Arial"/>
          <w:szCs w:val="20"/>
        </w:rPr>
        <w:t>,</w:t>
      </w:r>
      <w:r w:rsidRPr="591A7590">
        <w:rPr>
          <w:rFonts w:ascii="Arial" w:hAnsi="Arial" w:cs="Arial"/>
          <w:szCs w:val="20"/>
        </w:rPr>
        <w:t xml:space="preserve"> and remediation of incidents will be improved through: </w:t>
      </w:r>
    </w:p>
    <w:p w14:paraId="41AD023E" w14:textId="77777777" w:rsidR="0084331B" w:rsidRPr="00C45D0A" w:rsidRDefault="0084331B" w:rsidP="00510557">
      <w:pPr>
        <w:pStyle w:val="ListParagraph"/>
        <w:numPr>
          <w:ilvl w:val="0"/>
          <w:numId w:val="21"/>
        </w:numPr>
        <w:contextualSpacing/>
        <w:rPr>
          <w:rFonts w:ascii="Arial" w:hAnsi="Arial" w:cs="Arial"/>
          <w:szCs w:val="20"/>
        </w:rPr>
      </w:pPr>
      <w:r w:rsidRPr="591A7590">
        <w:rPr>
          <w:rFonts w:ascii="Arial" w:hAnsi="Arial" w:cs="Arial"/>
          <w:szCs w:val="20"/>
        </w:rPr>
        <w:t xml:space="preserve">Ensuring </w:t>
      </w:r>
      <w:r w:rsidRPr="591A7590">
        <w:rPr>
          <w:rFonts w:ascii="Arial" w:hAnsi="Arial" w:cs="Arial"/>
          <w:b/>
          <w:bCs/>
          <w:szCs w:val="20"/>
        </w:rPr>
        <w:t>consistent</w:t>
      </w:r>
      <w:r w:rsidRPr="591A7590">
        <w:rPr>
          <w:rFonts w:ascii="Arial" w:hAnsi="Arial" w:cs="Arial"/>
          <w:szCs w:val="20"/>
        </w:rPr>
        <w:t xml:space="preserve"> capture of secondary systems where vulnerabilities could have a relevant impact on critical infrastructure. </w:t>
      </w:r>
    </w:p>
    <w:p w14:paraId="253BE75B" w14:textId="77777777" w:rsidR="0084331B" w:rsidRPr="00C45D0A" w:rsidRDefault="0084331B" w:rsidP="00510557">
      <w:pPr>
        <w:pStyle w:val="ListParagraph"/>
        <w:numPr>
          <w:ilvl w:val="0"/>
          <w:numId w:val="21"/>
        </w:numPr>
        <w:contextualSpacing/>
        <w:rPr>
          <w:rFonts w:ascii="Arial" w:hAnsi="Arial" w:cs="Arial"/>
          <w:szCs w:val="20"/>
        </w:rPr>
      </w:pPr>
      <w:r w:rsidRPr="591A7590">
        <w:rPr>
          <w:rFonts w:ascii="Arial" w:hAnsi="Arial" w:cs="Arial"/>
          <w:szCs w:val="20"/>
        </w:rPr>
        <w:t xml:space="preserve">Enabling a </w:t>
      </w:r>
      <w:r w:rsidRPr="591A7590">
        <w:rPr>
          <w:rFonts w:ascii="Arial" w:hAnsi="Arial" w:cs="Arial"/>
          <w:b/>
          <w:bCs/>
          <w:szCs w:val="20"/>
        </w:rPr>
        <w:t>coordinated,</w:t>
      </w:r>
      <w:r w:rsidRPr="591A7590">
        <w:rPr>
          <w:rFonts w:ascii="Arial" w:hAnsi="Arial" w:cs="Arial"/>
          <w:szCs w:val="20"/>
        </w:rPr>
        <w:t xml:space="preserve"> </w:t>
      </w:r>
      <w:r w:rsidRPr="591A7590">
        <w:rPr>
          <w:rFonts w:ascii="Arial" w:hAnsi="Arial" w:cs="Arial"/>
          <w:b/>
          <w:bCs/>
          <w:szCs w:val="20"/>
        </w:rPr>
        <w:t>agile, industry-led response</w:t>
      </w:r>
      <w:r w:rsidRPr="591A7590">
        <w:rPr>
          <w:rFonts w:ascii="Arial" w:hAnsi="Arial" w:cs="Arial"/>
          <w:szCs w:val="20"/>
        </w:rPr>
        <w:t xml:space="preserve"> to incidents with appropriate support from government where necessary. </w:t>
      </w:r>
    </w:p>
    <w:p w14:paraId="062757F1" w14:textId="77777777" w:rsidR="0084331B" w:rsidRDefault="0084331B" w:rsidP="00510557">
      <w:pPr>
        <w:pStyle w:val="ListParagraph"/>
        <w:numPr>
          <w:ilvl w:val="0"/>
          <w:numId w:val="21"/>
        </w:numPr>
        <w:contextualSpacing/>
        <w:rPr>
          <w:rFonts w:ascii="Arial" w:hAnsi="Arial" w:cs="Arial"/>
          <w:szCs w:val="20"/>
        </w:rPr>
      </w:pPr>
      <w:r w:rsidRPr="591A7590">
        <w:rPr>
          <w:rFonts w:ascii="Arial" w:hAnsi="Arial" w:cs="Arial"/>
          <w:b/>
          <w:bCs/>
          <w:szCs w:val="20"/>
        </w:rPr>
        <w:t>Clarifying and enhancing</w:t>
      </w:r>
      <w:r w:rsidRPr="591A7590">
        <w:rPr>
          <w:rFonts w:ascii="Arial" w:hAnsi="Arial" w:cs="Arial"/>
          <w:szCs w:val="20"/>
        </w:rPr>
        <w:t xml:space="preserve"> the security standards applicable to critical infrastructure. </w:t>
      </w:r>
    </w:p>
    <w:p w14:paraId="2E656FC6" w14:textId="77777777" w:rsidR="0084331B" w:rsidRPr="00CE4DD1" w:rsidRDefault="0084331B" w:rsidP="0084331B">
      <w:pPr>
        <w:spacing w:after="120"/>
        <w:rPr>
          <w:rFonts w:ascii="Arial" w:hAnsi="Arial" w:cs="Arial"/>
          <w:szCs w:val="20"/>
        </w:rPr>
      </w:pPr>
      <w:r>
        <w:rPr>
          <w:rFonts w:ascii="Arial" w:hAnsi="Arial" w:cs="Arial"/>
          <w:szCs w:val="20"/>
        </w:rPr>
        <w:t>The total economy-wide</w:t>
      </w:r>
      <w:r w:rsidRPr="591A7590">
        <w:rPr>
          <w:rFonts w:ascii="Arial" w:hAnsi="Arial" w:cs="Arial"/>
          <w:szCs w:val="20"/>
        </w:rPr>
        <w:t xml:space="preserve"> cost of these reforms are expected to be </w:t>
      </w:r>
      <w:r>
        <w:rPr>
          <w:rFonts w:ascii="Arial" w:hAnsi="Arial" w:cs="Arial"/>
          <w:szCs w:val="20"/>
        </w:rPr>
        <w:t>low</w:t>
      </w:r>
      <w:r w:rsidRPr="591A7590">
        <w:rPr>
          <w:rFonts w:ascii="Arial" w:hAnsi="Arial" w:cs="Arial"/>
          <w:szCs w:val="20"/>
        </w:rPr>
        <w:t>, when compared with the losses individuals may experience during or following an all-hazards event. Government will also benefit from an enhance</w:t>
      </w:r>
      <w:r>
        <w:rPr>
          <w:rFonts w:ascii="Arial" w:hAnsi="Arial" w:cs="Arial"/>
          <w:szCs w:val="20"/>
        </w:rPr>
        <w:t>d</w:t>
      </w:r>
      <w:r w:rsidRPr="591A7590">
        <w:rPr>
          <w:rFonts w:ascii="Arial" w:hAnsi="Arial" w:cs="Arial"/>
          <w:szCs w:val="20"/>
        </w:rPr>
        <w:t xml:space="preserve"> partnership with industry, including an opportunity to promote industry-led recovery, and mitigate the risk of reputational damage arising from gaps in the existing regulatory regime. </w:t>
      </w:r>
    </w:p>
    <w:p w14:paraId="047DD3C1" w14:textId="77777777" w:rsidR="0084331B" w:rsidRDefault="0084331B" w:rsidP="0084331B">
      <w:pPr>
        <w:pStyle w:val="Heading2"/>
        <w:spacing w:before="120"/>
        <w:rPr>
          <w:rFonts w:ascii="Arial" w:hAnsi="Arial"/>
        </w:rPr>
      </w:pPr>
      <w:bookmarkStart w:id="84" w:name="_Toc164683839"/>
      <w:bookmarkStart w:id="85" w:name="_Toc176183941"/>
      <w:r w:rsidRPr="667B69DA">
        <w:rPr>
          <w:rFonts w:ascii="Arial" w:hAnsi="Arial"/>
        </w:rPr>
        <w:t>4.4 Likely net benefit assessment: Option 3 – Enhanced collaboration with industry</w:t>
      </w:r>
      <w:bookmarkEnd w:id="84"/>
      <w:bookmarkEnd w:id="85"/>
    </w:p>
    <w:p w14:paraId="6A3137E7" w14:textId="77777777" w:rsidR="0084331B" w:rsidRPr="00BB485E" w:rsidRDefault="0084331B" w:rsidP="0084331B">
      <w:pPr>
        <w:spacing w:after="120"/>
        <w:rPr>
          <w:rFonts w:ascii="Arial" w:hAnsi="Arial" w:cs="Arial"/>
          <w:szCs w:val="20"/>
        </w:rPr>
      </w:pPr>
      <w:r w:rsidRPr="591A7590">
        <w:rPr>
          <w:rFonts w:ascii="Arial" w:hAnsi="Arial" w:cs="Arial"/>
          <w:szCs w:val="20"/>
        </w:rPr>
        <w:t xml:space="preserve">The following section details the costs and benefits associated with option 3 (enhanced collaboration with industry), </w:t>
      </w:r>
      <w:r>
        <w:rPr>
          <w:rFonts w:ascii="Arial" w:hAnsi="Arial" w:cs="Arial"/>
          <w:szCs w:val="20"/>
        </w:rPr>
        <w:t>followed by assessment of</w:t>
      </w:r>
      <w:r w:rsidRPr="591A7590">
        <w:rPr>
          <w:rFonts w:ascii="Arial" w:hAnsi="Arial" w:cs="Arial"/>
          <w:szCs w:val="20"/>
        </w:rPr>
        <w:t xml:space="preserve"> the overall likely net benefit presented by this option.</w:t>
      </w:r>
    </w:p>
    <w:p w14:paraId="7D3A79DF" w14:textId="77777777" w:rsidR="0084331B" w:rsidRPr="0084331B" w:rsidRDefault="0084331B" w:rsidP="0084331B">
      <w:pPr>
        <w:pStyle w:val="Heading3"/>
        <w:spacing w:before="120" w:line="240" w:lineRule="auto"/>
        <w:rPr>
          <w:rFonts w:ascii="Arial" w:hAnsi="Arial" w:cs="Arial"/>
          <w:sz w:val="20"/>
        </w:rPr>
      </w:pPr>
      <w:bookmarkStart w:id="86" w:name="_Toc176182557"/>
      <w:r w:rsidRPr="0084331B">
        <w:rPr>
          <w:rFonts w:ascii="Arial" w:hAnsi="Arial" w:cs="Arial"/>
          <w:sz w:val="20"/>
        </w:rPr>
        <w:t>4.4.1 Costs of Option 3 - Enhanced collaboration with industry</w:t>
      </w:r>
      <w:bookmarkEnd w:id="86"/>
    </w:p>
    <w:p w14:paraId="476261DD" w14:textId="77777777" w:rsidR="0084331B" w:rsidRPr="00BB485E" w:rsidRDefault="0084331B" w:rsidP="0084331B">
      <w:pPr>
        <w:pStyle w:val="BodyText"/>
        <w:spacing w:before="0"/>
        <w:rPr>
          <w:rFonts w:ascii="Arial" w:hAnsi="Arial" w:cs="Arial"/>
          <w:szCs w:val="20"/>
        </w:rPr>
      </w:pPr>
      <w:r w:rsidRPr="591A7590">
        <w:rPr>
          <w:rFonts w:ascii="Arial" w:hAnsi="Arial" w:cs="Arial"/>
          <w:szCs w:val="20"/>
        </w:rPr>
        <w:t xml:space="preserve">Responsible entities who choose to engage with the mechanisms available through TISN (including collaboration with Government and any guidance materials) will incur costs anywhere between option 1 (status quo) and option 2 (regulation), depending on the degree to which they decide to enhance their practices (as a result of engagement through TISN). However, given the expected </w:t>
      </w:r>
      <w:r>
        <w:rPr>
          <w:rFonts w:ascii="Arial" w:hAnsi="Arial" w:cs="Arial"/>
          <w:szCs w:val="20"/>
        </w:rPr>
        <w:t>economy-wide</w:t>
      </w:r>
      <w:r w:rsidRPr="591A7590">
        <w:rPr>
          <w:rFonts w:ascii="Arial" w:hAnsi="Arial" w:cs="Arial"/>
          <w:szCs w:val="20"/>
        </w:rPr>
        <w:t xml:space="preserve"> costs of compulsory implementation identified under Option 2 are likely low</w:t>
      </w:r>
      <w:r>
        <w:rPr>
          <w:rFonts w:ascii="Arial" w:hAnsi="Arial" w:cs="Arial"/>
          <w:szCs w:val="20"/>
        </w:rPr>
        <w:t xml:space="preserve"> in relation to existing RMP impacts</w:t>
      </w:r>
      <w:r w:rsidRPr="591A7590">
        <w:rPr>
          <w:rFonts w:ascii="Arial" w:hAnsi="Arial" w:cs="Arial"/>
          <w:szCs w:val="20"/>
        </w:rPr>
        <w:t>, costs incurred under Option 3 are also expected to be low.</w:t>
      </w:r>
    </w:p>
    <w:p w14:paraId="24512CE2" w14:textId="77777777" w:rsidR="0084331B" w:rsidRPr="00BB485E" w:rsidRDefault="0084331B" w:rsidP="0084331B">
      <w:pPr>
        <w:pStyle w:val="BodyText"/>
        <w:rPr>
          <w:rFonts w:ascii="Arial" w:hAnsi="Arial" w:cs="Arial"/>
          <w:szCs w:val="20"/>
        </w:rPr>
      </w:pPr>
      <w:r w:rsidRPr="591A7590">
        <w:rPr>
          <w:rFonts w:ascii="Arial" w:hAnsi="Arial" w:cs="Arial"/>
          <w:szCs w:val="20"/>
        </w:rPr>
        <w:t xml:space="preserve">For responsible entities who choose not to engage through TISN, the costs incurred will be the same as those costs associated with Option 1. This is because such entities would continue to operate under the status quo regulatory environment with an unchanged exposure to the risks identified in Section 1 of this IA. Given these risks are </w:t>
      </w:r>
      <w:r>
        <w:rPr>
          <w:rFonts w:ascii="Arial" w:hAnsi="Arial" w:cs="Arial"/>
          <w:szCs w:val="20"/>
        </w:rPr>
        <w:t>growing</w:t>
      </w:r>
      <w:r w:rsidRPr="591A7590">
        <w:rPr>
          <w:rFonts w:ascii="Arial" w:hAnsi="Arial" w:cs="Arial"/>
          <w:szCs w:val="20"/>
        </w:rPr>
        <w:t xml:space="preserve">, there are potential additional costs associated with the realisation of, for example, a cyber incident for a critical infrastructure asset. A future version of this IA will include indicative quantified costs arising from the realisation of such an incident. </w:t>
      </w:r>
    </w:p>
    <w:p w14:paraId="5933AC85" w14:textId="77777777" w:rsidR="0084331B" w:rsidRPr="00C9153B" w:rsidRDefault="0084331B" w:rsidP="0084331B">
      <w:pPr>
        <w:pStyle w:val="BodyText"/>
        <w:rPr>
          <w:rFonts w:ascii="Arial" w:hAnsi="Arial" w:cs="Arial"/>
          <w:szCs w:val="20"/>
        </w:rPr>
      </w:pPr>
      <w:r w:rsidRPr="591A7590">
        <w:rPr>
          <w:rFonts w:ascii="Arial" w:hAnsi="Arial" w:cs="Arial"/>
          <w:szCs w:val="20"/>
        </w:rPr>
        <w:t xml:space="preserve">Where the gaps identified in the SOCI Act are not addressed, industry and the Australian economy (including individuals, communities, and the environment) may incur additional costs, dependent on the severity and frequency of the disruption. As described previously in this IA, the current regulatory environment limits Government’s ability to support industry in the aftermath of an incident. This limited ability to ensure risks are appropriately managed, compounds the potential additional costs for those entities who continue with the status quo, and enlivens a reputational risk for Government where future incidents can be linked to gaps in the regulatory regime (as </w:t>
      </w:r>
      <w:r>
        <w:rPr>
          <w:rFonts w:ascii="Arial" w:hAnsi="Arial" w:cs="Arial"/>
          <w:szCs w:val="20"/>
        </w:rPr>
        <w:t>is the case in</w:t>
      </w:r>
      <w:r w:rsidRPr="591A7590">
        <w:rPr>
          <w:rFonts w:ascii="Arial" w:hAnsi="Arial" w:cs="Arial"/>
          <w:szCs w:val="20"/>
        </w:rPr>
        <w:t xml:space="preserve"> Option 1). </w:t>
      </w:r>
    </w:p>
    <w:p w14:paraId="2E6E6307" w14:textId="77777777" w:rsidR="0084331B" w:rsidRPr="00D62F5D" w:rsidRDefault="0084331B" w:rsidP="0084331B">
      <w:pPr>
        <w:pStyle w:val="Heading3"/>
        <w:spacing w:before="120" w:line="240" w:lineRule="auto"/>
        <w:rPr>
          <w:rFonts w:ascii="Arial" w:hAnsi="Arial" w:cs="Arial"/>
        </w:rPr>
      </w:pPr>
      <w:bookmarkStart w:id="87" w:name="_Toc176182558"/>
      <w:r w:rsidRPr="591A7590">
        <w:rPr>
          <w:rFonts w:ascii="Arial" w:hAnsi="Arial" w:cs="Arial"/>
        </w:rPr>
        <w:t>4.4.2 Benefits of Option 3</w:t>
      </w:r>
      <w:r>
        <w:rPr>
          <w:rFonts w:ascii="Arial" w:hAnsi="Arial" w:cs="Arial"/>
        </w:rPr>
        <w:t xml:space="preserve"> - </w:t>
      </w:r>
      <w:r w:rsidRPr="591A7590">
        <w:rPr>
          <w:rFonts w:ascii="Arial" w:hAnsi="Arial" w:cs="Arial"/>
        </w:rPr>
        <w:t>Enhanced collaboration with industry</w:t>
      </w:r>
      <w:bookmarkEnd w:id="87"/>
    </w:p>
    <w:p w14:paraId="5BD9CEEB" w14:textId="77777777" w:rsidR="0084331B" w:rsidRDefault="0084331B" w:rsidP="00436D55">
      <w:pPr>
        <w:pStyle w:val="BodyText"/>
        <w:rPr>
          <w:rFonts w:ascii="Arial" w:hAnsi="Arial" w:cs="Arial"/>
          <w:szCs w:val="20"/>
        </w:rPr>
      </w:pPr>
      <w:r w:rsidRPr="3A9E9E7F">
        <w:rPr>
          <w:rFonts w:ascii="Arial" w:hAnsi="Arial" w:cs="Arial"/>
          <w:szCs w:val="20"/>
        </w:rPr>
        <w:t xml:space="preserve">Under Option 3, industry will experience some of the benefits associated with Option 2 depending on the extent that industry participates in available engagement mechanisms. Option 3 leverages shared knowledge, reduces regulatory burden, and supports the implementation cybersecurity </w:t>
      </w:r>
      <w:r w:rsidRPr="3A9E9E7F" w:rsidDel="004A4B5D">
        <w:rPr>
          <w:rFonts w:ascii="Arial" w:hAnsi="Arial" w:cs="Arial"/>
          <w:szCs w:val="20"/>
        </w:rPr>
        <w:t>measures</w:t>
      </w:r>
      <w:r w:rsidRPr="3A9E9E7F">
        <w:rPr>
          <w:rFonts w:ascii="Arial" w:hAnsi="Arial" w:cs="Arial"/>
          <w:szCs w:val="20"/>
        </w:rPr>
        <w:t xml:space="preserve">. However, the realisation of benefits is inherently limited because Option 3 does not involve the introduction of all-hazards last resort or deficient RMP remediation directions power, which must be supported with legislation. These powers are crucial to supporting coordinated responses in the aftermath of an incident and contribute substantially to the benefits identified in Option 2. As such, only some elements of the existing gaps in the SOCI Act will be addressed under Option 3, including: </w:t>
      </w:r>
    </w:p>
    <w:p w14:paraId="4DE4033C" w14:textId="77777777" w:rsidR="0084331B" w:rsidRDefault="0084331B" w:rsidP="00510557">
      <w:pPr>
        <w:pStyle w:val="ListParagraph"/>
        <w:numPr>
          <w:ilvl w:val="0"/>
          <w:numId w:val="21"/>
        </w:numPr>
        <w:contextualSpacing/>
        <w:rPr>
          <w:rFonts w:ascii="Arial" w:hAnsi="Arial" w:cs="Arial"/>
          <w:szCs w:val="20"/>
        </w:rPr>
      </w:pPr>
      <w:r w:rsidRPr="591A7590">
        <w:rPr>
          <w:rFonts w:ascii="Arial" w:hAnsi="Arial" w:cs="Arial"/>
          <w:szCs w:val="20"/>
        </w:rPr>
        <w:t xml:space="preserve">Achievement of definitional clarification through enhanced collaboration between Government and industry, including the benefits of including business critical data in risk management activities; </w:t>
      </w:r>
    </w:p>
    <w:p w14:paraId="3F5CE3EC" w14:textId="77777777" w:rsidR="0084331B" w:rsidRDefault="0084331B" w:rsidP="00510557">
      <w:pPr>
        <w:pStyle w:val="ListParagraph"/>
        <w:numPr>
          <w:ilvl w:val="0"/>
          <w:numId w:val="21"/>
        </w:numPr>
        <w:contextualSpacing/>
        <w:rPr>
          <w:rFonts w:ascii="Arial" w:hAnsi="Arial" w:cs="Arial"/>
          <w:szCs w:val="20"/>
        </w:rPr>
      </w:pPr>
      <w:r w:rsidRPr="591A7590">
        <w:rPr>
          <w:rFonts w:ascii="Arial" w:hAnsi="Arial" w:cs="Arial"/>
          <w:szCs w:val="20"/>
        </w:rPr>
        <w:t xml:space="preserve">Knowledge of the mechanisms available under the current SOCI Act regime to support with post-incident responses, and information sharing on the most effective incident response tools; and </w:t>
      </w:r>
    </w:p>
    <w:p w14:paraId="69A0A761" w14:textId="77777777" w:rsidR="0084331B" w:rsidRDefault="0084331B" w:rsidP="00510557">
      <w:pPr>
        <w:pStyle w:val="ListParagraph"/>
        <w:numPr>
          <w:ilvl w:val="0"/>
          <w:numId w:val="21"/>
        </w:numPr>
        <w:contextualSpacing/>
        <w:rPr>
          <w:rFonts w:ascii="Arial" w:hAnsi="Arial" w:cs="Arial"/>
          <w:szCs w:val="20"/>
        </w:rPr>
      </w:pPr>
      <w:r w:rsidRPr="591A7590">
        <w:rPr>
          <w:rFonts w:ascii="Arial" w:hAnsi="Arial" w:cs="Arial"/>
          <w:szCs w:val="20"/>
        </w:rPr>
        <w:t xml:space="preserve">Ongoing discussions between Government and industry on compliance with RMP obligations, including instances where an RMP may be deemed as deficient. </w:t>
      </w:r>
    </w:p>
    <w:p w14:paraId="53421B7D" w14:textId="77777777" w:rsidR="0084331B" w:rsidRPr="0084331B" w:rsidRDefault="0084331B" w:rsidP="0084331B">
      <w:pPr>
        <w:rPr>
          <w:rFonts w:ascii="Arial" w:hAnsi="Arial" w:cs="Arial"/>
          <w:szCs w:val="20"/>
        </w:rPr>
      </w:pPr>
      <w:r w:rsidRPr="0084331B">
        <w:rPr>
          <w:rFonts w:ascii="Arial" w:hAnsi="Arial" w:cs="Arial"/>
          <w:szCs w:val="20"/>
        </w:rPr>
        <w:t>The voluntary approach may also offer industry some flexibility in choosing an approach to risk management which reflects the different</w:t>
      </w:r>
      <w:r w:rsidRPr="0084331B" w:rsidDel="004C795E">
        <w:rPr>
          <w:rFonts w:ascii="Arial" w:hAnsi="Arial" w:cs="Arial"/>
          <w:szCs w:val="20"/>
        </w:rPr>
        <w:t xml:space="preserve"> </w:t>
      </w:r>
      <w:r w:rsidRPr="0084331B">
        <w:rPr>
          <w:rFonts w:ascii="Arial" w:hAnsi="Arial" w:cs="Arial"/>
          <w:szCs w:val="20"/>
        </w:rPr>
        <w:t>risk appetites of respons</w:t>
      </w:r>
      <w:r w:rsidR="00085793">
        <w:rPr>
          <w:rFonts w:ascii="Arial" w:hAnsi="Arial" w:cs="Arial"/>
          <w:szCs w:val="20"/>
        </w:rPr>
        <w:t xml:space="preserve">ible entities’ and Government. </w:t>
      </w:r>
    </w:p>
    <w:p w14:paraId="2A256FCA" w14:textId="77777777" w:rsidR="0084331B" w:rsidRPr="0084331B" w:rsidRDefault="0084331B" w:rsidP="0084331B">
      <w:pPr>
        <w:pStyle w:val="Heading3"/>
        <w:spacing w:before="120" w:line="240" w:lineRule="auto"/>
        <w:rPr>
          <w:rFonts w:ascii="Arial" w:hAnsi="Arial" w:cs="Arial"/>
          <w:sz w:val="20"/>
        </w:rPr>
      </w:pPr>
      <w:bookmarkStart w:id="88" w:name="_Toc176182559"/>
      <w:r w:rsidRPr="0084331B">
        <w:rPr>
          <w:rFonts w:ascii="Arial" w:hAnsi="Arial" w:cs="Arial"/>
          <w:sz w:val="20"/>
        </w:rPr>
        <w:t>4.4.3 Likely net benefit of Option 3 - Enhanced collaboration with industry</w:t>
      </w:r>
      <w:bookmarkEnd w:id="88"/>
    </w:p>
    <w:p w14:paraId="7E4517A2" w14:textId="77777777" w:rsidR="0084331B" w:rsidRPr="00436D55" w:rsidRDefault="0084331B" w:rsidP="00436D55">
      <w:pPr>
        <w:spacing w:after="120" w:line="264" w:lineRule="auto"/>
        <w:rPr>
          <w:rFonts w:ascii="Arial" w:eastAsia="Times New Roman" w:hAnsi="Arial" w:cs="Arial"/>
          <w:szCs w:val="20"/>
          <w:lang w:eastAsia="en-AU"/>
        </w:rPr>
      </w:pPr>
      <w:r w:rsidRPr="00436D55">
        <w:rPr>
          <w:rFonts w:ascii="Arial" w:eastAsia="Times New Roman" w:hAnsi="Arial" w:cs="Arial"/>
          <w:szCs w:val="20"/>
          <w:lang w:eastAsia="en-AU"/>
        </w:rPr>
        <w:t xml:space="preserve">The costs and benefits set out above demonstrate that responsible entities who choose not to engage with the TISN will not contribute to improving the current issues which exist in the SOCI Act. However, even if there were full engagement across industry, the net benefit is inherently limited by the fact that not all required reforms can be addressed through the TISN (given the requirement that directions powers are legislated). </w:t>
      </w:r>
    </w:p>
    <w:p w14:paraId="6A4F3649" w14:textId="77777777" w:rsidR="0084331B" w:rsidRPr="00436D55" w:rsidRDefault="0084331B" w:rsidP="00436D55">
      <w:pPr>
        <w:spacing w:after="120" w:line="264" w:lineRule="auto"/>
        <w:rPr>
          <w:rFonts w:ascii="Arial" w:eastAsia="Times New Roman" w:hAnsi="Arial" w:cs="Arial"/>
          <w:szCs w:val="20"/>
          <w:lang w:eastAsia="en-AU"/>
        </w:rPr>
      </w:pPr>
      <w:r w:rsidRPr="00436D55">
        <w:rPr>
          <w:rFonts w:ascii="Arial" w:eastAsia="Times New Roman" w:hAnsi="Arial" w:cs="Arial"/>
          <w:szCs w:val="20"/>
          <w:lang w:eastAsia="en-AU"/>
        </w:rPr>
        <w:t>In considering the costs and benefits described above, the net benefit of Option 3 is likely higher than pursuing Option 1, but likely lower than the net benefit offered by Option 2. This is because the voluntary format of Option 3, and the limitations on its ability to address all problem areas means it cannot address the growing threats and consequences of all-hazard incidents. Government will continue to dedicate resources to the TISN under option 2 to ensure world-class collaboration between industry and Government. Therefore, Option 3 likely presents less economy-wide benefits than Option 2</w:t>
      </w:r>
      <w:r w:rsidR="00496362" w:rsidRPr="00436D55">
        <w:rPr>
          <w:rFonts w:ascii="Arial" w:eastAsia="Times New Roman" w:hAnsi="Arial" w:cs="Arial"/>
          <w:szCs w:val="20"/>
          <w:lang w:eastAsia="en-AU"/>
        </w:rPr>
        <w:t>.</w:t>
      </w:r>
    </w:p>
    <w:p w14:paraId="5AE1E6C4" w14:textId="70420064" w:rsidR="000B5219" w:rsidRDefault="000B5219" w:rsidP="00D200D3">
      <w:pPr>
        <w:pStyle w:val="BodyText"/>
      </w:pPr>
    </w:p>
    <w:p w14:paraId="275EE192" w14:textId="77777777" w:rsidR="000B5219" w:rsidRDefault="000B5219" w:rsidP="00D200D3">
      <w:pPr>
        <w:pStyle w:val="BodyText"/>
      </w:pPr>
    </w:p>
    <w:p w14:paraId="7E0054E2" w14:textId="77777777" w:rsidR="000B5219" w:rsidRDefault="000B5219" w:rsidP="00D200D3">
      <w:pPr>
        <w:pStyle w:val="BodyText"/>
      </w:pPr>
    </w:p>
    <w:p w14:paraId="00571604" w14:textId="77777777" w:rsidR="005D7760" w:rsidRDefault="005D7760">
      <w:pPr>
        <w:spacing w:before="80" w:after="80"/>
        <w:rPr>
          <w:rFonts w:ascii="Arial" w:eastAsia="Times New Roman" w:hAnsi="Arial" w:cs="Arial"/>
          <w:b/>
          <w:bCs/>
          <w:sz w:val="32"/>
          <w:szCs w:val="32"/>
          <w:lang w:eastAsia="en-AU"/>
        </w:rPr>
      </w:pPr>
      <w:bookmarkStart w:id="89" w:name="_Toc164683840"/>
      <w:r>
        <w:rPr>
          <w:rFonts w:ascii="Arial" w:hAnsi="Arial"/>
          <w:sz w:val="32"/>
          <w:szCs w:val="32"/>
        </w:rPr>
        <w:br w:type="page"/>
      </w:r>
    </w:p>
    <w:p w14:paraId="0A721CD5" w14:textId="47256316" w:rsidR="000B5219" w:rsidRPr="000B5219" w:rsidRDefault="000B5219" w:rsidP="00510557">
      <w:pPr>
        <w:pStyle w:val="Heading1"/>
        <w:widowControl/>
        <w:numPr>
          <w:ilvl w:val="0"/>
          <w:numId w:val="26"/>
        </w:numPr>
        <w:spacing w:before="240" w:after="0" w:line="259" w:lineRule="auto"/>
        <w:rPr>
          <w:rFonts w:ascii="Arial" w:hAnsi="Arial"/>
          <w:sz w:val="32"/>
          <w:szCs w:val="32"/>
        </w:rPr>
      </w:pPr>
      <w:bookmarkStart w:id="90" w:name="_Toc176183942"/>
      <w:r w:rsidRPr="000B5219">
        <w:rPr>
          <w:rFonts w:ascii="Arial" w:hAnsi="Arial"/>
          <w:sz w:val="32"/>
          <w:szCs w:val="32"/>
        </w:rPr>
        <w:t>Who did you consult and how did you incorporate their feedback?</w:t>
      </w:r>
      <w:bookmarkEnd w:id="89"/>
      <w:bookmarkEnd w:id="90"/>
    </w:p>
    <w:p w14:paraId="56C8D917" w14:textId="77777777" w:rsidR="000B5219" w:rsidRPr="00B061CF" w:rsidRDefault="000B5219" w:rsidP="000B5219">
      <w:pPr>
        <w:spacing w:before="240" w:after="120"/>
        <w:rPr>
          <w:rFonts w:ascii="Arial" w:hAnsi="Arial" w:cs="Arial"/>
          <w:szCs w:val="20"/>
        </w:rPr>
      </w:pPr>
      <w:r w:rsidRPr="2BFF7648">
        <w:rPr>
          <w:rFonts w:ascii="Arial" w:hAnsi="Arial" w:cs="Arial"/>
          <w:szCs w:val="20"/>
        </w:rPr>
        <w:t xml:space="preserve">This section provides an overview of the Department’s consultation process for addressing the gaps identified in the SOCI Act and analysed throughout this IA. It includes </w:t>
      </w:r>
      <w:r>
        <w:rPr>
          <w:rFonts w:ascii="Arial" w:hAnsi="Arial" w:cs="Arial"/>
          <w:szCs w:val="20"/>
        </w:rPr>
        <w:t xml:space="preserve">a summary of the approach, outcomes and key themes emerging from consultation, as well as an </w:t>
      </w:r>
      <w:r w:rsidRPr="2BFF7648">
        <w:rPr>
          <w:rFonts w:ascii="Arial" w:hAnsi="Arial" w:cs="Arial"/>
          <w:szCs w:val="20"/>
        </w:rPr>
        <w:t xml:space="preserve">explanation of the purpose and objectives of consultation. </w:t>
      </w:r>
    </w:p>
    <w:p w14:paraId="723D3A50" w14:textId="77777777" w:rsidR="000B5219" w:rsidRPr="00305A13" w:rsidRDefault="000B5219" w:rsidP="000B5219">
      <w:pPr>
        <w:pStyle w:val="Heading2"/>
        <w:spacing w:before="120"/>
        <w:rPr>
          <w:rFonts w:ascii="Arial" w:hAnsi="Arial"/>
        </w:rPr>
      </w:pPr>
      <w:bookmarkStart w:id="91" w:name="_Toc74913986"/>
      <w:bookmarkStart w:id="92" w:name="_Toc164683841"/>
      <w:bookmarkStart w:id="93" w:name="_Toc176183943"/>
      <w:r w:rsidRPr="2F6B7F1D">
        <w:rPr>
          <w:rFonts w:ascii="Arial" w:hAnsi="Arial"/>
        </w:rPr>
        <w:t>5.1 Purpose and objectives of consultation</w:t>
      </w:r>
      <w:bookmarkEnd w:id="91"/>
      <w:bookmarkEnd w:id="92"/>
      <w:bookmarkEnd w:id="93"/>
      <w:r w:rsidRPr="2F6B7F1D">
        <w:rPr>
          <w:rFonts w:ascii="Arial" w:hAnsi="Arial"/>
        </w:rPr>
        <w:t xml:space="preserve"> </w:t>
      </w:r>
    </w:p>
    <w:p w14:paraId="31F2F976" w14:textId="77777777" w:rsidR="000B5219" w:rsidRPr="00B061CF" w:rsidRDefault="000B5219" w:rsidP="000B5219">
      <w:pPr>
        <w:spacing w:after="120"/>
        <w:rPr>
          <w:rFonts w:ascii="Arial" w:hAnsi="Arial" w:cs="Arial"/>
          <w:szCs w:val="20"/>
        </w:rPr>
      </w:pPr>
      <w:r w:rsidRPr="3A9E9E7F">
        <w:rPr>
          <w:rFonts w:ascii="Arial" w:hAnsi="Arial" w:cs="Arial"/>
          <w:szCs w:val="20"/>
        </w:rPr>
        <w:t xml:space="preserve">Continuous and broad-based consultation is an essential component of the Department’s process for understanding industry and broader community views on critical infrastructure legislation and devising reforms. The Department’s commitment to consultation also reflects the view that each sector manages risk in a unique way and that industry stakeholders are best placed to manage risks to their assets. The Department acknowledges and seeks to avoid broadly applicable, prescriptive legislative reforms, which have the potential to disrupt industry’s ability to respond to risks in a nuanced manner. </w:t>
      </w:r>
    </w:p>
    <w:p w14:paraId="5158FB02" w14:textId="77777777" w:rsidR="000B5219" w:rsidRPr="00305A13" w:rsidRDefault="000B5219" w:rsidP="000B5219">
      <w:pPr>
        <w:pStyle w:val="Heading2"/>
        <w:spacing w:before="120"/>
        <w:rPr>
          <w:rFonts w:ascii="Arial" w:hAnsi="Arial"/>
        </w:rPr>
      </w:pPr>
      <w:bookmarkStart w:id="94" w:name="_5.2_Summary_of"/>
      <w:bookmarkStart w:id="95" w:name="_Toc164683842"/>
      <w:bookmarkStart w:id="96" w:name="_Toc176183944"/>
      <w:bookmarkEnd w:id="94"/>
      <w:r w:rsidRPr="2F6B7F1D">
        <w:rPr>
          <w:rFonts w:ascii="Arial" w:hAnsi="Arial"/>
        </w:rPr>
        <w:t>5.2 Summary of consultation completed</w:t>
      </w:r>
      <w:bookmarkEnd w:id="95"/>
      <w:bookmarkEnd w:id="96"/>
    </w:p>
    <w:p w14:paraId="5DA25F14" w14:textId="77777777" w:rsidR="000B5219" w:rsidRPr="00B061CF" w:rsidRDefault="000B5219" w:rsidP="008D7966">
      <w:pPr>
        <w:pStyle w:val="BodyText"/>
        <w:spacing w:before="0"/>
        <w:rPr>
          <w:rFonts w:ascii="Arial" w:hAnsi="Arial" w:cs="Arial"/>
        </w:rPr>
      </w:pPr>
      <w:r w:rsidRPr="20D29534">
        <w:rPr>
          <w:rFonts w:ascii="Arial" w:hAnsi="Arial" w:cs="Arial"/>
        </w:rPr>
        <w:t xml:space="preserve">The Department has completed </w:t>
      </w:r>
      <w:r w:rsidR="009015D8" w:rsidRPr="20D29534">
        <w:rPr>
          <w:rFonts w:ascii="Arial" w:hAnsi="Arial" w:cs="Arial"/>
        </w:rPr>
        <w:t xml:space="preserve">multiple </w:t>
      </w:r>
      <w:r w:rsidRPr="20D29534">
        <w:rPr>
          <w:rFonts w:ascii="Arial" w:hAnsi="Arial" w:cs="Arial"/>
        </w:rPr>
        <w:t>period</w:t>
      </w:r>
      <w:r w:rsidR="009015D8" w:rsidRPr="20D29534">
        <w:rPr>
          <w:rFonts w:ascii="Arial" w:hAnsi="Arial" w:cs="Arial"/>
        </w:rPr>
        <w:t>s</w:t>
      </w:r>
      <w:r w:rsidRPr="20D29534">
        <w:rPr>
          <w:rFonts w:ascii="Arial" w:hAnsi="Arial" w:cs="Arial"/>
        </w:rPr>
        <w:t xml:space="preserve"> of</w:t>
      </w:r>
      <w:r w:rsidRPr="20D29534" w:rsidDel="009015D8">
        <w:rPr>
          <w:rFonts w:ascii="Arial" w:hAnsi="Arial" w:cs="Arial"/>
        </w:rPr>
        <w:t xml:space="preserve"> </w:t>
      </w:r>
      <w:r w:rsidRPr="20D29534">
        <w:rPr>
          <w:rFonts w:ascii="Arial" w:hAnsi="Arial" w:cs="Arial"/>
        </w:rPr>
        <w:t>consultation with industry on the proposed reform measures considered in this IA.</w:t>
      </w:r>
      <w:r w:rsidR="00F56FBB" w:rsidRPr="20D29534">
        <w:rPr>
          <w:rFonts w:ascii="Arial" w:hAnsi="Arial" w:cs="Arial"/>
        </w:rPr>
        <w:t xml:space="preserve"> </w:t>
      </w:r>
      <w:r w:rsidRPr="20D29534">
        <w:rPr>
          <w:rFonts w:ascii="Arial" w:hAnsi="Arial" w:cs="Arial"/>
        </w:rPr>
        <w:t>This engagement has included:</w:t>
      </w:r>
    </w:p>
    <w:p w14:paraId="39267CED" w14:textId="77777777" w:rsidR="0031771E" w:rsidRDefault="000B5219" w:rsidP="20D29534">
      <w:pPr>
        <w:pStyle w:val="ListParagraph"/>
        <w:contextualSpacing/>
        <w:rPr>
          <w:rFonts w:ascii="Arial" w:hAnsi="Arial" w:cs="Arial"/>
        </w:rPr>
      </w:pPr>
      <w:r w:rsidRPr="20D29534">
        <w:rPr>
          <w:rFonts w:ascii="Arial" w:hAnsi="Arial" w:cs="Arial"/>
          <w:b/>
        </w:rPr>
        <w:t>Inviting industry to make a written submission in response to detailed questions contained in the Consultation Paper.</w:t>
      </w:r>
      <w:r w:rsidRPr="20D29534">
        <w:rPr>
          <w:rFonts w:ascii="Arial" w:hAnsi="Arial" w:cs="Arial"/>
        </w:rPr>
        <w:t xml:space="preserve"> The Paper describes each proposed measure, its rationale and indicates how the measure may operate in practice. The questions posed to industry in the paper include direct questions on how the proposed measures may impact on their business including activities which may need to be undertaken to comply with the proposed measures. To assist industry in this, a series of general town hall meetings as well as roundtables and bilateral discussions were also organised.</w:t>
      </w:r>
      <w:r w:rsidR="0031771E" w:rsidRPr="20D29534">
        <w:rPr>
          <w:rFonts w:ascii="Arial" w:hAnsi="Arial" w:cs="Arial"/>
        </w:rPr>
        <w:t xml:space="preserve"> </w:t>
      </w:r>
      <w:r w:rsidR="009015D8" w:rsidRPr="20D29534">
        <w:rPr>
          <w:rFonts w:ascii="Arial" w:hAnsi="Arial" w:cs="Arial"/>
        </w:rPr>
        <w:t>This was supported through:</w:t>
      </w:r>
    </w:p>
    <w:p w14:paraId="149350D7" w14:textId="77777777" w:rsidR="009015D8" w:rsidRPr="008C180A" w:rsidRDefault="009015D8" w:rsidP="00876E9E">
      <w:pPr>
        <w:pStyle w:val="ListBullet"/>
        <w:ind w:left="709" w:hanging="425"/>
      </w:pPr>
      <w:r w:rsidRPr="008C180A">
        <w:t>Public town halls, advertised through the Department</w:t>
      </w:r>
      <w:r w:rsidR="004C3163">
        <w:t>’</w:t>
      </w:r>
      <w:r w:rsidRPr="008C180A">
        <w:t xml:space="preserve">s social media channels and website </w:t>
      </w:r>
    </w:p>
    <w:p w14:paraId="7290F92E" w14:textId="77777777" w:rsidR="002470BD" w:rsidRPr="008C180A" w:rsidRDefault="009015D8" w:rsidP="00876E9E">
      <w:pPr>
        <w:pStyle w:val="ListBullet"/>
        <w:ind w:left="709" w:hanging="425"/>
      </w:pPr>
      <w:r w:rsidRPr="008C180A">
        <w:t>Roundtables with targeted industry groups</w:t>
      </w:r>
    </w:p>
    <w:p w14:paraId="3EB458F1" w14:textId="77777777" w:rsidR="002470BD" w:rsidRPr="008C180A" w:rsidRDefault="002470BD" w:rsidP="00876E9E">
      <w:pPr>
        <w:pStyle w:val="ListBullet"/>
        <w:ind w:left="709" w:hanging="425"/>
      </w:pPr>
      <w:r w:rsidRPr="008C180A">
        <w:t>Presentations through the TISN sector groups</w:t>
      </w:r>
    </w:p>
    <w:p w14:paraId="27C4D983" w14:textId="77777777" w:rsidR="002470BD" w:rsidRPr="008C180A" w:rsidRDefault="002470BD" w:rsidP="00876E9E">
      <w:pPr>
        <w:pStyle w:val="ListBullet"/>
        <w:ind w:left="709" w:hanging="425"/>
      </w:pPr>
      <w:r w:rsidRPr="008C180A">
        <w:t xml:space="preserve">Direct engagement with critical infrastructure entities </w:t>
      </w:r>
    </w:p>
    <w:p w14:paraId="45D946C3" w14:textId="77777777" w:rsidR="009015D8" w:rsidRPr="009015D8" w:rsidRDefault="002470BD" w:rsidP="00B27710">
      <w:pPr>
        <w:pStyle w:val="ListBullet"/>
        <w:ind w:left="709" w:hanging="425"/>
        <w:rPr>
          <w:rFonts w:ascii="Arial" w:hAnsi="Arial" w:cs="Arial"/>
        </w:rPr>
      </w:pPr>
      <w:r w:rsidRPr="20D29534">
        <w:rPr>
          <w:rFonts w:ascii="Arial" w:hAnsi="Arial" w:cs="Arial"/>
        </w:rPr>
        <w:t xml:space="preserve">Engagement with Federal, State and Territory Governments </w:t>
      </w:r>
    </w:p>
    <w:p w14:paraId="3B7C8E51" w14:textId="653F36DF" w:rsidR="000B5219" w:rsidRDefault="000B5219" w:rsidP="20D29534">
      <w:pPr>
        <w:pStyle w:val="ListParagraph"/>
        <w:contextualSpacing/>
        <w:rPr>
          <w:rFonts w:ascii="Arial" w:hAnsi="Arial" w:cs="Arial"/>
        </w:rPr>
      </w:pPr>
      <w:bookmarkStart w:id="97" w:name="_Toc158215366"/>
      <w:r w:rsidRPr="20D29534">
        <w:rPr>
          <w:rFonts w:ascii="Arial" w:hAnsi="Arial" w:cs="Arial"/>
          <w:b/>
        </w:rPr>
        <w:t>Consultation with industry through the draft IA</w:t>
      </w:r>
      <w:r w:rsidR="007D03F3">
        <w:rPr>
          <w:rFonts w:ascii="Arial" w:hAnsi="Arial" w:cs="Arial"/>
          <w:b/>
        </w:rPr>
        <w:t xml:space="preserve"> </w:t>
      </w:r>
      <w:r w:rsidR="007D03F3">
        <w:rPr>
          <w:rFonts w:ascii="Arial" w:hAnsi="Arial" w:cs="Arial"/>
          <w:bCs/>
        </w:rPr>
        <w:t>(which was at Early Assessment stage, though consultation preceded formal assessment by the OIA)</w:t>
      </w:r>
      <w:r w:rsidRPr="20D29534">
        <w:rPr>
          <w:rFonts w:ascii="Arial" w:hAnsi="Arial" w:cs="Arial"/>
        </w:rPr>
        <w:t xml:space="preserve">, to support identification and evaluation of potential regulatory impacts. </w:t>
      </w:r>
      <w:bookmarkEnd w:id="97"/>
      <w:r w:rsidRPr="20D29534">
        <w:rPr>
          <w:rFonts w:ascii="Arial" w:hAnsi="Arial" w:cs="Arial"/>
        </w:rPr>
        <w:t xml:space="preserve">This included a town hall specifically focused on the </w:t>
      </w:r>
      <w:r w:rsidRPr="007D03F3">
        <w:rPr>
          <w:rFonts w:ascii="Arial" w:hAnsi="Arial" w:cs="Arial"/>
        </w:rPr>
        <w:t xml:space="preserve">draft </w:t>
      </w:r>
      <w:r w:rsidRPr="00436D55">
        <w:rPr>
          <w:rFonts w:ascii="Arial" w:hAnsi="Arial" w:cs="Arial"/>
        </w:rPr>
        <w:t>IA</w:t>
      </w:r>
      <w:r w:rsidRPr="20D29534">
        <w:rPr>
          <w:rFonts w:ascii="Arial" w:hAnsi="Arial" w:cs="Arial"/>
        </w:rPr>
        <w:t xml:space="preserve"> to ensure industry’s understanding of its content and the process for responding. </w:t>
      </w:r>
    </w:p>
    <w:p w14:paraId="346C8D59" w14:textId="77777777" w:rsidR="002470BD" w:rsidRPr="008C180A" w:rsidRDefault="002470BD" w:rsidP="00876E9E">
      <w:pPr>
        <w:pStyle w:val="ListBullet"/>
        <w:ind w:left="709" w:hanging="425"/>
      </w:pPr>
      <w:r w:rsidRPr="008C180A">
        <w:t xml:space="preserve">Direct engagement with Critical Infrastructure entities </w:t>
      </w:r>
    </w:p>
    <w:p w14:paraId="43775398" w14:textId="77777777" w:rsidR="002470BD" w:rsidRPr="008C180A" w:rsidRDefault="002470BD" w:rsidP="00876E9E">
      <w:pPr>
        <w:pStyle w:val="ListBullet"/>
        <w:ind w:left="709" w:hanging="425"/>
      </w:pPr>
      <w:r w:rsidRPr="008C180A">
        <w:t>Town hall with existing critical infrastructure entities</w:t>
      </w:r>
    </w:p>
    <w:p w14:paraId="53CEB3E7" w14:textId="77777777" w:rsidR="002470BD" w:rsidRPr="008C180A" w:rsidRDefault="002470BD" w:rsidP="00876E9E">
      <w:pPr>
        <w:pStyle w:val="ListBullet"/>
        <w:ind w:left="709" w:hanging="425"/>
      </w:pPr>
      <w:r w:rsidRPr="008C180A">
        <w:t>Engagement with Federal, State and Territory Governments</w:t>
      </w:r>
    </w:p>
    <w:p w14:paraId="3BD87BE9" w14:textId="77777777" w:rsidR="000B5219" w:rsidRPr="00305A13" w:rsidRDefault="000B5219" w:rsidP="000B5219">
      <w:pPr>
        <w:pStyle w:val="Heading3"/>
        <w:rPr>
          <w:rFonts w:ascii="Arial" w:hAnsi="Arial" w:cs="Arial"/>
          <w:sz w:val="26"/>
          <w:szCs w:val="26"/>
        </w:rPr>
      </w:pPr>
      <w:bookmarkStart w:id="98" w:name="_Toc176182563"/>
      <w:r w:rsidRPr="591A7590">
        <w:rPr>
          <w:rFonts w:ascii="Arial" w:hAnsi="Arial" w:cs="Arial"/>
          <w:sz w:val="26"/>
          <w:szCs w:val="26"/>
        </w:rPr>
        <w:t xml:space="preserve">5.2.1 </w:t>
      </w:r>
      <w:r>
        <w:rPr>
          <w:rFonts w:ascii="Arial" w:hAnsi="Arial" w:cs="Arial"/>
          <w:sz w:val="26"/>
          <w:szCs w:val="26"/>
        </w:rPr>
        <w:t>Feedback received through consultation on the Consultation Paper</w:t>
      </w:r>
      <w:bookmarkEnd w:id="98"/>
    </w:p>
    <w:p w14:paraId="7B166F0F" w14:textId="77777777" w:rsidR="000B5219" w:rsidRDefault="000B5219" w:rsidP="00436D55">
      <w:pPr>
        <w:spacing w:after="120" w:line="264" w:lineRule="auto"/>
        <w:rPr>
          <w:rFonts w:ascii="Arial" w:hAnsi="Arial" w:cs="Arial"/>
          <w:szCs w:val="20"/>
        </w:rPr>
      </w:pPr>
      <w:r w:rsidRPr="591A7590">
        <w:rPr>
          <w:rFonts w:ascii="Arial" w:hAnsi="Arial" w:cs="Arial"/>
          <w:szCs w:val="20"/>
        </w:rPr>
        <w:t>The Consultation Paper was released on 1</w:t>
      </w:r>
      <w:r>
        <w:rPr>
          <w:rFonts w:ascii="Arial" w:hAnsi="Arial" w:cs="Arial"/>
          <w:szCs w:val="20"/>
        </w:rPr>
        <w:t>9</w:t>
      </w:r>
      <w:r w:rsidRPr="591A7590">
        <w:rPr>
          <w:rFonts w:ascii="Arial" w:hAnsi="Arial" w:cs="Arial"/>
          <w:szCs w:val="20"/>
        </w:rPr>
        <w:t xml:space="preserve"> December 2023, with written submissions due b</w:t>
      </w:r>
      <w:r>
        <w:rPr>
          <w:rFonts w:ascii="Arial" w:hAnsi="Arial" w:cs="Arial"/>
          <w:szCs w:val="20"/>
        </w:rPr>
        <w:t>y</w:t>
      </w:r>
      <w:r w:rsidRPr="591A7590">
        <w:rPr>
          <w:rFonts w:ascii="Arial" w:hAnsi="Arial" w:cs="Arial"/>
          <w:szCs w:val="20"/>
        </w:rPr>
        <w:t xml:space="preserve"> 1 March 2024. A full list of the consultation questions contained in the Paper is set out in Appendix </w:t>
      </w:r>
      <w:r>
        <w:rPr>
          <w:rFonts w:ascii="Arial" w:hAnsi="Arial" w:cs="Arial"/>
          <w:szCs w:val="20"/>
        </w:rPr>
        <w:t>B</w:t>
      </w:r>
      <w:r w:rsidRPr="591A7590">
        <w:rPr>
          <w:rFonts w:ascii="Arial" w:hAnsi="Arial" w:cs="Arial"/>
          <w:szCs w:val="20"/>
        </w:rPr>
        <w:t xml:space="preserve">. The Department </w:t>
      </w:r>
      <w:r>
        <w:rPr>
          <w:rFonts w:ascii="Arial" w:hAnsi="Arial" w:cs="Arial"/>
          <w:szCs w:val="20"/>
        </w:rPr>
        <w:t xml:space="preserve">welcomed </w:t>
      </w:r>
      <w:r w:rsidRPr="591A7590">
        <w:rPr>
          <w:rFonts w:ascii="Arial" w:hAnsi="Arial" w:cs="Arial"/>
          <w:szCs w:val="20"/>
        </w:rPr>
        <w:t xml:space="preserve">submissions from all stakeholders including critical infrastructure entities, government, academia, and members of the public. </w:t>
      </w:r>
    </w:p>
    <w:p w14:paraId="26AF955A" w14:textId="77777777" w:rsidR="000B5219" w:rsidRDefault="000B5219" w:rsidP="00436D55">
      <w:pPr>
        <w:spacing w:after="120" w:line="264" w:lineRule="auto"/>
        <w:rPr>
          <w:rFonts w:ascii="Arial" w:hAnsi="Arial" w:cs="Arial"/>
          <w:szCs w:val="20"/>
        </w:rPr>
      </w:pPr>
      <w:r w:rsidRPr="1217DA25">
        <w:rPr>
          <w:rFonts w:ascii="Arial" w:hAnsi="Arial" w:cs="Arial"/>
          <w:szCs w:val="20"/>
        </w:rPr>
        <w:t xml:space="preserve">Industry views provided during this consultation period against each measure are outlined in the tables below. These tables also identify the Department’s proposed response or actions arising as a result of industry feedback. </w:t>
      </w:r>
    </w:p>
    <w:p w14:paraId="39015DC2" w14:textId="77777777" w:rsidR="000B5219" w:rsidRDefault="000B5219" w:rsidP="00436D55">
      <w:pPr>
        <w:spacing w:after="120" w:line="264" w:lineRule="auto"/>
        <w:rPr>
          <w:rFonts w:ascii="Arial" w:hAnsi="Arial" w:cs="Arial"/>
          <w:szCs w:val="20"/>
        </w:rPr>
      </w:pPr>
      <w:r>
        <w:rPr>
          <w:rFonts w:ascii="Arial" w:hAnsi="Arial" w:cs="Arial"/>
          <w:szCs w:val="20"/>
        </w:rPr>
        <w:t>To support industry’s understanding of the Consultation Paper and to assist in drafting written submissions, t</w:t>
      </w:r>
      <w:r w:rsidRPr="591A7590">
        <w:rPr>
          <w:rFonts w:ascii="Arial" w:hAnsi="Arial" w:cs="Arial"/>
          <w:szCs w:val="20"/>
        </w:rPr>
        <w:t xml:space="preserve">he Department </w:t>
      </w:r>
      <w:r>
        <w:rPr>
          <w:rFonts w:ascii="Arial" w:hAnsi="Arial" w:cs="Arial"/>
          <w:szCs w:val="20"/>
        </w:rPr>
        <w:t xml:space="preserve">hosted </w:t>
      </w:r>
      <w:r w:rsidRPr="591A7590">
        <w:rPr>
          <w:rFonts w:ascii="Arial" w:hAnsi="Arial" w:cs="Arial"/>
          <w:szCs w:val="20"/>
        </w:rPr>
        <w:t>a series of general town hall meetings, sector-specific meetings, and bilateral discussions during the consultation period (1 March 2024). The Department also engag</w:t>
      </w:r>
      <w:r>
        <w:rPr>
          <w:rFonts w:ascii="Arial" w:hAnsi="Arial" w:cs="Arial"/>
          <w:szCs w:val="20"/>
        </w:rPr>
        <w:t>ed</w:t>
      </w:r>
      <w:r w:rsidRPr="591A7590">
        <w:rPr>
          <w:rFonts w:ascii="Arial" w:hAnsi="Arial" w:cs="Arial"/>
          <w:szCs w:val="20"/>
        </w:rPr>
        <w:t xml:space="preserve"> directly with stakeholders through existing engagement mechanisms, including the TISN.</w:t>
      </w:r>
    </w:p>
    <w:p w14:paraId="0476C0EF" w14:textId="44CE262A" w:rsidR="000B5219" w:rsidRDefault="000B5219" w:rsidP="00436D55">
      <w:pPr>
        <w:spacing w:after="120" w:line="264" w:lineRule="auto"/>
        <w:rPr>
          <w:rFonts w:ascii="Arial" w:hAnsi="Arial" w:cs="Arial"/>
        </w:rPr>
      </w:pPr>
      <w:r w:rsidRPr="6CC739DA">
        <w:rPr>
          <w:rFonts w:ascii="Arial" w:hAnsi="Arial" w:cs="Arial"/>
        </w:rPr>
        <w:t xml:space="preserve">Face-to-face consultation also included a town hall specifically focused on the draft IA, to ensure industry’s understanding of the content and the process for responding. This session allowed an opportunity for questions and answers related to </w:t>
      </w:r>
      <w:r w:rsidR="00FE2E85" w:rsidRPr="6CC739DA">
        <w:rPr>
          <w:rFonts w:ascii="Arial" w:hAnsi="Arial" w:cs="Arial"/>
        </w:rPr>
        <w:t>a</w:t>
      </w:r>
      <w:r w:rsidRPr="6CC739DA">
        <w:rPr>
          <w:rFonts w:ascii="Arial" w:hAnsi="Arial" w:cs="Arial"/>
        </w:rPr>
        <w:t xml:space="preserve"> draft IA</w:t>
      </w:r>
      <w:r w:rsidR="00FC27C4" w:rsidRPr="6CC739DA">
        <w:rPr>
          <w:rFonts w:ascii="Arial" w:hAnsi="Arial" w:cs="Arial"/>
        </w:rPr>
        <w:t xml:space="preserve"> (which informed the development of the Early Assessment IA</w:t>
      </w:r>
      <w:r w:rsidR="00B02007" w:rsidRPr="6CC739DA">
        <w:rPr>
          <w:rFonts w:ascii="Arial" w:hAnsi="Arial" w:cs="Arial"/>
        </w:rPr>
        <w:t xml:space="preserve"> that</w:t>
      </w:r>
      <w:r w:rsidR="00FC27C4" w:rsidRPr="6CC739DA">
        <w:rPr>
          <w:rFonts w:ascii="Arial" w:hAnsi="Arial" w:cs="Arial"/>
        </w:rPr>
        <w:t xml:space="preserve"> was formally assessed by the OIA)</w:t>
      </w:r>
      <w:r w:rsidRPr="6CC739DA">
        <w:rPr>
          <w:rFonts w:ascii="Arial" w:hAnsi="Arial" w:cs="Arial"/>
        </w:rPr>
        <w:t>.</w:t>
      </w:r>
    </w:p>
    <w:p w14:paraId="5AD4420D" w14:textId="77777777" w:rsidR="000B5219" w:rsidRPr="00305A13" w:rsidRDefault="000B5219" w:rsidP="00510557">
      <w:pPr>
        <w:pStyle w:val="Heading3"/>
        <w:numPr>
          <w:ilvl w:val="2"/>
          <w:numId w:val="35"/>
        </w:numPr>
        <w:spacing w:before="40" w:after="0" w:line="259" w:lineRule="auto"/>
        <w:rPr>
          <w:rFonts w:ascii="Arial" w:hAnsi="Arial" w:cs="Arial"/>
          <w:sz w:val="26"/>
          <w:szCs w:val="26"/>
        </w:rPr>
      </w:pPr>
      <w:bookmarkStart w:id="99" w:name="_Toc176182564"/>
      <w:r w:rsidRPr="1217DA25">
        <w:rPr>
          <w:rFonts w:ascii="Arial" w:hAnsi="Arial" w:cs="Arial"/>
          <w:sz w:val="26"/>
          <w:szCs w:val="26"/>
        </w:rPr>
        <w:t>Evaluating impacts</w:t>
      </w:r>
      <w:bookmarkEnd w:id="99"/>
      <w:r w:rsidRPr="1217DA25">
        <w:rPr>
          <w:rFonts w:ascii="Arial" w:hAnsi="Arial" w:cs="Arial"/>
          <w:sz w:val="26"/>
          <w:szCs w:val="26"/>
        </w:rPr>
        <w:t xml:space="preserve"> </w:t>
      </w:r>
    </w:p>
    <w:p w14:paraId="1BF6D387" w14:textId="77777777" w:rsidR="000B5219" w:rsidRDefault="000B5219" w:rsidP="000B5219">
      <w:pPr>
        <w:spacing w:after="120"/>
        <w:rPr>
          <w:rFonts w:ascii="Arial" w:hAnsi="Arial" w:cs="Arial"/>
          <w:szCs w:val="20"/>
        </w:rPr>
      </w:pPr>
      <w:r w:rsidRPr="1217DA25">
        <w:rPr>
          <w:rFonts w:ascii="Arial" w:hAnsi="Arial" w:cs="Arial"/>
          <w:szCs w:val="20"/>
        </w:rPr>
        <w:t xml:space="preserve">For the proposals to achieve their goals, the Department is committed to ensuring that the benefits outweigh any regulatory impact. This requires understanding the full extent of regulatory impacts through a comprehensive IA assessment. </w:t>
      </w:r>
    </w:p>
    <w:p w14:paraId="671D9D9C" w14:textId="77777777" w:rsidR="000B5219" w:rsidRDefault="000B5219" w:rsidP="000B5219">
      <w:pPr>
        <w:spacing w:after="120"/>
        <w:rPr>
          <w:rFonts w:ascii="Arial" w:hAnsi="Arial" w:cs="Arial"/>
          <w:szCs w:val="20"/>
        </w:rPr>
      </w:pPr>
      <w:r w:rsidRPr="2F6B7F1D">
        <w:rPr>
          <w:rFonts w:ascii="Arial" w:hAnsi="Arial" w:cs="Arial"/>
          <w:szCs w:val="20"/>
        </w:rPr>
        <w:t xml:space="preserve">To supplement feedback already received from the Consultation Paper, the Department engaged in a targeted four-week consultation period to obtain views from industry on the financial impacts of the measures considered in this document. A draft version of this IA (including the consultation questions contained in Appendix C) formed the basis of discussions between the Department and industry on potential impacts. </w:t>
      </w:r>
    </w:p>
    <w:p w14:paraId="76345305" w14:textId="77777777" w:rsidR="000B5219" w:rsidRDefault="000B5219" w:rsidP="000B5219">
      <w:pPr>
        <w:spacing w:after="120"/>
        <w:rPr>
          <w:rFonts w:ascii="Arial" w:hAnsi="Arial" w:cs="Arial"/>
          <w:szCs w:val="20"/>
        </w:rPr>
      </w:pPr>
      <w:r>
        <w:rPr>
          <w:rFonts w:ascii="Arial" w:hAnsi="Arial" w:cs="Arial"/>
          <w:szCs w:val="20"/>
        </w:rPr>
        <w:t>Over 100</w:t>
      </w:r>
      <w:r w:rsidRPr="3A9E9E7F">
        <w:rPr>
          <w:rFonts w:ascii="Arial" w:hAnsi="Arial" w:cs="Arial"/>
          <w:szCs w:val="20"/>
        </w:rPr>
        <w:t xml:space="preserve"> unique submissions were received on SOCI reforms as part of consultation on the Cyber Security Strategy Consultation Paper. </w:t>
      </w:r>
      <w:r>
        <w:rPr>
          <w:rFonts w:ascii="Arial" w:hAnsi="Arial" w:cs="Arial"/>
          <w:szCs w:val="20"/>
        </w:rPr>
        <w:t>The Department</w:t>
      </w:r>
      <w:r w:rsidRPr="3A9E9E7F">
        <w:rPr>
          <w:rFonts w:ascii="Arial" w:hAnsi="Arial" w:cs="Arial"/>
          <w:szCs w:val="20"/>
        </w:rPr>
        <w:t xml:space="preserve"> received submissions from all SOCI sectors with the exception of </w:t>
      </w:r>
      <w:r>
        <w:rPr>
          <w:rFonts w:ascii="Arial" w:hAnsi="Arial" w:cs="Arial"/>
          <w:szCs w:val="20"/>
        </w:rPr>
        <w:t>the s</w:t>
      </w:r>
      <w:r w:rsidRPr="3A9E9E7F">
        <w:rPr>
          <w:rFonts w:ascii="Arial" w:hAnsi="Arial" w:cs="Arial"/>
          <w:szCs w:val="20"/>
        </w:rPr>
        <w:t xml:space="preserve">pace </w:t>
      </w:r>
      <w:r>
        <w:rPr>
          <w:rFonts w:ascii="Arial" w:hAnsi="Arial" w:cs="Arial"/>
          <w:szCs w:val="20"/>
        </w:rPr>
        <w:t>s</w:t>
      </w:r>
      <w:r w:rsidRPr="3A9E9E7F">
        <w:rPr>
          <w:rFonts w:ascii="Arial" w:hAnsi="Arial" w:cs="Arial"/>
          <w:szCs w:val="20"/>
        </w:rPr>
        <w:t xml:space="preserve">ector. Industry views provided in response to the draft IA have been considered throughout this document, particularly in relation to the cost benefit analysis contained in Question 4. </w:t>
      </w:r>
    </w:p>
    <w:p w14:paraId="5061CF7E" w14:textId="77777777" w:rsidR="000B5219" w:rsidRDefault="000B5219" w:rsidP="000B5219">
      <w:pPr>
        <w:spacing w:after="120"/>
        <w:rPr>
          <w:rFonts w:ascii="Arial" w:hAnsi="Arial" w:cs="Arial"/>
          <w:szCs w:val="20"/>
        </w:rPr>
      </w:pPr>
      <w:r w:rsidRPr="3A9E9E7F">
        <w:rPr>
          <w:rFonts w:ascii="Arial" w:hAnsi="Arial" w:cs="Arial"/>
          <w:szCs w:val="20"/>
        </w:rPr>
        <w:t xml:space="preserve">In many cases, feedback provided by industry on the draft IA was similar to the feedback received on the Consultation Paper. </w:t>
      </w:r>
      <w:r>
        <w:rPr>
          <w:rFonts w:ascii="Arial" w:hAnsi="Arial" w:cs="Arial"/>
          <w:szCs w:val="20"/>
        </w:rPr>
        <w:t>T</w:t>
      </w:r>
      <w:r w:rsidRPr="3A9E9E7F">
        <w:rPr>
          <w:rFonts w:ascii="Arial" w:hAnsi="Arial" w:cs="Arial"/>
          <w:szCs w:val="20"/>
        </w:rPr>
        <w:t xml:space="preserve">he table below summarises any additional views from industry which did not arise in relation to the Consultation Paper. A full summary of industry feedback on the draft IA is contained in Appendix C. </w:t>
      </w:r>
    </w:p>
    <w:p w14:paraId="5361E52C" w14:textId="3659189C" w:rsidR="000B5219" w:rsidRPr="00AE732E" w:rsidRDefault="00237E08" w:rsidP="000B5219">
      <w:pPr>
        <w:textAlignment w:val="baseline"/>
        <w:rPr>
          <w:rFonts w:ascii="Calibri" w:eastAsia="Times New Roman" w:hAnsi="Calibri" w:cs="Calibri"/>
          <w:bCs/>
          <w:i/>
          <w:iCs/>
          <w:sz w:val="18"/>
          <w:szCs w:val="18"/>
          <w:lang w:eastAsia="en-AU"/>
        </w:rPr>
      </w:pPr>
      <w:r w:rsidRPr="00085793">
        <w:rPr>
          <w:rFonts w:ascii="Calibri" w:eastAsia="Times New Roman" w:hAnsi="Calibri" w:cs="Calibri"/>
          <w:b/>
          <w:bCs/>
          <w:i/>
          <w:iCs/>
          <w:sz w:val="18"/>
          <w:szCs w:val="18"/>
          <w:lang w:eastAsia="en-AU"/>
        </w:rPr>
        <w:t xml:space="preserve">Table </w:t>
      </w:r>
      <w:r w:rsidRPr="00085793">
        <w:rPr>
          <w:rFonts w:ascii="Calibri" w:eastAsia="Times New Roman" w:hAnsi="Calibri" w:cs="Calibri"/>
          <w:b/>
          <w:bCs/>
          <w:i/>
          <w:iCs/>
          <w:color w:val="2B579A"/>
          <w:sz w:val="18"/>
          <w:szCs w:val="18"/>
          <w:shd w:val="clear" w:color="auto" w:fill="E6E6E6"/>
          <w:lang w:eastAsia="en-AU"/>
        </w:rPr>
        <w:fldChar w:fldCharType="begin"/>
      </w:r>
      <w:r w:rsidRPr="00085793">
        <w:rPr>
          <w:rFonts w:ascii="Calibri" w:eastAsia="Times New Roman" w:hAnsi="Calibri" w:cs="Calibri"/>
          <w:b/>
          <w:bCs/>
          <w:i/>
          <w:iCs/>
          <w:sz w:val="18"/>
          <w:szCs w:val="18"/>
          <w:lang w:eastAsia="en-AU"/>
        </w:rPr>
        <w:instrText xml:space="preserve"> SEQ Table \* ARABIC </w:instrText>
      </w:r>
      <w:r w:rsidRPr="00085793">
        <w:rPr>
          <w:rFonts w:ascii="Calibri" w:eastAsia="Times New Roman" w:hAnsi="Calibri" w:cs="Calibri"/>
          <w:b/>
          <w:bCs/>
          <w:i/>
          <w:iCs/>
          <w:color w:val="2B579A"/>
          <w:sz w:val="18"/>
          <w:szCs w:val="18"/>
          <w:shd w:val="clear" w:color="auto" w:fill="E6E6E6"/>
          <w:lang w:eastAsia="en-AU"/>
        </w:rPr>
        <w:fldChar w:fldCharType="separate"/>
      </w:r>
      <w:r w:rsidR="00E8506B">
        <w:rPr>
          <w:rFonts w:ascii="Calibri" w:eastAsia="Times New Roman" w:hAnsi="Calibri" w:cs="Calibri"/>
          <w:b/>
          <w:bCs/>
          <w:i/>
          <w:iCs/>
          <w:noProof/>
          <w:sz w:val="18"/>
          <w:szCs w:val="18"/>
          <w:lang w:eastAsia="en-AU"/>
        </w:rPr>
        <w:t>32</w:t>
      </w:r>
      <w:r w:rsidRPr="00085793">
        <w:rPr>
          <w:rFonts w:ascii="Calibri" w:eastAsia="Times New Roman" w:hAnsi="Calibri" w:cs="Calibri"/>
          <w:b/>
          <w:bCs/>
          <w:i/>
          <w:iCs/>
          <w:color w:val="2B579A"/>
          <w:sz w:val="18"/>
          <w:szCs w:val="18"/>
          <w:shd w:val="clear" w:color="auto" w:fill="E6E6E6"/>
          <w:lang w:eastAsia="en-AU"/>
        </w:rPr>
        <w:fldChar w:fldCharType="end"/>
      </w:r>
      <w:r w:rsidRPr="00085793">
        <w:rPr>
          <w:rFonts w:ascii="Calibri" w:eastAsia="Times New Roman" w:hAnsi="Calibri" w:cs="Calibri"/>
          <w:b/>
          <w:bCs/>
          <w:i/>
          <w:iCs/>
          <w:sz w:val="18"/>
          <w:szCs w:val="18"/>
          <w:lang w:eastAsia="en-AU"/>
        </w:rPr>
        <w:t xml:space="preserve"> </w:t>
      </w:r>
      <w:r w:rsidR="000B5219" w:rsidRPr="00AE732E">
        <w:rPr>
          <w:rFonts w:ascii="Calibri" w:eastAsia="Times New Roman" w:hAnsi="Calibri" w:cs="Calibri"/>
          <w:bCs/>
          <w:i/>
          <w:iCs/>
          <w:sz w:val="18"/>
          <w:szCs w:val="18"/>
          <w:lang w:eastAsia="en-AU"/>
        </w:rPr>
        <w:t>Industry sentiment and responses to the Consultation Paper</w:t>
      </w:r>
    </w:p>
    <w:tbl>
      <w:tblPr>
        <w:tblStyle w:val="DHATable"/>
        <w:tblW w:w="0" w:type="auto"/>
        <w:tblBorders>
          <w:top w:val="none" w:sz="0" w:space="0" w:color="auto"/>
          <w:bottom w:val="none" w:sz="0" w:space="0" w:color="auto"/>
          <w:insideH w:val="single" w:sz="4" w:space="0" w:color="CBCBCB" w:themeColor="accent5"/>
          <w:insideV w:val="single" w:sz="4" w:space="0" w:color="CBCBCB" w:themeColor="accent5"/>
        </w:tblBorders>
        <w:tblLook w:val="04A0" w:firstRow="1" w:lastRow="0" w:firstColumn="1" w:lastColumn="0" w:noHBand="0" w:noVBand="1"/>
      </w:tblPr>
      <w:tblGrid>
        <w:gridCol w:w="2032"/>
        <w:gridCol w:w="2930"/>
        <w:gridCol w:w="4064"/>
      </w:tblGrid>
      <w:tr w:rsidR="000B5219" w:rsidRPr="00EF2277" w14:paraId="31422754" w14:textId="77777777" w:rsidTr="00A54E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DA19F00" w14:textId="77777777" w:rsidR="000B5219" w:rsidRPr="00436D55" w:rsidRDefault="000B5219" w:rsidP="00EE11E0">
            <w:pPr>
              <w:rPr>
                <w:rFonts w:ascii="Arial" w:hAnsi="Arial" w:cs="Arial"/>
                <w:lang w:eastAsia="en-AU"/>
              </w:rPr>
            </w:pPr>
            <w:r w:rsidRPr="005229CA">
              <w:rPr>
                <w:rFonts w:ascii="Arial" w:hAnsi="Arial" w:cs="Arial"/>
                <w:lang w:eastAsia="en-AU"/>
              </w:rPr>
              <w:t>Proposal</w:t>
            </w:r>
          </w:p>
        </w:tc>
        <w:tc>
          <w:tcPr>
            <w:tcW w:w="2930" w:type="dxa"/>
            <w:vAlign w:val="center"/>
            <w:hideMark/>
          </w:tcPr>
          <w:p w14:paraId="6C5DB0EB" w14:textId="77777777" w:rsidR="000B5219" w:rsidRPr="00436D55" w:rsidRDefault="000B5219" w:rsidP="00EE11E0">
            <w:pPr>
              <w:cnfStyle w:val="100000000000" w:firstRow="1" w:lastRow="0" w:firstColumn="0" w:lastColumn="0" w:oddVBand="0" w:evenVBand="0" w:oddHBand="0" w:evenHBand="0" w:firstRowFirstColumn="0" w:firstRowLastColumn="0" w:lastRowFirstColumn="0" w:lastRowLastColumn="0"/>
              <w:rPr>
                <w:rFonts w:ascii="Arial" w:hAnsi="Arial" w:cs="Arial"/>
                <w:lang w:eastAsia="en-AU"/>
              </w:rPr>
            </w:pPr>
            <w:r w:rsidRPr="005229CA">
              <w:rPr>
                <w:rFonts w:ascii="Arial" w:hAnsi="Arial" w:cs="Arial"/>
                <w:lang w:eastAsia="en-AU"/>
              </w:rPr>
              <w:t>Summary of industry views</w:t>
            </w:r>
          </w:p>
        </w:tc>
        <w:tc>
          <w:tcPr>
            <w:tcW w:w="4064" w:type="dxa"/>
            <w:vAlign w:val="center"/>
            <w:hideMark/>
          </w:tcPr>
          <w:p w14:paraId="61591331" w14:textId="77777777" w:rsidR="000B5219" w:rsidRPr="00436D55" w:rsidRDefault="000B5219" w:rsidP="00EE11E0">
            <w:pPr>
              <w:cnfStyle w:val="100000000000" w:firstRow="1" w:lastRow="0" w:firstColumn="0" w:lastColumn="0" w:oddVBand="0" w:evenVBand="0" w:oddHBand="0" w:evenHBand="0" w:firstRowFirstColumn="0" w:firstRowLastColumn="0" w:lastRowFirstColumn="0" w:lastRowLastColumn="0"/>
              <w:rPr>
                <w:rFonts w:ascii="Arial" w:hAnsi="Arial" w:cs="Arial"/>
                <w:lang w:eastAsia="en-AU"/>
              </w:rPr>
            </w:pPr>
            <w:r w:rsidRPr="005229CA">
              <w:rPr>
                <w:rFonts w:ascii="Arial" w:hAnsi="Arial" w:cs="Arial"/>
                <w:lang w:eastAsia="en-AU"/>
              </w:rPr>
              <w:t>Department recommendation</w:t>
            </w:r>
          </w:p>
        </w:tc>
      </w:tr>
      <w:tr w:rsidR="00402A54" w:rsidRPr="00EF2277" w14:paraId="73125164" w14:textId="77777777" w:rsidTr="00A54E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1EB83E7" w14:textId="77777777" w:rsidR="000B5219" w:rsidRPr="00EF2277" w:rsidRDefault="000B5219" w:rsidP="00254AE0">
            <w:pPr>
              <w:rPr>
                <w:rFonts w:ascii="Arial" w:hAnsi="Arial" w:cs="Arial"/>
                <w:lang w:eastAsia="en-AU"/>
              </w:rPr>
            </w:pPr>
            <w:r w:rsidRPr="005229CA">
              <w:rPr>
                <w:rFonts w:ascii="Arial" w:hAnsi="Arial" w:cs="Arial"/>
                <w:lang w:eastAsia="en-AU"/>
              </w:rPr>
              <w:t>Measure 1:</w:t>
            </w:r>
            <w:r w:rsidRPr="00EF2277">
              <w:rPr>
                <w:rFonts w:ascii="Arial" w:hAnsi="Arial" w:cs="Arial"/>
                <w:lang w:eastAsia="en-AU"/>
              </w:rPr>
              <w:t xml:space="preserve"> </w:t>
            </w:r>
            <w:r w:rsidRPr="00147374">
              <w:rPr>
                <w:rFonts w:ascii="Arial" w:hAnsi="Arial" w:cs="Arial"/>
                <w:lang w:eastAsia="en-AU"/>
              </w:rPr>
              <w:t>Protecting Critical Infrastructure – Data systems and business critical data</w:t>
            </w:r>
          </w:p>
        </w:tc>
        <w:tc>
          <w:tcPr>
            <w:tcW w:w="2930" w:type="dxa"/>
            <w:vAlign w:val="center"/>
            <w:hideMark/>
          </w:tcPr>
          <w:p w14:paraId="53300C35" w14:textId="77777777" w:rsidR="000B5219" w:rsidRPr="00EF2277" w:rsidRDefault="000B5219" w:rsidP="00254AE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n-AU"/>
              </w:rPr>
            </w:pPr>
            <w:r w:rsidRPr="00EF2277">
              <w:rPr>
                <w:rFonts w:ascii="Arial" w:eastAsia="Times New Roman" w:hAnsi="Arial" w:cs="Arial"/>
                <w:b/>
                <w:bCs/>
                <w:lang w:eastAsia="en-AU"/>
              </w:rPr>
              <w:t>Supportive</w:t>
            </w:r>
          </w:p>
          <w:p w14:paraId="75513E8B" w14:textId="77777777" w:rsidR="000B5219" w:rsidRPr="003B0CB9" w:rsidRDefault="000B5219" w:rsidP="00254AE0">
            <w:pPr>
              <w:pStyle w:val="ListParagraph"/>
              <w:numPr>
                <w:ilvl w:val="0"/>
                <w:numId w:val="38"/>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 xml:space="preserve">The intention of the proposed </w:t>
            </w:r>
            <w:r w:rsidRPr="00302A0C">
              <w:rPr>
                <w:rFonts w:ascii="Arial" w:hAnsi="Arial" w:cs="Arial"/>
                <w:szCs w:val="20"/>
              </w:rPr>
              <w:t>reform is positive</w:t>
            </w:r>
            <w:r w:rsidRPr="003B0CB9">
              <w:rPr>
                <w:rFonts w:ascii="Arial" w:hAnsi="Arial" w:cs="Arial"/>
                <w:szCs w:val="20"/>
              </w:rPr>
              <w:t xml:space="preserve">, and necessary to guide entities implementation and administration of controls, to meet the updated </w:t>
            </w:r>
            <w:r w:rsidRPr="003B0CB9" w:rsidDel="00B4091B">
              <w:rPr>
                <w:rFonts w:ascii="Arial" w:hAnsi="Arial" w:cs="Arial"/>
                <w:szCs w:val="20"/>
              </w:rPr>
              <w:t>requirements</w:t>
            </w:r>
            <w:r w:rsidRPr="00EF2277">
              <w:rPr>
                <w:rFonts w:ascii="Arial" w:hAnsi="Arial" w:cs="Arial"/>
                <w:szCs w:val="20"/>
              </w:rPr>
              <w:t>.</w:t>
            </w:r>
            <w:r w:rsidRPr="003B0CB9">
              <w:rPr>
                <w:rFonts w:ascii="Arial" w:hAnsi="Arial" w:cs="Arial"/>
                <w:szCs w:val="20"/>
              </w:rPr>
              <w:t xml:space="preserve"> </w:t>
            </w:r>
          </w:p>
          <w:p w14:paraId="48D94CE9" w14:textId="77777777" w:rsidR="000B5219" w:rsidRPr="003B0CB9" w:rsidRDefault="000B5219" w:rsidP="00254AE0">
            <w:pPr>
              <w:pStyle w:val="ListParagraph"/>
              <w:numPr>
                <w:ilvl w:val="0"/>
                <w:numId w:val="40"/>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02A0C">
              <w:rPr>
                <w:rFonts w:ascii="Arial" w:hAnsi="Arial" w:cs="Arial"/>
                <w:szCs w:val="20"/>
              </w:rPr>
              <w:t>Limited financial impact for Authorised Deposit taking Institutions (ADI’s)</w:t>
            </w:r>
            <w:r w:rsidRPr="003B0CB9">
              <w:rPr>
                <w:rFonts w:ascii="Arial" w:hAnsi="Arial" w:cs="Arial"/>
                <w:szCs w:val="20"/>
              </w:rPr>
              <w:t xml:space="preserve"> due to already assessing operational and non-operational systems and ‘threats’ to these </w:t>
            </w:r>
            <w:r w:rsidRPr="003B0CB9" w:rsidDel="00B4091B">
              <w:rPr>
                <w:rFonts w:ascii="Arial" w:hAnsi="Arial" w:cs="Arial"/>
                <w:szCs w:val="20"/>
              </w:rPr>
              <w:t>systems</w:t>
            </w:r>
            <w:r w:rsidRPr="00EF2277">
              <w:rPr>
                <w:rFonts w:ascii="Arial" w:hAnsi="Arial" w:cs="Arial"/>
                <w:szCs w:val="20"/>
              </w:rPr>
              <w:t>.</w:t>
            </w:r>
          </w:p>
          <w:p w14:paraId="53686E92" w14:textId="77777777" w:rsidR="000B5219" w:rsidRPr="00EF2277" w:rsidRDefault="000B5219" w:rsidP="00254AE0">
            <w:pPr>
              <w:pStyle w:val="ListParagraph"/>
              <w:numPr>
                <w:ilvl w:val="0"/>
                <w:numId w:val="39"/>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 xml:space="preserve">The proposed measure will address </w:t>
            </w:r>
            <w:r w:rsidRPr="00302A0C">
              <w:rPr>
                <w:rFonts w:ascii="Arial" w:hAnsi="Arial" w:cs="Arial"/>
                <w:szCs w:val="20"/>
              </w:rPr>
              <w:t>risk and reduce regulatory burden</w:t>
            </w:r>
            <w:r w:rsidRPr="003B0CB9">
              <w:rPr>
                <w:rFonts w:ascii="Arial" w:hAnsi="Arial" w:cs="Arial"/>
                <w:szCs w:val="20"/>
              </w:rPr>
              <w:t xml:space="preserve">, through the consolidation of the obligations into a single set of rules and regulations that organisations can follow. This will ensure that regulatory burden </w:t>
            </w:r>
            <w:r w:rsidRPr="00302A0C">
              <w:rPr>
                <w:rFonts w:ascii="Arial" w:hAnsi="Arial" w:cs="Arial"/>
                <w:szCs w:val="20"/>
              </w:rPr>
              <w:t>does not become a</w:t>
            </w:r>
            <w:r w:rsidRPr="003B0CB9">
              <w:rPr>
                <w:rFonts w:ascii="Arial" w:hAnsi="Arial" w:cs="Arial"/>
                <w:szCs w:val="20"/>
              </w:rPr>
              <w:t xml:space="preserve"> </w:t>
            </w:r>
            <w:r w:rsidRPr="00302A0C">
              <w:rPr>
                <w:rFonts w:ascii="Arial" w:hAnsi="Arial" w:cs="Arial"/>
                <w:szCs w:val="20"/>
              </w:rPr>
              <w:t>key driver of costs</w:t>
            </w:r>
            <w:r w:rsidRPr="00EF2277">
              <w:rPr>
                <w:rFonts w:ascii="Arial" w:hAnsi="Arial" w:cs="Arial"/>
                <w:szCs w:val="20"/>
              </w:rPr>
              <w:t xml:space="preserve"> and complexity.</w:t>
            </w:r>
          </w:p>
          <w:p w14:paraId="6866AE67" w14:textId="77777777" w:rsidR="000B5219" w:rsidRPr="00EF2277" w:rsidRDefault="000B5219" w:rsidP="00254AE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p>
        </w:tc>
        <w:tc>
          <w:tcPr>
            <w:tcW w:w="4064" w:type="dxa"/>
            <w:vAlign w:val="center"/>
            <w:hideMark/>
          </w:tcPr>
          <w:p w14:paraId="463D9DAE" w14:textId="77777777" w:rsidR="000B5219" w:rsidRPr="00C55073" w:rsidRDefault="000B5219" w:rsidP="00254AE0">
            <w:pPr>
              <w:pStyle w:val="ListParagraph"/>
              <w:numPr>
                <w:ilvl w:val="0"/>
                <w:numId w:val="42"/>
              </w:numPr>
              <w:spacing w:before="0" w:after="0"/>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Cs w:val="20"/>
              </w:rPr>
            </w:pPr>
            <w:r w:rsidRPr="00C55073">
              <w:rPr>
                <w:rFonts w:ascii="Arial" w:eastAsia="Arial" w:hAnsi="Arial" w:cs="Arial"/>
                <w:szCs w:val="20"/>
              </w:rPr>
              <w:t>The Department notes that the intent of the amendment is to clarify the existing obligation for critical infrastructure entities to protect their assets holistically, which may include non-operational data storage assets. Expressly placing the obligation in the SOCI Act and subordinate legislation will ensure entities are proactively managing risks to the types of assets targeted in recent incidents. Recent cyber incidents to critical infrastructure have demonstrated the potential cost of uncertainty around the obligation to secure these types of assets. </w:t>
            </w:r>
          </w:p>
          <w:p w14:paraId="44D6E424" w14:textId="43B5F4DF" w:rsidR="000B5219" w:rsidRPr="00C55073" w:rsidRDefault="2F7D611D" w:rsidP="098AE7E4">
            <w:pPr>
              <w:pStyle w:val="ListParagraph"/>
              <w:numPr>
                <w:ilvl w:val="0"/>
                <w:numId w:val="42"/>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98AE7E4">
              <w:rPr>
                <w:rFonts w:ascii="Arial" w:hAnsi="Arial" w:cs="Arial"/>
              </w:rPr>
              <w:t>The Department worked closely</w:t>
            </w:r>
            <w:r w:rsidR="000B5219" w:rsidRPr="098AE7E4">
              <w:rPr>
                <w:rFonts w:ascii="Arial" w:hAnsi="Arial" w:cs="Arial"/>
              </w:rPr>
              <w:t xml:space="preserve"> with the Attorney-General’s Department</w:t>
            </w:r>
            <w:r w:rsidR="3134E68A" w:rsidRPr="098AE7E4">
              <w:rPr>
                <w:rFonts w:ascii="Arial" w:hAnsi="Arial" w:cs="Arial"/>
              </w:rPr>
              <w:t xml:space="preserve">, in response to industry </w:t>
            </w:r>
            <w:r w:rsidR="007D242E" w:rsidRPr="098AE7E4">
              <w:rPr>
                <w:rFonts w:ascii="Arial" w:hAnsi="Arial" w:cs="Arial"/>
              </w:rPr>
              <w:t>feedback, to</w:t>
            </w:r>
            <w:r w:rsidR="000B5219" w:rsidRPr="098AE7E4">
              <w:rPr>
                <w:rFonts w:ascii="Arial" w:hAnsi="Arial" w:cs="Arial"/>
              </w:rPr>
              <w:t xml:space="preserve"> ensure amendments to the SOCI Act are complementary to existing and proposed obligations under the Privacy Act. </w:t>
            </w:r>
          </w:p>
          <w:p w14:paraId="77397A36" w14:textId="77777777" w:rsidR="000B5219" w:rsidRPr="00EF2277" w:rsidRDefault="000B5219" w:rsidP="00254AE0">
            <w:pPr>
              <w:cnfStyle w:val="000000100000" w:firstRow="0" w:lastRow="0" w:firstColumn="0" w:lastColumn="0" w:oddVBand="0" w:evenVBand="0" w:oddHBand="1" w:evenHBand="0" w:firstRowFirstColumn="0" w:firstRowLastColumn="0" w:lastRowFirstColumn="0" w:lastRowLastColumn="0"/>
              <w:rPr>
                <w:rFonts w:ascii="Arial" w:hAnsi="Arial" w:cs="Arial"/>
                <w:lang w:eastAsia="en-AU"/>
              </w:rPr>
            </w:pPr>
          </w:p>
        </w:tc>
      </w:tr>
      <w:tr w:rsidR="006038AE" w:rsidRPr="00EF2277" w14:paraId="23589C3B" w14:textId="77777777" w:rsidTr="003B580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0C97020" w14:textId="53C879BE" w:rsidR="006038AE" w:rsidRPr="00EF2277" w:rsidRDefault="006038AE" w:rsidP="006038AE">
            <w:pPr>
              <w:rPr>
                <w:rFonts w:ascii="Arial" w:hAnsi="Arial" w:cs="Arial"/>
                <w:b w:val="0"/>
                <w:bCs/>
                <w:lang w:eastAsia="en-AU"/>
              </w:rPr>
            </w:pPr>
            <w:r w:rsidRPr="005229CA">
              <w:rPr>
                <w:rFonts w:ascii="Arial" w:hAnsi="Arial" w:cs="Arial"/>
                <w:lang w:eastAsia="en-AU"/>
              </w:rPr>
              <w:t>Measure 1:</w:t>
            </w:r>
            <w:r w:rsidRPr="00EF2277">
              <w:rPr>
                <w:rFonts w:ascii="Arial" w:hAnsi="Arial" w:cs="Arial"/>
                <w:lang w:eastAsia="en-AU"/>
              </w:rPr>
              <w:t xml:space="preserve"> </w:t>
            </w:r>
            <w:r w:rsidRPr="00147374">
              <w:rPr>
                <w:rFonts w:ascii="Arial" w:hAnsi="Arial" w:cs="Arial"/>
                <w:lang w:eastAsia="en-AU"/>
              </w:rPr>
              <w:t>Protecting Critical Infrastructure – Data systems and business critical data</w:t>
            </w:r>
          </w:p>
        </w:tc>
        <w:tc>
          <w:tcPr>
            <w:tcW w:w="2930" w:type="dxa"/>
            <w:vAlign w:val="center"/>
          </w:tcPr>
          <w:p w14:paraId="6ADF4CC5" w14:textId="77777777" w:rsidR="006038AE" w:rsidRPr="00421916" w:rsidRDefault="006038AE" w:rsidP="006038AE">
            <w:pP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lang w:eastAsia="en-AU"/>
              </w:rPr>
            </w:pPr>
            <w:r w:rsidRPr="00421916">
              <w:rPr>
                <w:rFonts w:ascii="Arial" w:eastAsia="Times New Roman" w:hAnsi="Arial" w:cs="Arial"/>
                <w:b/>
                <w:bCs/>
                <w:lang w:eastAsia="en-AU"/>
              </w:rPr>
              <w:t>Neutral</w:t>
            </w:r>
          </w:p>
          <w:p w14:paraId="139116E8" w14:textId="77777777" w:rsidR="006038AE" w:rsidRPr="003B0CB9" w:rsidRDefault="006038AE" w:rsidP="006038AE">
            <w:pPr>
              <w:pStyle w:val="ListParagraph"/>
              <w:numPr>
                <w:ilvl w:val="0"/>
                <w:numId w:val="41"/>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B0CB9">
              <w:rPr>
                <w:rFonts w:ascii="Arial" w:eastAsia="Arial" w:hAnsi="Arial" w:cs="Arial"/>
                <w:szCs w:val="20"/>
              </w:rPr>
              <w:t>Those entities that were neutral to the proposals recommended:</w:t>
            </w:r>
          </w:p>
          <w:p w14:paraId="40288724" w14:textId="77777777" w:rsidR="006038AE" w:rsidRPr="003B0CB9" w:rsidRDefault="006038AE" w:rsidP="006038AE">
            <w:pPr>
              <w:pStyle w:val="ListParagraph"/>
              <w:numPr>
                <w:ilvl w:val="0"/>
                <w:numId w:val="41"/>
              </w:numPr>
              <w:spacing w:before="0" w:after="0" w:line="240" w:lineRule="auto"/>
              <w:ind w:left="680"/>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02A0C">
              <w:rPr>
                <w:rFonts w:ascii="Arial" w:eastAsia="Arial" w:hAnsi="Arial" w:cs="Arial"/>
                <w:szCs w:val="20"/>
              </w:rPr>
              <w:t>Limiting the scope</w:t>
            </w:r>
            <w:r w:rsidRPr="003B0CB9">
              <w:rPr>
                <w:rFonts w:ascii="Arial" w:eastAsia="Arial" w:hAnsi="Arial" w:cs="Arial"/>
                <w:szCs w:val="20"/>
              </w:rPr>
              <w:t xml:space="preserve"> of business critical data to prevent unnecessary costs arising from too broad a definition.</w:t>
            </w:r>
          </w:p>
          <w:p w14:paraId="6DD54724" w14:textId="77777777" w:rsidR="006038AE" w:rsidRPr="003B0CB9" w:rsidRDefault="006038AE" w:rsidP="006038AE">
            <w:pPr>
              <w:pStyle w:val="ListParagraph"/>
              <w:numPr>
                <w:ilvl w:val="0"/>
                <w:numId w:val="41"/>
              </w:numPr>
              <w:spacing w:before="0" w:after="0" w:line="240" w:lineRule="auto"/>
              <w:ind w:left="680"/>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That the Department provide </w:t>
            </w:r>
            <w:r w:rsidRPr="00302A0C">
              <w:rPr>
                <w:rFonts w:ascii="Arial" w:eastAsia="Arial" w:hAnsi="Arial" w:cs="Arial"/>
                <w:szCs w:val="20"/>
              </w:rPr>
              <w:t>clear guidance material</w:t>
            </w:r>
            <w:r w:rsidRPr="003B0CB9">
              <w:rPr>
                <w:rFonts w:ascii="Arial" w:eastAsia="Arial" w:hAnsi="Arial" w:cs="Arial"/>
                <w:szCs w:val="20"/>
              </w:rPr>
              <w:t xml:space="preserve"> is provided to industry.</w:t>
            </w:r>
          </w:p>
          <w:p w14:paraId="2A1732D4" w14:textId="77777777" w:rsidR="006038AE" w:rsidRPr="003B0CB9" w:rsidRDefault="006038AE" w:rsidP="006038AE">
            <w:pPr>
              <w:pStyle w:val="ListParagraph"/>
              <w:numPr>
                <w:ilvl w:val="0"/>
                <w:numId w:val="41"/>
              </w:numPr>
              <w:spacing w:before="0" w:after="0"/>
              <w:ind w:left="680"/>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Importance of </w:t>
            </w:r>
            <w:r w:rsidRPr="00302A0C">
              <w:rPr>
                <w:rFonts w:ascii="Arial" w:eastAsia="Arial" w:hAnsi="Arial" w:cs="Arial"/>
                <w:szCs w:val="20"/>
              </w:rPr>
              <w:t>aligning with the Privacy Act</w:t>
            </w:r>
            <w:r w:rsidRPr="003B0CB9">
              <w:rPr>
                <w:rFonts w:ascii="Arial" w:eastAsia="Arial" w:hAnsi="Arial" w:cs="Arial"/>
                <w:szCs w:val="20"/>
              </w:rPr>
              <w:t xml:space="preserve"> Review was </w:t>
            </w:r>
            <w:r w:rsidRPr="002C2ED5">
              <w:rPr>
                <w:rFonts w:ascii="Arial" w:eastAsia="Arial" w:hAnsi="Arial" w:cs="Arial"/>
                <w:szCs w:val="20"/>
              </w:rPr>
              <w:t>highlighted.</w:t>
            </w:r>
          </w:p>
          <w:p w14:paraId="5705C781" w14:textId="77777777" w:rsidR="006038AE" w:rsidRPr="005C72AA" w:rsidRDefault="006038AE" w:rsidP="006038AE">
            <w:pPr>
              <w:pStyle w:val="ListParagraph"/>
              <w:numPr>
                <w:ilvl w:val="0"/>
                <w:numId w:val="41"/>
              </w:numPr>
              <w:spacing w:before="0" w:after="0"/>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Where cost was discussed, submissions </w:t>
            </w:r>
            <w:r w:rsidRPr="00302A0C">
              <w:rPr>
                <w:rFonts w:ascii="Arial" w:eastAsia="Arial" w:hAnsi="Arial" w:cs="Arial"/>
                <w:szCs w:val="20"/>
              </w:rPr>
              <w:t xml:space="preserve">varied on anticipated costs </w:t>
            </w:r>
            <w:r w:rsidRPr="003B0CB9">
              <w:rPr>
                <w:rFonts w:ascii="Arial" w:eastAsia="Arial" w:hAnsi="Arial" w:cs="Arial"/>
                <w:szCs w:val="20"/>
              </w:rPr>
              <w:t>to comply with clarification.</w:t>
            </w:r>
          </w:p>
          <w:p w14:paraId="13C38D90" w14:textId="77777777" w:rsidR="006038AE" w:rsidRPr="00EF2277" w:rsidRDefault="006038AE" w:rsidP="006038AE">
            <w:pPr>
              <w:pStyle w:val="ListParagraph"/>
              <w:ind w:left="680"/>
              <w:cnfStyle w:val="000000010000" w:firstRow="0" w:lastRow="0" w:firstColumn="0" w:lastColumn="0" w:oddVBand="0" w:evenVBand="0" w:oddHBand="0" w:evenHBand="1" w:firstRowFirstColumn="0" w:firstRowLastColumn="0" w:lastRowFirstColumn="0" w:lastRowLastColumn="0"/>
              <w:rPr>
                <w:rFonts w:ascii="Arial" w:hAnsi="Arial" w:cs="Arial"/>
                <w:szCs w:val="20"/>
              </w:rPr>
            </w:pPr>
          </w:p>
        </w:tc>
        <w:tc>
          <w:tcPr>
            <w:tcW w:w="4064" w:type="dxa"/>
            <w:shd w:val="clear" w:color="auto" w:fill="FFFFFF" w:themeFill="background1"/>
            <w:vAlign w:val="center"/>
          </w:tcPr>
          <w:p w14:paraId="565B753B" w14:textId="77777777" w:rsidR="006038AE" w:rsidRPr="00C55073" w:rsidRDefault="006038AE" w:rsidP="006038AE">
            <w:pPr>
              <w:pStyle w:val="ListParagraph"/>
              <w:numPr>
                <w:ilvl w:val="0"/>
                <w:numId w:val="42"/>
              </w:numPr>
              <w:spacing w:before="0" w:after="0"/>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C55073">
              <w:rPr>
                <w:rFonts w:ascii="Arial" w:eastAsia="Arial" w:hAnsi="Arial" w:cs="Arial"/>
                <w:szCs w:val="20"/>
              </w:rPr>
              <w:t>The Department notes that the intent of the amendment is to clarify the existing obligation for critical infrastructure entities to protect their assets holistically, which may include non-operational data storage assets. Expressly placing the obligation in the SOCI Act and subordinate legislation will ensure entities are proactively managing risks to the types of assets targeted in recent incidents. Recent cyber incidents to critical infrastructure have demonstrated the potential cost of uncertainty around the obligation to secure these types of assets. </w:t>
            </w:r>
          </w:p>
          <w:p w14:paraId="0DAD380C" w14:textId="77777777" w:rsidR="006038AE" w:rsidRPr="00C55073" w:rsidRDefault="006038AE" w:rsidP="006038AE">
            <w:pPr>
              <w:pStyle w:val="ListParagraph"/>
              <w:numPr>
                <w:ilvl w:val="0"/>
                <w:numId w:val="42"/>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98AE7E4">
              <w:rPr>
                <w:rFonts w:ascii="Arial" w:hAnsi="Arial" w:cs="Arial"/>
              </w:rPr>
              <w:t>The Department worked closely with the Attorney-General’s Department, in response to industry feedback, to ensure amendments to the SOCI Act are complementary to existing and proposed obligations under the Privacy Act. </w:t>
            </w:r>
          </w:p>
          <w:p w14:paraId="501A7DCA" w14:textId="77777777" w:rsidR="006038AE" w:rsidRPr="00EF2277" w:rsidRDefault="006038AE" w:rsidP="006038AE">
            <w:pPr>
              <w:cnfStyle w:val="000000010000" w:firstRow="0" w:lastRow="0" w:firstColumn="0" w:lastColumn="0" w:oddVBand="0" w:evenVBand="0" w:oddHBand="0" w:evenHBand="1" w:firstRowFirstColumn="0" w:firstRowLastColumn="0" w:lastRowFirstColumn="0" w:lastRowLastColumn="0"/>
              <w:rPr>
                <w:rFonts w:ascii="Arial" w:hAnsi="Arial" w:cs="Arial"/>
                <w:lang w:eastAsia="en-AU"/>
              </w:rPr>
            </w:pPr>
          </w:p>
        </w:tc>
      </w:tr>
      <w:tr w:rsidR="006038AE" w:rsidRPr="00EF2277" w14:paraId="767A1EEE" w14:textId="77777777" w:rsidTr="00A54EA3">
        <w:trPr>
          <w:cnfStyle w:val="000000100000" w:firstRow="0" w:lastRow="0" w:firstColumn="0" w:lastColumn="0" w:oddVBand="0" w:evenVBand="0" w:oddHBand="1" w:evenHBand="0" w:firstRowFirstColumn="0" w:firstRowLastColumn="0" w:lastRowFirstColumn="0" w:lastRowLastColumn="0"/>
          <w:trHeight w:val="5402"/>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6E41DA" w14:textId="77777777" w:rsidR="006038AE" w:rsidRPr="00436D55" w:rsidRDefault="006038AE" w:rsidP="006038AE">
            <w:pPr>
              <w:rPr>
                <w:rFonts w:ascii="Arial" w:eastAsia="Times New Roman" w:hAnsi="Arial" w:cs="Arial"/>
                <w:lang w:eastAsia="en-AU"/>
              </w:rPr>
            </w:pPr>
            <w:r w:rsidRPr="005229CA">
              <w:rPr>
                <w:rFonts w:ascii="Arial" w:eastAsia="Times New Roman" w:hAnsi="Arial" w:cs="Arial"/>
                <w:lang w:eastAsia="en-AU"/>
              </w:rPr>
              <w:t>Measure 2:</w:t>
            </w:r>
          </w:p>
          <w:p w14:paraId="35E10770" w14:textId="77777777" w:rsidR="006038AE" w:rsidRPr="000A288E" w:rsidRDefault="006038AE" w:rsidP="006038AE">
            <w:pPr>
              <w:rPr>
                <w:rFonts w:ascii="Arial" w:hAnsi="Arial" w:cs="Arial"/>
                <w:b w:val="0"/>
                <w:lang w:eastAsia="en-AU"/>
              </w:rPr>
            </w:pPr>
            <w:r w:rsidRPr="00147374">
              <w:rPr>
                <w:rFonts w:ascii="Arial" w:eastAsia="Times New Roman" w:hAnsi="Arial" w:cs="Arial"/>
                <w:lang w:eastAsia="en-AU"/>
              </w:rPr>
              <w:t>Improving our national response to the consequences of significant incidents – Consequent management powers </w:t>
            </w:r>
          </w:p>
        </w:tc>
        <w:tc>
          <w:tcPr>
            <w:tcW w:w="2930" w:type="dxa"/>
            <w:vAlign w:val="center"/>
          </w:tcPr>
          <w:p w14:paraId="14E712DB" w14:textId="77777777" w:rsidR="006038AE" w:rsidRPr="00EF2277" w:rsidRDefault="006038AE" w:rsidP="006038A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lang w:eastAsia="en-AU"/>
              </w:rPr>
            </w:pPr>
            <w:r w:rsidRPr="00EF2277">
              <w:rPr>
                <w:rFonts w:ascii="Arial" w:eastAsia="Times New Roman" w:hAnsi="Arial" w:cs="Arial"/>
                <w:b/>
                <w:bCs/>
                <w:lang w:eastAsia="en-AU"/>
              </w:rPr>
              <w:t>Supportive</w:t>
            </w:r>
          </w:p>
          <w:p w14:paraId="7FCB13C0" w14:textId="77777777" w:rsidR="006038AE" w:rsidRPr="003B0CB9" w:rsidRDefault="006038AE" w:rsidP="006038AE">
            <w:pPr>
              <w:pStyle w:val="ListParagraph"/>
              <w:numPr>
                <w:ilvl w:val="0"/>
                <w:numId w:val="36"/>
              </w:numPr>
              <w:spacing w:before="0" w:after="0" w:line="240" w:lineRule="auto"/>
              <w:ind w:left="283" w:hanging="283"/>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Majority support for this proposal, provided there is clear assurance that consequence management powers will be </w:t>
            </w:r>
            <w:r w:rsidRPr="00302A0C">
              <w:rPr>
                <w:rFonts w:ascii="Arial" w:eastAsia="Arial" w:hAnsi="Arial" w:cs="Arial"/>
                <w:szCs w:val="20"/>
              </w:rPr>
              <w:t>exercised only as a ‘last resort’</w:t>
            </w:r>
            <w:r w:rsidRPr="003B0CB9">
              <w:rPr>
                <w:rFonts w:ascii="Arial" w:eastAsia="Arial" w:hAnsi="Arial" w:cs="Arial"/>
                <w:szCs w:val="20"/>
              </w:rPr>
              <w:t xml:space="preserve"> and appropriate safeguards and oversight mechanisms.</w:t>
            </w:r>
          </w:p>
          <w:p w14:paraId="2CC1B5CC" w14:textId="77777777" w:rsidR="006038AE" w:rsidRPr="003B0CB9" w:rsidRDefault="006038AE" w:rsidP="006038AE">
            <w:pPr>
              <w:pStyle w:val="ListParagraph"/>
              <w:numPr>
                <w:ilvl w:val="0"/>
                <w:numId w:val="36"/>
              </w:numPr>
              <w:spacing w:before="0" w:after="0" w:line="240" w:lineRule="auto"/>
              <w:ind w:left="283"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 xml:space="preserve">The directions power would </w:t>
            </w:r>
            <w:r w:rsidRPr="00302A0C">
              <w:rPr>
                <w:rFonts w:ascii="Arial" w:hAnsi="Arial" w:cs="Arial"/>
                <w:szCs w:val="20"/>
              </w:rPr>
              <w:t xml:space="preserve">provide the necessary authoritative and structured framework </w:t>
            </w:r>
            <w:r w:rsidRPr="003B0CB9">
              <w:rPr>
                <w:rFonts w:ascii="Arial" w:hAnsi="Arial" w:cs="Arial"/>
                <w:szCs w:val="20"/>
              </w:rPr>
              <w:t xml:space="preserve">enabling coordinated and timely responses to cyber incidents that meet or exceed defined criteria. The directions power would enable:  </w:t>
            </w:r>
          </w:p>
          <w:p w14:paraId="1E680F21" w14:textId="77777777" w:rsidR="006038AE" w:rsidRPr="003B0CB9" w:rsidRDefault="006038AE" w:rsidP="006038AE">
            <w:pPr>
              <w:pStyle w:val="ListParagraph"/>
              <w:numPr>
                <w:ilvl w:val="0"/>
                <w:numId w:val="36"/>
              </w:numPr>
              <w:spacing w:before="0" w:after="0" w:line="240" w:lineRule="auto"/>
              <w:ind w:left="68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Standardised Response;</w:t>
            </w:r>
          </w:p>
          <w:p w14:paraId="19192B6C" w14:textId="77777777" w:rsidR="006038AE" w:rsidRPr="003B0CB9" w:rsidRDefault="006038AE" w:rsidP="006038AE">
            <w:pPr>
              <w:pStyle w:val="ListParagraph"/>
              <w:numPr>
                <w:ilvl w:val="0"/>
                <w:numId w:val="36"/>
              </w:numPr>
              <w:spacing w:before="0" w:after="0" w:line="240" w:lineRule="auto"/>
              <w:ind w:left="68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Rapid Mobilisation;</w:t>
            </w:r>
          </w:p>
          <w:p w14:paraId="75A39E2E" w14:textId="77777777" w:rsidR="006038AE" w:rsidRPr="003B0CB9" w:rsidRDefault="006038AE" w:rsidP="006038AE">
            <w:pPr>
              <w:pStyle w:val="ListParagraph"/>
              <w:numPr>
                <w:ilvl w:val="0"/>
                <w:numId w:val="36"/>
              </w:numPr>
              <w:spacing w:before="0" w:after="0" w:line="240" w:lineRule="auto"/>
              <w:ind w:left="68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Impact Mitigation;</w:t>
            </w:r>
            <w:r>
              <w:rPr>
                <w:rFonts w:ascii="Arial" w:hAnsi="Arial" w:cs="Arial"/>
                <w:szCs w:val="20"/>
              </w:rPr>
              <w:t xml:space="preserve"> and </w:t>
            </w:r>
          </w:p>
          <w:p w14:paraId="20F843A6" w14:textId="77777777" w:rsidR="006038AE" w:rsidRPr="003B0CB9" w:rsidRDefault="006038AE" w:rsidP="006038AE">
            <w:pPr>
              <w:pStyle w:val="ListParagraph"/>
              <w:numPr>
                <w:ilvl w:val="0"/>
                <w:numId w:val="36"/>
              </w:numPr>
              <w:spacing w:before="0" w:after="0" w:line="240" w:lineRule="auto"/>
              <w:ind w:left="680"/>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Legal Authority.</w:t>
            </w:r>
          </w:p>
          <w:p w14:paraId="6F47F15F" w14:textId="77777777" w:rsidR="006038AE" w:rsidRPr="00EF2277" w:rsidRDefault="006038AE" w:rsidP="006038AE">
            <w:pPr>
              <w:pStyle w:val="ListParagraph"/>
              <w:numPr>
                <w:ilvl w:val="0"/>
                <w:numId w:val="37"/>
              </w:numPr>
              <w:spacing w:before="0" w:after="0" w:line="240" w:lineRule="auto"/>
              <w:ind w:left="283" w:hanging="283"/>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3B0CB9">
              <w:rPr>
                <w:rFonts w:ascii="Arial" w:hAnsi="Arial" w:cs="Arial"/>
                <w:szCs w:val="20"/>
              </w:rPr>
              <w:t xml:space="preserve">Proposed direction power would </w:t>
            </w:r>
            <w:r w:rsidRPr="00302A0C">
              <w:rPr>
                <w:rFonts w:ascii="Arial" w:hAnsi="Arial" w:cs="Arial"/>
                <w:szCs w:val="20"/>
              </w:rPr>
              <w:t>remove obstacles for cyber incident response and investigation procedure</w:t>
            </w:r>
            <w:r w:rsidRPr="003B0CB9">
              <w:rPr>
                <w:rFonts w:ascii="Arial" w:hAnsi="Arial" w:cs="Arial"/>
                <w:szCs w:val="20"/>
              </w:rPr>
              <w:t xml:space="preserve"> to be carried out in a timely manner. This would support post-incident procedures and allow for ongoing management of harm.</w:t>
            </w:r>
          </w:p>
        </w:tc>
        <w:tc>
          <w:tcPr>
            <w:tcW w:w="4064" w:type="dxa"/>
            <w:vAlign w:val="center"/>
          </w:tcPr>
          <w:p w14:paraId="3603C0F3" w14:textId="77777777" w:rsidR="006038AE" w:rsidRPr="00720A53" w:rsidRDefault="006038AE" w:rsidP="006038AE">
            <w:pPr>
              <w:pStyle w:val="ListParagraph"/>
              <w:numPr>
                <w:ilvl w:val="0"/>
                <w:numId w:val="43"/>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Cs w:val="20"/>
              </w:rPr>
            </w:pPr>
            <w:r w:rsidRPr="00720A53">
              <w:rPr>
                <w:rFonts w:ascii="Arial" w:eastAsia="Arial" w:hAnsi="Arial" w:cs="Arial"/>
                <w:szCs w:val="20"/>
              </w:rPr>
              <w:t>Most critical infrastructure entities are willing to do their best to address the consequences of incidents. However, in some cases, they may have legal or other restrictions, or lack the capacity to do so. As a last resort, Government should be able to assist. </w:t>
            </w:r>
          </w:p>
          <w:p w14:paraId="490DF26F" w14:textId="1B8B3A76" w:rsidR="006038AE" w:rsidRPr="00720A53" w:rsidRDefault="006038AE" w:rsidP="006038AE">
            <w:pPr>
              <w:pStyle w:val="ListParagraph"/>
              <w:numPr>
                <w:ilvl w:val="0"/>
                <w:numId w:val="43"/>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98AE7E4">
              <w:rPr>
                <w:rFonts w:ascii="Arial" w:hAnsi="Arial" w:cs="Arial"/>
              </w:rPr>
              <w:t>The Department is committed to maintaining current Part 3A safeguards in response to industry feedback. Directions will only be given to critical infrastructure entities to address consequences of significant incidents impacting the availability, integrity, reliability, or confidentiality of critical infrastructure.</w:t>
            </w:r>
          </w:p>
          <w:p w14:paraId="371A6318" w14:textId="77777777" w:rsidR="006038AE" w:rsidRPr="00720A53" w:rsidRDefault="006038AE" w:rsidP="006038AE">
            <w:pPr>
              <w:pStyle w:val="ListParagraph"/>
              <w:numPr>
                <w:ilvl w:val="0"/>
                <w:numId w:val="43"/>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Style w:val="normaltextrun"/>
                <w:rFonts w:ascii="Arial" w:eastAsia="Arial" w:hAnsi="Arial" w:cs="Arial"/>
                <w:szCs w:val="20"/>
              </w:rPr>
            </w:pPr>
            <w:r w:rsidRPr="00720A53">
              <w:rPr>
                <w:rStyle w:val="normaltextrun"/>
                <w:rFonts w:ascii="Arial" w:hAnsi="Arial" w:cs="Arial"/>
                <w:color w:val="000000"/>
                <w:szCs w:val="20"/>
                <w:shd w:val="clear" w:color="auto" w:fill="FFFFFF"/>
              </w:rPr>
              <w:t>The consequence management powers are designed to be used as a ‘last resort’. They will only be used where high thresholds are met, and no alternative legislative options are available. All existing safeguards in the Government assistance measures will apply as well as additional safeguards reflecting the breadth of the proposal.</w:t>
            </w:r>
          </w:p>
          <w:p w14:paraId="0A58503C" w14:textId="77777777" w:rsidR="006038AE" w:rsidRPr="00720A53" w:rsidRDefault="006038AE" w:rsidP="006038AE">
            <w:pPr>
              <w:pStyle w:val="ListParagraph"/>
              <w:numPr>
                <w:ilvl w:val="0"/>
                <w:numId w:val="43"/>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FE62F6">
              <w:rPr>
                <w:rFonts w:ascii="Arial" w:hAnsi="Arial" w:cs="Arial"/>
                <w:szCs w:val="20"/>
              </w:rPr>
              <w:t xml:space="preserve">A person who would be the subject of a direction under Part 3A would be entitled to seek judicial review under section 39B of the </w:t>
            </w:r>
            <w:r w:rsidRPr="00FE62F6">
              <w:rPr>
                <w:rFonts w:ascii="Arial" w:hAnsi="Arial" w:cs="Arial"/>
                <w:i/>
                <w:szCs w:val="20"/>
              </w:rPr>
              <w:t>Judiciary Act 1903</w:t>
            </w:r>
            <w:r w:rsidRPr="00FE62F6">
              <w:rPr>
                <w:rFonts w:ascii="Arial" w:hAnsi="Arial" w:cs="Arial"/>
                <w:szCs w:val="20"/>
              </w:rPr>
              <w:t xml:space="preserve"> or subsection 75(v) of the Constitution.</w:t>
            </w:r>
            <w:r>
              <w:rPr>
                <w:rFonts w:ascii="Arial" w:hAnsi="Arial" w:cs="Arial"/>
                <w:szCs w:val="20"/>
              </w:rPr>
              <w:t xml:space="preserve"> </w:t>
            </w:r>
            <w:r w:rsidRPr="00720A53">
              <w:rPr>
                <w:rFonts w:ascii="Arial" w:hAnsi="Arial" w:cs="Arial"/>
                <w:szCs w:val="20"/>
              </w:rPr>
              <w:t xml:space="preserve">However, the proposed consequence management powers are not intended to be subject to judicial review under the </w:t>
            </w:r>
            <w:r w:rsidRPr="00B27710">
              <w:rPr>
                <w:rFonts w:ascii="Arial" w:hAnsi="Arial" w:cs="Arial"/>
                <w:i/>
                <w:szCs w:val="20"/>
              </w:rPr>
              <w:t xml:space="preserve">Administrative Decisions (Judicial Review) Act 1977 </w:t>
            </w:r>
            <w:r w:rsidRPr="00720A53">
              <w:rPr>
                <w:rFonts w:ascii="Arial" w:hAnsi="Arial" w:cs="Arial"/>
                <w:szCs w:val="20"/>
              </w:rPr>
              <w:t>(ADJR Act).  </w:t>
            </w:r>
          </w:p>
          <w:p w14:paraId="790AD054" w14:textId="6839EE5B" w:rsidR="006038AE" w:rsidRPr="00720A53" w:rsidRDefault="006038AE" w:rsidP="006038AE">
            <w:pPr>
              <w:pStyle w:val="ListParagraph"/>
              <w:numPr>
                <w:ilvl w:val="0"/>
                <w:numId w:val="43"/>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98AE7E4">
              <w:rPr>
                <w:rFonts w:ascii="Arial" w:hAnsi="Arial" w:cs="Arial"/>
              </w:rPr>
              <w:t>In response to industry feedback, the Department guarantees that states and territories will continue to have primary responsibility for incidents in their respective jurisdictions. However, should the consequences of an attack on critical infrastructure go beyond the initial incident, the Commonwealth Government have a strengthened capacity to support the response, through the SOCI Act.  The proposed last resort power recognises these arrangements, by only being available when a critical infrastructure entity is unwilling or unable to address the consequences, and where all other regulatory levers are exhausted. </w:t>
            </w:r>
          </w:p>
          <w:p w14:paraId="2EE7321C" w14:textId="77777777" w:rsidR="006038AE" w:rsidRPr="00720A53" w:rsidRDefault="006038AE" w:rsidP="006038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038AE" w:rsidRPr="00EF2277" w14:paraId="58E94B0A" w14:textId="77777777" w:rsidTr="006038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36C6F8D9" w14:textId="77777777" w:rsidR="006038AE" w:rsidRPr="00436D55" w:rsidRDefault="006038AE" w:rsidP="006038AE">
            <w:pPr>
              <w:rPr>
                <w:rFonts w:ascii="Arial" w:eastAsia="Times New Roman" w:hAnsi="Arial" w:cs="Arial"/>
                <w:lang w:eastAsia="en-AU"/>
              </w:rPr>
            </w:pPr>
            <w:r w:rsidRPr="005229CA">
              <w:rPr>
                <w:rFonts w:ascii="Arial" w:eastAsia="Times New Roman" w:hAnsi="Arial" w:cs="Arial"/>
                <w:lang w:eastAsia="en-AU"/>
              </w:rPr>
              <w:t>Measure 2:</w:t>
            </w:r>
          </w:p>
          <w:p w14:paraId="46018A98" w14:textId="0A455B2D" w:rsidR="006038AE" w:rsidRPr="00EF2277" w:rsidRDefault="006038AE" w:rsidP="006038AE">
            <w:pPr>
              <w:rPr>
                <w:rFonts w:ascii="Arial" w:eastAsia="Times New Roman" w:hAnsi="Arial" w:cs="Arial"/>
                <w:b w:val="0"/>
                <w:bCs/>
                <w:lang w:eastAsia="en-AU"/>
              </w:rPr>
            </w:pPr>
            <w:r w:rsidRPr="00147374">
              <w:rPr>
                <w:rFonts w:ascii="Arial" w:eastAsia="Times New Roman" w:hAnsi="Arial" w:cs="Arial"/>
                <w:lang w:eastAsia="en-AU"/>
              </w:rPr>
              <w:t>Improving our national response to the consequences of significant incidents – Consequent management powers </w:t>
            </w:r>
          </w:p>
        </w:tc>
        <w:tc>
          <w:tcPr>
            <w:tcW w:w="2930" w:type="dxa"/>
            <w:vAlign w:val="center"/>
          </w:tcPr>
          <w:p w14:paraId="442EC60E" w14:textId="77777777" w:rsidR="006038AE" w:rsidRPr="00EF2277" w:rsidRDefault="006038AE" w:rsidP="006038AE">
            <w:pPr>
              <w:cnfStyle w:val="000000010000" w:firstRow="0" w:lastRow="0" w:firstColumn="0" w:lastColumn="0" w:oddVBand="0" w:evenVBand="0" w:oddHBand="0" w:evenHBand="1" w:firstRowFirstColumn="0" w:firstRowLastColumn="0" w:lastRowFirstColumn="0" w:lastRowLastColumn="0"/>
              <w:rPr>
                <w:rFonts w:ascii="Arial" w:hAnsi="Arial" w:cs="Arial"/>
              </w:rPr>
            </w:pPr>
            <w:r w:rsidRPr="00EF2277">
              <w:rPr>
                <w:rFonts w:ascii="Arial" w:eastAsia="Times New Roman" w:hAnsi="Arial" w:cs="Arial"/>
                <w:b/>
                <w:lang w:eastAsia="en-AU"/>
              </w:rPr>
              <w:t>Neutral</w:t>
            </w:r>
          </w:p>
          <w:p w14:paraId="5170E2F3" w14:textId="77777777" w:rsidR="006038AE" w:rsidRPr="003B0CB9" w:rsidRDefault="006038AE" w:rsidP="006038AE">
            <w:pPr>
              <w:pStyle w:val="ListParagraph"/>
              <w:numPr>
                <w:ilvl w:val="0"/>
                <w:numId w:val="36"/>
              </w:numPr>
              <w:spacing w:before="0" w:after="0" w:line="240" w:lineRule="auto"/>
              <w:ind w:left="283" w:hanging="283"/>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A small number of </w:t>
            </w:r>
            <w:r w:rsidRPr="00EF2277">
              <w:rPr>
                <w:rFonts w:ascii="Arial" w:eastAsia="Arial" w:hAnsi="Arial" w:cs="Arial"/>
                <w:szCs w:val="20"/>
              </w:rPr>
              <w:t>submissions</w:t>
            </w:r>
            <w:r w:rsidRPr="003B0CB9">
              <w:rPr>
                <w:rFonts w:ascii="Arial" w:eastAsia="Arial" w:hAnsi="Arial" w:cs="Arial"/>
                <w:szCs w:val="20"/>
              </w:rPr>
              <w:t xml:space="preserve"> were opposed to the measure as:</w:t>
            </w:r>
          </w:p>
          <w:p w14:paraId="72BF5246" w14:textId="77777777" w:rsidR="006038AE" w:rsidRPr="003B0CB9" w:rsidRDefault="006038AE" w:rsidP="006038AE">
            <w:pPr>
              <w:pStyle w:val="ListParagraph"/>
              <w:numPr>
                <w:ilvl w:val="1"/>
                <w:numId w:val="36"/>
              </w:numPr>
              <w:spacing w:before="0" w:after="0"/>
              <w:ind w:left="708" w:hanging="284"/>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02A0C">
              <w:rPr>
                <w:rFonts w:ascii="Arial" w:eastAsia="Arial" w:hAnsi="Arial" w:cs="Arial"/>
                <w:szCs w:val="20"/>
              </w:rPr>
              <w:t>Current powers are sufficient</w:t>
            </w:r>
            <w:r w:rsidRPr="003B0CB9">
              <w:rPr>
                <w:rFonts w:ascii="Arial" w:eastAsia="Arial" w:hAnsi="Arial" w:cs="Arial"/>
                <w:szCs w:val="20"/>
              </w:rPr>
              <w:t xml:space="preserve"> for post-incident response, including s</w:t>
            </w:r>
            <w:r>
              <w:rPr>
                <w:rFonts w:ascii="Arial" w:eastAsia="Arial" w:hAnsi="Arial" w:cs="Arial"/>
                <w:szCs w:val="20"/>
              </w:rPr>
              <w:t xml:space="preserve"> </w:t>
            </w:r>
            <w:r w:rsidRPr="003B0CB9">
              <w:rPr>
                <w:rFonts w:ascii="Arial" w:eastAsia="Arial" w:hAnsi="Arial" w:cs="Arial"/>
                <w:szCs w:val="20"/>
              </w:rPr>
              <w:t xml:space="preserve">32 </w:t>
            </w:r>
            <w:r w:rsidRPr="003B0CB9" w:rsidDel="00B4091B">
              <w:rPr>
                <w:rFonts w:ascii="Arial" w:eastAsia="Arial" w:hAnsi="Arial" w:cs="Arial"/>
                <w:szCs w:val="20"/>
              </w:rPr>
              <w:t>powers</w:t>
            </w:r>
            <w:r w:rsidRPr="00EF2277">
              <w:rPr>
                <w:rFonts w:ascii="Arial" w:eastAsia="Arial" w:hAnsi="Arial" w:cs="Arial"/>
                <w:szCs w:val="20"/>
              </w:rPr>
              <w:t>.</w:t>
            </w:r>
          </w:p>
          <w:p w14:paraId="30C44B01" w14:textId="77777777" w:rsidR="006038AE" w:rsidRPr="003B0CB9" w:rsidRDefault="006038AE" w:rsidP="006038AE">
            <w:pPr>
              <w:pStyle w:val="ListParagraph"/>
              <w:numPr>
                <w:ilvl w:val="1"/>
                <w:numId w:val="36"/>
              </w:numPr>
              <w:spacing w:before="0" w:after="0"/>
              <w:ind w:left="708" w:hanging="284"/>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The </w:t>
            </w:r>
            <w:r w:rsidRPr="00302A0C">
              <w:rPr>
                <w:rFonts w:ascii="Arial" w:eastAsia="Arial" w:hAnsi="Arial" w:cs="Arial"/>
                <w:szCs w:val="20"/>
              </w:rPr>
              <w:t>scope of the power is too broad and disproportionate</w:t>
            </w:r>
            <w:r w:rsidRPr="003B0CB9">
              <w:rPr>
                <w:rFonts w:ascii="Arial" w:eastAsia="Arial" w:hAnsi="Arial" w:cs="Arial"/>
                <w:szCs w:val="20"/>
              </w:rPr>
              <w:t xml:space="preserve"> in the absence of further real-world case studies without appropriate safeguards, such as judicial </w:t>
            </w:r>
            <w:r w:rsidRPr="003B0CB9" w:rsidDel="00B4091B">
              <w:rPr>
                <w:rFonts w:ascii="Arial" w:eastAsia="Arial" w:hAnsi="Arial" w:cs="Arial"/>
                <w:szCs w:val="20"/>
              </w:rPr>
              <w:t>review</w:t>
            </w:r>
            <w:r w:rsidRPr="00EF2277">
              <w:rPr>
                <w:rFonts w:ascii="Arial" w:eastAsia="Arial" w:hAnsi="Arial" w:cs="Arial"/>
                <w:szCs w:val="20"/>
              </w:rPr>
              <w:t>.</w:t>
            </w:r>
          </w:p>
          <w:p w14:paraId="757E3DB3" w14:textId="77777777" w:rsidR="006038AE" w:rsidRPr="00EF2277" w:rsidRDefault="006038AE" w:rsidP="006038AE">
            <w:pPr>
              <w:pStyle w:val="ListParagraph"/>
              <w:numPr>
                <w:ilvl w:val="0"/>
                <w:numId w:val="36"/>
              </w:numPr>
              <w:spacing w:before="0" w:after="0"/>
              <w:ind w:left="283" w:hanging="283"/>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B0CB9">
              <w:rPr>
                <w:rFonts w:ascii="Arial" w:eastAsia="Arial" w:hAnsi="Arial" w:cs="Arial"/>
                <w:szCs w:val="20"/>
              </w:rPr>
              <w:t xml:space="preserve">Care should be taken </w:t>
            </w:r>
            <w:r w:rsidRPr="00302A0C">
              <w:rPr>
                <w:rFonts w:ascii="Arial" w:eastAsia="Arial" w:hAnsi="Arial" w:cs="Arial"/>
                <w:szCs w:val="20"/>
              </w:rPr>
              <w:t>not to limit state/territory emergency and consequence management powers</w:t>
            </w:r>
            <w:r w:rsidRPr="00EF2277">
              <w:rPr>
                <w:rFonts w:ascii="Arial" w:eastAsia="Arial" w:hAnsi="Arial" w:cs="Arial"/>
                <w:szCs w:val="20"/>
              </w:rPr>
              <w:t xml:space="preserve"> </w:t>
            </w:r>
          </w:p>
        </w:tc>
        <w:tc>
          <w:tcPr>
            <w:tcW w:w="4064" w:type="dxa"/>
            <w:vAlign w:val="center"/>
          </w:tcPr>
          <w:p w14:paraId="4DCAD7D0" w14:textId="77777777" w:rsidR="006038AE" w:rsidRPr="00720A53" w:rsidRDefault="006038AE" w:rsidP="006038AE">
            <w:pPr>
              <w:pStyle w:val="ListParagraph"/>
              <w:numPr>
                <w:ilvl w:val="0"/>
                <w:numId w:val="43"/>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eastAsia="Arial" w:hAnsi="Arial" w:cs="Arial"/>
                <w:szCs w:val="20"/>
              </w:rPr>
            </w:pPr>
            <w:r w:rsidRPr="00720A53">
              <w:rPr>
                <w:rFonts w:ascii="Arial" w:eastAsia="Arial" w:hAnsi="Arial" w:cs="Arial"/>
                <w:szCs w:val="20"/>
              </w:rPr>
              <w:t>Most critical infrastructure entities are willing to do their best to address the consequences of incidents. However, in some cases, they may have legal or other restrictions, or lack the capacity to do so. As a last resort, Government should be able to assist. </w:t>
            </w:r>
          </w:p>
          <w:p w14:paraId="79C635C1" w14:textId="77777777" w:rsidR="006038AE" w:rsidRPr="00720A53" w:rsidRDefault="006038AE" w:rsidP="006038AE">
            <w:pPr>
              <w:pStyle w:val="ListParagraph"/>
              <w:numPr>
                <w:ilvl w:val="0"/>
                <w:numId w:val="43"/>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98AE7E4">
              <w:rPr>
                <w:rFonts w:ascii="Arial" w:hAnsi="Arial" w:cs="Arial"/>
              </w:rPr>
              <w:t>The Department is committed to maintaining current Part 3A safeguards in response to industry feedback. Directions will only be given to critical infrastructure entities to address consequences of significant incidents impacting the availability, integrity, reliability, or confidentiality of critical infrastructure.</w:t>
            </w:r>
          </w:p>
          <w:p w14:paraId="44091C3B" w14:textId="77777777" w:rsidR="006038AE" w:rsidRPr="00720A53" w:rsidRDefault="006038AE" w:rsidP="006038AE">
            <w:pPr>
              <w:pStyle w:val="ListParagraph"/>
              <w:numPr>
                <w:ilvl w:val="0"/>
                <w:numId w:val="43"/>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Style w:val="normaltextrun"/>
                <w:rFonts w:ascii="Arial" w:eastAsia="Arial" w:hAnsi="Arial" w:cs="Arial"/>
                <w:szCs w:val="20"/>
              </w:rPr>
            </w:pPr>
            <w:r w:rsidRPr="00720A53">
              <w:rPr>
                <w:rStyle w:val="normaltextrun"/>
                <w:rFonts w:ascii="Arial" w:hAnsi="Arial" w:cs="Arial"/>
                <w:color w:val="000000"/>
                <w:szCs w:val="20"/>
                <w:shd w:val="clear" w:color="auto" w:fill="FFFFFF"/>
              </w:rPr>
              <w:t>The consequence management powers are designed to be used as a ‘last resort’. They will only be used where high thresholds are met, and no alternative legislative options are available. All existing safeguards in the Government assistance measures will apply as well as additional safeguards reflecting the breadth of the proposal.</w:t>
            </w:r>
          </w:p>
          <w:p w14:paraId="2C8CEBA9" w14:textId="77777777" w:rsidR="006038AE" w:rsidRPr="00720A53" w:rsidRDefault="006038AE" w:rsidP="006038AE">
            <w:pPr>
              <w:pStyle w:val="ListParagraph"/>
              <w:numPr>
                <w:ilvl w:val="0"/>
                <w:numId w:val="43"/>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FE62F6">
              <w:rPr>
                <w:rFonts w:ascii="Arial" w:hAnsi="Arial" w:cs="Arial"/>
                <w:szCs w:val="20"/>
              </w:rPr>
              <w:t xml:space="preserve">A person who would be the subject of a direction under Part 3A would be entitled to seek judicial review under section 39B of the </w:t>
            </w:r>
            <w:r w:rsidRPr="00FE62F6">
              <w:rPr>
                <w:rFonts w:ascii="Arial" w:hAnsi="Arial" w:cs="Arial"/>
                <w:i/>
                <w:szCs w:val="20"/>
              </w:rPr>
              <w:t>Judiciary Act 1903</w:t>
            </w:r>
            <w:r w:rsidRPr="00FE62F6">
              <w:rPr>
                <w:rFonts w:ascii="Arial" w:hAnsi="Arial" w:cs="Arial"/>
                <w:szCs w:val="20"/>
              </w:rPr>
              <w:t xml:space="preserve"> or subsection 75(v) of the Constitution.</w:t>
            </w:r>
            <w:r>
              <w:rPr>
                <w:rFonts w:ascii="Arial" w:hAnsi="Arial" w:cs="Arial"/>
                <w:szCs w:val="20"/>
              </w:rPr>
              <w:t xml:space="preserve"> </w:t>
            </w:r>
            <w:r w:rsidRPr="00720A53">
              <w:rPr>
                <w:rFonts w:ascii="Arial" w:hAnsi="Arial" w:cs="Arial"/>
                <w:szCs w:val="20"/>
              </w:rPr>
              <w:t xml:space="preserve">However, the proposed consequence management powers are not intended to be subject to judicial review under the </w:t>
            </w:r>
            <w:r w:rsidRPr="00B27710">
              <w:rPr>
                <w:rFonts w:ascii="Arial" w:hAnsi="Arial" w:cs="Arial"/>
                <w:i/>
                <w:szCs w:val="20"/>
              </w:rPr>
              <w:t xml:space="preserve">Administrative Decisions (Judicial Review) Act 1977 </w:t>
            </w:r>
            <w:r w:rsidRPr="00720A53">
              <w:rPr>
                <w:rFonts w:ascii="Arial" w:hAnsi="Arial" w:cs="Arial"/>
                <w:szCs w:val="20"/>
              </w:rPr>
              <w:t>(ADJR Act).  </w:t>
            </w:r>
          </w:p>
          <w:p w14:paraId="35397F46" w14:textId="77777777" w:rsidR="006038AE" w:rsidRPr="00720A53" w:rsidRDefault="006038AE" w:rsidP="006038AE">
            <w:pPr>
              <w:pStyle w:val="ListParagraph"/>
              <w:numPr>
                <w:ilvl w:val="0"/>
                <w:numId w:val="43"/>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98AE7E4">
              <w:rPr>
                <w:rFonts w:ascii="Arial" w:hAnsi="Arial" w:cs="Arial"/>
              </w:rPr>
              <w:t>In response to industry feedback, the Department guarantees that states and territories will continue to have primary responsibility for incidents in their respective jurisdictions. However, should the consequences of an attack on critical infrastructure go beyond the initial incident, the Commonwealth Government have a strengthened capacity to support the response, through the SOCI Act.  The proposed last resort power recognises these arrangements, by only being available when a critical infrastructure entity is unwilling or unable to address the consequences, and where all other regulatory levers are exhausted. </w:t>
            </w:r>
          </w:p>
          <w:p w14:paraId="07120227" w14:textId="77777777" w:rsidR="006038AE" w:rsidRPr="00EF2277" w:rsidRDefault="006038AE" w:rsidP="006038AE">
            <w:pPr>
              <w:cnfStyle w:val="000000010000" w:firstRow="0" w:lastRow="0" w:firstColumn="0" w:lastColumn="0" w:oddVBand="0" w:evenVBand="0" w:oddHBand="0" w:evenHBand="1" w:firstRowFirstColumn="0" w:firstRowLastColumn="0" w:lastRowFirstColumn="0" w:lastRowLastColumn="0"/>
              <w:rPr>
                <w:rFonts w:ascii="Arial" w:hAnsi="Arial" w:cs="Arial"/>
                <w:lang w:eastAsia="en-AU"/>
              </w:rPr>
            </w:pPr>
          </w:p>
        </w:tc>
      </w:tr>
      <w:tr w:rsidR="006038AE" w:rsidRPr="00EF2277" w14:paraId="295F6910" w14:textId="77777777" w:rsidTr="00A54EA3">
        <w:trPr>
          <w:cnfStyle w:val="000000100000" w:firstRow="0" w:lastRow="0" w:firstColumn="0" w:lastColumn="0" w:oddVBand="0" w:evenVBand="0" w:oddHBand="1" w:evenHBand="0" w:firstRowFirstColumn="0" w:firstRowLastColumn="0" w:lastRowFirstColumn="0" w:lastRowLastColumn="0"/>
          <w:trHeight w:val="389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8F0934E" w14:textId="77777777" w:rsidR="006038AE" w:rsidRDefault="006038AE" w:rsidP="006038AE">
            <w:pPr>
              <w:rPr>
                <w:rFonts w:ascii="Arial" w:eastAsia="Times New Roman" w:hAnsi="Arial" w:cs="Arial"/>
                <w:b w:val="0"/>
                <w:bCs/>
                <w:lang w:eastAsia="en-AU"/>
              </w:rPr>
            </w:pPr>
          </w:p>
          <w:p w14:paraId="104FD48E" w14:textId="77777777" w:rsidR="006038AE" w:rsidRDefault="006038AE" w:rsidP="006038AE">
            <w:pPr>
              <w:rPr>
                <w:rFonts w:ascii="Arial" w:eastAsia="Times New Roman" w:hAnsi="Arial" w:cs="Arial"/>
                <w:b w:val="0"/>
                <w:bCs/>
                <w:lang w:eastAsia="en-AU"/>
              </w:rPr>
            </w:pPr>
          </w:p>
          <w:p w14:paraId="619A0E6C" w14:textId="77777777" w:rsidR="006038AE" w:rsidRDefault="006038AE" w:rsidP="006038AE">
            <w:pPr>
              <w:rPr>
                <w:rFonts w:ascii="Arial" w:eastAsia="Times New Roman" w:hAnsi="Arial" w:cs="Arial"/>
                <w:b w:val="0"/>
                <w:bCs/>
                <w:lang w:eastAsia="en-AU"/>
              </w:rPr>
            </w:pPr>
          </w:p>
          <w:p w14:paraId="6E281FF8" w14:textId="77777777" w:rsidR="006038AE" w:rsidRDefault="006038AE" w:rsidP="006038AE">
            <w:pPr>
              <w:rPr>
                <w:rFonts w:ascii="Arial" w:eastAsia="Times New Roman" w:hAnsi="Arial" w:cs="Arial"/>
                <w:b w:val="0"/>
                <w:bCs/>
                <w:lang w:eastAsia="en-AU"/>
              </w:rPr>
            </w:pPr>
          </w:p>
          <w:p w14:paraId="145F6C06" w14:textId="77777777" w:rsidR="006038AE" w:rsidRDefault="006038AE" w:rsidP="006038AE">
            <w:pPr>
              <w:rPr>
                <w:rFonts w:ascii="Arial" w:eastAsia="Times New Roman" w:hAnsi="Arial" w:cs="Arial"/>
                <w:b w:val="0"/>
                <w:bCs/>
                <w:lang w:eastAsia="en-AU"/>
              </w:rPr>
            </w:pPr>
          </w:p>
          <w:p w14:paraId="2BBFF0A2" w14:textId="77777777" w:rsidR="006038AE" w:rsidRDefault="006038AE" w:rsidP="006038AE">
            <w:pPr>
              <w:rPr>
                <w:rFonts w:ascii="Arial" w:eastAsia="Times New Roman" w:hAnsi="Arial" w:cs="Arial"/>
                <w:b w:val="0"/>
                <w:bCs/>
                <w:lang w:eastAsia="en-AU"/>
              </w:rPr>
            </w:pPr>
          </w:p>
          <w:p w14:paraId="7D7F3124" w14:textId="77777777" w:rsidR="006038AE" w:rsidRDefault="006038AE" w:rsidP="006038AE">
            <w:pPr>
              <w:rPr>
                <w:rFonts w:ascii="Arial" w:eastAsia="Times New Roman" w:hAnsi="Arial" w:cs="Arial"/>
                <w:b w:val="0"/>
                <w:bCs/>
                <w:lang w:eastAsia="en-AU"/>
              </w:rPr>
            </w:pPr>
          </w:p>
          <w:p w14:paraId="138D3E6C" w14:textId="77777777" w:rsidR="006038AE" w:rsidRDefault="006038AE" w:rsidP="006038AE">
            <w:pPr>
              <w:rPr>
                <w:rFonts w:ascii="Arial" w:eastAsia="Times New Roman" w:hAnsi="Arial" w:cs="Arial"/>
                <w:b w:val="0"/>
                <w:bCs/>
                <w:lang w:eastAsia="en-AU"/>
              </w:rPr>
            </w:pPr>
          </w:p>
          <w:p w14:paraId="2CA070F4" w14:textId="77777777" w:rsidR="006038AE" w:rsidRDefault="006038AE" w:rsidP="006038AE">
            <w:pPr>
              <w:rPr>
                <w:rFonts w:ascii="Arial" w:eastAsia="Times New Roman" w:hAnsi="Arial" w:cs="Arial"/>
                <w:b w:val="0"/>
                <w:bCs/>
                <w:lang w:eastAsia="en-AU"/>
              </w:rPr>
            </w:pPr>
          </w:p>
          <w:p w14:paraId="221A1191" w14:textId="77777777" w:rsidR="006038AE" w:rsidRPr="00436D55" w:rsidRDefault="006038AE" w:rsidP="006038AE">
            <w:pPr>
              <w:rPr>
                <w:rFonts w:ascii="Arial" w:eastAsia="Times New Roman" w:hAnsi="Arial" w:cs="Arial"/>
                <w:lang w:eastAsia="en-AU"/>
              </w:rPr>
            </w:pPr>
          </w:p>
          <w:p w14:paraId="5D20A1BE" w14:textId="77777777" w:rsidR="006038AE" w:rsidRPr="00436D55" w:rsidRDefault="006038AE" w:rsidP="006038AE">
            <w:pPr>
              <w:rPr>
                <w:rFonts w:ascii="Arial" w:eastAsia="Times New Roman" w:hAnsi="Arial" w:cs="Arial"/>
                <w:lang w:eastAsia="en-AU"/>
              </w:rPr>
            </w:pPr>
            <w:r w:rsidRPr="005229CA">
              <w:rPr>
                <w:rFonts w:ascii="Arial" w:eastAsia="Times New Roman" w:hAnsi="Arial" w:cs="Arial"/>
                <w:lang w:eastAsia="en-AU"/>
              </w:rPr>
              <w:t>Measure 3:</w:t>
            </w:r>
          </w:p>
          <w:p w14:paraId="47E9ED75" w14:textId="77777777" w:rsidR="006038AE" w:rsidRPr="00436D55" w:rsidRDefault="006038AE" w:rsidP="006038AE">
            <w:pPr>
              <w:rPr>
                <w:rFonts w:ascii="Arial" w:eastAsia="Times New Roman" w:hAnsi="Arial" w:cs="Arial"/>
                <w:b w:val="0"/>
                <w:lang w:eastAsia="en-AU"/>
              </w:rPr>
            </w:pPr>
            <w:r w:rsidRPr="00147374">
              <w:rPr>
                <w:rFonts w:ascii="Arial" w:eastAsia="Times New Roman" w:hAnsi="Arial" w:cs="Arial"/>
                <w:lang w:eastAsia="en-AU"/>
              </w:rPr>
              <w:t>Enforcing Critical infrastructure risk management obligations – review and remedy powers</w:t>
            </w:r>
          </w:p>
          <w:p w14:paraId="74478FDF" w14:textId="77777777" w:rsidR="006038AE" w:rsidRPr="00EF2277" w:rsidRDefault="006038AE" w:rsidP="006038AE">
            <w:pPr>
              <w:rPr>
                <w:rFonts w:ascii="Arial" w:eastAsia="Times New Roman" w:hAnsi="Arial" w:cs="Arial"/>
                <w:b w:val="0"/>
                <w:bCs/>
                <w:lang w:eastAsia="en-AU"/>
              </w:rPr>
            </w:pPr>
          </w:p>
        </w:tc>
        <w:tc>
          <w:tcPr>
            <w:tcW w:w="2930" w:type="dxa"/>
            <w:vAlign w:val="center"/>
          </w:tcPr>
          <w:p w14:paraId="78674D34" w14:textId="77777777" w:rsidR="006038AE" w:rsidRPr="00EF2277" w:rsidRDefault="006038AE" w:rsidP="006038AE">
            <w:pPr>
              <w:cnfStyle w:val="000000100000" w:firstRow="0" w:lastRow="0" w:firstColumn="0" w:lastColumn="0" w:oddVBand="0" w:evenVBand="0" w:oddHBand="1" w:evenHBand="0" w:firstRowFirstColumn="0" w:firstRowLastColumn="0" w:lastRowFirstColumn="0" w:lastRowLastColumn="0"/>
              <w:rPr>
                <w:rFonts w:ascii="Arial" w:hAnsi="Arial" w:cs="Arial"/>
                <w:b/>
                <w:bCs/>
                <w:lang w:eastAsia="en-AU"/>
              </w:rPr>
            </w:pPr>
            <w:r w:rsidRPr="00EF2277">
              <w:rPr>
                <w:rFonts w:ascii="Arial" w:hAnsi="Arial" w:cs="Arial"/>
                <w:b/>
                <w:bCs/>
                <w:lang w:eastAsia="en-AU"/>
              </w:rPr>
              <w:t>Supportive</w:t>
            </w:r>
          </w:p>
          <w:p w14:paraId="2E09B303" w14:textId="77777777" w:rsidR="006038AE" w:rsidRPr="003B0CB9" w:rsidRDefault="006038AE" w:rsidP="006038AE">
            <w:pPr>
              <w:pStyle w:val="ListParagraph"/>
              <w:numPr>
                <w:ilvl w:val="0"/>
                <w:numId w:val="45"/>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Cs w:val="20"/>
              </w:rPr>
            </w:pPr>
            <w:r w:rsidRPr="003B0CB9">
              <w:rPr>
                <w:rFonts w:ascii="Arial" w:eastAsia="Arial" w:hAnsi="Arial" w:cs="Arial"/>
                <w:szCs w:val="20"/>
              </w:rPr>
              <w:t xml:space="preserve">Submissions are mostly supportive, however, </w:t>
            </w:r>
            <w:r w:rsidRPr="00302A0C">
              <w:rPr>
                <w:rFonts w:ascii="Arial" w:eastAsia="Arial" w:hAnsi="Arial" w:cs="Arial"/>
                <w:szCs w:val="20"/>
              </w:rPr>
              <w:t>clear boundaries</w:t>
            </w:r>
            <w:r w:rsidRPr="003B0CB9">
              <w:rPr>
                <w:rFonts w:ascii="Arial" w:eastAsia="Arial" w:hAnsi="Arial" w:cs="Arial"/>
                <w:szCs w:val="20"/>
              </w:rPr>
              <w:t xml:space="preserve"> on when the power may be used are a key </w:t>
            </w:r>
            <w:r w:rsidRPr="003B0CB9" w:rsidDel="00B4091B">
              <w:rPr>
                <w:rFonts w:ascii="Arial" w:eastAsia="Arial" w:hAnsi="Arial" w:cs="Arial"/>
                <w:szCs w:val="20"/>
              </w:rPr>
              <w:t>theme</w:t>
            </w:r>
            <w:r w:rsidRPr="00EB5372">
              <w:rPr>
                <w:rFonts w:ascii="Arial" w:eastAsia="Arial" w:hAnsi="Arial" w:cs="Arial"/>
                <w:szCs w:val="20"/>
              </w:rPr>
              <w:t>.</w:t>
            </w:r>
          </w:p>
          <w:p w14:paraId="45253BF4" w14:textId="77777777" w:rsidR="006038AE" w:rsidRPr="00EB5372" w:rsidRDefault="006038AE" w:rsidP="006038AE">
            <w:pPr>
              <w:pStyle w:val="ListParagraph"/>
              <w:numPr>
                <w:ilvl w:val="0"/>
                <w:numId w:val="45"/>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pPr>
            <w:r w:rsidRPr="003B0CB9">
              <w:rPr>
                <w:rFonts w:ascii="Arial" w:hAnsi="Arial" w:cs="Arial"/>
                <w:szCs w:val="20"/>
              </w:rPr>
              <w:t xml:space="preserve">Reforms are expected to </w:t>
            </w:r>
            <w:r w:rsidRPr="00302A0C">
              <w:rPr>
                <w:rFonts w:ascii="Arial" w:hAnsi="Arial" w:cs="Arial"/>
                <w:szCs w:val="20"/>
              </w:rPr>
              <w:t>instil a proactive, compliance-driven mindset</w:t>
            </w:r>
            <w:r w:rsidRPr="003B0CB9">
              <w:rPr>
                <w:rFonts w:ascii="Arial" w:hAnsi="Arial" w:cs="Arial"/>
                <w:szCs w:val="20"/>
              </w:rPr>
              <w:t xml:space="preserve">, compelling organisations to enhance their </w:t>
            </w:r>
            <w:r w:rsidRPr="00302A0C">
              <w:rPr>
                <w:rFonts w:ascii="Arial" w:hAnsi="Arial" w:cs="Arial"/>
                <w:szCs w:val="20"/>
              </w:rPr>
              <w:t>continuous monitoring capabilities</w:t>
            </w:r>
            <w:r w:rsidRPr="003B0CB9">
              <w:rPr>
                <w:rFonts w:ascii="Arial" w:hAnsi="Arial" w:cs="Arial"/>
                <w:szCs w:val="20"/>
              </w:rPr>
              <w:t xml:space="preserve"> and prioritise risk management as a core operational focus.</w:t>
            </w:r>
            <w:r w:rsidRPr="00EF2277">
              <w:t xml:space="preserve"> </w:t>
            </w:r>
          </w:p>
        </w:tc>
        <w:tc>
          <w:tcPr>
            <w:tcW w:w="4064" w:type="dxa"/>
            <w:vAlign w:val="center"/>
          </w:tcPr>
          <w:p w14:paraId="4079CC84" w14:textId="77777777" w:rsidR="006038AE" w:rsidRPr="00EB5372" w:rsidRDefault="006038AE" w:rsidP="006038AE">
            <w:pPr>
              <w:pStyle w:val="ListParagraph"/>
              <w:numPr>
                <w:ilvl w:val="0"/>
                <w:numId w:val="4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EB5372">
              <w:rPr>
                <w:rStyle w:val="normaltextrun"/>
                <w:rFonts w:ascii="Arial" w:hAnsi="Arial" w:cs="Arial"/>
                <w:color w:val="000000"/>
                <w:szCs w:val="20"/>
                <w:shd w:val="clear" w:color="auto" w:fill="FFFFFF"/>
              </w:rPr>
              <w:t xml:space="preserve">As the </w:t>
            </w:r>
            <w:r>
              <w:rPr>
                <w:rStyle w:val="normaltextrun"/>
                <w:rFonts w:ascii="Arial" w:hAnsi="Arial" w:cs="Arial"/>
                <w:color w:val="000000"/>
                <w:szCs w:val="20"/>
                <w:shd w:val="clear" w:color="auto" w:fill="FFFFFF"/>
              </w:rPr>
              <w:t>D</w:t>
            </w:r>
            <w:r w:rsidRPr="00EB5372">
              <w:rPr>
                <w:rStyle w:val="normaltextrun"/>
                <w:rFonts w:ascii="Arial" w:hAnsi="Arial" w:cs="Arial"/>
                <w:color w:val="000000"/>
                <w:szCs w:val="20"/>
                <w:shd w:val="clear" w:color="auto" w:fill="FFFFFF"/>
              </w:rPr>
              <w:t>epartment moves towards more of a compliance posture as the RMP obligations are implemented and mature, we need to have the levers in place to provide effective quality assurance.</w:t>
            </w:r>
            <w:r w:rsidRPr="00EB5372">
              <w:rPr>
                <w:rStyle w:val="eop"/>
                <w:rFonts w:ascii="Arial" w:hAnsi="Arial" w:cs="Arial"/>
                <w:color w:val="000000"/>
                <w:szCs w:val="20"/>
                <w:shd w:val="clear" w:color="auto" w:fill="FFFFFF"/>
              </w:rPr>
              <w:t> </w:t>
            </w:r>
          </w:p>
          <w:p w14:paraId="1BA7CBBB" w14:textId="169204A1" w:rsidR="006038AE" w:rsidRPr="00EB5372" w:rsidRDefault="006038AE" w:rsidP="006038AE">
            <w:pPr>
              <w:pStyle w:val="ListParagraph"/>
              <w:numPr>
                <w:ilvl w:val="0"/>
                <w:numId w:val="4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Style w:val="eop"/>
                <w:rFonts w:ascii="Arial" w:hAnsi="Arial" w:cs="Arial"/>
              </w:rPr>
            </w:pPr>
            <w:r w:rsidRPr="098AE7E4">
              <w:rPr>
                <w:rStyle w:val="normaltextrun"/>
                <w:rFonts w:ascii="Arial" w:hAnsi="Arial" w:cs="Arial"/>
                <w:color w:val="000000"/>
                <w:shd w:val="clear" w:color="auto" w:fill="FFFFFF"/>
              </w:rPr>
              <w:t>The Department and the Office of Parliamentary Counsel have worked closely to ensure industry’s expectations about the parameters of this power are met. For the purposes of this direction, the Department is proposing ‘seriously deficient’ to mean there is a material risk to Australia’s socioeconomic stability, defence, or national security.  </w:t>
            </w:r>
            <w:r w:rsidRPr="098AE7E4">
              <w:rPr>
                <w:rStyle w:val="eop"/>
                <w:rFonts w:ascii="Arial" w:hAnsi="Arial" w:cs="Arial"/>
                <w:color w:val="000000"/>
                <w:shd w:val="clear" w:color="auto" w:fill="FFFFFF"/>
              </w:rPr>
              <w:t> </w:t>
            </w:r>
          </w:p>
          <w:p w14:paraId="42E3EC97" w14:textId="700082AA" w:rsidR="006038AE" w:rsidRDefault="006038AE" w:rsidP="006038AE">
            <w:pPr>
              <w:pStyle w:val="ListParagraph"/>
              <w:numPr>
                <w:ilvl w:val="0"/>
                <w:numId w:val="4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Style w:val="eop"/>
                <w:rFonts w:ascii="Arial" w:hAnsi="Arial" w:cs="Arial"/>
              </w:rPr>
            </w:pPr>
            <w:r w:rsidRPr="098AE7E4">
              <w:rPr>
                <w:rStyle w:val="eop"/>
                <w:rFonts w:ascii="Arial" w:hAnsi="Arial" w:cs="Arial"/>
              </w:rPr>
              <w:t xml:space="preserve">Industry feedback augmented the Department’s commitment to always working collaboratively with entities before engaging formal powers. </w:t>
            </w:r>
          </w:p>
          <w:p w14:paraId="0F3F8E5E" w14:textId="77777777" w:rsidR="006038AE" w:rsidRPr="00EB5372" w:rsidRDefault="006038AE" w:rsidP="006038AE">
            <w:pPr>
              <w:pStyle w:val="ListParagraph"/>
              <w:numPr>
                <w:ilvl w:val="0"/>
                <w:numId w:val="4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000000"/>
                <w:szCs w:val="20"/>
                <w:shd w:val="clear" w:color="auto" w:fill="FFFFFF"/>
              </w:rPr>
            </w:pPr>
            <w:r w:rsidRPr="00EB5372">
              <w:rPr>
                <w:rStyle w:val="normaltextrun"/>
                <w:rFonts w:ascii="Arial" w:hAnsi="Arial" w:cs="Arial"/>
                <w:color w:val="000000"/>
                <w:szCs w:val="20"/>
                <w:shd w:val="clear" w:color="auto" w:fill="FFFFFF"/>
              </w:rPr>
              <w:t>Where the regulator issues a direction, the entity will be able to rectify the deficiency using the principles-based requirements for the risk management program. The CISC / Commonwealth regulator will work with the entity throughout this.</w:t>
            </w:r>
          </w:p>
          <w:p w14:paraId="14455FED" w14:textId="77777777" w:rsidR="006038AE" w:rsidRPr="00EB5372" w:rsidRDefault="006038AE" w:rsidP="006038AE">
            <w:pPr>
              <w:pStyle w:val="ListParagraph"/>
              <w:numPr>
                <w:ilvl w:val="0"/>
                <w:numId w:val="44"/>
              </w:numPr>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Style w:val="Hyperlink"/>
                <w:rFonts w:ascii="Arial" w:hAnsi="Arial" w:cs="Arial"/>
                <w:color w:val="000000"/>
                <w:szCs w:val="20"/>
                <w:shd w:val="clear" w:color="auto" w:fill="FFFFFF"/>
              </w:rPr>
            </w:pPr>
            <w:r w:rsidRPr="00EB5372">
              <w:rPr>
                <w:rStyle w:val="normaltextrun"/>
                <w:rFonts w:ascii="Arial" w:hAnsi="Arial" w:cs="Arial"/>
                <w:color w:val="000000"/>
                <w:szCs w:val="20"/>
                <w:shd w:val="clear" w:color="auto" w:fill="FFFFFF"/>
              </w:rPr>
              <w:t>Guidance will continue to reflect the premise that the entity is best placed to assess and control against risk, and compliance will be undertaken in accordance with the CISC’s Compliance and Enforcement Strategy:</w:t>
            </w:r>
            <w:r w:rsidRPr="00EB5372">
              <w:rPr>
                <w:rFonts w:eastAsia="Arial"/>
              </w:rPr>
              <w:t xml:space="preserve"> </w:t>
            </w:r>
            <w:r w:rsidRPr="00EF2277">
              <w:br/>
            </w:r>
            <w:hyperlink r:id="rId15" w:history="1">
              <w:r w:rsidRPr="00EB5372">
                <w:rPr>
                  <w:rStyle w:val="Hyperlink"/>
                  <w:rFonts w:ascii="Arial" w:eastAsia="Arial" w:hAnsi="Arial" w:cs="Arial"/>
                  <w:szCs w:val="20"/>
                </w:rPr>
                <w:t>Cyber and Infrastructure Security Centre Compliance and Enforcement Strategy (cisc.gov.au)</w:t>
              </w:r>
            </w:hyperlink>
          </w:p>
          <w:p w14:paraId="447DCE48" w14:textId="77777777" w:rsidR="006038AE" w:rsidRPr="00EF2277" w:rsidRDefault="006038AE" w:rsidP="006038AE">
            <w:pPr>
              <w:cnfStyle w:val="000000100000" w:firstRow="0" w:lastRow="0" w:firstColumn="0" w:lastColumn="0" w:oddVBand="0" w:evenVBand="0" w:oddHBand="1" w:evenHBand="0" w:firstRowFirstColumn="0" w:firstRowLastColumn="0" w:lastRowFirstColumn="0" w:lastRowLastColumn="0"/>
              <w:rPr>
                <w:rFonts w:ascii="Arial" w:hAnsi="Arial" w:cs="Arial"/>
                <w:highlight w:val="yellow"/>
                <w:lang w:eastAsia="en-AU"/>
              </w:rPr>
            </w:pPr>
          </w:p>
        </w:tc>
      </w:tr>
      <w:tr w:rsidR="006038AE" w:rsidRPr="00EF2277" w14:paraId="4EACD81B" w14:textId="77777777" w:rsidTr="006038A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vAlign w:val="center"/>
          </w:tcPr>
          <w:p w14:paraId="2E44A66B" w14:textId="77777777" w:rsidR="006038AE" w:rsidRPr="00436D55" w:rsidRDefault="006038AE" w:rsidP="006038AE">
            <w:pPr>
              <w:rPr>
                <w:rFonts w:ascii="Arial" w:eastAsia="Times New Roman" w:hAnsi="Arial" w:cs="Arial"/>
                <w:lang w:eastAsia="en-AU"/>
              </w:rPr>
            </w:pPr>
            <w:r w:rsidRPr="005229CA">
              <w:rPr>
                <w:rFonts w:ascii="Arial" w:eastAsia="Times New Roman" w:hAnsi="Arial" w:cs="Arial"/>
                <w:lang w:eastAsia="en-AU"/>
              </w:rPr>
              <w:t>Measure 3:</w:t>
            </w:r>
          </w:p>
          <w:p w14:paraId="1AB12134" w14:textId="77777777" w:rsidR="006038AE" w:rsidRPr="00436D55" w:rsidRDefault="006038AE" w:rsidP="006038AE">
            <w:pPr>
              <w:rPr>
                <w:rFonts w:ascii="Arial" w:eastAsia="Times New Roman" w:hAnsi="Arial" w:cs="Arial"/>
                <w:b w:val="0"/>
                <w:lang w:eastAsia="en-AU"/>
              </w:rPr>
            </w:pPr>
            <w:r w:rsidRPr="00147374">
              <w:rPr>
                <w:rFonts w:ascii="Arial" w:eastAsia="Times New Roman" w:hAnsi="Arial" w:cs="Arial"/>
                <w:lang w:eastAsia="en-AU"/>
              </w:rPr>
              <w:t>Enforcing Critical infrastructure risk management obligations – review and remedy powers</w:t>
            </w:r>
          </w:p>
          <w:p w14:paraId="4C4E5A89" w14:textId="77777777" w:rsidR="006038AE" w:rsidRPr="00EF2277" w:rsidRDefault="006038AE" w:rsidP="006038AE">
            <w:pPr>
              <w:rPr>
                <w:rFonts w:ascii="Arial" w:eastAsia="Times New Roman" w:hAnsi="Arial" w:cs="Arial"/>
                <w:b w:val="0"/>
                <w:bCs/>
                <w:lang w:eastAsia="en-AU"/>
              </w:rPr>
            </w:pPr>
          </w:p>
        </w:tc>
        <w:tc>
          <w:tcPr>
            <w:tcW w:w="2930" w:type="dxa"/>
            <w:vAlign w:val="center"/>
          </w:tcPr>
          <w:p w14:paraId="74F41DCC" w14:textId="77777777" w:rsidR="006038AE" w:rsidRPr="00535073" w:rsidRDefault="006038AE" w:rsidP="006038AE">
            <w:pPr>
              <w:cnfStyle w:val="000000010000" w:firstRow="0" w:lastRow="0" w:firstColumn="0" w:lastColumn="0" w:oddVBand="0" w:evenVBand="0" w:oddHBand="0" w:evenHBand="1" w:firstRowFirstColumn="0" w:firstRowLastColumn="0" w:lastRowFirstColumn="0" w:lastRowLastColumn="0"/>
              <w:rPr>
                <w:rFonts w:ascii="Arial" w:hAnsi="Arial" w:cs="Arial"/>
                <w:b/>
                <w:bCs/>
                <w:lang w:eastAsia="en-AU"/>
              </w:rPr>
            </w:pPr>
            <w:r w:rsidRPr="00535073">
              <w:rPr>
                <w:rFonts w:ascii="Arial" w:hAnsi="Arial" w:cs="Arial"/>
                <w:b/>
                <w:bCs/>
                <w:lang w:eastAsia="en-AU"/>
              </w:rPr>
              <w:t>Neutral</w:t>
            </w:r>
          </w:p>
          <w:p w14:paraId="542807C1" w14:textId="77777777" w:rsidR="006038AE" w:rsidRPr="003B0CB9" w:rsidRDefault="006038AE" w:rsidP="006038AE">
            <w:pPr>
              <w:pStyle w:val="ListParagraph"/>
              <w:numPr>
                <w:ilvl w:val="0"/>
                <w:numId w:val="46"/>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B0CB9">
              <w:rPr>
                <w:rFonts w:ascii="Arial" w:hAnsi="Arial" w:cs="Arial"/>
                <w:szCs w:val="20"/>
              </w:rPr>
              <w:t xml:space="preserve">Feedback emphasised the importance of having </w:t>
            </w:r>
            <w:r w:rsidRPr="00302A0C">
              <w:rPr>
                <w:rFonts w:ascii="Arial" w:hAnsi="Arial" w:cs="Arial"/>
                <w:szCs w:val="20"/>
              </w:rPr>
              <w:t>clear parameters</w:t>
            </w:r>
            <w:r w:rsidRPr="003B0CB9">
              <w:rPr>
                <w:rFonts w:ascii="Arial" w:hAnsi="Arial" w:cs="Arial"/>
                <w:szCs w:val="20"/>
              </w:rPr>
              <w:t xml:space="preserve"> for when the powers may be used and ensuring the exercise of these powers is done in good faith.</w:t>
            </w:r>
          </w:p>
          <w:p w14:paraId="1EBE5FA4" w14:textId="77777777" w:rsidR="006038AE" w:rsidRPr="003B0CB9" w:rsidRDefault="006038AE" w:rsidP="006038AE">
            <w:pPr>
              <w:pStyle w:val="ListParagraph"/>
              <w:numPr>
                <w:ilvl w:val="0"/>
                <w:numId w:val="46"/>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3B0CB9">
              <w:rPr>
                <w:rFonts w:ascii="Arial" w:hAnsi="Arial" w:cs="Arial"/>
                <w:szCs w:val="20"/>
              </w:rPr>
              <w:t xml:space="preserve">Feedback emphasised the importance of </w:t>
            </w:r>
            <w:r w:rsidRPr="00302A0C">
              <w:rPr>
                <w:rFonts w:ascii="Arial" w:hAnsi="Arial" w:cs="Arial"/>
                <w:szCs w:val="20"/>
              </w:rPr>
              <w:t>consulting with industry and government when assessing a CIRMP for deficiencies.</w:t>
            </w:r>
          </w:p>
          <w:p w14:paraId="0867D8F8" w14:textId="77777777" w:rsidR="006038AE" w:rsidRPr="00F573CA" w:rsidRDefault="006038AE" w:rsidP="006038AE">
            <w:pPr>
              <w:cnfStyle w:val="000000010000" w:firstRow="0" w:lastRow="0" w:firstColumn="0" w:lastColumn="0" w:oddVBand="0" w:evenVBand="0" w:oddHBand="0" w:evenHBand="1" w:firstRowFirstColumn="0" w:firstRowLastColumn="0" w:lastRowFirstColumn="0" w:lastRowLastColumn="0"/>
              <w:rPr>
                <w:rFonts w:ascii="Arial" w:hAnsi="Arial" w:cs="Arial"/>
                <w:lang w:eastAsia="en-AU"/>
              </w:rPr>
            </w:pPr>
          </w:p>
        </w:tc>
        <w:tc>
          <w:tcPr>
            <w:tcW w:w="4064" w:type="dxa"/>
            <w:shd w:val="clear" w:color="auto" w:fill="FFFFFF" w:themeFill="background1"/>
            <w:vAlign w:val="center"/>
          </w:tcPr>
          <w:p w14:paraId="29291C2D" w14:textId="77777777" w:rsidR="006038AE" w:rsidRPr="00EB5372" w:rsidRDefault="006038AE" w:rsidP="006038AE">
            <w:pPr>
              <w:pStyle w:val="ListParagraph"/>
              <w:numPr>
                <w:ilvl w:val="0"/>
                <w:numId w:val="44"/>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20"/>
              </w:rPr>
            </w:pPr>
            <w:r w:rsidRPr="00EB5372">
              <w:rPr>
                <w:rStyle w:val="normaltextrun"/>
                <w:rFonts w:ascii="Arial" w:hAnsi="Arial" w:cs="Arial"/>
                <w:color w:val="000000"/>
                <w:szCs w:val="20"/>
                <w:shd w:val="clear" w:color="auto" w:fill="FFFFFF"/>
              </w:rPr>
              <w:t xml:space="preserve">As the </w:t>
            </w:r>
            <w:r>
              <w:rPr>
                <w:rStyle w:val="normaltextrun"/>
                <w:rFonts w:ascii="Arial" w:hAnsi="Arial" w:cs="Arial"/>
                <w:color w:val="000000"/>
                <w:szCs w:val="20"/>
                <w:shd w:val="clear" w:color="auto" w:fill="FFFFFF"/>
              </w:rPr>
              <w:t>D</w:t>
            </w:r>
            <w:r w:rsidRPr="00EB5372">
              <w:rPr>
                <w:rStyle w:val="normaltextrun"/>
                <w:rFonts w:ascii="Arial" w:hAnsi="Arial" w:cs="Arial"/>
                <w:color w:val="000000"/>
                <w:szCs w:val="20"/>
                <w:shd w:val="clear" w:color="auto" w:fill="FFFFFF"/>
              </w:rPr>
              <w:t>epartment moves towards more of a compliance posture as the RMP obligations are implemented and mature, we need to have the levers in place to provide effective quality assurance.</w:t>
            </w:r>
            <w:r w:rsidRPr="00EB5372">
              <w:rPr>
                <w:rStyle w:val="eop"/>
                <w:rFonts w:ascii="Arial" w:hAnsi="Arial" w:cs="Arial"/>
                <w:color w:val="000000"/>
                <w:szCs w:val="20"/>
                <w:shd w:val="clear" w:color="auto" w:fill="FFFFFF"/>
              </w:rPr>
              <w:t> </w:t>
            </w:r>
          </w:p>
          <w:p w14:paraId="292AB1C2" w14:textId="77777777" w:rsidR="006038AE" w:rsidRPr="00EB5372" w:rsidRDefault="006038AE" w:rsidP="006038AE">
            <w:pPr>
              <w:pStyle w:val="ListParagraph"/>
              <w:numPr>
                <w:ilvl w:val="0"/>
                <w:numId w:val="44"/>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Style w:val="eop"/>
                <w:rFonts w:ascii="Arial" w:hAnsi="Arial" w:cs="Arial"/>
              </w:rPr>
            </w:pPr>
            <w:r w:rsidRPr="098AE7E4">
              <w:rPr>
                <w:rStyle w:val="normaltextrun"/>
                <w:rFonts w:ascii="Arial" w:hAnsi="Arial" w:cs="Arial"/>
                <w:color w:val="000000"/>
                <w:shd w:val="clear" w:color="auto" w:fill="FFFFFF"/>
              </w:rPr>
              <w:t>The Department and the Office of Parliamentary Counsel have worked closely to ensure industry’s expectations about the parameters of this power are met. For the purposes of this direction, the Department is proposing ‘seriously deficient’ to mean there is a material risk to Australia’s socioeconomic stability, defence, or national security.  </w:t>
            </w:r>
            <w:r w:rsidRPr="098AE7E4">
              <w:rPr>
                <w:rStyle w:val="eop"/>
                <w:rFonts w:ascii="Arial" w:hAnsi="Arial" w:cs="Arial"/>
                <w:color w:val="000000"/>
                <w:shd w:val="clear" w:color="auto" w:fill="FFFFFF"/>
              </w:rPr>
              <w:t> </w:t>
            </w:r>
          </w:p>
          <w:p w14:paraId="65F216EC" w14:textId="77777777" w:rsidR="006038AE" w:rsidRDefault="006038AE" w:rsidP="006038AE">
            <w:pPr>
              <w:pStyle w:val="ListParagraph"/>
              <w:numPr>
                <w:ilvl w:val="0"/>
                <w:numId w:val="44"/>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Style w:val="eop"/>
                <w:rFonts w:ascii="Arial" w:hAnsi="Arial" w:cs="Arial"/>
              </w:rPr>
            </w:pPr>
            <w:r w:rsidRPr="098AE7E4">
              <w:rPr>
                <w:rStyle w:val="eop"/>
                <w:rFonts w:ascii="Arial" w:hAnsi="Arial" w:cs="Arial"/>
              </w:rPr>
              <w:t xml:space="preserve">Industry feedback augmented the Department’s commitment to always working collaboratively with entities before engaging formal powers. </w:t>
            </w:r>
          </w:p>
          <w:p w14:paraId="13664576" w14:textId="77777777" w:rsidR="006038AE" w:rsidRPr="00EB5372" w:rsidRDefault="006038AE" w:rsidP="006038AE">
            <w:pPr>
              <w:pStyle w:val="ListParagraph"/>
              <w:numPr>
                <w:ilvl w:val="0"/>
                <w:numId w:val="44"/>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Style w:val="normaltextrun"/>
                <w:rFonts w:ascii="Arial" w:hAnsi="Arial" w:cs="Arial"/>
                <w:color w:val="000000"/>
                <w:szCs w:val="20"/>
                <w:shd w:val="clear" w:color="auto" w:fill="FFFFFF"/>
              </w:rPr>
            </w:pPr>
            <w:r w:rsidRPr="00EB5372">
              <w:rPr>
                <w:rStyle w:val="normaltextrun"/>
                <w:rFonts w:ascii="Arial" w:hAnsi="Arial" w:cs="Arial"/>
                <w:color w:val="000000"/>
                <w:szCs w:val="20"/>
                <w:shd w:val="clear" w:color="auto" w:fill="FFFFFF"/>
              </w:rPr>
              <w:t>Where the regulator issues a direction, the entity will be able to rectify the deficiency using the principles-based requirements for the risk management program. The CISC / Commonwealth regulator will work with the entity throughout this.</w:t>
            </w:r>
          </w:p>
          <w:p w14:paraId="55837EA8" w14:textId="77777777" w:rsidR="006038AE" w:rsidRPr="00EB5372" w:rsidRDefault="006038AE" w:rsidP="006038AE">
            <w:pPr>
              <w:pStyle w:val="ListParagraph"/>
              <w:numPr>
                <w:ilvl w:val="0"/>
                <w:numId w:val="44"/>
              </w:numPr>
              <w:spacing w:before="0" w:after="0" w:line="240" w:lineRule="auto"/>
              <w:contextualSpacing/>
              <w:cnfStyle w:val="000000010000" w:firstRow="0" w:lastRow="0" w:firstColumn="0" w:lastColumn="0" w:oddVBand="0" w:evenVBand="0" w:oddHBand="0" w:evenHBand="1" w:firstRowFirstColumn="0" w:firstRowLastColumn="0" w:lastRowFirstColumn="0" w:lastRowLastColumn="0"/>
              <w:rPr>
                <w:rStyle w:val="Hyperlink"/>
                <w:rFonts w:ascii="Arial" w:hAnsi="Arial" w:cs="Arial"/>
                <w:color w:val="000000"/>
                <w:szCs w:val="20"/>
                <w:shd w:val="clear" w:color="auto" w:fill="FFFFFF"/>
              </w:rPr>
            </w:pPr>
            <w:r w:rsidRPr="00EB5372">
              <w:rPr>
                <w:rStyle w:val="normaltextrun"/>
                <w:rFonts w:ascii="Arial" w:hAnsi="Arial" w:cs="Arial"/>
                <w:color w:val="000000"/>
                <w:szCs w:val="20"/>
                <w:shd w:val="clear" w:color="auto" w:fill="FFFFFF"/>
              </w:rPr>
              <w:t>Guidance will continue to reflect the premise that the entity is best placed to assess and control against risk, and compliance will be undertaken in accordance with the CISC’s Compliance and Enforcement Strategy:</w:t>
            </w:r>
            <w:r w:rsidRPr="00EB5372">
              <w:rPr>
                <w:rFonts w:eastAsia="Arial"/>
              </w:rPr>
              <w:t xml:space="preserve"> </w:t>
            </w:r>
            <w:r w:rsidRPr="00EF2277">
              <w:br/>
            </w:r>
            <w:hyperlink r:id="rId16" w:history="1">
              <w:r w:rsidRPr="00EB5372">
                <w:rPr>
                  <w:rStyle w:val="Hyperlink"/>
                  <w:rFonts w:ascii="Arial" w:eastAsia="Arial" w:hAnsi="Arial" w:cs="Arial"/>
                  <w:szCs w:val="20"/>
                </w:rPr>
                <w:t>Cyber and Infrastructure Security Centre Compliance and Enforcement Strategy (cisc.gov.au)</w:t>
              </w:r>
            </w:hyperlink>
          </w:p>
          <w:p w14:paraId="12FB5306" w14:textId="77777777" w:rsidR="006038AE" w:rsidRPr="00EF2277" w:rsidRDefault="006038AE" w:rsidP="006038AE">
            <w:pPr>
              <w:cnfStyle w:val="000000010000" w:firstRow="0" w:lastRow="0" w:firstColumn="0" w:lastColumn="0" w:oddVBand="0" w:evenVBand="0" w:oddHBand="0" w:evenHBand="1" w:firstRowFirstColumn="0" w:firstRowLastColumn="0" w:lastRowFirstColumn="0" w:lastRowLastColumn="0"/>
              <w:rPr>
                <w:rFonts w:ascii="Arial" w:hAnsi="Arial" w:cs="Arial"/>
                <w:lang w:eastAsia="en-AU"/>
              </w:rPr>
            </w:pPr>
          </w:p>
        </w:tc>
      </w:tr>
    </w:tbl>
    <w:p w14:paraId="57EB7639" w14:textId="77777777" w:rsidR="00C906A5" w:rsidRDefault="00C906A5" w:rsidP="000B5219">
      <w:pPr>
        <w:textAlignment w:val="baseline"/>
        <w:rPr>
          <w:rFonts w:ascii="Calibri" w:eastAsia="Times New Roman" w:hAnsi="Calibri" w:cs="Calibri"/>
          <w:b/>
          <w:bCs/>
          <w:i/>
          <w:iCs/>
          <w:sz w:val="18"/>
          <w:szCs w:val="18"/>
          <w:lang w:eastAsia="en-AU"/>
        </w:rPr>
      </w:pPr>
    </w:p>
    <w:p w14:paraId="7F23508E" w14:textId="77777777" w:rsidR="00254AE0" w:rsidRDefault="00254AE0">
      <w:pPr>
        <w:spacing w:before="80" w:after="80"/>
        <w:rPr>
          <w:rFonts w:ascii="Calibri" w:eastAsia="Times New Roman" w:hAnsi="Calibri" w:cs="Calibri"/>
          <w:b/>
          <w:bCs/>
          <w:i/>
          <w:iCs/>
          <w:sz w:val="18"/>
          <w:szCs w:val="18"/>
          <w:lang w:eastAsia="en-AU"/>
        </w:rPr>
      </w:pPr>
      <w:r>
        <w:rPr>
          <w:rFonts w:ascii="Calibri" w:eastAsia="Times New Roman" w:hAnsi="Calibri" w:cs="Calibri"/>
          <w:b/>
          <w:bCs/>
          <w:i/>
          <w:iCs/>
          <w:sz w:val="18"/>
          <w:szCs w:val="18"/>
          <w:lang w:eastAsia="en-AU"/>
        </w:rPr>
        <w:br w:type="page"/>
      </w:r>
    </w:p>
    <w:p w14:paraId="08D64E5A" w14:textId="2DF7DF84" w:rsidR="000B5219" w:rsidRPr="00C906A5" w:rsidRDefault="00237E08" w:rsidP="6CC739DA">
      <w:pPr>
        <w:textAlignment w:val="baseline"/>
        <w:rPr>
          <w:rFonts w:ascii="Calibri" w:eastAsia="Times New Roman" w:hAnsi="Calibri" w:cs="Calibri"/>
          <w:i/>
          <w:iCs/>
          <w:sz w:val="18"/>
          <w:szCs w:val="18"/>
          <w:lang w:eastAsia="en-AU"/>
        </w:rPr>
      </w:pPr>
      <w:r w:rsidRPr="00085793">
        <w:rPr>
          <w:rFonts w:ascii="Calibri" w:eastAsia="Times New Roman" w:hAnsi="Calibri" w:cs="Calibri"/>
          <w:b/>
          <w:bCs/>
          <w:i/>
          <w:iCs/>
          <w:sz w:val="18"/>
          <w:szCs w:val="18"/>
          <w:lang w:eastAsia="en-AU"/>
        </w:rPr>
        <w:t xml:space="preserve">Table </w:t>
      </w:r>
      <w:r w:rsidRPr="00085793">
        <w:rPr>
          <w:rFonts w:ascii="Calibri" w:eastAsia="Times New Roman" w:hAnsi="Calibri" w:cs="Calibri"/>
          <w:b/>
          <w:bCs/>
          <w:i/>
          <w:iCs/>
          <w:color w:val="2B579A"/>
          <w:sz w:val="18"/>
          <w:szCs w:val="18"/>
          <w:shd w:val="clear" w:color="auto" w:fill="E6E6E6"/>
          <w:lang w:eastAsia="en-AU"/>
        </w:rPr>
        <w:fldChar w:fldCharType="begin"/>
      </w:r>
      <w:r w:rsidRPr="00085793">
        <w:rPr>
          <w:rFonts w:ascii="Calibri" w:eastAsia="Times New Roman" w:hAnsi="Calibri" w:cs="Calibri"/>
          <w:b/>
          <w:bCs/>
          <w:i/>
          <w:iCs/>
          <w:sz w:val="18"/>
          <w:szCs w:val="18"/>
          <w:lang w:eastAsia="en-AU"/>
        </w:rPr>
        <w:instrText xml:space="preserve"> SEQ Table \* ARABIC </w:instrText>
      </w:r>
      <w:r w:rsidRPr="00085793">
        <w:rPr>
          <w:rFonts w:ascii="Calibri" w:eastAsia="Times New Roman" w:hAnsi="Calibri" w:cs="Calibri"/>
          <w:b/>
          <w:bCs/>
          <w:i/>
          <w:iCs/>
          <w:color w:val="2B579A"/>
          <w:sz w:val="18"/>
          <w:szCs w:val="18"/>
          <w:shd w:val="clear" w:color="auto" w:fill="E6E6E6"/>
          <w:lang w:eastAsia="en-AU"/>
        </w:rPr>
        <w:fldChar w:fldCharType="separate"/>
      </w:r>
      <w:r w:rsidR="00E8506B">
        <w:rPr>
          <w:rFonts w:ascii="Calibri" w:eastAsia="Times New Roman" w:hAnsi="Calibri" w:cs="Calibri"/>
          <w:b/>
          <w:bCs/>
          <w:i/>
          <w:iCs/>
          <w:noProof/>
          <w:sz w:val="18"/>
          <w:szCs w:val="18"/>
          <w:lang w:eastAsia="en-AU"/>
        </w:rPr>
        <w:t>33</w:t>
      </w:r>
      <w:r w:rsidRPr="00085793">
        <w:rPr>
          <w:rFonts w:ascii="Calibri" w:eastAsia="Times New Roman" w:hAnsi="Calibri" w:cs="Calibri"/>
          <w:b/>
          <w:bCs/>
          <w:i/>
          <w:iCs/>
          <w:color w:val="2B579A"/>
          <w:sz w:val="18"/>
          <w:szCs w:val="18"/>
          <w:shd w:val="clear" w:color="auto" w:fill="E6E6E6"/>
          <w:lang w:eastAsia="en-AU"/>
        </w:rPr>
        <w:fldChar w:fldCharType="end"/>
      </w:r>
      <w:r w:rsidRPr="00085793">
        <w:rPr>
          <w:rFonts w:ascii="Calibri" w:eastAsia="Times New Roman" w:hAnsi="Calibri" w:cs="Calibri"/>
          <w:b/>
          <w:bCs/>
          <w:i/>
          <w:iCs/>
          <w:sz w:val="18"/>
          <w:szCs w:val="18"/>
          <w:lang w:eastAsia="en-AU"/>
        </w:rPr>
        <w:t xml:space="preserve"> </w:t>
      </w:r>
      <w:r w:rsidR="000B5219" w:rsidRPr="6CC739DA">
        <w:rPr>
          <w:rFonts w:ascii="Calibri" w:eastAsia="Times New Roman" w:hAnsi="Calibri" w:cs="Calibri"/>
          <w:i/>
          <w:iCs/>
          <w:sz w:val="18"/>
          <w:szCs w:val="18"/>
          <w:lang w:eastAsia="en-AU"/>
        </w:rPr>
        <w:t>Industry sentiment and responses to the Draft IA ‘Amendments to the Security of Critical Infrastructure Act 2018 (Cth)’</w:t>
      </w:r>
    </w:p>
    <w:tbl>
      <w:tblPr>
        <w:tblW w:w="0" w:type="auto"/>
        <w:tblBorders>
          <w:insideH w:val="single" w:sz="4" w:space="0" w:color="CBCBCB" w:themeColor="accent5"/>
          <w:insideV w:val="single" w:sz="4" w:space="0" w:color="CBCBCB" w:themeColor="accent5"/>
        </w:tblBorders>
        <w:tblCellMar>
          <w:left w:w="0" w:type="dxa"/>
          <w:right w:w="0" w:type="dxa"/>
        </w:tblCellMar>
        <w:tblLook w:val="04A0" w:firstRow="1" w:lastRow="0" w:firstColumn="1" w:lastColumn="0" w:noHBand="0" w:noVBand="1"/>
      </w:tblPr>
      <w:tblGrid>
        <w:gridCol w:w="1972"/>
        <w:gridCol w:w="3273"/>
        <w:gridCol w:w="3781"/>
      </w:tblGrid>
      <w:tr w:rsidR="00522118" w:rsidRPr="00940D7E" w14:paraId="23069053" w14:textId="77777777" w:rsidTr="00436D55">
        <w:trPr>
          <w:trHeight w:val="300"/>
          <w:tblHeader/>
        </w:trPr>
        <w:tc>
          <w:tcPr>
            <w:tcW w:w="0" w:type="auto"/>
            <w:shd w:val="clear" w:color="auto" w:fill="284B98"/>
            <w:vAlign w:val="center"/>
            <w:hideMark/>
          </w:tcPr>
          <w:p w14:paraId="2088826D" w14:textId="77777777" w:rsidR="000B5219" w:rsidRPr="00651125" w:rsidRDefault="000B5219" w:rsidP="00EE11E0">
            <w:pPr>
              <w:spacing w:before="120" w:after="120"/>
              <w:rPr>
                <w:rFonts w:ascii="Arial" w:hAnsi="Arial" w:cs="Arial"/>
                <w:b/>
                <w:bCs/>
                <w:color w:val="FFFFFF" w:themeColor="background1"/>
                <w:szCs w:val="20"/>
                <w:lang w:eastAsia="en-AU"/>
              </w:rPr>
            </w:pPr>
            <w:r w:rsidRPr="00651125">
              <w:rPr>
                <w:rFonts w:ascii="Arial" w:hAnsi="Arial" w:cs="Arial"/>
                <w:b/>
                <w:bCs/>
                <w:color w:val="FFFFFF" w:themeColor="background1"/>
                <w:szCs w:val="20"/>
                <w:lang w:eastAsia="en-AU"/>
              </w:rPr>
              <w:t>Proposal</w:t>
            </w:r>
          </w:p>
        </w:tc>
        <w:tc>
          <w:tcPr>
            <w:tcW w:w="3273" w:type="dxa"/>
            <w:shd w:val="clear" w:color="auto" w:fill="284B98"/>
            <w:vAlign w:val="center"/>
            <w:hideMark/>
          </w:tcPr>
          <w:p w14:paraId="30005E20" w14:textId="77777777" w:rsidR="000B5219" w:rsidRPr="00651125" w:rsidRDefault="000B5219" w:rsidP="00EE11E0">
            <w:pPr>
              <w:spacing w:before="120" w:after="120"/>
              <w:rPr>
                <w:rFonts w:ascii="Arial" w:hAnsi="Arial" w:cs="Arial"/>
                <w:b/>
                <w:bCs/>
                <w:color w:val="FFFFFF" w:themeColor="background1"/>
                <w:szCs w:val="20"/>
                <w:lang w:eastAsia="en-AU"/>
              </w:rPr>
            </w:pPr>
            <w:r w:rsidRPr="00651125">
              <w:rPr>
                <w:rFonts w:ascii="Arial" w:hAnsi="Arial" w:cs="Arial"/>
                <w:b/>
                <w:bCs/>
                <w:color w:val="FFFFFF" w:themeColor="background1"/>
                <w:szCs w:val="20"/>
                <w:lang w:eastAsia="en-AU"/>
              </w:rPr>
              <w:t>Summary of industry views </w:t>
            </w:r>
            <w:r>
              <w:rPr>
                <w:rFonts w:ascii="Arial" w:hAnsi="Arial" w:cs="Arial"/>
                <w:b/>
                <w:bCs/>
                <w:color w:val="FFFFFF" w:themeColor="background1"/>
                <w:szCs w:val="20"/>
                <w:lang w:eastAsia="en-AU"/>
              </w:rPr>
              <w:t>on proposed impact</w:t>
            </w:r>
          </w:p>
        </w:tc>
        <w:tc>
          <w:tcPr>
            <w:tcW w:w="3781" w:type="dxa"/>
            <w:shd w:val="clear" w:color="auto" w:fill="284B98"/>
            <w:vAlign w:val="center"/>
            <w:hideMark/>
          </w:tcPr>
          <w:p w14:paraId="1927B2E4" w14:textId="77777777" w:rsidR="000B5219" w:rsidRPr="00651125" w:rsidRDefault="000B5219" w:rsidP="00EE11E0">
            <w:pPr>
              <w:spacing w:before="120" w:after="120"/>
              <w:rPr>
                <w:rFonts w:ascii="Arial" w:hAnsi="Arial" w:cs="Arial"/>
                <w:b/>
                <w:bCs/>
                <w:color w:val="FFFFFF" w:themeColor="background1"/>
                <w:szCs w:val="20"/>
                <w:lang w:eastAsia="en-AU"/>
              </w:rPr>
            </w:pPr>
            <w:r w:rsidRPr="00651125">
              <w:rPr>
                <w:rFonts w:ascii="Arial" w:hAnsi="Arial" w:cs="Arial"/>
                <w:b/>
                <w:bCs/>
                <w:color w:val="FFFFFF" w:themeColor="background1"/>
                <w:szCs w:val="20"/>
                <w:lang w:eastAsia="en-AU"/>
              </w:rPr>
              <w:t xml:space="preserve">Department </w:t>
            </w:r>
            <w:r>
              <w:rPr>
                <w:rFonts w:ascii="Arial" w:hAnsi="Arial" w:cs="Arial"/>
                <w:b/>
                <w:bCs/>
                <w:color w:val="FFFFFF" w:themeColor="background1"/>
                <w:szCs w:val="20"/>
                <w:lang w:eastAsia="en-AU"/>
              </w:rPr>
              <w:t>response</w:t>
            </w:r>
          </w:p>
        </w:tc>
      </w:tr>
      <w:tr w:rsidR="000B5219" w:rsidRPr="00940D7E" w14:paraId="78376A6A" w14:textId="77777777" w:rsidTr="00436D55">
        <w:trPr>
          <w:trHeight w:val="300"/>
        </w:trPr>
        <w:tc>
          <w:tcPr>
            <w:tcW w:w="0" w:type="auto"/>
            <w:gridSpan w:val="3"/>
            <w:shd w:val="clear" w:color="auto" w:fill="D9E2F3"/>
            <w:vAlign w:val="center"/>
          </w:tcPr>
          <w:p w14:paraId="4DDB7C2B" w14:textId="77777777" w:rsidR="000B5219" w:rsidRPr="00070C48" w:rsidRDefault="000B5219" w:rsidP="00EE11E0">
            <w:pPr>
              <w:rPr>
                <w:rFonts w:ascii="Arial" w:hAnsi="Arial" w:cs="Arial"/>
                <w:b/>
                <w:bCs/>
                <w:szCs w:val="24"/>
                <w:lang w:eastAsia="en-AU"/>
              </w:rPr>
            </w:pPr>
            <w:r w:rsidRPr="00302A0C">
              <w:rPr>
                <w:rFonts w:ascii="Arial" w:hAnsi="Arial" w:cs="Arial"/>
                <w:b/>
                <w:szCs w:val="24"/>
                <w:lang w:eastAsia="en-AU"/>
              </w:rPr>
              <w:t>Option 1 – maintain status quo</w:t>
            </w:r>
          </w:p>
        </w:tc>
      </w:tr>
      <w:tr w:rsidR="00522118" w:rsidRPr="00940D7E" w14:paraId="21F51F5F" w14:textId="77777777" w:rsidTr="00436D55">
        <w:trPr>
          <w:trHeight w:val="300"/>
        </w:trPr>
        <w:tc>
          <w:tcPr>
            <w:tcW w:w="0" w:type="auto"/>
            <w:vMerge w:val="restart"/>
            <w:shd w:val="clear" w:color="auto" w:fill="F2F2F2" w:themeFill="background2" w:themeFillShade="F2"/>
            <w:vAlign w:val="center"/>
          </w:tcPr>
          <w:p w14:paraId="00FA5AD3" w14:textId="77777777" w:rsidR="000B5219" w:rsidRPr="004F3BBA" w:rsidRDefault="000B5219" w:rsidP="00254AE0">
            <w:pPr>
              <w:rPr>
                <w:rFonts w:ascii="Arial" w:hAnsi="Arial" w:cs="Arial"/>
                <w:b/>
                <w:bCs/>
                <w:szCs w:val="24"/>
                <w:lang w:eastAsia="en-AU"/>
              </w:rPr>
            </w:pPr>
            <w:r>
              <w:rPr>
                <w:rFonts w:ascii="Arial" w:hAnsi="Arial" w:cs="Arial"/>
                <w:b/>
                <w:bCs/>
                <w:szCs w:val="24"/>
                <w:lang w:eastAsia="en-AU"/>
              </w:rPr>
              <w:t>Status Quo</w:t>
            </w:r>
          </w:p>
        </w:tc>
        <w:tc>
          <w:tcPr>
            <w:tcW w:w="3273" w:type="dxa"/>
            <w:shd w:val="clear" w:color="auto" w:fill="auto"/>
            <w:vAlign w:val="center"/>
          </w:tcPr>
          <w:p w14:paraId="1F7AFCF0" w14:textId="77777777" w:rsidR="000B5219" w:rsidRPr="00E3744A" w:rsidRDefault="000B5219" w:rsidP="00254AE0">
            <w:pPr>
              <w:rPr>
                <w:rFonts w:ascii="Arial" w:eastAsia="Times New Roman" w:hAnsi="Arial" w:cs="Arial"/>
                <w:b/>
                <w:bCs/>
                <w:szCs w:val="20"/>
                <w:lang w:eastAsia="en-AU"/>
              </w:rPr>
            </w:pPr>
            <w:r w:rsidRPr="00E3744A">
              <w:rPr>
                <w:rFonts w:ascii="Arial" w:eastAsia="Times New Roman" w:hAnsi="Arial" w:cs="Arial"/>
                <w:b/>
                <w:bCs/>
                <w:szCs w:val="20"/>
                <w:lang w:eastAsia="en-AU"/>
              </w:rPr>
              <w:t>Supportive</w:t>
            </w:r>
          </w:p>
          <w:p w14:paraId="4C464413" w14:textId="77777777" w:rsidR="000B5219" w:rsidRPr="008F7A4D" w:rsidRDefault="000B5219" w:rsidP="00254AE0">
            <w:pPr>
              <w:pStyle w:val="ListParagraph"/>
              <w:numPr>
                <w:ilvl w:val="0"/>
                <w:numId w:val="54"/>
              </w:numPr>
              <w:spacing w:before="0" w:after="0" w:line="240" w:lineRule="auto"/>
              <w:contextualSpacing/>
              <w:rPr>
                <w:rFonts w:ascii="Arial" w:hAnsi="Arial" w:cs="Arial"/>
                <w:szCs w:val="20"/>
              </w:rPr>
            </w:pPr>
            <w:r w:rsidRPr="00302A0C">
              <w:rPr>
                <w:rFonts w:ascii="Arial" w:hAnsi="Arial" w:cs="Arial"/>
                <w:szCs w:val="20"/>
              </w:rPr>
              <w:t>Minor costs</w:t>
            </w:r>
            <w:r w:rsidRPr="008F7A4D">
              <w:rPr>
                <w:rFonts w:ascii="Arial" w:hAnsi="Arial" w:cs="Arial"/>
                <w:szCs w:val="20"/>
              </w:rPr>
              <w:t xml:space="preserve"> associated with consultancy to assist in uptake and understanding of regulations.</w:t>
            </w:r>
          </w:p>
          <w:p w14:paraId="3EAE7DC8" w14:textId="77777777" w:rsidR="000B5219" w:rsidRPr="00237B38" w:rsidRDefault="000B5219" w:rsidP="00254AE0">
            <w:pPr>
              <w:pStyle w:val="ListParagraph"/>
              <w:numPr>
                <w:ilvl w:val="0"/>
                <w:numId w:val="54"/>
              </w:numPr>
              <w:spacing w:before="0" w:after="0" w:line="240" w:lineRule="auto"/>
              <w:contextualSpacing/>
              <w:rPr>
                <w:rFonts w:ascii="Arial" w:hAnsi="Arial" w:cs="Arial"/>
                <w:szCs w:val="20"/>
              </w:rPr>
            </w:pPr>
            <w:r w:rsidRPr="008F7A4D">
              <w:rPr>
                <w:rFonts w:ascii="Arial" w:hAnsi="Arial" w:cs="Arial"/>
                <w:szCs w:val="20"/>
              </w:rPr>
              <w:t xml:space="preserve">Many entities are </w:t>
            </w:r>
            <w:r w:rsidRPr="00302A0C">
              <w:rPr>
                <w:rFonts w:ascii="Arial" w:hAnsi="Arial" w:cs="Arial"/>
                <w:szCs w:val="20"/>
              </w:rPr>
              <w:t>already familiar with obligations</w:t>
            </w:r>
            <w:r w:rsidRPr="008F7A4D">
              <w:rPr>
                <w:rFonts w:ascii="Arial" w:hAnsi="Arial" w:cs="Arial"/>
                <w:szCs w:val="20"/>
              </w:rPr>
              <w:t xml:space="preserve"> and operate under existing statutory and legislative frameworks which ensures compliance with the intent of the SOCI Act.</w:t>
            </w:r>
          </w:p>
        </w:tc>
        <w:tc>
          <w:tcPr>
            <w:tcW w:w="3781" w:type="dxa"/>
            <w:vMerge w:val="restart"/>
            <w:shd w:val="clear" w:color="auto" w:fill="auto"/>
            <w:vAlign w:val="center"/>
          </w:tcPr>
          <w:p w14:paraId="67E6DAB9" w14:textId="58C6767A" w:rsidR="00DD2A3C" w:rsidRDefault="00DD2A3C" w:rsidP="00436D55">
            <w:pPr>
              <w:pStyle w:val="ListParagraph"/>
              <w:spacing w:before="0" w:line="240" w:lineRule="auto"/>
              <w:rPr>
                <w:rFonts w:ascii="Arial" w:hAnsi="Arial" w:cs="Arial"/>
              </w:rPr>
            </w:pPr>
            <w:r w:rsidRPr="4F26752A">
              <w:rPr>
                <w:rFonts w:ascii="Arial" w:hAnsi="Arial" w:cs="Arial"/>
              </w:rPr>
              <w:t xml:space="preserve">Industry feedback on option </w:t>
            </w:r>
            <w:r>
              <w:rPr>
                <w:rFonts w:ascii="Arial" w:hAnsi="Arial" w:cs="Arial"/>
              </w:rPr>
              <w:t>1</w:t>
            </w:r>
            <w:r w:rsidRPr="4F26752A">
              <w:rPr>
                <w:rFonts w:ascii="Arial" w:hAnsi="Arial" w:cs="Arial"/>
              </w:rPr>
              <w:t xml:space="preserve"> improved the Department’s understanding of the risk associated with the status quo and the requirement for government action.</w:t>
            </w:r>
            <w:r>
              <w:rPr>
                <w:rFonts w:ascii="Arial" w:hAnsi="Arial" w:cs="Arial"/>
              </w:rPr>
              <w:t xml:space="preserve"> </w:t>
            </w:r>
            <w:r w:rsidR="000B5219" w:rsidRPr="4F26752A">
              <w:rPr>
                <w:rFonts w:ascii="Arial" w:hAnsi="Arial" w:cs="Arial"/>
              </w:rPr>
              <w:t xml:space="preserve">The Department </w:t>
            </w:r>
            <w:r>
              <w:rPr>
                <w:rFonts w:ascii="Arial" w:hAnsi="Arial" w:cs="Arial"/>
              </w:rPr>
              <w:t xml:space="preserve">also </w:t>
            </w:r>
            <w:r w:rsidR="000B5219" w:rsidRPr="4F26752A">
              <w:rPr>
                <w:rFonts w:ascii="Arial" w:hAnsi="Arial" w:cs="Arial"/>
              </w:rPr>
              <w:t xml:space="preserve">acknowledges that Option 1 imposes the lowest immediate regulatory cost on entities. </w:t>
            </w:r>
          </w:p>
          <w:p w14:paraId="471C40F7" w14:textId="345B8E15" w:rsidR="000B5219" w:rsidRPr="00D91549" w:rsidRDefault="000B5219" w:rsidP="4F26752A">
            <w:pPr>
              <w:pStyle w:val="ListParagraph"/>
              <w:spacing w:before="0" w:after="0" w:line="240" w:lineRule="auto"/>
              <w:contextualSpacing/>
              <w:rPr>
                <w:rFonts w:ascii="Arial" w:hAnsi="Arial" w:cs="Arial"/>
              </w:rPr>
            </w:pPr>
            <w:r w:rsidRPr="4F26752A">
              <w:rPr>
                <w:rFonts w:ascii="Arial" w:hAnsi="Arial" w:cs="Arial"/>
              </w:rPr>
              <w:t xml:space="preserve">However, the Department considers that the increasing prevalence of cyber-attacks and risk that Government will be unable to effectively coordinate response or work with entities to manage risks mean Option 1 could lead to significant and unmitigated events affecting Australian critical infrastructure. </w:t>
            </w:r>
          </w:p>
        </w:tc>
      </w:tr>
      <w:tr w:rsidR="00522118" w:rsidRPr="00940D7E" w14:paraId="589D1864" w14:textId="77777777" w:rsidTr="00436D55">
        <w:trPr>
          <w:trHeight w:val="300"/>
        </w:trPr>
        <w:tc>
          <w:tcPr>
            <w:tcW w:w="0" w:type="auto"/>
            <w:vMerge/>
            <w:vAlign w:val="center"/>
          </w:tcPr>
          <w:p w14:paraId="53C1389B" w14:textId="77777777" w:rsidR="000B5219" w:rsidRDefault="000B5219" w:rsidP="00254AE0">
            <w:pPr>
              <w:rPr>
                <w:rFonts w:ascii="Arial" w:hAnsi="Arial" w:cs="Arial"/>
                <w:b/>
                <w:bCs/>
                <w:szCs w:val="24"/>
                <w:lang w:eastAsia="en-AU"/>
              </w:rPr>
            </w:pPr>
          </w:p>
        </w:tc>
        <w:tc>
          <w:tcPr>
            <w:tcW w:w="3273" w:type="dxa"/>
            <w:shd w:val="clear" w:color="auto" w:fill="auto"/>
            <w:vAlign w:val="center"/>
          </w:tcPr>
          <w:p w14:paraId="36A57BE2" w14:textId="77777777" w:rsidR="000B5219" w:rsidRDefault="000B5219" w:rsidP="00254AE0">
            <w:pPr>
              <w:rPr>
                <w:rFonts w:ascii="Arial" w:eastAsia="Times New Roman" w:hAnsi="Arial" w:cs="Arial"/>
                <w:b/>
                <w:bCs/>
                <w:szCs w:val="20"/>
                <w:lang w:eastAsia="en-AU"/>
              </w:rPr>
            </w:pPr>
          </w:p>
          <w:p w14:paraId="058E6452" w14:textId="77777777" w:rsidR="000B5219" w:rsidRPr="009B77CF" w:rsidRDefault="000B5219" w:rsidP="00254AE0">
            <w:pPr>
              <w:rPr>
                <w:rFonts w:ascii="Arial" w:eastAsia="Times New Roman" w:hAnsi="Arial" w:cs="Arial"/>
                <w:b/>
                <w:bCs/>
                <w:szCs w:val="20"/>
                <w:lang w:eastAsia="en-AU"/>
              </w:rPr>
            </w:pPr>
            <w:r w:rsidRPr="009B77CF">
              <w:rPr>
                <w:rFonts w:ascii="Arial" w:eastAsia="Times New Roman" w:hAnsi="Arial" w:cs="Arial"/>
                <w:b/>
                <w:bCs/>
                <w:szCs w:val="20"/>
                <w:lang w:eastAsia="en-AU"/>
              </w:rPr>
              <w:t>Neutral</w:t>
            </w:r>
          </w:p>
          <w:p w14:paraId="42AB61C0" w14:textId="77777777" w:rsidR="000B5219" w:rsidRPr="008F7A4D" w:rsidRDefault="000B5219" w:rsidP="00254AE0">
            <w:pPr>
              <w:pStyle w:val="ListParagraph"/>
              <w:numPr>
                <w:ilvl w:val="0"/>
                <w:numId w:val="54"/>
              </w:numPr>
              <w:spacing w:before="0" w:after="0" w:line="240" w:lineRule="auto"/>
              <w:contextualSpacing/>
              <w:rPr>
                <w:rFonts w:ascii="Arial" w:hAnsi="Arial" w:cs="Arial"/>
                <w:szCs w:val="20"/>
              </w:rPr>
            </w:pPr>
            <w:r w:rsidRPr="008F7A4D">
              <w:rPr>
                <w:rFonts w:ascii="Arial" w:hAnsi="Arial" w:cs="Arial"/>
                <w:szCs w:val="20"/>
              </w:rPr>
              <w:t xml:space="preserve">Industry recognises the </w:t>
            </w:r>
            <w:r w:rsidRPr="00302A0C">
              <w:rPr>
                <w:rFonts w:ascii="Arial" w:hAnsi="Arial" w:cs="Arial"/>
                <w:szCs w:val="20"/>
              </w:rPr>
              <w:t xml:space="preserve">challenges in the hypothetical scenario </w:t>
            </w:r>
            <w:r w:rsidRPr="008F7A4D">
              <w:rPr>
                <w:rFonts w:ascii="Arial" w:hAnsi="Arial" w:cs="Arial"/>
                <w:szCs w:val="20"/>
              </w:rPr>
              <w:t>about stolen research and development data.</w:t>
            </w:r>
            <w:r w:rsidRPr="00302A0C">
              <w:rPr>
                <w:rFonts w:ascii="Arial" w:hAnsi="Arial" w:cs="Arial"/>
                <w:szCs w:val="20"/>
              </w:rPr>
              <w:t xml:space="preserve"> </w:t>
            </w:r>
          </w:p>
          <w:p w14:paraId="43D1D2EC" w14:textId="77777777" w:rsidR="000B5219" w:rsidRPr="008F7A4D" w:rsidRDefault="000B5219" w:rsidP="00254AE0">
            <w:pPr>
              <w:pStyle w:val="ListParagraph"/>
              <w:numPr>
                <w:ilvl w:val="0"/>
                <w:numId w:val="54"/>
              </w:numPr>
              <w:spacing w:before="0" w:after="0" w:line="240" w:lineRule="auto"/>
              <w:contextualSpacing/>
              <w:rPr>
                <w:rFonts w:ascii="Arial" w:hAnsi="Arial" w:cs="Arial"/>
                <w:szCs w:val="20"/>
              </w:rPr>
            </w:pPr>
            <w:r w:rsidRPr="008F7A4D">
              <w:rPr>
                <w:rFonts w:ascii="Arial" w:hAnsi="Arial" w:cs="Arial"/>
                <w:szCs w:val="20"/>
              </w:rPr>
              <w:t xml:space="preserve">Exposure to managing the risk and the </w:t>
            </w:r>
            <w:r w:rsidRPr="00302A0C">
              <w:rPr>
                <w:rFonts w:ascii="Arial" w:hAnsi="Arial" w:cs="Arial"/>
                <w:szCs w:val="20"/>
              </w:rPr>
              <w:t>cost of recovery associated with cyber incidents</w:t>
            </w:r>
            <w:r w:rsidRPr="008F7A4D">
              <w:rPr>
                <w:rFonts w:ascii="Arial" w:hAnsi="Arial" w:cs="Arial"/>
                <w:szCs w:val="20"/>
              </w:rPr>
              <w:t xml:space="preserve"> are likely to be greater if no further preventative action is taken.</w:t>
            </w:r>
          </w:p>
          <w:p w14:paraId="63958F35" w14:textId="77777777" w:rsidR="000B5219" w:rsidRPr="0019059B" w:rsidRDefault="000B5219" w:rsidP="00254AE0">
            <w:pPr>
              <w:rPr>
                <w:rFonts w:ascii="Arial" w:eastAsia="Times New Roman" w:hAnsi="Arial" w:cs="Arial"/>
                <w:szCs w:val="20"/>
                <w:lang w:eastAsia="en-AU"/>
              </w:rPr>
            </w:pPr>
          </w:p>
        </w:tc>
        <w:tc>
          <w:tcPr>
            <w:tcW w:w="3781" w:type="dxa"/>
            <w:vMerge/>
            <w:vAlign w:val="center"/>
          </w:tcPr>
          <w:p w14:paraId="7BA3DE89" w14:textId="77777777" w:rsidR="000B5219" w:rsidRPr="00D91549" w:rsidRDefault="000B5219" w:rsidP="00254AE0">
            <w:pPr>
              <w:rPr>
                <w:rFonts w:ascii="Arial" w:hAnsi="Arial" w:cs="Arial"/>
                <w:szCs w:val="24"/>
                <w:highlight w:val="yellow"/>
                <w:lang w:eastAsia="en-AU"/>
              </w:rPr>
            </w:pPr>
          </w:p>
        </w:tc>
      </w:tr>
      <w:tr w:rsidR="000B5219" w:rsidRPr="00940D7E" w14:paraId="0EC139BE" w14:textId="77777777" w:rsidTr="00436D55">
        <w:trPr>
          <w:trHeight w:val="300"/>
        </w:trPr>
        <w:tc>
          <w:tcPr>
            <w:tcW w:w="0" w:type="auto"/>
            <w:gridSpan w:val="3"/>
            <w:shd w:val="clear" w:color="auto" w:fill="D9E2F3"/>
            <w:vAlign w:val="center"/>
          </w:tcPr>
          <w:p w14:paraId="1DBDA074" w14:textId="77777777" w:rsidR="000B5219" w:rsidRPr="00F75118" w:rsidRDefault="000B5219" w:rsidP="00EE11E0">
            <w:pPr>
              <w:rPr>
                <w:rFonts w:ascii="Arial" w:hAnsi="Arial" w:cs="Arial"/>
                <w:b/>
                <w:bCs/>
                <w:szCs w:val="24"/>
                <w:lang w:eastAsia="en-AU"/>
              </w:rPr>
            </w:pPr>
            <w:r w:rsidRPr="00302A0C">
              <w:rPr>
                <w:rFonts w:ascii="Arial" w:hAnsi="Arial" w:cs="Arial"/>
                <w:b/>
                <w:szCs w:val="24"/>
                <w:lang w:eastAsia="en-AU"/>
              </w:rPr>
              <w:t>Option 2 – legislative reforms</w:t>
            </w:r>
          </w:p>
        </w:tc>
      </w:tr>
      <w:tr w:rsidR="00522118" w:rsidRPr="00940D7E" w14:paraId="3CAE2BAC" w14:textId="77777777" w:rsidTr="00436D55">
        <w:trPr>
          <w:trHeight w:val="300"/>
        </w:trPr>
        <w:tc>
          <w:tcPr>
            <w:tcW w:w="0" w:type="auto"/>
            <w:vMerge w:val="restart"/>
            <w:shd w:val="clear" w:color="auto" w:fill="F2F2F2" w:themeFill="background2" w:themeFillShade="F2"/>
            <w:vAlign w:val="center"/>
            <w:hideMark/>
          </w:tcPr>
          <w:p w14:paraId="25D0D8F6" w14:textId="77777777" w:rsidR="000B5219" w:rsidRPr="001F7573" w:rsidRDefault="000B5219" w:rsidP="00254AE0">
            <w:pPr>
              <w:rPr>
                <w:rFonts w:ascii="Arial" w:hAnsi="Arial" w:cs="Arial"/>
                <w:szCs w:val="20"/>
                <w:lang w:eastAsia="en-AU"/>
              </w:rPr>
            </w:pPr>
            <w:r w:rsidRPr="3A9E9E7F">
              <w:rPr>
                <w:rFonts w:ascii="Arial" w:hAnsi="Arial" w:cs="Arial"/>
                <w:b/>
                <w:bCs/>
                <w:szCs w:val="20"/>
                <w:lang w:eastAsia="en-AU"/>
              </w:rPr>
              <w:t xml:space="preserve">Legislative reforms </w:t>
            </w:r>
          </w:p>
          <w:p w14:paraId="58200BEA" w14:textId="77777777" w:rsidR="000B5219" w:rsidRPr="001F7573" w:rsidRDefault="000B5219" w:rsidP="00254AE0">
            <w:pPr>
              <w:rPr>
                <w:rFonts w:ascii="Arial" w:hAnsi="Arial" w:cs="Arial"/>
                <w:szCs w:val="20"/>
                <w:lang w:eastAsia="en-AU"/>
              </w:rPr>
            </w:pPr>
            <w:r w:rsidRPr="008D0954">
              <w:rPr>
                <w:rFonts w:ascii="Arial" w:hAnsi="Arial" w:cs="Arial"/>
                <w:bCs/>
                <w:szCs w:val="20"/>
                <w:u w:val="single"/>
                <w:lang w:eastAsia="en-AU"/>
              </w:rPr>
              <w:t>Measure 1:</w:t>
            </w:r>
            <w:r w:rsidRPr="3A9E9E7F">
              <w:rPr>
                <w:rFonts w:ascii="Arial" w:hAnsi="Arial" w:cs="Arial"/>
                <w:szCs w:val="20"/>
                <w:lang w:eastAsia="en-AU"/>
              </w:rPr>
              <w:t xml:space="preserve"> Protecting Critical Infrastructure – Data systems and business critical data</w:t>
            </w:r>
          </w:p>
        </w:tc>
        <w:tc>
          <w:tcPr>
            <w:tcW w:w="3273" w:type="dxa"/>
            <w:shd w:val="clear" w:color="auto" w:fill="auto"/>
            <w:vAlign w:val="center"/>
            <w:hideMark/>
          </w:tcPr>
          <w:p w14:paraId="6075F2D6" w14:textId="77777777" w:rsidR="000B5219" w:rsidRPr="005D04CB" w:rsidRDefault="000B5219" w:rsidP="00254AE0">
            <w:pPr>
              <w:rPr>
                <w:rFonts w:ascii="Arial" w:hAnsi="Arial" w:cs="Arial"/>
                <w:b/>
                <w:bCs/>
                <w:szCs w:val="20"/>
              </w:rPr>
            </w:pPr>
            <w:r w:rsidRPr="1ACFC5D0">
              <w:rPr>
                <w:rFonts w:ascii="Arial" w:hAnsi="Arial" w:cs="Arial"/>
                <w:b/>
                <w:bCs/>
                <w:szCs w:val="20"/>
              </w:rPr>
              <w:t>S</w:t>
            </w:r>
            <w:r w:rsidRPr="005D04CB">
              <w:rPr>
                <w:rFonts w:ascii="Arial" w:hAnsi="Arial" w:cs="Arial"/>
                <w:b/>
                <w:bCs/>
                <w:szCs w:val="20"/>
              </w:rPr>
              <w:t>upportive</w:t>
            </w:r>
          </w:p>
          <w:p w14:paraId="27F1EBFD" w14:textId="77777777" w:rsidR="000B5219" w:rsidRPr="00EE11E0" w:rsidRDefault="000B5219" w:rsidP="00EE11E0">
            <w:pPr>
              <w:pStyle w:val="ListParagraph"/>
              <w:numPr>
                <w:ilvl w:val="0"/>
                <w:numId w:val="51"/>
              </w:numPr>
              <w:spacing w:before="0" w:after="0" w:line="240" w:lineRule="auto"/>
              <w:contextualSpacing/>
              <w:rPr>
                <w:rFonts w:ascii="Arial" w:hAnsi="Arial" w:cs="Arial"/>
                <w:b/>
                <w:bCs/>
                <w:szCs w:val="20"/>
              </w:rPr>
            </w:pPr>
            <w:r w:rsidRPr="008F7A4D">
              <w:rPr>
                <w:rFonts w:ascii="Arial" w:hAnsi="Arial" w:cs="Arial"/>
                <w:szCs w:val="20"/>
              </w:rPr>
              <w:t xml:space="preserve">Enhancing regulatory oversight could lead to a </w:t>
            </w:r>
            <w:r w:rsidRPr="00302A0C">
              <w:rPr>
                <w:rFonts w:ascii="Arial" w:hAnsi="Arial" w:cs="Arial"/>
                <w:szCs w:val="20"/>
              </w:rPr>
              <w:t xml:space="preserve">more standardised approach </w:t>
            </w:r>
            <w:r w:rsidRPr="008F7A4D">
              <w:rPr>
                <w:rFonts w:ascii="Arial" w:hAnsi="Arial" w:cs="Arial"/>
                <w:szCs w:val="20"/>
              </w:rPr>
              <w:t xml:space="preserve">to cybersecurity across critical infrastructure sectors and </w:t>
            </w:r>
            <w:r w:rsidRPr="00302A0C">
              <w:rPr>
                <w:rFonts w:ascii="Arial" w:hAnsi="Arial" w:cs="Arial"/>
                <w:szCs w:val="20"/>
              </w:rPr>
              <w:t>clearer expectations</w:t>
            </w:r>
            <w:r w:rsidRPr="008F7A4D">
              <w:rPr>
                <w:rFonts w:ascii="Arial" w:hAnsi="Arial" w:cs="Arial"/>
                <w:szCs w:val="20"/>
              </w:rPr>
              <w:t xml:space="preserve"> for entities.</w:t>
            </w:r>
          </w:p>
        </w:tc>
        <w:tc>
          <w:tcPr>
            <w:tcW w:w="3781" w:type="dxa"/>
            <w:vMerge w:val="restart"/>
            <w:shd w:val="clear" w:color="auto" w:fill="auto"/>
            <w:vAlign w:val="center"/>
            <w:hideMark/>
          </w:tcPr>
          <w:p w14:paraId="70113A2E" w14:textId="1FED43C9" w:rsidR="0045312D" w:rsidRPr="00436D55" w:rsidRDefault="00C02B1A" w:rsidP="00436D55">
            <w:pPr>
              <w:contextualSpacing/>
              <w:rPr>
                <w:rFonts w:ascii="Arial" w:hAnsi="Arial" w:cs="Arial"/>
              </w:rPr>
            </w:pPr>
            <w:r>
              <w:rPr>
                <w:rFonts w:ascii="Arial" w:hAnsi="Arial" w:cs="Arial"/>
              </w:rPr>
              <w:t xml:space="preserve">In relation to measure 1: </w:t>
            </w:r>
          </w:p>
          <w:p w14:paraId="06F70023" w14:textId="79BCEC61" w:rsidR="000B5219" w:rsidRPr="00D54C89" w:rsidRDefault="00C02B1A" w:rsidP="00254AE0">
            <w:pPr>
              <w:pStyle w:val="ListParagraph"/>
              <w:numPr>
                <w:ilvl w:val="0"/>
                <w:numId w:val="48"/>
              </w:numPr>
              <w:spacing w:before="0" w:after="0" w:line="240" w:lineRule="auto"/>
              <w:contextualSpacing/>
              <w:rPr>
                <w:rFonts w:ascii="Arial" w:hAnsi="Arial" w:cs="Arial"/>
              </w:rPr>
            </w:pPr>
            <w:r>
              <w:rPr>
                <w:rFonts w:ascii="Arial" w:hAnsi="Arial" w:cs="Arial"/>
              </w:rPr>
              <w:t xml:space="preserve">The </w:t>
            </w:r>
            <w:r w:rsidR="000B5219">
              <w:rPr>
                <w:rFonts w:ascii="Arial" w:hAnsi="Arial" w:cs="Arial"/>
              </w:rPr>
              <w:t>Department engaged in four weeks of consultation devoted to the impacts of the proposed measures</w:t>
            </w:r>
            <w:r>
              <w:rPr>
                <w:rFonts w:ascii="Arial" w:hAnsi="Arial" w:cs="Arial"/>
              </w:rPr>
              <w:t>, including</w:t>
            </w:r>
            <w:r w:rsidR="00522118">
              <w:rPr>
                <w:rFonts w:ascii="Arial" w:hAnsi="Arial" w:cs="Arial"/>
              </w:rPr>
              <w:t>.</w:t>
            </w:r>
          </w:p>
          <w:p w14:paraId="4CCCED2C" w14:textId="6D2934DA" w:rsidR="000B5219" w:rsidRDefault="00522118" w:rsidP="00254AE0">
            <w:pPr>
              <w:pStyle w:val="ListParagraph"/>
              <w:numPr>
                <w:ilvl w:val="0"/>
                <w:numId w:val="48"/>
              </w:numPr>
              <w:spacing w:before="0" w:after="160" w:line="240" w:lineRule="auto"/>
              <w:contextualSpacing/>
              <w:rPr>
                <w:rFonts w:ascii="Arial" w:hAnsi="Arial" w:cs="Arial"/>
                <w:szCs w:val="20"/>
              </w:rPr>
            </w:pPr>
            <w:r>
              <w:rPr>
                <w:rFonts w:ascii="Arial" w:hAnsi="Arial" w:cs="Arial"/>
                <w:szCs w:val="20"/>
              </w:rPr>
              <w:t>During this consultation, i</w:t>
            </w:r>
            <w:r w:rsidR="000B5219" w:rsidRPr="1ACFC5D0">
              <w:rPr>
                <w:rFonts w:ascii="Arial" w:hAnsi="Arial" w:cs="Arial"/>
                <w:szCs w:val="20"/>
              </w:rPr>
              <w:t xml:space="preserve">ndustry engagement </w:t>
            </w:r>
            <w:r>
              <w:rPr>
                <w:rFonts w:ascii="Arial" w:hAnsi="Arial" w:cs="Arial"/>
                <w:szCs w:val="20"/>
              </w:rPr>
              <w:t xml:space="preserve">validated the </w:t>
            </w:r>
            <w:r w:rsidR="000B5219" w:rsidRPr="1ACFC5D0">
              <w:rPr>
                <w:rFonts w:ascii="Arial" w:hAnsi="Arial" w:cs="Arial"/>
                <w:szCs w:val="20"/>
              </w:rPr>
              <w:t xml:space="preserve">expansion of definitions, </w:t>
            </w:r>
            <w:r>
              <w:rPr>
                <w:rFonts w:ascii="Arial" w:hAnsi="Arial" w:cs="Arial"/>
                <w:szCs w:val="20"/>
              </w:rPr>
              <w:t xml:space="preserve">to </w:t>
            </w:r>
            <w:r w:rsidR="000B5219" w:rsidRPr="1ACFC5D0">
              <w:rPr>
                <w:rFonts w:ascii="Arial" w:hAnsi="Arial" w:cs="Arial"/>
                <w:szCs w:val="20"/>
              </w:rPr>
              <w:t>ensure implementation only occurred where necessary, with reference to risk.</w:t>
            </w:r>
          </w:p>
          <w:p w14:paraId="233B6174" w14:textId="34206934" w:rsidR="006722FE" w:rsidRPr="006722FE" w:rsidRDefault="00794200" w:rsidP="00436D55">
            <w:pPr>
              <w:pStyle w:val="ListParagraph"/>
              <w:numPr>
                <w:ilvl w:val="0"/>
                <w:numId w:val="48"/>
              </w:numPr>
              <w:spacing w:before="0" w:line="240" w:lineRule="auto"/>
              <w:rPr>
                <w:rFonts w:ascii="Arial" w:hAnsi="Arial" w:cs="Arial"/>
              </w:rPr>
            </w:pPr>
            <w:r w:rsidRPr="4F26752A">
              <w:rPr>
                <w:rFonts w:ascii="Arial" w:hAnsi="Arial" w:cs="Arial"/>
              </w:rPr>
              <w:t>Industry feedback to the Consultation Paper and draft IA informed the drafting approach taken, which narrowly defines the assets measure 1 captures.</w:t>
            </w:r>
          </w:p>
          <w:p w14:paraId="64F4A54F" w14:textId="2C8F71F4" w:rsidR="000B5219" w:rsidRPr="0019059B" w:rsidRDefault="006722FE" w:rsidP="4F26752A">
            <w:pPr>
              <w:pStyle w:val="ListParagraph"/>
              <w:spacing w:before="0" w:after="160" w:line="240" w:lineRule="auto"/>
              <w:contextualSpacing/>
              <w:rPr>
                <w:rFonts w:ascii="Arial" w:hAnsi="Arial" w:cs="Arial"/>
              </w:rPr>
            </w:pPr>
            <w:r>
              <w:rPr>
                <w:rFonts w:ascii="Arial" w:hAnsi="Arial" w:cs="Arial"/>
              </w:rPr>
              <w:t>Ultimately, r</w:t>
            </w:r>
            <w:r w:rsidR="000B5219" w:rsidRPr="4F26752A">
              <w:rPr>
                <w:rFonts w:ascii="Arial" w:hAnsi="Arial" w:cs="Arial"/>
              </w:rPr>
              <w:t xml:space="preserve">esponsible entities for critical infrastructure assets hold the primary obligation to protect </w:t>
            </w:r>
            <w:r w:rsidR="00FC2176">
              <w:rPr>
                <w:rFonts w:ascii="Arial" w:hAnsi="Arial" w:cs="Arial"/>
              </w:rPr>
              <w:t>and mitigate threats to their</w:t>
            </w:r>
            <w:r w:rsidR="000B5219" w:rsidRPr="4F26752A">
              <w:rPr>
                <w:rFonts w:ascii="Arial" w:hAnsi="Arial" w:cs="Arial"/>
              </w:rPr>
              <w:t xml:space="preserve"> assets. </w:t>
            </w:r>
            <w:r w:rsidR="00C479B1">
              <w:rPr>
                <w:rFonts w:ascii="Arial" w:hAnsi="Arial" w:cs="Arial"/>
              </w:rPr>
              <w:t>Comprehensive guidance material will continue to support industry’s understanding of b</w:t>
            </w:r>
            <w:r w:rsidR="000B5219" w:rsidRPr="4F26752A">
              <w:rPr>
                <w:rFonts w:ascii="Arial" w:hAnsi="Arial" w:cs="Arial"/>
              </w:rPr>
              <w:t xml:space="preserve">usiness critical </w:t>
            </w:r>
            <w:r w:rsidR="00C479B1">
              <w:rPr>
                <w:rFonts w:ascii="Arial" w:hAnsi="Arial" w:cs="Arial"/>
              </w:rPr>
              <w:t>data.</w:t>
            </w:r>
          </w:p>
          <w:p w14:paraId="6CB37C23" w14:textId="6946031C" w:rsidR="000B5219" w:rsidRPr="0019059B" w:rsidRDefault="000B5219" w:rsidP="4F26752A">
            <w:pPr>
              <w:pStyle w:val="ListParagraph"/>
              <w:spacing w:before="0" w:after="160" w:line="240" w:lineRule="auto"/>
              <w:contextualSpacing/>
              <w:rPr>
                <w:rFonts w:ascii="Arial" w:hAnsi="Arial" w:cs="Arial"/>
              </w:rPr>
            </w:pPr>
          </w:p>
        </w:tc>
      </w:tr>
      <w:tr w:rsidR="00522118" w:rsidRPr="00A9449C" w14:paraId="1222CC29" w14:textId="77777777" w:rsidTr="00436D55">
        <w:trPr>
          <w:trHeight w:val="68"/>
        </w:trPr>
        <w:tc>
          <w:tcPr>
            <w:tcW w:w="0" w:type="auto"/>
            <w:vMerge/>
            <w:vAlign w:val="center"/>
          </w:tcPr>
          <w:p w14:paraId="00CE4120" w14:textId="77777777" w:rsidR="000B5219" w:rsidRPr="004F3BBA" w:rsidRDefault="000B5219" w:rsidP="00254AE0">
            <w:pPr>
              <w:rPr>
                <w:rFonts w:ascii="Arial" w:hAnsi="Arial" w:cs="Arial"/>
                <w:b/>
                <w:bCs/>
                <w:szCs w:val="24"/>
                <w:lang w:eastAsia="en-AU"/>
              </w:rPr>
            </w:pPr>
          </w:p>
        </w:tc>
        <w:tc>
          <w:tcPr>
            <w:tcW w:w="3273" w:type="dxa"/>
            <w:shd w:val="clear" w:color="auto" w:fill="auto"/>
            <w:vAlign w:val="center"/>
          </w:tcPr>
          <w:p w14:paraId="03A521B9" w14:textId="77777777" w:rsidR="000B5219" w:rsidRPr="005D04CB" w:rsidRDefault="000B5219" w:rsidP="00254AE0">
            <w:pPr>
              <w:rPr>
                <w:rFonts w:ascii="Arial" w:hAnsi="Arial" w:cs="Arial"/>
                <w:b/>
                <w:bCs/>
                <w:szCs w:val="20"/>
              </w:rPr>
            </w:pPr>
            <w:r w:rsidRPr="005D04CB">
              <w:rPr>
                <w:rFonts w:ascii="Arial" w:hAnsi="Arial" w:cs="Arial"/>
                <w:b/>
                <w:bCs/>
                <w:szCs w:val="20"/>
              </w:rPr>
              <w:t xml:space="preserve">Neutral </w:t>
            </w:r>
          </w:p>
          <w:p w14:paraId="710B796B" w14:textId="77777777" w:rsidR="000B5219" w:rsidRPr="008F7A4D" w:rsidRDefault="000B5219" w:rsidP="00254AE0">
            <w:pPr>
              <w:pStyle w:val="ListParagraph"/>
              <w:numPr>
                <w:ilvl w:val="0"/>
                <w:numId w:val="51"/>
              </w:numPr>
              <w:spacing w:before="0" w:after="0" w:line="240" w:lineRule="auto"/>
              <w:contextualSpacing/>
              <w:rPr>
                <w:rFonts w:ascii="Arial" w:hAnsi="Arial" w:cs="Arial"/>
                <w:szCs w:val="20"/>
              </w:rPr>
            </w:pPr>
            <w:r w:rsidRPr="00302A0C">
              <w:rPr>
                <w:rFonts w:ascii="Arial" w:hAnsi="Arial" w:cs="Arial"/>
                <w:szCs w:val="20"/>
              </w:rPr>
              <w:t xml:space="preserve">Rules </w:t>
            </w:r>
            <w:r w:rsidR="00254AE0">
              <w:rPr>
                <w:rFonts w:ascii="Arial" w:hAnsi="Arial" w:cs="Arial"/>
                <w:szCs w:val="20"/>
              </w:rPr>
              <w:t>should require</w:t>
            </w:r>
            <w:r w:rsidRPr="008F7A4D">
              <w:rPr>
                <w:rFonts w:ascii="Arial" w:hAnsi="Arial" w:cs="Arial"/>
                <w:szCs w:val="20"/>
              </w:rPr>
              <w:t xml:space="preserve"> all operators of critical infrastructure consider and implement </w:t>
            </w:r>
            <w:r w:rsidRPr="00302A0C">
              <w:rPr>
                <w:rFonts w:ascii="Arial" w:hAnsi="Arial" w:cs="Arial"/>
                <w:szCs w:val="20"/>
              </w:rPr>
              <w:t xml:space="preserve">appropriate safeguards against the material risks to their business critical data </w:t>
            </w:r>
            <w:r w:rsidRPr="008F7A4D">
              <w:rPr>
                <w:rFonts w:ascii="Arial" w:hAnsi="Arial" w:cs="Arial"/>
                <w:szCs w:val="20"/>
              </w:rPr>
              <w:t>and associated hazards.</w:t>
            </w:r>
          </w:p>
          <w:p w14:paraId="603DE095" w14:textId="77777777" w:rsidR="000B5219" w:rsidRPr="00A9449C" w:rsidRDefault="000B5219" w:rsidP="00254AE0">
            <w:pPr>
              <w:pStyle w:val="ListParagraph"/>
              <w:numPr>
                <w:ilvl w:val="0"/>
                <w:numId w:val="51"/>
              </w:numPr>
              <w:spacing w:before="0" w:after="0" w:line="240" w:lineRule="auto"/>
              <w:contextualSpacing/>
              <w:rPr>
                <w:rFonts w:ascii="Arial" w:hAnsi="Arial" w:cs="Arial"/>
                <w:b/>
                <w:bCs/>
                <w:szCs w:val="20"/>
              </w:rPr>
            </w:pPr>
            <w:r w:rsidRPr="008F7A4D">
              <w:rPr>
                <w:rFonts w:ascii="Arial" w:hAnsi="Arial" w:cs="Arial"/>
                <w:szCs w:val="20"/>
              </w:rPr>
              <w:t xml:space="preserve">Responsibility for </w:t>
            </w:r>
            <w:r w:rsidRPr="00302A0C">
              <w:rPr>
                <w:rFonts w:ascii="Arial" w:hAnsi="Arial" w:cs="Arial"/>
                <w:szCs w:val="20"/>
              </w:rPr>
              <w:t>business critical data systems should be explicitly defined and sit with the entity</w:t>
            </w:r>
            <w:r w:rsidRPr="008F7A4D">
              <w:rPr>
                <w:rFonts w:ascii="Arial" w:hAnsi="Arial" w:cs="Arial"/>
                <w:szCs w:val="20"/>
              </w:rPr>
              <w:t xml:space="preserve"> that has primary operational control over the systems</w:t>
            </w:r>
            <w:r w:rsidR="00254AE0">
              <w:rPr>
                <w:rFonts w:ascii="Arial" w:hAnsi="Arial" w:cs="Arial"/>
                <w:szCs w:val="20"/>
              </w:rPr>
              <w:t>.</w:t>
            </w:r>
          </w:p>
        </w:tc>
        <w:tc>
          <w:tcPr>
            <w:tcW w:w="3781" w:type="dxa"/>
            <w:vMerge/>
            <w:vAlign w:val="center"/>
          </w:tcPr>
          <w:p w14:paraId="40DDA57F" w14:textId="77777777" w:rsidR="000B5219" w:rsidRPr="00D54C89" w:rsidRDefault="000B5219" w:rsidP="00254AE0">
            <w:pPr>
              <w:pStyle w:val="ListParagraph"/>
              <w:numPr>
                <w:ilvl w:val="0"/>
                <w:numId w:val="48"/>
              </w:numPr>
              <w:spacing w:before="0" w:after="0" w:line="240" w:lineRule="auto"/>
              <w:contextualSpacing/>
              <w:rPr>
                <w:rFonts w:ascii="Arial" w:hAnsi="Arial" w:cs="Arial"/>
              </w:rPr>
            </w:pPr>
          </w:p>
        </w:tc>
      </w:tr>
      <w:tr w:rsidR="00522118" w:rsidRPr="00940D7E" w14:paraId="6D80197B" w14:textId="77777777" w:rsidTr="00436D55">
        <w:trPr>
          <w:trHeight w:val="1348"/>
        </w:trPr>
        <w:tc>
          <w:tcPr>
            <w:tcW w:w="0" w:type="auto"/>
            <w:vMerge w:val="restart"/>
            <w:shd w:val="clear" w:color="auto" w:fill="F2F2F2" w:themeFill="background2" w:themeFillShade="F2"/>
            <w:vAlign w:val="center"/>
          </w:tcPr>
          <w:p w14:paraId="5BFEFE42" w14:textId="77777777" w:rsidR="000B5219" w:rsidRDefault="000B5219" w:rsidP="00254AE0">
            <w:pPr>
              <w:rPr>
                <w:rFonts w:ascii="Arial" w:hAnsi="Arial" w:cs="Arial"/>
                <w:b/>
                <w:bCs/>
                <w:szCs w:val="20"/>
                <w:lang w:eastAsia="en-AU"/>
              </w:rPr>
            </w:pPr>
            <w:r w:rsidRPr="3A9E9E7F">
              <w:rPr>
                <w:rFonts w:ascii="Arial" w:hAnsi="Arial" w:cs="Arial"/>
                <w:b/>
                <w:bCs/>
                <w:szCs w:val="20"/>
                <w:lang w:eastAsia="en-AU"/>
              </w:rPr>
              <w:t>Legislative reforms</w:t>
            </w:r>
          </w:p>
          <w:p w14:paraId="606D211C" w14:textId="77777777" w:rsidR="000B5219" w:rsidRPr="008D0954" w:rsidRDefault="000B5219" w:rsidP="00254AE0">
            <w:pPr>
              <w:rPr>
                <w:rFonts w:ascii="Arial" w:hAnsi="Arial" w:cs="Arial"/>
                <w:bCs/>
                <w:szCs w:val="20"/>
                <w:u w:val="single"/>
                <w:lang w:eastAsia="en-AU"/>
              </w:rPr>
            </w:pPr>
            <w:r w:rsidRPr="008D0954">
              <w:rPr>
                <w:rFonts w:ascii="Arial" w:hAnsi="Arial" w:cs="Arial"/>
                <w:bCs/>
                <w:szCs w:val="20"/>
                <w:u w:val="single"/>
                <w:lang w:eastAsia="en-AU"/>
              </w:rPr>
              <w:t xml:space="preserve">Measure 2: </w:t>
            </w:r>
          </w:p>
          <w:p w14:paraId="559C2808" w14:textId="77777777" w:rsidR="000B5219" w:rsidRPr="004F3BBA" w:rsidRDefault="000B5219" w:rsidP="00254AE0">
            <w:pPr>
              <w:rPr>
                <w:rFonts w:ascii="Arial" w:hAnsi="Arial" w:cs="Arial"/>
                <w:b/>
                <w:bCs/>
                <w:szCs w:val="24"/>
                <w:lang w:eastAsia="en-AU"/>
              </w:rPr>
            </w:pPr>
            <w:r>
              <w:rPr>
                <w:rFonts w:ascii="Arial" w:eastAsia="Times New Roman" w:hAnsi="Arial" w:cs="Arial"/>
                <w:szCs w:val="20"/>
                <w:lang w:eastAsia="en-AU"/>
              </w:rPr>
              <w:t>Improving our national response to the consequences of significant incidents – Consequent management powers</w:t>
            </w:r>
          </w:p>
        </w:tc>
        <w:tc>
          <w:tcPr>
            <w:tcW w:w="3273" w:type="dxa"/>
            <w:shd w:val="clear" w:color="auto" w:fill="auto"/>
            <w:vAlign w:val="center"/>
          </w:tcPr>
          <w:p w14:paraId="62B89438" w14:textId="77777777" w:rsidR="000B5219" w:rsidRPr="00C42475" w:rsidRDefault="000B5219" w:rsidP="00254AE0">
            <w:pPr>
              <w:rPr>
                <w:rFonts w:ascii="Arial" w:eastAsia="Times New Roman" w:hAnsi="Arial" w:cs="Arial"/>
                <w:b/>
                <w:bCs/>
                <w:szCs w:val="20"/>
                <w:lang w:eastAsia="en-AU"/>
              </w:rPr>
            </w:pPr>
            <w:r w:rsidRPr="00C42475">
              <w:rPr>
                <w:rFonts w:ascii="Arial" w:eastAsia="Times New Roman" w:hAnsi="Arial" w:cs="Arial"/>
                <w:b/>
                <w:bCs/>
                <w:szCs w:val="20"/>
                <w:lang w:eastAsia="en-AU"/>
              </w:rPr>
              <w:t>Supportive</w:t>
            </w:r>
          </w:p>
          <w:p w14:paraId="5E1B15F6" w14:textId="77777777" w:rsidR="000B5219" w:rsidRPr="00EE11E0" w:rsidRDefault="000B5219" w:rsidP="00EE11E0">
            <w:pPr>
              <w:pStyle w:val="ListParagraph"/>
              <w:numPr>
                <w:ilvl w:val="0"/>
                <w:numId w:val="56"/>
              </w:numPr>
              <w:spacing w:before="0" w:after="0" w:line="240" w:lineRule="auto"/>
              <w:contextualSpacing/>
              <w:rPr>
                <w:rFonts w:ascii="Arial" w:hAnsi="Arial" w:cs="Arial"/>
                <w:szCs w:val="20"/>
              </w:rPr>
            </w:pPr>
            <w:r w:rsidRPr="008F7A4D">
              <w:rPr>
                <w:rFonts w:ascii="Arial" w:hAnsi="Arial" w:cs="Arial"/>
                <w:szCs w:val="20"/>
              </w:rPr>
              <w:t xml:space="preserve">Exercise of powers will better </w:t>
            </w:r>
            <w:r w:rsidRPr="00302A0C">
              <w:rPr>
                <w:rFonts w:ascii="Arial" w:hAnsi="Arial" w:cs="Arial"/>
                <w:szCs w:val="20"/>
              </w:rPr>
              <w:t>coordinate a national response</w:t>
            </w:r>
            <w:r w:rsidRPr="008F7A4D">
              <w:rPr>
                <w:rFonts w:ascii="Arial" w:hAnsi="Arial" w:cs="Arial"/>
                <w:szCs w:val="20"/>
              </w:rPr>
              <w:t xml:space="preserve"> to a threat or incident</w:t>
            </w:r>
            <w:r w:rsidRPr="1ACFC5D0">
              <w:rPr>
                <w:rFonts w:ascii="Arial" w:hAnsi="Arial" w:cs="Arial"/>
                <w:szCs w:val="20"/>
              </w:rPr>
              <w:t xml:space="preserve">. </w:t>
            </w:r>
          </w:p>
        </w:tc>
        <w:tc>
          <w:tcPr>
            <w:tcW w:w="3781" w:type="dxa"/>
            <w:vMerge w:val="restart"/>
            <w:shd w:val="clear" w:color="auto" w:fill="auto"/>
            <w:vAlign w:val="center"/>
          </w:tcPr>
          <w:p w14:paraId="46780983" w14:textId="07C5168D" w:rsidR="00FF3C51" w:rsidRDefault="00FF3C51" w:rsidP="4F26752A">
            <w:pPr>
              <w:pStyle w:val="ListParagraph"/>
              <w:spacing w:before="0" w:after="0" w:line="240" w:lineRule="auto"/>
              <w:contextualSpacing/>
              <w:rPr>
                <w:rFonts w:ascii="Arial" w:hAnsi="Arial" w:cs="Arial"/>
              </w:rPr>
            </w:pPr>
            <w:r>
              <w:rPr>
                <w:rFonts w:ascii="Arial" w:hAnsi="Arial" w:cs="Arial"/>
              </w:rPr>
              <w:t>In relation to measure 2:</w:t>
            </w:r>
          </w:p>
          <w:p w14:paraId="7E9F226A" w14:textId="77777777" w:rsidR="00FF3C51" w:rsidRDefault="4F856C2D" w:rsidP="00FF3C51">
            <w:pPr>
              <w:pStyle w:val="ListParagraph"/>
              <w:numPr>
                <w:ilvl w:val="0"/>
                <w:numId w:val="107"/>
              </w:numPr>
              <w:spacing w:before="0" w:after="0" w:line="240" w:lineRule="auto"/>
              <w:contextualSpacing/>
              <w:rPr>
                <w:rFonts w:ascii="Arial" w:hAnsi="Arial" w:cs="Arial"/>
              </w:rPr>
            </w:pPr>
            <w:r w:rsidRPr="00FF3C51">
              <w:rPr>
                <w:rFonts w:ascii="Arial" w:hAnsi="Arial" w:cs="Arial"/>
              </w:rPr>
              <w:t xml:space="preserve">The Department used information provided through the consultation process to produce mapping of all consequence management powers. </w:t>
            </w:r>
          </w:p>
          <w:p w14:paraId="5026749A" w14:textId="56840E62" w:rsidR="000B5219" w:rsidRDefault="4F856C2D" w:rsidP="00FF3C51">
            <w:pPr>
              <w:pStyle w:val="ListParagraph"/>
              <w:numPr>
                <w:ilvl w:val="0"/>
                <w:numId w:val="107"/>
              </w:numPr>
              <w:spacing w:before="0" w:after="0" w:line="240" w:lineRule="auto"/>
              <w:contextualSpacing/>
              <w:rPr>
                <w:rFonts w:ascii="Arial" w:hAnsi="Arial" w:cs="Arial"/>
              </w:rPr>
            </w:pPr>
            <w:r w:rsidRPr="00FF3C51">
              <w:rPr>
                <w:rFonts w:ascii="Arial" w:hAnsi="Arial" w:cs="Arial"/>
              </w:rPr>
              <w:t xml:space="preserve">Industry provided </w:t>
            </w:r>
            <w:r w:rsidR="00ED5088">
              <w:rPr>
                <w:rFonts w:ascii="Arial" w:hAnsi="Arial" w:cs="Arial"/>
              </w:rPr>
              <w:t xml:space="preserve">information on existing </w:t>
            </w:r>
            <w:r w:rsidR="7A27BA24" w:rsidRPr="00FF3C51">
              <w:rPr>
                <w:rFonts w:ascii="Arial" w:hAnsi="Arial" w:cs="Arial"/>
              </w:rPr>
              <w:t xml:space="preserve">frameworks to Government, which helped to inform the drafting approach taken. </w:t>
            </w:r>
          </w:p>
          <w:p w14:paraId="5B2854A6" w14:textId="0562869D" w:rsidR="002A4C1E" w:rsidRPr="00FF3C51" w:rsidRDefault="002A4C1E" w:rsidP="00436D55">
            <w:pPr>
              <w:pStyle w:val="ListParagraph"/>
              <w:numPr>
                <w:ilvl w:val="0"/>
                <w:numId w:val="107"/>
              </w:numPr>
              <w:spacing w:before="0" w:line="240" w:lineRule="auto"/>
              <w:contextualSpacing/>
              <w:rPr>
                <w:rFonts w:ascii="Arial" w:hAnsi="Arial" w:cs="Arial"/>
              </w:rPr>
            </w:pPr>
            <w:r w:rsidRPr="4F26752A">
              <w:rPr>
                <w:rFonts w:ascii="Arial" w:hAnsi="Arial" w:cs="Arial"/>
              </w:rPr>
              <w:t xml:space="preserve">In response to industry feedback, the Department has ensured the new consequence management power contains comprehensive safeguards and consultation requirements. </w:t>
            </w:r>
            <w:r w:rsidR="00BA30AE">
              <w:rPr>
                <w:rFonts w:ascii="Arial" w:hAnsi="Arial" w:cs="Arial"/>
              </w:rPr>
              <w:t>P</w:t>
            </w:r>
            <w:r w:rsidRPr="4F26752A">
              <w:rPr>
                <w:rFonts w:ascii="Arial" w:hAnsi="Arial" w:cs="Arial"/>
              </w:rPr>
              <w:t xml:space="preserve">rinciples of proportionality </w:t>
            </w:r>
            <w:r w:rsidR="00BA30AE">
              <w:rPr>
                <w:rFonts w:ascii="Arial" w:hAnsi="Arial" w:cs="Arial"/>
              </w:rPr>
              <w:t xml:space="preserve">are a key consideration for Government </w:t>
            </w:r>
            <w:r w:rsidRPr="4F26752A">
              <w:rPr>
                <w:rFonts w:ascii="Arial" w:hAnsi="Arial" w:cs="Arial"/>
              </w:rPr>
              <w:t>when considering the exercise of any direction.</w:t>
            </w:r>
          </w:p>
          <w:p w14:paraId="6E5429E9" w14:textId="2C5125E7" w:rsidR="000B5219" w:rsidRPr="00436D55" w:rsidRDefault="002A4C1E" w:rsidP="00436D55">
            <w:pPr>
              <w:spacing w:after="160"/>
              <w:contextualSpacing/>
              <w:rPr>
                <w:rFonts w:ascii="Arial" w:hAnsi="Arial" w:cs="Arial"/>
                <w:szCs w:val="20"/>
              </w:rPr>
            </w:pPr>
            <w:r>
              <w:rPr>
                <w:rFonts w:ascii="Arial" w:hAnsi="Arial" w:cs="Arial"/>
                <w:szCs w:val="20"/>
              </w:rPr>
              <w:t>Overall, t</w:t>
            </w:r>
            <w:r w:rsidR="000B5219" w:rsidRPr="00436D55">
              <w:rPr>
                <w:rFonts w:ascii="Arial" w:hAnsi="Arial" w:cs="Arial"/>
                <w:szCs w:val="20"/>
              </w:rPr>
              <w:t>he application of this power will facilitate a coordinated uplift of post-incident response mechanisms across critical infrastructure landscape.</w:t>
            </w:r>
          </w:p>
          <w:p w14:paraId="2DD8B40D" w14:textId="7DE6C2FB" w:rsidR="000B5219" w:rsidRPr="008D0954" w:rsidRDefault="000B5219" w:rsidP="4F26752A">
            <w:pPr>
              <w:pStyle w:val="ListParagraph"/>
              <w:spacing w:before="0" w:after="160" w:line="240" w:lineRule="auto"/>
              <w:contextualSpacing/>
              <w:rPr>
                <w:rFonts w:ascii="Arial" w:hAnsi="Arial" w:cs="Arial"/>
              </w:rPr>
            </w:pPr>
          </w:p>
        </w:tc>
      </w:tr>
      <w:tr w:rsidR="00522118" w:rsidRPr="00940D7E" w14:paraId="6CA77C9B" w14:textId="77777777" w:rsidTr="00436D55">
        <w:trPr>
          <w:trHeight w:val="3805"/>
        </w:trPr>
        <w:tc>
          <w:tcPr>
            <w:tcW w:w="0" w:type="auto"/>
            <w:vMerge/>
            <w:vAlign w:val="center"/>
          </w:tcPr>
          <w:p w14:paraId="665E7DD1" w14:textId="77777777" w:rsidR="000B5219" w:rsidRDefault="000B5219" w:rsidP="00254AE0">
            <w:pPr>
              <w:rPr>
                <w:rFonts w:ascii="Arial" w:hAnsi="Arial" w:cs="Arial"/>
                <w:b/>
                <w:bCs/>
                <w:szCs w:val="24"/>
                <w:lang w:eastAsia="en-AU"/>
              </w:rPr>
            </w:pPr>
          </w:p>
        </w:tc>
        <w:tc>
          <w:tcPr>
            <w:tcW w:w="3273" w:type="dxa"/>
            <w:shd w:val="clear" w:color="auto" w:fill="auto"/>
            <w:vAlign w:val="center"/>
          </w:tcPr>
          <w:p w14:paraId="520D97C3" w14:textId="77777777" w:rsidR="000B5219" w:rsidRDefault="000B5219" w:rsidP="00254AE0">
            <w:pPr>
              <w:rPr>
                <w:rFonts w:ascii="Arial" w:eastAsia="Times New Roman" w:hAnsi="Arial" w:cs="Arial"/>
                <w:b/>
                <w:bCs/>
                <w:szCs w:val="20"/>
                <w:lang w:eastAsia="en-AU"/>
              </w:rPr>
            </w:pPr>
            <w:r>
              <w:rPr>
                <w:rFonts w:ascii="Arial" w:eastAsia="Times New Roman" w:hAnsi="Arial" w:cs="Arial"/>
                <w:b/>
                <w:bCs/>
                <w:szCs w:val="20"/>
                <w:lang w:eastAsia="en-AU"/>
              </w:rPr>
              <w:t>Neutral</w:t>
            </w:r>
          </w:p>
          <w:p w14:paraId="6E83EFB3" w14:textId="77777777" w:rsidR="000B5219" w:rsidRPr="008F7A4D" w:rsidRDefault="000B5219" w:rsidP="00254AE0">
            <w:pPr>
              <w:pStyle w:val="ListParagraph"/>
              <w:numPr>
                <w:ilvl w:val="0"/>
                <w:numId w:val="57"/>
              </w:numPr>
              <w:spacing w:before="0" w:after="0" w:line="240" w:lineRule="auto"/>
              <w:contextualSpacing/>
              <w:rPr>
                <w:rFonts w:ascii="Arial" w:hAnsi="Arial" w:cs="Arial"/>
                <w:szCs w:val="20"/>
              </w:rPr>
            </w:pPr>
            <w:r w:rsidRPr="008F7A4D">
              <w:rPr>
                <w:rFonts w:ascii="Arial" w:hAnsi="Arial" w:cs="Arial"/>
                <w:szCs w:val="20"/>
              </w:rPr>
              <w:t xml:space="preserve">Concerns in relation to </w:t>
            </w:r>
            <w:r w:rsidRPr="00302A0C">
              <w:rPr>
                <w:rFonts w:ascii="Arial" w:hAnsi="Arial" w:cs="Arial"/>
                <w:szCs w:val="20"/>
              </w:rPr>
              <w:t>specific direction</w:t>
            </w:r>
            <w:r w:rsidRPr="008F7A4D">
              <w:rPr>
                <w:rFonts w:ascii="Arial" w:hAnsi="Arial" w:cs="Arial"/>
                <w:szCs w:val="20"/>
              </w:rPr>
              <w:t xml:space="preserve"> on how to mitigate a threat in the context of individual businesses.</w:t>
            </w:r>
          </w:p>
          <w:p w14:paraId="568F9A64" w14:textId="77777777" w:rsidR="000B5219" w:rsidRPr="00302A0C" w:rsidRDefault="000B5219" w:rsidP="00254AE0">
            <w:pPr>
              <w:pStyle w:val="ListParagraph"/>
              <w:numPr>
                <w:ilvl w:val="0"/>
                <w:numId w:val="57"/>
              </w:numPr>
              <w:spacing w:before="0" w:after="160" w:line="259" w:lineRule="auto"/>
              <w:contextualSpacing/>
              <w:rPr>
                <w:rFonts w:ascii="Arial" w:hAnsi="Arial" w:cs="Arial"/>
                <w:szCs w:val="20"/>
              </w:rPr>
            </w:pPr>
            <w:r w:rsidRPr="008F7A4D">
              <w:rPr>
                <w:rFonts w:ascii="Arial" w:hAnsi="Arial" w:cs="Arial"/>
                <w:szCs w:val="20"/>
              </w:rPr>
              <w:t xml:space="preserve">Department should </w:t>
            </w:r>
            <w:r w:rsidRPr="00302A0C">
              <w:rPr>
                <w:rFonts w:ascii="Arial" w:hAnsi="Arial" w:cs="Arial"/>
                <w:szCs w:val="20"/>
              </w:rPr>
              <w:t>consider the complexity and bespoke nature of the unique operating environment</w:t>
            </w:r>
            <w:r w:rsidRPr="008F7A4D">
              <w:rPr>
                <w:rFonts w:ascii="Arial" w:hAnsi="Arial" w:cs="Arial"/>
                <w:szCs w:val="20"/>
              </w:rPr>
              <w:t xml:space="preserve"> of entities when considering the practical application of step-in powers.</w:t>
            </w:r>
          </w:p>
          <w:p w14:paraId="5E22CB9D" w14:textId="77777777" w:rsidR="000B5219" w:rsidRPr="00A9449C" w:rsidRDefault="000B5219" w:rsidP="00254AE0">
            <w:pPr>
              <w:pStyle w:val="ListParagraph"/>
              <w:numPr>
                <w:ilvl w:val="0"/>
                <w:numId w:val="57"/>
              </w:numPr>
              <w:spacing w:before="0" w:after="160" w:line="259" w:lineRule="auto"/>
              <w:contextualSpacing/>
              <w:rPr>
                <w:rFonts w:ascii="Arial" w:hAnsi="Arial" w:cs="Arial"/>
                <w:b/>
                <w:bCs/>
                <w:szCs w:val="20"/>
              </w:rPr>
            </w:pPr>
            <w:r w:rsidRPr="008F7A4D">
              <w:rPr>
                <w:rFonts w:ascii="Arial" w:hAnsi="Arial" w:cs="Arial"/>
                <w:szCs w:val="20"/>
              </w:rPr>
              <w:t xml:space="preserve">The implications of this measure must be considered to ensure a step-in process is </w:t>
            </w:r>
            <w:r w:rsidRPr="00302A0C">
              <w:rPr>
                <w:rFonts w:ascii="Arial" w:hAnsi="Arial" w:cs="Arial"/>
                <w:szCs w:val="20"/>
              </w:rPr>
              <w:t>valuable and not disruptive</w:t>
            </w:r>
            <w:r w:rsidRPr="008F7A4D">
              <w:rPr>
                <w:rFonts w:ascii="Arial" w:hAnsi="Arial" w:cs="Arial"/>
                <w:szCs w:val="20"/>
              </w:rPr>
              <w:t>.</w:t>
            </w:r>
          </w:p>
        </w:tc>
        <w:tc>
          <w:tcPr>
            <w:tcW w:w="3781" w:type="dxa"/>
            <w:vMerge/>
            <w:vAlign w:val="center"/>
          </w:tcPr>
          <w:p w14:paraId="77EA2557" w14:textId="77777777" w:rsidR="000B5219" w:rsidRPr="00D54C89" w:rsidRDefault="000B5219" w:rsidP="00254AE0">
            <w:pPr>
              <w:pStyle w:val="ListParagraph"/>
              <w:numPr>
                <w:ilvl w:val="0"/>
                <w:numId w:val="49"/>
              </w:numPr>
              <w:spacing w:before="0" w:after="0" w:line="240" w:lineRule="auto"/>
              <w:contextualSpacing/>
              <w:rPr>
                <w:rFonts w:ascii="Arial" w:hAnsi="Arial" w:cs="Arial"/>
              </w:rPr>
            </w:pPr>
          </w:p>
        </w:tc>
      </w:tr>
      <w:tr w:rsidR="00522118" w:rsidRPr="00940D7E" w14:paraId="3C148202" w14:textId="77777777" w:rsidTr="00436D55">
        <w:trPr>
          <w:trHeight w:val="4560"/>
        </w:trPr>
        <w:tc>
          <w:tcPr>
            <w:tcW w:w="0" w:type="auto"/>
            <w:vMerge/>
            <w:vAlign w:val="center"/>
          </w:tcPr>
          <w:p w14:paraId="706425D7" w14:textId="77777777" w:rsidR="000B5219" w:rsidRDefault="000B5219" w:rsidP="00254AE0">
            <w:pPr>
              <w:rPr>
                <w:rFonts w:ascii="Arial" w:hAnsi="Arial" w:cs="Arial"/>
                <w:b/>
                <w:bCs/>
                <w:szCs w:val="24"/>
                <w:lang w:eastAsia="en-AU"/>
              </w:rPr>
            </w:pPr>
          </w:p>
        </w:tc>
        <w:tc>
          <w:tcPr>
            <w:tcW w:w="3273" w:type="dxa"/>
            <w:shd w:val="clear" w:color="auto" w:fill="auto"/>
            <w:vAlign w:val="center"/>
          </w:tcPr>
          <w:p w14:paraId="4D0C99B9" w14:textId="77777777" w:rsidR="000B5219" w:rsidRDefault="000B5219" w:rsidP="00254AE0">
            <w:pPr>
              <w:rPr>
                <w:rFonts w:ascii="Arial" w:hAnsi="Arial" w:cs="Arial"/>
                <w:b/>
                <w:bCs/>
                <w:szCs w:val="20"/>
                <w:lang w:eastAsia="en-AU"/>
              </w:rPr>
            </w:pPr>
            <w:r w:rsidRPr="11649716">
              <w:rPr>
                <w:rFonts w:ascii="Arial" w:hAnsi="Arial" w:cs="Arial"/>
                <w:b/>
                <w:bCs/>
                <w:szCs w:val="20"/>
                <w:lang w:eastAsia="en-AU"/>
              </w:rPr>
              <w:t>Non-</w:t>
            </w:r>
            <w:r>
              <w:rPr>
                <w:rFonts w:ascii="Arial" w:hAnsi="Arial" w:cs="Arial"/>
                <w:b/>
                <w:bCs/>
                <w:szCs w:val="20"/>
                <w:lang w:eastAsia="en-AU"/>
              </w:rPr>
              <w:t>s</w:t>
            </w:r>
            <w:r w:rsidRPr="11649716">
              <w:rPr>
                <w:rFonts w:ascii="Arial" w:hAnsi="Arial" w:cs="Arial"/>
                <w:b/>
                <w:bCs/>
                <w:szCs w:val="20"/>
                <w:lang w:eastAsia="en-AU"/>
              </w:rPr>
              <w:t>upportive</w:t>
            </w:r>
          </w:p>
          <w:p w14:paraId="77722858" w14:textId="77777777" w:rsidR="000B5219" w:rsidRPr="00302A0C" w:rsidRDefault="000B5219" w:rsidP="00254AE0">
            <w:pPr>
              <w:pStyle w:val="ListParagraph"/>
              <w:numPr>
                <w:ilvl w:val="0"/>
                <w:numId w:val="49"/>
              </w:numPr>
              <w:spacing w:before="0" w:after="0" w:line="240" w:lineRule="auto"/>
              <w:contextualSpacing/>
              <w:rPr>
                <w:rFonts w:ascii="Arial" w:hAnsi="Arial" w:cs="Arial"/>
                <w:szCs w:val="20"/>
              </w:rPr>
            </w:pPr>
            <w:r w:rsidRPr="00302A0C">
              <w:rPr>
                <w:rFonts w:ascii="Arial" w:hAnsi="Arial" w:cs="Arial"/>
                <w:szCs w:val="20"/>
              </w:rPr>
              <w:t>Places a burden or responsibility on entities</w:t>
            </w:r>
            <w:r w:rsidRPr="008F7A4D">
              <w:rPr>
                <w:rFonts w:ascii="Arial" w:hAnsi="Arial" w:cs="Arial"/>
                <w:szCs w:val="20"/>
              </w:rPr>
              <w:t xml:space="preserve"> who were not the subject of, or responsible for, a breach; for example, by directing a non-impacted entity to patch a system.</w:t>
            </w:r>
          </w:p>
        </w:tc>
        <w:tc>
          <w:tcPr>
            <w:tcW w:w="3781" w:type="dxa"/>
            <w:vMerge/>
            <w:vAlign w:val="center"/>
          </w:tcPr>
          <w:p w14:paraId="7182A583" w14:textId="77777777" w:rsidR="000B5219" w:rsidRPr="00D54C89" w:rsidRDefault="000B5219" w:rsidP="00254AE0">
            <w:pPr>
              <w:pStyle w:val="ListParagraph"/>
              <w:numPr>
                <w:ilvl w:val="0"/>
                <w:numId w:val="49"/>
              </w:numPr>
              <w:spacing w:before="0" w:after="0" w:line="240" w:lineRule="auto"/>
              <w:contextualSpacing/>
              <w:rPr>
                <w:rFonts w:ascii="Arial" w:hAnsi="Arial" w:cs="Arial"/>
              </w:rPr>
            </w:pPr>
          </w:p>
        </w:tc>
      </w:tr>
      <w:tr w:rsidR="00522118" w:rsidRPr="00940D7E" w14:paraId="52325B8F" w14:textId="77777777" w:rsidTr="007D242E">
        <w:trPr>
          <w:trHeight w:val="64"/>
        </w:trPr>
        <w:tc>
          <w:tcPr>
            <w:tcW w:w="0" w:type="auto"/>
            <w:vMerge w:val="restart"/>
            <w:shd w:val="clear" w:color="auto" w:fill="F2F2F2" w:themeFill="background2" w:themeFillShade="F2"/>
            <w:vAlign w:val="center"/>
          </w:tcPr>
          <w:p w14:paraId="79CC6475" w14:textId="77777777" w:rsidR="000B5219" w:rsidRDefault="000B5219" w:rsidP="00254AE0">
            <w:pPr>
              <w:rPr>
                <w:rFonts w:ascii="Arial" w:hAnsi="Arial" w:cs="Arial"/>
                <w:b/>
                <w:bCs/>
                <w:szCs w:val="20"/>
                <w:lang w:eastAsia="en-AU"/>
              </w:rPr>
            </w:pPr>
            <w:r w:rsidRPr="3A9E9E7F">
              <w:rPr>
                <w:rFonts w:ascii="Arial" w:hAnsi="Arial" w:cs="Arial"/>
                <w:b/>
                <w:bCs/>
                <w:szCs w:val="20"/>
                <w:lang w:eastAsia="en-AU"/>
              </w:rPr>
              <w:t>Legislative reforms</w:t>
            </w:r>
          </w:p>
          <w:p w14:paraId="3136E5A0" w14:textId="77777777" w:rsidR="000B5219" w:rsidRPr="008D0954" w:rsidRDefault="000B5219" w:rsidP="00254AE0">
            <w:pPr>
              <w:rPr>
                <w:rFonts w:ascii="Arial" w:hAnsi="Arial" w:cs="Arial"/>
                <w:bCs/>
                <w:szCs w:val="20"/>
                <w:u w:val="single"/>
                <w:lang w:eastAsia="en-AU"/>
              </w:rPr>
            </w:pPr>
            <w:r w:rsidRPr="008D0954">
              <w:rPr>
                <w:rFonts w:ascii="Arial" w:hAnsi="Arial" w:cs="Arial"/>
                <w:bCs/>
                <w:szCs w:val="20"/>
                <w:u w:val="single"/>
                <w:lang w:eastAsia="en-AU"/>
              </w:rPr>
              <w:t>Measure 3:</w:t>
            </w:r>
          </w:p>
          <w:p w14:paraId="2213EE30" w14:textId="77777777" w:rsidR="000B5219" w:rsidRPr="006D3042" w:rsidRDefault="000B5219" w:rsidP="00254AE0">
            <w:pPr>
              <w:rPr>
                <w:rFonts w:ascii="Arial" w:eastAsia="Times New Roman" w:hAnsi="Arial" w:cs="Arial"/>
                <w:szCs w:val="20"/>
                <w:lang w:eastAsia="en-AU"/>
              </w:rPr>
            </w:pPr>
            <w:r>
              <w:rPr>
                <w:rFonts w:ascii="Arial" w:eastAsia="Times New Roman" w:hAnsi="Arial" w:cs="Arial"/>
                <w:szCs w:val="20"/>
                <w:lang w:eastAsia="en-AU"/>
              </w:rPr>
              <w:t>Enforcing Critical infrastructure risk management obligations – review and remedy powers</w:t>
            </w:r>
          </w:p>
        </w:tc>
        <w:tc>
          <w:tcPr>
            <w:tcW w:w="3273" w:type="dxa"/>
            <w:shd w:val="clear" w:color="auto" w:fill="auto"/>
            <w:vAlign w:val="center"/>
          </w:tcPr>
          <w:p w14:paraId="71A570B7" w14:textId="77777777" w:rsidR="000B5219" w:rsidRPr="008E3B28" w:rsidRDefault="000B5219" w:rsidP="00254AE0">
            <w:pPr>
              <w:rPr>
                <w:rFonts w:ascii="Arial" w:eastAsia="Times New Roman" w:hAnsi="Arial" w:cs="Arial"/>
                <w:b/>
                <w:szCs w:val="20"/>
                <w:lang w:eastAsia="en-AU"/>
              </w:rPr>
            </w:pPr>
            <w:r w:rsidRPr="1ACFC5D0">
              <w:rPr>
                <w:rFonts w:ascii="Arial" w:eastAsia="Times New Roman" w:hAnsi="Arial" w:cs="Arial"/>
                <w:b/>
                <w:bCs/>
                <w:szCs w:val="20"/>
                <w:lang w:eastAsia="en-AU"/>
              </w:rPr>
              <w:t>Supportive</w:t>
            </w:r>
          </w:p>
          <w:p w14:paraId="72E20F0B" w14:textId="77777777" w:rsidR="000B5219" w:rsidRPr="008F7A4D" w:rsidRDefault="000B5219" w:rsidP="00254AE0">
            <w:pPr>
              <w:pStyle w:val="ListParagraph"/>
              <w:numPr>
                <w:ilvl w:val="0"/>
                <w:numId w:val="47"/>
              </w:numPr>
              <w:spacing w:before="0" w:after="0" w:line="240" w:lineRule="auto"/>
              <w:contextualSpacing/>
              <w:rPr>
                <w:rFonts w:ascii="Arial" w:hAnsi="Arial" w:cs="Arial"/>
                <w:szCs w:val="20"/>
              </w:rPr>
            </w:pPr>
            <w:r w:rsidRPr="008F7A4D">
              <w:rPr>
                <w:rFonts w:ascii="Arial" w:hAnsi="Arial" w:cs="Arial"/>
                <w:szCs w:val="20"/>
              </w:rPr>
              <w:t xml:space="preserve">Some respondents noted that </w:t>
            </w:r>
            <w:r w:rsidRPr="00302A0C">
              <w:rPr>
                <w:rFonts w:ascii="Arial" w:hAnsi="Arial" w:cs="Arial"/>
                <w:szCs w:val="20"/>
              </w:rPr>
              <w:t>indicative costs for compliance with this measure would be lower than indicated</w:t>
            </w:r>
            <w:r w:rsidRPr="008F7A4D">
              <w:rPr>
                <w:rFonts w:ascii="Arial" w:hAnsi="Arial" w:cs="Arial"/>
                <w:szCs w:val="20"/>
              </w:rPr>
              <w:t xml:space="preserve"> due to established risk management processes. </w:t>
            </w:r>
          </w:p>
          <w:p w14:paraId="640EDD1F" w14:textId="2D0FB0E3" w:rsidR="00B27710" w:rsidRPr="007D242E" w:rsidRDefault="000B5219" w:rsidP="007D242E">
            <w:pPr>
              <w:pStyle w:val="ListParagraph"/>
              <w:numPr>
                <w:ilvl w:val="0"/>
                <w:numId w:val="47"/>
              </w:numPr>
              <w:contextualSpacing/>
              <w:rPr>
                <w:rFonts w:ascii="Arial" w:hAnsi="Arial" w:cs="Arial"/>
                <w:szCs w:val="20"/>
              </w:rPr>
            </w:pPr>
            <w:r w:rsidRPr="007D242E">
              <w:rPr>
                <w:rFonts w:ascii="Arial" w:hAnsi="Arial" w:cs="Arial"/>
                <w:szCs w:val="20"/>
              </w:rPr>
              <w:t xml:space="preserve">Intention of the power is supported however should consider a sector-driven and contextualised approach to review and remedy powers. </w:t>
            </w:r>
          </w:p>
        </w:tc>
        <w:tc>
          <w:tcPr>
            <w:tcW w:w="3781" w:type="dxa"/>
            <w:vMerge w:val="restart"/>
            <w:shd w:val="clear" w:color="auto" w:fill="auto"/>
            <w:vAlign w:val="center"/>
          </w:tcPr>
          <w:p w14:paraId="5CC906FC" w14:textId="76654AD1" w:rsidR="006252BC" w:rsidRDefault="006252BC" w:rsidP="00436D55">
            <w:pPr>
              <w:contextualSpacing/>
              <w:rPr>
                <w:rFonts w:ascii="Arial" w:hAnsi="Arial" w:cs="Arial"/>
                <w:szCs w:val="20"/>
              </w:rPr>
            </w:pPr>
            <w:r>
              <w:rPr>
                <w:rFonts w:ascii="Arial" w:hAnsi="Arial" w:cs="Arial"/>
                <w:szCs w:val="20"/>
              </w:rPr>
              <w:t xml:space="preserve">In relation to measure 3: </w:t>
            </w:r>
          </w:p>
          <w:p w14:paraId="4069130B" w14:textId="7993210D" w:rsidR="00414241" w:rsidRPr="006252BC" w:rsidRDefault="000B5219" w:rsidP="00436D55">
            <w:pPr>
              <w:pStyle w:val="ListParagraph"/>
              <w:numPr>
                <w:ilvl w:val="0"/>
                <w:numId w:val="108"/>
              </w:numPr>
              <w:spacing w:before="0" w:after="160" w:line="240" w:lineRule="auto"/>
              <w:contextualSpacing/>
              <w:rPr>
                <w:rFonts w:ascii="Arial" w:hAnsi="Arial" w:cs="Arial"/>
                <w:szCs w:val="20"/>
              </w:rPr>
            </w:pPr>
            <w:r w:rsidRPr="00436D55">
              <w:rPr>
                <w:rFonts w:ascii="Arial" w:hAnsi="Arial" w:cs="Arial"/>
                <w:szCs w:val="20"/>
              </w:rPr>
              <w:t>The Department engaged widely to ensure industry</w:t>
            </w:r>
            <w:r w:rsidR="006252BC">
              <w:rPr>
                <w:rFonts w:ascii="Arial" w:hAnsi="Arial" w:cs="Arial"/>
                <w:szCs w:val="20"/>
              </w:rPr>
              <w:t>’s</w:t>
            </w:r>
            <w:r w:rsidRPr="00436D55">
              <w:rPr>
                <w:rFonts w:ascii="Arial" w:hAnsi="Arial" w:cs="Arial"/>
                <w:szCs w:val="20"/>
              </w:rPr>
              <w:t xml:space="preserve"> support for the proposed regulatory changes </w:t>
            </w:r>
            <w:r w:rsidR="006252BC">
              <w:rPr>
                <w:rFonts w:ascii="Arial" w:hAnsi="Arial" w:cs="Arial"/>
                <w:szCs w:val="20"/>
              </w:rPr>
              <w:t xml:space="preserve">and </w:t>
            </w:r>
            <w:r w:rsidRPr="00436D55">
              <w:rPr>
                <w:rFonts w:ascii="Arial" w:hAnsi="Arial" w:cs="Arial"/>
                <w:szCs w:val="20"/>
              </w:rPr>
              <w:t xml:space="preserve">to guide responsible entities towards meeting their new obligations. </w:t>
            </w:r>
          </w:p>
          <w:p w14:paraId="349A2A1D" w14:textId="26253345" w:rsidR="006252BC" w:rsidRPr="00436D55" w:rsidRDefault="00414241" w:rsidP="00436D55">
            <w:pPr>
              <w:pStyle w:val="ListParagraph"/>
              <w:numPr>
                <w:ilvl w:val="0"/>
                <w:numId w:val="108"/>
              </w:numPr>
              <w:spacing w:before="0" w:after="160" w:line="240" w:lineRule="auto"/>
              <w:contextualSpacing/>
              <w:rPr>
                <w:rFonts w:ascii="Arial" w:hAnsi="Arial" w:cs="Arial"/>
                <w:szCs w:val="20"/>
              </w:rPr>
            </w:pPr>
            <w:r>
              <w:rPr>
                <w:rFonts w:ascii="Arial" w:hAnsi="Arial" w:cs="Arial"/>
                <w:szCs w:val="20"/>
              </w:rPr>
              <w:t>The Department acknowledges a desire from industry for guidance on the meaning of ‘</w:t>
            </w:r>
            <w:r w:rsidR="00BF0818">
              <w:rPr>
                <w:rFonts w:ascii="Arial" w:hAnsi="Arial" w:cs="Arial"/>
                <w:szCs w:val="20"/>
              </w:rPr>
              <w:t>seriously</w:t>
            </w:r>
            <w:r>
              <w:rPr>
                <w:rFonts w:ascii="Arial" w:hAnsi="Arial" w:cs="Arial"/>
                <w:szCs w:val="20"/>
              </w:rPr>
              <w:t xml:space="preserve"> deficient’. This guidance (on this and other matters) will be developed after the legislation’s introduction. </w:t>
            </w:r>
          </w:p>
          <w:p w14:paraId="694E9FFC" w14:textId="3D61B820" w:rsidR="006252BC" w:rsidRPr="006252BC" w:rsidRDefault="000B5219" w:rsidP="00436D55">
            <w:pPr>
              <w:pStyle w:val="ListParagraph"/>
              <w:numPr>
                <w:ilvl w:val="0"/>
                <w:numId w:val="108"/>
              </w:numPr>
              <w:spacing w:after="160" w:line="240" w:lineRule="auto"/>
              <w:contextualSpacing/>
              <w:rPr>
                <w:rFonts w:ascii="Arial" w:hAnsi="Arial" w:cs="Arial"/>
              </w:rPr>
            </w:pPr>
            <w:r w:rsidRPr="006252BC">
              <w:rPr>
                <w:rFonts w:ascii="Arial" w:hAnsi="Arial" w:cs="Arial"/>
              </w:rPr>
              <w:t>The Department still maintains that entities are best placed to manage risks to their assets.</w:t>
            </w:r>
          </w:p>
          <w:p w14:paraId="7511BF81" w14:textId="48773341" w:rsidR="000B5219" w:rsidRPr="006252BC" w:rsidRDefault="4B526757" w:rsidP="00436D55">
            <w:pPr>
              <w:pStyle w:val="ListParagraph"/>
              <w:numPr>
                <w:ilvl w:val="0"/>
                <w:numId w:val="108"/>
              </w:numPr>
              <w:spacing w:after="160" w:line="240" w:lineRule="auto"/>
              <w:contextualSpacing/>
              <w:rPr>
                <w:rFonts w:ascii="Arial" w:hAnsi="Arial" w:cs="Arial"/>
              </w:rPr>
            </w:pPr>
            <w:r w:rsidRPr="006252BC">
              <w:rPr>
                <w:rFonts w:ascii="Arial" w:hAnsi="Arial" w:cs="Arial"/>
              </w:rPr>
              <w:t>In response to the feedback provided by industry</w:t>
            </w:r>
            <w:r w:rsidR="000B5219" w:rsidRPr="006252BC">
              <w:rPr>
                <w:rFonts w:ascii="Arial" w:hAnsi="Arial" w:cs="Arial"/>
              </w:rPr>
              <w:t xml:space="preserve">, Government </w:t>
            </w:r>
            <w:r w:rsidR="556CE305" w:rsidRPr="006252BC">
              <w:rPr>
                <w:rFonts w:ascii="Arial" w:hAnsi="Arial" w:cs="Arial"/>
              </w:rPr>
              <w:t xml:space="preserve">remains committed to exercising the direction in </w:t>
            </w:r>
            <w:r w:rsidR="000B5219" w:rsidRPr="006252BC">
              <w:rPr>
                <w:rFonts w:ascii="Arial" w:hAnsi="Arial" w:cs="Arial"/>
              </w:rPr>
              <w:t xml:space="preserve">the most extreme cases </w:t>
            </w:r>
            <w:r w:rsidR="3B6ED89E" w:rsidRPr="006252BC">
              <w:rPr>
                <w:rFonts w:ascii="Arial" w:hAnsi="Arial" w:cs="Arial"/>
              </w:rPr>
              <w:t>only,</w:t>
            </w:r>
            <w:r w:rsidR="007D242E">
              <w:rPr>
                <w:rFonts w:ascii="Arial" w:hAnsi="Arial" w:cs="Arial"/>
              </w:rPr>
              <w:t xml:space="preserve"> </w:t>
            </w:r>
            <w:r w:rsidR="000B5219" w:rsidRPr="006252BC">
              <w:rPr>
                <w:rFonts w:ascii="Arial" w:hAnsi="Arial" w:cs="Arial"/>
              </w:rPr>
              <w:t xml:space="preserve">after consultation with an entity has been attempted. </w:t>
            </w:r>
          </w:p>
          <w:p w14:paraId="44EC9D9E" w14:textId="77657F68" w:rsidR="000B5219" w:rsidRDefault="000B5219" w:rsidP="00EB4BCC">
            <w:pPr>
              <w:pStyle w:val="ListParagraph"/>
              <w:numPr>
                <w:ilvl w:val="0"/>
                <w:numId w:val="50"/>
              </w:numPr>
              <w:spacing w:before="0" w:after="160" w:line="240" w:lineRule="auto"/>
              <w:contextualSpacing/>
              <w:rPr>
                <w:rFonts w:ascii="Arial" w:hAnsi="Arial" w:cs="Arial"/>
                <w:szCs w:val="20"/>
              </w:rPr>
            </w:pPr>
            <w:r w:rsidRPr="11649716">
              <w:rPr>
                <w:rFonts w:ascii="Arial" w:hAnsi="Arial" w:cs="Arial"/>
                <w:szCs w:val="20"/>
              </w:rPr>
              <w:t xml:space="preserve">Government </w:t>
            </w:r>
            <w:r w:rsidR="00C349E0">
              <w:rPr>
                <w:rFonts w:ascii="Arial" w:hAnsi="Arial" w:cs="Arial"/>
                <w:szCs w:val="20"/>
              </w:rPr>
              <w:t>remains</w:t>
            </w:r>
            <w:r w:rsidR="00C349E0" w:rsidRPr="11649716">
              <w:rPr>
                <w:rFonts w:ascii="Arial" w:hAnsi="Arial" w:cs="Arial"/>
                <w:szCs w:val="20"/>
              </w:rPr>
              <w:t xml:space="preserve"> </w:t>
            </w:r>
            <w:r w:rsidRPr="11649716">
              <w:rPr>
                <w:rFonts w:ascii="Arial" w:hAnsi="Arial" w:cs="Arial"/>
                <w:szCs w:val="20"/>
              </w:rPr>
              <w:t>committed to principles-based regulation and will only direct entities when their RMP fails to produce the outcomes required by principles-based legislation.</w:t>
            </w:r>
          </w:p>
          <w:p w14:paraId="446783A6" w14:textId="77777777" w:rsidR="000B5219" w:rsidRPr="008D0954" w:rsidRDefault="000B5219" w:rsidP="00254AE0">
            <w:pPr>
              <w:rPr>
                <w:rFonts w:ascii="Arial" w:hAnsi="Arial" w:cs="Arial"/>
                <w:szCs w:val="20"/>
                <w:lang w:eastAsia="en-AU"/>
              </w:rPr>
            </w:pPr>
          </w:p>
        </w:tc>
      </w:tr>
      <w:tr w:rsidR="00522118" w:rsidRPr="00940D7E" w14:paraId="601E24C0" w14:textId="77777777" w:rsidTr="00436D55">
        <w:trPr>
          <w:trHeight w:val="300"/>
        </w:trPr>
        <w:tc>
          <w:tcPr>
            <w:tcW w:w="0" w:type="auto"/>
            <w:vMerge/>
            <w:vAlign w:val="center"/>
          </w:tcPr>
          <w:p w14:paraId="70EF5822" w14:textId="77777777" w:rsidR="000B5219" w:rsidRDefault="000B5219" w:rsidP="00254AE0">
            <w:pPr>
              <w:rPr>
                <w:rFonts w:ascii="Arial" w:hAnsi="Arial" w:cs="Arial"/>
                <w:b/>
                <w:bCs/>
                <w:szCs w:val="24"/>
                <w:lang w:eastAsia="en-AU"/>
              </w:rPr>
            </w:pPr>
          </w:p>
        </w:tc>
        <w:tc>
          <w:tcPr>
            <w:tcW w:w="3273" w:type="dxa"/>
            <w:shd w:val="clear" w:color="auto" w:fill="auto"/>
            <w:vAlign w:val="center"/>
          </w:tcPr>
          <w:p w14:paraId="291512BA" w14:textId="77777777" w:rsidR="000B5219" w:rsidRDefault="000B5219" w:rsidP="00254AE0">
            <w:pPr>
              <w:rPr>
                <w:rFonts w:ascii="Arial" w:eastAsia="Times New Roman" w:hAnsi="Arial" w:cs="Arial"/>
                <w:b/>
                <w:bCs/>
                <w:szCs w:val="20"/>
                <w:lang w:eastAsia="en-AU"/>
              </w:rPr>
            </w:pPr>
            <w:r w:rsidRPr="1ACFC5D0">
              <w:rPr>
                <w:rFonts w:ascii="Arial" w:eastAsia="Times New Roman" w:hAnsi="Arial" w:cs="Arial"/>
                <w:b/>
                <w:bCs/>
                <w:szCs w:val="20"/>
                <w:lang w:eastAsia="en-AU"/>
              </w:rPr>
              <w:t>Non-</w:t>
            </w:r>
            <w:r>
              <w:rPr>
                <w:rFonts w:ascii="Arial" w:eastAsia="Times New Roman" w:hAnsi="Arial" w:cs="Arial"/>
                <w:b/>
                <w:bCs/>
                <w:szCs w:val="20"/>
                <w:lang w:eastAsia="en-AU"/>
              </w:rPr>
              <w:t>s</w:t>
            </w:r>
            <w:r w:rsidRPr="1ACFC5D0">
              <w:rPr>
                <w:rFonts w:ascii="Arial" w:eastAsia="Times New Roman" w:hAnsi="Arial" w:cs="Arial"/>
                <w:b/>
                <w:bCs/>
                <w:szCs w:val="20"/>
                <w:lang w:eastAsia="en-AU"/>
              </w:rPr>
              <w:t>upportive</w:t>
            </w:r>
          </w:p>
          <w:p w14:paraId="287C4582" w14:textId="77777777" w:rsidR="000B5219" w:rsidRPr="00302A0C" w:rsidRDefault="000B5219" w:rsidP="00254AE0">
            <w:pPr>
              <w:pStyle w:val="ListParagraph"/>
              <w:numPr>
                <w:ilvl w:val="0"/>
                <w:numId w:val="52"/>
              </w:numPr>
              <w:spacing w:before="0" w:after="0" w:line="240" w:lineRule="auto"/>
              <w:contextualSpacing/>
              <w:rPr>
                <w:rFonts w:ascii="Arial" w:hAnsi="Arial" w:cs="Arial"/>
                <w:szCs w:val="20"/>
              </w:rPr>
            </w:pPr>
            <w:r w:rsidRPr="00302A0C">
              <w:rPr>
                <w:rFonts w:ascii="Arial" w:hAnsi="Arial" w:cs="Arial"/>
                <w:szCs w:val="20"/>
              </w:rPr>
              <w:t xml:space="preserve">Insufficient time has passed since the establishment of the CIRMP, </w:t>
            </w:r>
            <w:r w:rsidRPr="008F7A4D">
              <w:rPr>
                <w:rFonts w:ascii="Arial" w:hAnsi="Arial" w:cs="Arial"/>
                <w:szCs w:val="20"/>
              </w:rPr>
              <w:t>to understand if this power is required.</w:t>
            </w:r>
            <w:r w:rsidRPr="00302A0C">
              <w:rPr>
                <w:rFonts w:ascii="Arial" w:hAnsi="Arial" w:cs="Arial"/>
                <w:szCs w:val="20"/>
              </w:rPr>
              <w:t xml:space="preserve"> </w:t>
            </w:r>
          </w:p>
          <w:p w14:paraId="42836132" w14:textId="77777777" w:rsidR="000B5219" w:rsidRPr="00B27710" w:rsidRDefault="000B5219" w:rsidP="00254AE0">
            <w:pPr>
              <w:pStyle w:val="ListParagraph"/>
              <w:numPr>
                <w:ilvl w:val="0"/>
                <w:numId w:val="52"/>
              </w:numPr>
              <w:spacing w:before="0" w:after="0" w:line="240" w:lineRule="auto"/>
              <w:contextualSpacing/>
              <w:rPr>
                <w:rFonts w:ascii="Arial" w:hAnsi="Arial" w:cs="Arial"/>
                <w:b/>
                <w:szCs w:val="20"/>
              </w:rPr>
            </w:pPr>
            <w:r w:rsidRPr="008F7A4D">
              <w:rPr>
                <w:rFonts w:ascii="Arial" w:hAnsi="Arial" w:cs="Arial"/>
                <w:szCs w:val="20"/>
              </w:rPr>
              <w:t xml:space="preserve">Could also impose </w:t>
            </w:r>
            <w:r w:rsidRPr="00302A0C">
              <w:rPr>
                <w:rFonts w:ascii="Arial" w:hAnsi="Arial" w:cs="Arial"/>
                <w:szCs w:val="20"/>
              </w:rPr>
              <w:t>significant compliance costs</w:t>
            </w:r>
            <w:r w:rsidRPr="008F7A4D">
              <w:rPr>
                <w:rFonts w:ascii="Arial" w:hAnsi="Arial" w:cs="Arial"/>
                <w:szCs w:val="20"/>
              </w:rPr>
              <w:t xml:space="preserve">, reduce flexibility for entities to manage risks according to their specific circumstances, and potentially </w:t>
            </w:r>
            <w:r w:rsidRPr="00302A0C">
              <w:rPr>
                <w:rFonts w:ascii="Arial" w:hAnsi="Arial" w:cs="Arial"/>
                <w:szCs w:val="20"/>
              </w:rPr>
              <w:t>stifle innovation due to more prescriptive requirements.</w:t>
            </w:r>
          </w:p>
          <w:p w14:paraId="45349441" w14:textId="77777777" w:rsidR="00B27710" w:rsidRPr="0077008E" w:rsidRDefault="00B27710" w:rsidP="00254AE0">
            <w:pPr>
              <w:pStyle w:val="ListParagraph"/>
              <w:spacing w:before="0" w:after="0" w:line="240" w:lineRule="auto"/>
              <w:ind w:left="340"/>
              <w:contextualSpacing/>
              <w:rPr>
                <w:rFonts w:ascii="Arial" w:hAnsi="Arial" w:cs="Arial"/>
                <w:b/>
                <w:szCs w:val="20"/>
              </w:rPr>
            </w:pPr>
          </w:p>
        </w:tc>
        <w:tc>
          <w:tcPr>
            <w:tcW w:w="3781" w:type="dxa"/>
            <w:vMerge/>
            <w:vAlign w:val="center"/>
          </w:tcPr>
          <w:p w14:paraId="0D285A55" w14:textId="77777777" w:rsidR="000B5219" w:rsidRPr="008E3B28" w:rsidRDefault="000B5219" w:rsidP="00254AE0">
            <w:pPr>
              <w:rPr>
                <w:rFonts w:ascii="Arial" w:hAnsi="Arial" w:cs="Arial"/>
                <w:szCs w:val="24"/>
                <w:lang w:eastAsia="en-AU"/>
              </w:rPr>
            </w:pPr>
          </w:p>
        </w:tc>
      </w:tr>
      <w:tr w:rsidR="000B5219" w:rsidRPr="00940D7E" w14:paraId="3E8CF1D3" w14:textId="77777777" w:rsidTr="00436D55">
        <w:trPr>
          <w:trHeight w:val="300"/>
        </w:trPr>
        <w:tc>
          <w:tcPr>
            <w:tcW w:w="0" w:type="auto"/>
            <w:gridSpan w:val="3"/>
            <w:shd w:val="clear" w:color="auto" w:fill="D9E2F3"/>
            <w:vAlign w:val="center"/>
          </w:tcPr>
          <w:p w14:paraId="7F74CA97" w14:textId="472912BA" w:rsidR="000B5219" w:rsidRPr="00833C2B" w:rsidRDefault="000B5219" w:rsidP="00EE11E0">
            <w:pPr>
              <w:rPr>
                <w:rFonts w:ascii="Arial" w:hAnsi="Arial" w:cs="Arial"/>
                <w:b/>
                <w:bCs/>
                <w:color w:val="FFFFFF" w:themeColor="background1"/>
                <w:szCs w:val="24"/>
                <w:lang w:eastAsia="en-AU"/>
              </w:rPr>
            </w:pPr>
            <w:r w:rsidRPr="00302A0C">
              <w:rPr>
                <w:rFonts w:ascii="Arial" w:hAnsi="Arial" w:cs="Arial"/>
                <w:b/>
                <w:szCs w:val="24"/>
                <w:lang w:eastAsia="en-AU"/>
              </w:rPr>
              <w:t xml:space="preserve">Option 3 – </w:t>
            </w:r>
            <w:r w:rsidR="00C70CB0">
              <w:rPr>
                <w:rFonts w:ascii="Arial" w:hAnsi="Arial" w:cs="Arial"/>
                <w:b/>
                <w:szCs w:val="24"/>
                <w:lang w:eastAsia="en-AU"/>
              </w:rPr>
              <w:t>E</w:t>
            </w:r>
            <w:r w:rsidRPr="00302A0C">
              <w:rPr>
                <w:rFonts w:ascii="Arial" w:hAnsi="Arial" w:cs="Arial"/>
                <w:b/>
                <w:szCs w:val="24"/>
                <w:lang w:eastAsia="en-AU"/>
              </w:rPr>
              <w:t>nhanced collaboration with industry</w:t>
            </w:r>
          </w:p>
        </w:tc>
      </w:tr>
      <w:tr w:rsidR="00522118" w:rsidRPr="00940D7E" w14:paraId="54085DCB" w14:textId="77777777" w:rsidTr="00436D55">
        <w:trPr>
          <w:trHeight w:val="3885"/>
        </w:trPr>
        <w:tc>
          <w:tcPr>
            <w:tcW w:w="0" w:type="auto"/>
            <w:vMerge w:val="restart"/>
            <w:shd w:val="clear" w:color="auto" w:fill="F2F2F2" w:themeFill="background2" w:themeFillShade="F2"/>
            <w:vAlign w:val="center"/>
          </w:tcPr>
          <w:p w14:paraId="402605F1" w14:textId="77777777" w:rsidR="000B5219" w:rsidRPr="0061254B" w:rsidRDefault="000B5219" w:rsidP="00254AE0">
            <w:pPr>
              <w:rPr>
                <w:rFonts w:ascii="Arial" w:hAnsi="Arial" w:cs="Arial"/>
                <w:b/>
                <w:bCs/>
                <w:szCs w:val="20"/>
                <w:lang w:eastAsia="en-AU"/>
              </w:rPr>
            </w:pPr>
            <w:r w:rsidRPr="667B69DA">
              <w:rPr>
                <w:rFonts w:ascii="Arial" w:hAnsi="Arial" w:cs="Arial"/>
                <w:b/>
                <w:bCs/>
                <w:szCs w:val="20"/>
              </w:rPr>
              <w:t xml:space="preserve">Enhanced collaboration with industry </w:t>
            </w:r>
          </w:p>
        </w:tc>
        <w:tc>
          <w:tcPr>
            <w:tcW w:w="3273" w:type="dxa"/>
            <w:shd w:val="clear" w:color="auto" w:fill="auto"/>
            <w:vAlign w:val="center"/>
          </w:tcPr>
          <w:p w14:paraId="0DBEC3AC" w14:textId="77777777" w:rsidR="000B5219" w:rsidRDefault="000B5219" w:rsidP="00254AE0">
            <w:pPr>
              <w:rPr>
                <w:rFonts w:ascii="Arial" w:eastAsia="Times New Roman" w:hAnsi="Arial" w:cs="Arial"/>
                <w:b/>
                <w:szCs w:val="20"/>
                <w:lang w:eastAsia="en-AU"/>
              </w:rPr>
            </w:pPr>
            <w:r w:rsidRPr="00E3744A">
              <w:rPr>
                <w:rFonts w:ascii="Arial" w:eastAsia="Times New Roman" w:hAnsi="Arial" w:cs="Arial"/>
                <w:b/>
                <w:szCs w:val="20"/>
                <w:lang w:eastAsia="en-AU"/>
              </w:rPr>
              <w:t>Supportive</w:t>
            </w:r>
          </w:p>
          <w:p w14:paraId="6A655E25" w14:textId="77777777" w:rsidR="000B5219" w:rsidRPr="005D04CB" w:rsidRDefault="000B5219" w:rsidP="00254AE0">
            <w:pPr>
              <w:pStyle w:val="ListParagraph"/>
              <w:numPr>
                <w:ilvl w:val="0"/>
                <w:numId w:val="53"/>
              </w:numPr>
              <w:spacing w:before="0" w:after="0" w:line="240" w:lineRule="auto"/>
              <w:contextualSpacing/>
              <w:rPr>
                <w:rFonts w:ascii="Arial" w:hAnsi="Arial" w:cs="Arial"/>
                <w:bCs/>
                <w:szCs w:val="20"/>
              </w:rPr>
            </w:pPr>
            <w:r>
              <w:rPr>
                <w:rFonts w:ascii="Arial" w:hAnsi="Arial" w:cs="Arial"/>
                <w:bCs/>
                <w:szCs w:val="20"/>
              </w:rPr>
              <w:t xml:space="preserve">Feedback mostly agreed that expected impacts were accurately described. </w:t>
            </w:r>
            <w:r w:rsidRPr="005D04CB">
              <w:rPr>
                <w:rFonts w:ascii="Arial" w:hAnsi="Arial" w:cs="Arial"/>
                <w:bCs/>
                <w:szCs w:val="20"/>
              </w:rPr>
              <w:t xml:space="preserve"> </w:t>
            </w:r>
          </w:p>
          <w:p w14:paraId="4DD9A847" w14:textId="77777777" w:rsidR="000B5219" w:rsidRPr="003B0CB9" w:rsidRDefault="000B5219" w:rsidP="00254AE0">
            <w:pPr>
              <w:pStyle w:val="ListParagraph"/>
              <w:numPr>
                <w:ilvl w:val="0"/>
                <w:numId w:val="53"/>
              </w:numPr>
              <w:spacing w:before="0" w:after="0" w:line="240" w:lineRule="auto"/>
              <w:contextualSpacing/>
              <w:rPr>
                <w:rFonts w:ascii="Arial" w:hAnsi="Arial" w:cs="Arial"/>
                <w:szCs w:val="20"/>
              </w:rPr>
            </w:pPr>
            <w:r w:rsidRPr="003B0CB9">
              <w:rPr>
                <w:rFonts w:ascii="Arial" w:hAnsi="Arial" w:cs="Arial"/>
                <w:szCs w:val="20"/>
              </w:rPr>
              <w:t xml:space="preserve">This option </w:t>
            </w:r>
            <w:r w:rsidRPr="00302A0C">
              <w:rPr>
                <w:rFonts w:ascii="Arial" w:hAnsi="Arial" w:cs="Arial"/>
                <w:szCs w:val="20"/>
              </w:rPr>
              <w:t>gives entities flexibility</w:t>
            </w:r>
            <w:r w:rsidRPr="003B0CB9">
              <w:rPr>
                <w:rFonts w:ascii="Arial" w:hAnsi="Arial" w:cs="Arial"/>
                <w:szCs w:val="20"/>
              </w:rPr>
              <w:t xml:space="preserve"> in determining which enhancements would provide material risk reduction and proceed to enhance practices accordingly.</w:t>
            </w:r>
          </w:p>
          <w:p w14:paraId="321988C8" w14:textId="77777777" w:rsidR="000B5219" w:rsidRPr="003B0CB9" w:rsidRDefault="000B5219" w:rsidP="00254AE0">
            <w:pPr>
              <w:pStyle w:val="ListParagraph"/>
              <w:numPr>
                <w:ilvl w:val="0"/>
                <w:numId w:val="53"/>
              </w:numPr>
              <w:spacing w:before="0" w:after="0" w:line="240" w:lineRule="auto"/>
              <w:contextualSpacing/>
              <w:rPr>
                <w:rFonts w:ascii="Arial" w:hAnsi="Arial" w:cs="Arial"/>
                <w:szCs w:val="20"/>
              </w:rPr>
            </w:pPr>
            <w:r w:rsidRPr="00302A0C">
              <w:rPr>
                <w:rFonts w:ascii="Arial" w:hAnsi="Arial" w:cs="Arial"/>
                <w:szCs w:val="20"/>
              </w:rPr>
              <w:t>For consequence management this option enables the development of a framework</w:t>
            </w:r>
            <w:r w:rsidRPr="003B0CB9">
              <w:rPr>
                <w:rFonts w:ascii="Arial" w:hAnsi="Arial" w:cs="Arial"/>
                <w:szCs w:val="20"/>
              </w:rPr>
              <w:t xml:space="preserve"> and supporting flow chart of predetermined actions in the event of a critical incident.</w:t>
            </w:r>
          </w:p>
          <w:p w14:paraId="18A12418" w14:textId="77777777" w:rsidR="000B5219" w:rsidRPr="0061254B" w:rsidRDefault="000B5219" w:rsidP="00254AE0">
            <w:pPr>
              <w:pStyle w:val="ListParagraph"/>
              <w:numPr>
                <w:ilvl w:val="0"/>
                <w:numId w:val="53"/>
              </w:numPr>
              <w:spacing w:before="0" w:after="0" w:line="240" w:lineRule="auto"/>
              <w:contextualSpacing/>
              <w:rPr>
                <w:rFonts w:ascii="Arial" w:hAnsi="Arial" w:cs="Arial"/>
                <w:b/>
                <w:szCs w:val="20"/>
              </w:rPr>
            </w:pPr>
            <w:r w:rsidRPr="003B0CB9">
              <w:rPr>
                <w:rFonts w:ascii="Arial" w:hAnsi="Arial" w:cs="Arial"/>
                <w:szCs w:val="20"/>
              </w:rPr>
              <w:t xml:space="preserve">Some entities indicated that there would see </w:t>
            </w:r>
            <w:r w:rsidRPr="00302A0C">
              <w:rPr>
                <w:rFonts w:ascii="Arial" w:hAnsi="Arial" w:cs="Arial"/>
                <w:szCs w:val="20"/>
              </w:rPr>
              <w:t>minimal change to company policy</w:t>
            </w:r>
            <w:r w:rsidRPr="003B0CB9">
              <w:rPr>
                <w:rFonts w:ascii="Arial" w:hAnsi="Arial" w:cs="Arial"/>
                <w:szCs w:val="20"/>
              </w:rPr>
              <w:t xml:space="preserve">, but would </w:t>
            </w:r>
            <w:r w:rsidRPr="00302A0C">
              <w:rPr>
                <w:rFonts w:ascii="Arial" w:hAnsi="Arial" w:cs="Arial"/>
                <w:szCs w:val="20"/>
              </w:rPr>
              <w:t>still produce intended benefits</w:t>
            </w:r>
          </w:p>
        </w:tc>
        <w:tc>
          <w:tcPr>
            <w:tcW w:w="3781" w:type="dxa"/>
            <w:vMerge w:val="restart"/>
            <w:vAlign w:val="center"/>
          </w:tcPr>
          <w:p w14:paraId="78F27279" w14:textId="77777777" w:rsidR="000B5219" w:rsidRPr="008D0954" w:rsidRDefault="000B5219" w:rsidP="00254AE0">
            <w:pPr>
              <w:pStyle w:val="ListParagraph"/>
              <w:spacing w:after="0" w:line="240" w:lineRule="auto"/>
              <w:ind w:left="340"/>
              <w:rPr>
                <w:rFonts w:ascii="Arial" w:hAnsi="Arial" w:cs="Arial"/>
                <w:szCs w:val="20"/>
              </w:rPr>
            </w:pPr>
          </w:p>
          <w:p w14:paraId="5ACBAAC3" w14:textId="7968CC96" w:rsidR="00EB4BCC" w:rsidRDefault="000B5219" w:rsidP="00EB4BCC">
            <w:pPr>
              <w:pStyle w:val="ListParagraph"/>
              <w:numPr>
                <w:ilvl w:val="0"/>
                <w:numId w:val="109"/>
              </w:numPr>
              <w:contextualSpacing/>
              <w:rPr>
                <w:rFonts w:ascii="Arial" w:hAnsi="Arial" w:cs="Arial"/>
              </w:rPr>
            </w:pPr>
            <w:r w:rsidRPr="00436D55">
              <w:rPr>
                <w:rFonts w:ascii="Arial" w:hAnsi="Arial" w:cs="Arial"/>
                <w:szCs w:val="20"/>
              </w:rPr>
              <w:t xml:space="preserve">Collaboration through the TISN will continue </w:t>
            </w:r>
            <w:r w:rsidR="00EB4BCC">
              <w:rPr>
                <w:rFonts w:ascii="Arial" w:hAnsi="Arial" w:cs="Arial"/>
                <w:szCs w:val="20"/>
              </w:rPr>
              <w:t xml:space="preserve">regardless of the selected policy option, as the </w:t>
            </w:r>
            <w:r w:rsidRPr="00EB4BCC">
              <w:rPr>
                <w:rFonts w:ascii="Arial" w:hAnsi="Arial" w:cs="Arial"/>
              </w:rPr>
              <w:t xml:space="preserve">TISN is a strong and proven resource for effective collaboration between </w:t>
            </w:r>
            <w:r w:rsidR="00EB4BCC">
              <w:rPr>
                <w:rFonts w:ascii="Arial" w:hAnsi="Arial" w:cs="Arial"/>
              </w:rPr>
              <w:t>i</w:t>
            </w:r>
            <w:r w:rsidRPr="00EB4BCC">
              <w:rPr>
                <w:rFonts w:ascii="Arial" w:hAnsi="Arial" w:cs="Arial"/>
              </w:rPr>
              <w:t xml:space="preserve">ndustry and Government. </w:t>
            </w:r>
          </w:p>
          <w:p w14:paraId="2C6E39A4" w14:textId="2E00647D" w:rsidR="00724310" w:rsidRPr="00EB4BCC" w:rsidRDefault="000B5219" w:rsidP="00436D55">
            <w:pPr>
              <w:pStyle w:val="ListParagraph"/>
              <w:numPr>
                <w:ilvl w:val="0"/>
                <w:numId w:val="109"/>
              </w:numPr>
              <w:contextualSpacing/>
              <w:rPr>
                <w:rFonts w:ascii="Arial" w:hAnsi="Arial" w:cs="Arial"/>
              </w:rPr>
            </w:pPr>
            <w:r w:rsidRPr="00EB4BCC">
              <w:rPr>
                <w:rFonts w:ascii="Arial" w:hAnsi="Arial" w:cs="Arial"/>
              </w:rPr>
              <w:t xml:space="preserve">However, similarly to </w:t>
            </w:r>
            <w:r>
              <w:br/>
            </w:r>
            <w:r w:rsidRPr="00EB4BCC">
              <w:rPr>
                <w:rFonts w:ascii="Arial" w:hAnsi="Arial" w:cs="Arial"/>
              </w:rPr>
              <w:t xml:space="preserve">Option 1, </w:t>
            </w:r>
            <w:r w:rsidR="00EB4BCC">
              <w:rPr>
                <w:rFonts w:ascii="Arial" w:hAnsi="Arial" w:cs="Arial"/>
              </w:rPr>
              <w:t xml:space="preserve">the TISN </w:t>
            </w:r>
            <w:r w:rsidRPr="00EB4BCC">
              <w:rPr>
                <w:rFonts w:ascii="Arial" w:hAnsi="Arial" w:cs="Arial"/>
              </w:rPr>
              <w:t>it is limited in what it can achieve, particularly in areas that require consistent application across critical infrastructure sectors.</w:t>
            </w:r>
            <w:r w:rsidR="00F805B4">
              <w:rPr>
                <w:rFonts w:ascii="Arial" w:hAnsi="Arial" w:cs="Arial"/>
              </w:rPr>
              <w:t xml:space="preserve"> Industry feedback also underscored the risks of pursing a voluntary approach to security-related regulation. </w:t>
            </w:r>
          </w:p>
          <w:p w14:paraId="1791EB9B" w14:textId="782006C7" w:rsidR="000B5219" w:rsidRPr="008E3B28" w:rsidRDefault="2912E79D" w:rsidP="00436D55">
            <w:pPr>
              <w:pStyle w:val="ListParagraph"/>
              <w:numPr>
                <w:ilvl w:val="0"/>
                <w:numId w:val="109"/>
              </w:numPr>
              <w:contextualSpacing/>
            </w:pPr>
            <w:r w:rsidRPr="00724310">
              <w:rPr>
                <w:rFonts w:ascii="Arial" w:hAnsi="Arial" w:cs="Arial"/>
              </w:rPr>
              <w:t xml:space="preserve">Industry feedback helped to understand the value of the TISN from industry’s perspective and how it could be strengthened under any option. </w:t>
            </w:r>
          </w:p>
        </w:tc>
      </w:tr>
      <w:tr w:rsidR="00522118" w:rsidRPr="00940D7E" w14:paraId="760326A3" w14:textId="77777777" w:rsidTr="00436D55">
        <w:trPr>
          <w:trHeight w:val="4384"/>
        </w:trPr>
        <w:tc>
          <w:tcPr>
            <w:tcW w:w="0" w:type="auto"/>
            <w:vMerge/>
            <w:vAlign w:val="center"/>
          </w:tcPr>
          <w:p w14:paraId="60030F55" w14:textId="77777777" w:rsidR="000B5219" w:rsidRDefault="000B5219" w:rsidP="00254AE0">
            <w:pPr>
              <w:rPr>
                <w:rFonts w:ascii="Arial" w:hAnsi="Arial" w:cs="Arial"/>
                <w:szCs w:val="20"/>
              </w:rPr>
            </w:pPr>
          </w:p>
        </w:tc>
        <w:tc>
          <w:tcPr>
            <w:tcW w:w="3273" w:type="dxa"/>
            <w:shd w:val="clear" w:color="auto" w:fill="auto"/>
            <w:vAlign w:val="center"/>
          </w:tcPr>
          <w:p w14:paraId="707020DE" w14:textId="77777777" w:rsidR="000B5219" w:rsidRDefault="000B5219" w:rsidP="00254AE0">
            <w:pPr>
              <w:rPr>
                <w:rFonts w:ascii="Arial" w:eastAsia="Times New Roman" w:hAnsi="Arial" w:cs="Arial"/>
                <w:b/>
                <w:szCs w:val="20"/>
                <w:lang w:eastAsia="en-AU"/>
              </w:rPr>
            </w:pPr>
            <w:r>
              <w:rPr>
                <w:rFonts w:ascii="Arial" w:eastAsia="Times New Roman" w:hAnsi="Arial" w:cs="Arial"/>
                <w:b/>
                <w:szCs w:val="20"/>
                <w:lang w:eastAsia="en-AU"/>
              </w:rPr>
              <w:t>Neutral</w:t>
            </w:r>
          </w:p>
          <w:p w14:paraId="18A9E18E" w14:textId="77777777" w:rsidR="000B5219" w:rsidRPr="003B0CB9" w:rsidRDefault="000B5219" w:rsidP="00254AE0">
            <w:pPr>
              <w:pStyle w:val="ListParagraph"/>
              <w:numPr>
                <w:ilvl w:val="0"/>
                <w:numId w:val="55"/>
              </w:numPr>
              <w:spacing w:before="0" w:after="0" w:line="240" w:lineRule="auto"/>
              <w:contextualSpacing/>
              <w:rPr>
                <w:rFonts w:ascii="Arial" w:hAnsi="Arial" w:cs="Arial"/>
                <w:bCs/>
                <w:szCs w:val="20"/>
              </w:rPr>
            </w:pPr>
            <w:r w:rsidRPr="003B0CB9">
              <w:rPr>
                <w:rFonts w:ascii="Arial" w:hAnsi="Arial" w:cs="Arial"/>
                <w:bCs/>
                <w:szCs w:val="20"/>
              </w:rPr>
              <w:t xml:space="preserve">Australia's CI is too important, and the </w:t>
            </w:r>
            <w:r w:rsidRPr="00302A0C">
              <w:rPr>
                <w:rFonts w:ascii="Arial" w:hAnsi="Arial" w:cs="Arial"/>
                <w:szCs w:val="20"/>
              </w:rPr>
              <w:t xml:space="preserve">cyber risks are too great </w:t>
            </w:r>
            <w:r w:rsidRPr="003B0CB9">
              <w:rPr>
                <w:rFonts w:ascii="Arial" w:hAnsi="Arial" w:cs="Arial"/>
                <w:bCs/>
                <w:szCs w:val="20"/>
              </w:rPr>
              <w:t xml:space="preserve">to have a voluntary initiative to increase cyber protections. </w:t>
            </w:r>
          </w:p>
          <w:p w14:paraId="483ED6A2" w14:textId="77777777" w:rsidR="000B5219" w:rsidRPr="003B0CB9" w:rsidRDefault="000B5219" w:rsidP="00254AE0">
            <w:pPr>
              <w:pStyle w:val="ListParagraph"/>
              <w:numPr>
                <w:ilvl w:val="0"/>
                <w:numId w:val="55"/>
              </w:numPr>
              <w:spacing w:before="0" w:after="0" w:line="240" w:lineRule="auto"/>
              <w:contextualSpacing/>
              <w:rPr>
                <w:rFonts w:ascii="Arial" w:hAnsi="Arial" w:cs="Arial"/>
                <w:bCs/>
                <w:szCs w:val="20"/>
              </w:rPr>
            </w:pPr>
            <w:r w:rsidRPr="003B0CB9">
              <w:rPr>
                <w:rFonts w:ascii="Arial" w:hAnsi="Arial" w:cs="Arial"/>
                <w:bCs/>
                <w:szCs w:val="20"/>
              </w:rPr>
              <w:t xml:space="preserve">The TISN remains an important body, however </w:t>
            </w:r>
            <w:r w:rsidRPr="00302A0C">
              <w:rPr>
                <w:rFonts w:ascii="Arial" w:hAnsi="Arial" w:cs="Arial"/>
                <w:szCs w:val="20"/>
              </w:rPr>
              <w:t>Government must establish stronger standards and advisories</w:t>
            </w:r>
            <w:r w:rsidRPr="003B0CB9">
              <w:rPr>
                <w:rFonts w:ascii="Arial" w:hAnsi="Arial" w:cs="Arial"/>
                <w:bCs/>
                <w:szCs w:val="20"/>
              </w:rPr>
              <w:t xml:space="preserve"> for critical infrastructure, which is not able to be achieved through the </w:t>
            </w:r>
            <w:r w:rsidRPr="003B0CB9" w:rsidDel="00B4091B">
              <w:rPr>
                <w:rFonts w:ascii="Arial" w:hAnsi="Arial" w:cs="Arial"/>
                <w:bCs/>
                <w:szCs w:val="20"/>
              </w:rPr>
              <w:t>TISN</w:t>
            </w:r>
            <w:r>
              <w:rPr>
                <w:rFonts w:ascii="Arial" w:hAnsi="Arial" w:cs="Arial"/>
                <w:szCs w:val="20"/>
              </w:rPr>
              <w:t>.</w:t>
            </w:r>
          </w:p>
          <w:p w14:paraId="2DBCDAB9" w14:textId="77777777" w:rsidR="000B5219" w:rsidRPr="0061254B" w:rsidRDefault="000B5219" w:rsidP="00254AE0">
            <w:pPr>
              <w:pStyle w:val="ListParagraph"/>
              <w:numPr>
                <w:ilvl w:val="0"/>
                <w:numId w:val="55"/>
              </w:numPr>
              <w:spacing w:before="0" w:after="0" w:line="240" w:lineRule="auto"/>
              <w:contextualSpacing/>
              <w:rPr>
                <w:rFonts w:ascii="Arial" w:hAnsi="Arial" w:cs="Arial"/>
                <w:bCs/>
                <w:szCs w:val="20"/>
              </w:rPr>
            </w:pPr>
            <w:r w:rsidRPr="003B0CB9">
              <w:rPr>
                <w:rFonts w:ascii="Arial" w:hAnsi="Arial" w:cs="Arial"/>
                <w:bCs/>
                <w:szCs w:val="20"/>
              </w:rPr>
              <w:t xml:space="preserve">Consideration for structure to enable industry collaboration and </w:t>
            </w:r>
            <w:r w:rsidRPr="00302A0C">
              <w:rPr>
                <w:rFonts w:ascii="Arial" w:hAnsi="Arial" w:cs="Arial"/>
                <w:szCs w:val="20"/>
              </w:rPr>
              <w:t>drive targeted, pragmatic outcomes</w:t>
            </w:r>
            <w:r w:rsidRPr="003B0CB9">
              <w:rPr>
                <w:rFonts w:ascii="Arial" w:hAnsi="Arial" w:cs="Arial"/>
                <w:bCs/>
                <w:szCs w:val="20"/>
              </w:rPr>
              <w:t xml:space="preserve"> in recognising sector challenges.</w:t>
            </w:r>
            <w:r w:rsidRPr="005032FB">
              <w:rPr>
                <w:rFonts w:ascii="Arial" w:hAnsi="Arial" w:cs="Arial"/>
                <w:bCs/>
                <w:szCs w:val="20"/>
              </w:rPr>
              <w:t xml:space="preserve"> </w:t>
            </w:r>
          </w:p>
        </w:tc>
        <w:tc>
          <w:tcPr>
            <w:tcW w:w="3781" w:type="dxa"/>
            <w:vMerge/>
            <w:vAlign w:val="center"/>
          </w:tcPr>
          <w:p w14:paraId="411FA4D4" w14:textId="77777777" w:rsidR="000B5219" w:rsidRPr="00D91549" w:rsidRDefault="000B5219" w:rsidP="00254AE0">
            <w:pPr>
              <w:rPr>
                <w:rFonts w:ascii="Arial" w:hAnsi="Arial" w:cs="Arial"/>
                <w:szCs w:val="24"/>
                <w:highlight w:val="yellow"/>
                <w:lang w:eastAsia="en-AU"/>
              </w:rPr>
            </w:pPr>
          </w:p>
        </w:tc>
      </w:tr>
    </w:tbl>
    <w:p w14:paraId="71EE424F" w14:textId="77777777" w:rsidR="000B5219" w:rsidRDefault="000B5219" w:rsidP="000B5219">
      <w:pPr>
        <w:rPr>
          <w:lang w:eastAsia="en-AU"/>
        </w:rPr>
      </w:pPr>
    </w:p>
    <w:p w14:paraId="38E520C6" w14:textId="77777777" w:rsidR="000B5219" w:rsidRDefault="000B5219" w:rsidP="000B5219">
      <w:pPr>
        <w:rPr>
          <w:lang w:eastAsia="en-AU"/>
        </w:rPr>
      </w:pPr>
    </w:p>
    <w:p w14:paraId="7C936626" w14:textId="77777777" w:rsidR="007D242E" w:rsidRDefault="007D242E">
      <w:pPr>
        <w:spacing w:before="80" w:after="80"/>
        <w:rPr>
          <w:rFonts w:ascii="Arial" w:eastAsia="Times New Roman" w:hAnsi="Arial" w:cs="Arial"/>
          <w:b/>
          <w:bCs/>
          <w:sz w:val="32"/>
          <w:szCs w:val="32"/>
          <w:lang w:eastAsia="en-AU"/>
        </w:rPr>
      </w:pPr>
      <w:bookmarkStart w:id="100" w:name="_Toc164683843"/>
      <w:r>
        <w:rPr>
          <w:rFonts w:ascii="Arial" w:hAnsi="Arial"/>
          <w:sz w:val="32"/>
          <w:szCs w:val="32"/>
        </w:rPr>
        <w:br w:type="page"/>
      </w:r>
    </w:p>
    <w:p w14:paraId="50F4E990" w14:textId="218EC11E" w:rsidR="000B5219" w:rsidRPr="005D6289" w:rsidRDefault="000B5219" w:rsidP="00510557">
      <w:pPr>
        <w:pStyle w:val="Heading1"/>
        <w:widowControl/>
        <w:numPr>
          <w:ilvl w:val="0"/>
          <w:numId w:val="26"/>
        </w:numPr>
        <w:spacing w:before="240" w:line="259" w:lineRule="auto"/>
        <w:rPr>
          <w:rFonts w:ascii="Arial" w:hAnsi="Arial"/>
          <w:sz w:val="32"/>
          <w:szCs w:val="32"/>
        </w:rPr>
      </w:pPr>
      <w:bookmarkStart w:id="101" w:name="_Toc176183945"/>
      <w:r w:rsidRPr="005D6289">
        <w:rPr>
          <w:rFonts w:ascii="Arial" w:hAnsi="Arial"/>
          <w:sz w:val="32"/>
          <w:szCs w:val="32"/>
        </w:rPr>
        <w:t>What is the best option from those you have considered and how will it be implemented?</w:t>
      </w:r>
      <w:bookmarkEnd w:id="100"/>
      <w:bookmarkEnd w:id="101"/>
    </w:p>
    <w:p w14:paraId="5EB1098F" w14:textId="50BC0B66" w:rsidR="000B5219" w:rsidRPr="000B5219" w:rsidRDefault="000B5219" w:rsidP="000B5219">
      <w:pPr>
        <w:pStyle w:val="Heading2"/>
        <w:rPr>
          <w:rFonts w:ascii="Arial" w:hAnsi="Arial"/>
          <w:b w:val="0"/>
        </w:rPr>
      </w:pPr>
      <w:bookmarkStart w:id="102" w:name="_Toc164683844"/>
      <w:bookmarkStart w:id="103" w:name="_Toc176183946"/>
      <w:r w:rsidRPr="000B5219">
        <w:rPr>
          <w:rFonts w:ascii="Arial" w:hAnsi="Arial"/>
          <w:b w:val="0"/>
        </w:rPr>
        <w:t>6.1 Best option from those considered</w:t>
      </w:r>
      <w:bookmarkEnd w:id="102"/>
      <w:bookmarkEnd w:id="103"/>
    </w:p>
    <w:p w14:paraId="48C8A165" w14:textId="77777777" w:rsidR="000B5219" w:rsidRPr="006049CE" w:rsidRDefault="000B5219" w:rsidP="00436D55">
      <w:pPr>
        <w:spacing w:after="120"/>
        <w:rPr>
          <w:rFonts w:ascii="Arial" w:hAnsi="Arial" w:cs="Arial"/>
          <w:szCs w:val="20"/>
        </w:rPr>
      </w:pPr>
      <w:r w:rsidRPr="006049CE">
        <w:rPr>
          <w:rFonts w:ascii="Arial" w:hAnsi="Arial" w:cs="Arial"/>
          <w:szCs w:val="20"/>
        </w:rPr>
        <w:t xml:space="preserve">The preceding consultation outcomes and analysis has demonstrated that Option 2: Amend the SOCI Act is the most suitable option from those considered. </w:t>
      </w:r>
    </w:p>
    <w:p w14:paraId="7D95F968" w14:textId="64C40962" w:rsidR="000B5219" w:rsidRDefault="000B5219" w:rsidP="00436D55">
      <w:pPr>
        <w:spacing w:after="120"/>
        <w:rPr>
          <w:lang w:eastAsia="en-AU"/>
        </w:rPr>
      </w:pPr>
      <w:r w:rsidRPr="006049CE">
        <w:rPr>
          <w:rFonts w:ascii="Arial" w:hAnsi="Arial" w:cs="Arial"/>
          <w:szCs w:val="20"/>
        </w:rPr>
        <w:t xml:space="preserve">Section 3 of this IA identified the objectives of Government action. These objectives align with, and seek to address, the elements of the problem discussed in Section 1 below demonstrates that amendments to the SOCI Act (through the 3 measures under consideration) will support each of Government’s objectives for intervention and comprehensively address the problems identified and discussed throughout this IA. </w:t>
      </w:r>
    </w:p>
    <w:p w14:paraId="7D8DF34E" w14:textId="3D37B8DB" w:rsidR="000B5219" w:rsidRPr="00C906A5" w:rsidRDefault="00237E08" w:rsidP="000B5219">
      <w:pPr>
        <w:pStyle w:val="Caption"/>
        <w:rPr>
          <w:rFonts w:ascii="Calibri" w:hAnsi="Calibri" w:cs="Calibri"/>
          <w:b w:val="0"/>
        </w:rPr>
      </w:pPr>
      <w:r w:rsidRPr="00085793">
        <w:rPr>
          <w:rFonts w:ascii="Calibri" w:eastAsia="Times New Roman" w:hAnsi="Calibri" w:cs="Calibri"/>
          <w:bCs/>
          <w:iCs/>
        </w:rPr>
        <w:t xml:space="preserve">Table </w:t>
      </w:r>
      <w:r w:rsidRPr="00085793">
        <w:rPr>
          <w:rFonts w:ascii="Calibri" w:eastAsia="Times New Roman" w:hAnsi="Calibri" w:cs="Calibri"/>
          <w:b w:val="0"/>
          <w:bCs/>
          <w:i w:val="0"/>
          <w:iCs/>
          <w:color w:val="2B579A"/>
          <w:shd w:val="clear" w:color="auto" w:fill="E6E6E6"/>
        </w:rPr>
        <w:fldChar w:fldCharType="begin"/>
      </w:r>
      <w:r w:rsidRPr="00085793">
        <w:rPr>
          <w:rFonts w:ascii="Calibri" w:eastAsia="Times New Roman" w:hAnsi="Calibri" w:cs="Calibri"/>
          <w:bCs/>
          <w:iCs/>
        </w:rPr>
        <w:instrText xml:space="preserve"> SEQ Table \* ARABIC </w:instrText>
      </w:r>
      <w:r w:rsidRPr="00085793">
        <w:rPr>
          <w:rFonts w:ascii="Calibri" w:eastAsia="Times New Roman" w:hAnsi="Calibri" w:cs="Calibri"/>
          <w:b w:val="0"/>
          <w:bCs/>
          <w:i w:val="0"/>
          <w:iCs/>
          <w:color w:val="2B579A"/>
          <w:shd w:val="clear" w:color="auto" w:fill="E6E6E6"/>
        </w:rPr>
        <w:fldChar w:fldCharType="separate"/>
      </w:r>
      <w:r w:rsidR="00E8506B">
        <w:rPr>
          <w:rFonts w:ascii="Calibri" w:eastAsia="Times New Roman" w:hAnsi="Calibri" w:cs="Calibri"/>
          <w:bCs/>
          <w:iCs/>
          <w:noProof/>
        </w:rPr>
        <w:t>34</w:t>
      </w:r>
      <w:r w:rsidRPr="00085793">
        <w:rPr>
          <w:rFonts w:ascii="Calibri" w:eastAsia="Times New Roman" w:hAnsi="Calibri" w:cs="Calibri"/>
          <w:b w:val="0"/>
          <w:bCs/>
          <w:i w:val="0"/>
          <w:iCs/>
          <w:color w:val="2B579A"/>
          <w:shd w:val="clear" w:color="auto" w:fill="E6E6E6"/>
        </w:rPr>
        <w:fldChar w:fldCharType="end"/>
      </w:r>
      <w:r w:rsidRPr="00085793">
        <w:rPr>
          <w:rFonts w:ascii="Calibri" w:eastAsia="Times New Roman" w:hAnsi="Calibri" w:cs="Calibri"/>
          <w:bCs/>
          <w:iCs/>
        </w:rPr>
        <w:t xml:space="preserve"> </w:t>
      </w:r>
      <w:r w:rsidR="000B5219" w:rsidRPr="00C906A5">
        <w:rPr>
          <w:rFonts w:ascii="Calibri" w:hAnsi="Calibri" w:cs="Calibri"/>
          <w:b w:val="0"/>
        </w:rPr>
        <w:t>Assessment of Option 2 against objectives and problem elements</w:t>
      </w:r>
    </w:p>
    <w:tbl>
      <w:tblPr>
        <w:tblStyle w:val="TableGridLight"/>
        <w:tblW w:w="962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37"/>
        <w:gridCol w:w="1918"/>
        <w:gridCol w:w="2266"/>
        <w:gridCol w:w="558"/>
        <w:gridCol w:w="4046"/>
      </w:tblGrid>
      <w:tr w:rsidR="006038AE" w:rsidRPr="00940D7E" w14:paraId="083F8BED" w14:textId="77777777" w:rsidTr="006F6754">
        <w:trPr>
          <w:trHeight w:val="302"/>
          <w:tblHeader/>
        </w:trPr>
        <w:tc>
          <w:tcPr>
            <w:tcW w:w="837" w:type="dxa"/>
            <w:shd w:val="clear" w:color="auto" w:fill="284B98"/>
            <w:vAlign w:val="center"/>
          </w:tcPr>
          <w:p w14:paraId="73E512FD" w14:textId="4403134B" w:rsidR="006038AE" w:rsidRPr="00F1701F" w:rsidRDefault="006038AE" w:rsidP="004A163C">
            <w:pPr>
              <w:spacing w:before="120" w:after="120"/>
              <w:rPr>
                <w:rFonts w:ascii="Arial" w:hAnsi="Arial" w:cs="Arial"/>
                <w:b/>
                <w:bCs/>
                <w:color w:val="FFFFFF" w:themeColor="background1"/>
                <w:szCs w:val="20"/>
              </w:rPr>
            </w:pPr>
          </w:p>
        </w:tc>
        <w:tc>
          <w:tcPr>
            <w:tcW w:w="1918" w:type="dxa"/>
            <w:shd w:val="clear" w:color="auto" w:fill="284B98"/>
            <w:vAlign w:val="center"/>
          </w:tcPr>
          <w:p w14:paraId="49BBE029" w14:textId="0EE764BD" w:rsidR="006038AE" w:rsidRPr="00F1701F" w:rsidRDefault="006038AE" w:rsidP="004A163C">
            <w:pPr>
              <w:spacing w:before="120" w:after="120"/>
              <w:rPr>
                <w:rFonts w:ascii="Arial" w:hAnsi="Arial" w:cs="Arial"/>
                <w:b/>
                <w:bCs/>
                <w:color w:val="FFFFFF" w:themeColor="background1"/>
                <w:szCs w:val="20"/>
              </w:rPr>
            </w:pPr>
            <w:r w:rsidRPr="591A7590">
              <w:rPr>
                <w:rFonts w:ascii="Arial" w:hAnsi="Arial" w:cs="Arial"/>
                <w:b/>
                <w:bCs/>
                <w:color w:val="FFFFFF" w:themeColor="background1"/>
                <w:szCs w:val="20"/>
              </w:rPr>
              <w:t>What is the problem?</w:t>
            </w:r>
          </w:p>
        </w:tc>
        <w:tc>
          <w:tcPr>
            <w:tcW w:w="2266" w:type="dxa"/>
            <w:shd w:val="clear" w:color="auto" w:fill="284B98"/>
          </w:tcPr>
          <w:p w14:paraId="4793633B" w14:textId="4507FD7C" w:rsidR="006038AE" w:rsidRDefault="006038AE" w:rsidP="004A163C">
            <w:pPr>
              <w:spacing w:before="120" w:after="120"/>
              <w:rPr>
                <w:rFonts w:ascii="Arial" w:hAnsi="Arial" w:cs="Arial"/>
                <w:b/>
                <w:bCs/>
                <w:color w:val="FFFFFF" w:themeColor="background1"/>
                <w:szCs w:val="20"/>
              </w:rPr>
            </w:pPr>
            <w:r>
              <w:rPr>
                <w:rFonts w:ascii="Arial" w:hAnsi="Arial" w:cs="Arial"/>
                <w:b/>
                <w:bCs/>
                <w:color w:val="FFFFFF" w:themeColor="background1"/>
                <w:szCs w:val="20"/>
              </w:rPr>
              <w:t>What are Government’s objectives?</w:t>
            </w:r>
          </w:p>
        </w:tc>
        <w:tc>
          <w:tcPr>
            <w:tcW w:w="558" w:type="dxa"/>
            <w:shd w:val="clear" w:color="auto" w:fill="284B98"/>
            <w:vAlign w:val="center"/>
          </w:tcPr>
          <w:p w14:paraId="7603C73D" w14:textId="5E9464B2" w:rsidR="006038AE" w:rsidRPr="591A7590" w:rsidRDefault="006038AE" w:rsidP="004A163C">
            <w:pPr>
              <w:spacing w:before="120" w:after="120"/>
              <w:rPr>
                <w:rFonts w:ascii="Arial" w:hAnsi="Arial" w:cs="Arial"/>
                <w:b/>
                <w:bCs/>
                <w:color w:val="FFFFFF" w:themeColor="background1"/>
                <w:szCs w:val="20"/>
              </w:rPr>
            </w:pPr>
          </w:p>
        </w:tc>
        <w:tc>
          <w:tcPr>
            <w:tcW w:w="4046" w:type="dxa"/>
            <w:shd w:val="clear" w:color="auto" w:fill="284B98"/>
            <w:vAlign w:val="center"/>
          </w:tcPr>
          <w:p w14:paraId="7C529C35" w14:textId="5A226CD9" w:rsidR="006038AE" w:rsidRPr="591A7590" w:rsidRDefault="006038AE" w:rsidP="004A163C">
            <w:pPr>
              <w:spacing w:before="120" w:after="120"/>
              <w:rPr>
                <w:rFonts w:ascii="Arial" w:hAnsi="Arial" w:cs="Arial"/>
                <w:b/>
                <w:bCs/>
                <w:color w:val="FFFFFF" w:themeColor="background1"/>
                <w:szCs w:val="20"/>
              </w:rPr>
            </w:pPr>
            <w:r>
              <w:rPr>
                <w:rFonts w:ascii="Arial" w:hAnsi="Arial" w:cs="Arial"/>
                <w:b/>
                <w:bCs/>
                <w:color w:val="FFFFFF" w:themeColor="background1"/>
                <w:szCs w:val="20"/>
              </w:rPr>
              <w:t>Why Option 2?</w:t>
            </w:r>
          </w:p>
        </w:tc>
      </w:tr>
      <w:tr w:rsidR="000B5219" w:rsidRPr="00940D7E" w14:paraId="34E98D4E" w14:textId="77777777" w:rsidTr="006F6754">
        <w:trPr>
          <w:trHeight w:val="302"/>
        </w:trPr>
        <w:tc>
          <w:tcPr>
            <w:tcW w:w="837" w:type="dxa"/>
            <w:shd w:val="clear" w:color="auto" w:fill="F2F2F2" w:themeFill="background2" w:themeFillShade="F2"/>
            <w:vAlign w:val="center"/>
          </w:tcPr>
          <w:p w14:paraId="08E7C184" w14:textId="77777777" w:rsidR="000B5219" w:rsidRPr="00DB0F47" w:rsidRDefault="000B5219" w:rsidP="004A163C">
            <w:pPr>
              <w:spacing w:before="60" w:after="60"/>
              <w:contextualSpacing/>
              <w:rPr>
                <w:rFonts w:ascii="Arial" w:hAnsi="Arial" w:cs="Arial"/>
                <w:b/>
                <w:bCs/>
                <w:szCs w:val="20"/>
              </w:rPr>
            </w:pPr>
            <w:r w:rsidRPr="591A7590">
              <w:rPr>
                <w:rFonts w:ascii="Arial" w:hAnsi="Arial" w:cs="Arial"/>
                <w:b/>
                <w:bCs/>
                <w:szCs w:val="20"/>
              </w:rPr>
              <w:t>1.1</w:t>
            </w:r>
          </w:p>
        </w:tc>
        <w:tc>
          <w:tcPr>
            <w:tcW w:w="1918" w:type="dxa"/>
            <w:vAlign w:val="center"/>
          </w:tcPr>
          <w:p w14:paraId="3DF7A431" w14:textId="77777777" w:rsidR="000B5219" w:rsidRPr="00400CBA" w:rsidRDefault="000B5219" w:rsidP="004A163C">
            <w:pPr>
              <w:spacing w:before="60" w:after="60"/>
              <w:contextualSpacing/>
              <w:rPr>
                <w:rFonts w:ascii="Arial" w:hAnsi="Arial" w:cs="Arial"/>
                <w:szCs w:val="20"/>
              </w:rPr>
            </w:pPr>
            <w:r w:rsidRPr="591A7590">
              <w:rPr>
                <w:rFonts w:ascii="Arial" w:hAnsi="Arial" w:cs="Arial"/>
                <w:szCs w:val="20"/>
              </w:rPr>
              <w:t>There is a growing number of cyber incidents which impact non-operational data storage systems held by critical infrastructure entitie</w:t>
            </w:r>
            <w:r>
              <w:rPr>
                <w:rFonts w:ascii="Arial" w:hAnsi="Arial" w:cs="Arial"/>
                <w:szCs w:val="20"/>
              </w:rPr>
              <w:t>s and</w:t>
            </w:r>
            <w:r w:rsidRPr="591A7590">
              <w:rPr>
                <w:rFonts w:ascii="Arial" w:hAnsi="Arial" w:cs="Arial"/>
                <w:szCs w:val="20"/>
              </w:rPr>
              <w:t xml:space="preserve"> can often be a point of entry for malicious actors. </w:t>
            </w:r>
          </w:p>
        </w:tc>
        <w:tc>
          <w:tcPr>
            <w:tcW w:w="2266" w:type="dxa"/>
            <w:vAlign w:val="center"/>
          </w:tcPr>
          <w:p w14:paraId="6062D154" w14:textId="77777777" w:rsidR="000B5219" w:rsidRPr="00C45D0A" w:rsidRDefault="000B5219"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Ensure </w:t>
            </w:r>
            <w:r w:rsidRPr="591A7590">
              <w:rPr>
                <w:rFonts w:ascii="Arial" w:hAnsi="Arial" w:cs="Arial"/>
                <w:b/>
                <w:bCs/>
                <w:szCs w:val="20"/>
              </w:rPr>
              <w:t>consistent</w:t>
            </w:r>
            <w:r w:rsidRPr="591A7590">
              <w:rPr>
                <w:rFonts w:ascii="Arial" w:hAnsi="Arial" w:cs="Arial"/>
                <w:szCs w:val="20"/>
              </w:rPr>
              <w:t xml:space="preserve"> capture of secondary systems where vulnerabilities could have a relevant impact on critical infrastructure. </w:t>
            </w:r>
          </w:p>
        </w:tc>
        <w:tc>
          <w:tcPr>
            <w:tcW w:w="558" w:type="dxa"/>
            <w:shd w:val="clear" w:color="auto" w:fill="99FF99"/>
            <w:vAlign w:val="center"/>
          </w:tcPr>
          <w:p w14:paraId="4A056213" w14:textId="77777777" w:rsidR="000B5219" w:rsidRPr="591A7590" w:rsidRDefault="000B5219" w:rsidP="004A163C">
            <w:pPr>
              <w:pStyle w:val="ListParagraph"/>
              <w:spacing w:before="60" w:after="60"/>
              <w:ind w:left="360"/>
              <w:rPr>
                <w:rFonts w:ascii="Arial" w:hAnsi="Arial" w:cs="Arial"/>
                <w:szCs w:val="20"/>
              </w:rPr>
            </w:pPr>
            <w:r w:rsidRPr="00631F6B">
              <w:rPr>
                <w:rFonts w:ascii="Arial" w:hAnsi="Arial" w:cs="Arial"/>
                <w:noProof/>
                <w:color w:val="2B579A"/>
                <w:shd w:val="clear" w:color="auto" w:fill="E6E6E6"/>
              </w:rPr>
              <mc:AlternateContent>
                <mc:Choice Requires="wps">
                  <w:drawing>
                    <wp:anchor distT="0" distB="0" distL="114300" distR="114300" simplePos="0" relativeHeight="251658243" behindDoc="0" locked="0" layoutInCell="1" allowOverlap="1" wp14:anchorId="3C45962A" wp14:editId="3101DA61">
                      <wp:simplePos x="0" y="0"/>
                      <wp:positionH relativeFrom="column">
                        <wp:posOffset>13970</wp:posOffset>
                      </wp:positionH>
                      <wp:positionV relativeFrom="paragraph">
                        <wp:posOffset>169545</wp:posOffset>
                      </wp:positionV>
                      <wp:extent cx="205740" cy="188595"/>
                      <wp:effectExtent l="0" t="0" r="3810" b="1905"/>
                      <wp:wrapNone/>
                      <wp:docPr id="21" name="Freeform: Shape 21">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05740" cy="188595"/>
                              </a:xfrm>
                              <a:custGeom>
                                <a:avLst/>
                                <a:gdLst>
                                  <a:gd name="connsiteX0" fmla="*/ 195721 w 214526"/>
                                  <a:gd name="connsiteY0" fmla="*/ 0 h 150679"/>
                                  <a:gd name="connsiteX1" fmla="*/ 76849 w 214526"/>
                                  <a:gd name="connsiteY1" fmla="*/ 112371 h 150679"/>
                                  <a:gd name="connsiteX2" fmla="*/ 19735 w 214526"/>
                                  <a:gd name="connsiteY2" fmla="*/ 53864 h 150679"/>
                                  <a:gd name="connsiteX3" fmla="*/ 0 w 214526"/>
                                  <a:gd name="connsiteY3" fmla="*/ 72670 h 150679"/>
                                  <a:gd name="connsiteX4" fmla="*/ 75920 w 214526"/>
                                  <a:gd name="connsiteY4" fmla="*/ 150680 h 150679"/>
                                  <a:gd name="connsiteX5" fmla="*/ 95887 w 214526"/>
                                  <a:gd name="connsiteY5" fmla="*/ 132106 h 150679"/>
                                  <a:gd name="connsiteX6" fmla="*/ 214527 w 214526"/>
                                  <a:gd name="connsiteY6" fmla="*/ 19502 h 150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526" h="150679">
                                    <a:moveTo>
                                      <a:pt x="195721" y="0"/>
                                    </a:moveTo>
                                    <a:lnTo>
                                      <a:pt x="76849" y="112371"/>
                                    </a:lnTo>
                                    <a:lnTo>
                                      <a:pt x="19735" y="53864"/>
                                    </a:lnTo>
                                    <a:lnTo>
                                      <a:pt x="0" y="72670"/>
                                    </a:lnTo>
                                    <a:lnTo>
                                      <a:pt x="75920" y="150680"/>
                                    </a:lnTo>
                                    <a:lnTo>
                                      <a:pt x="95887" y="132106"/>
                                    </a:lnTo>
                                    <a:lnTo>
                                      <a:pt x="214527" y="19502"/>
                                    </a:lnTo>
                                    <a:close/>
                                  </a:path>
                                </a:pathLst>
                              </a:custGeom>
                              <a:solidFill>
                                <a:srgbClr val="70AD47"/>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93A49" id="Freeform: Shape 21" o:spid="_x0000_s1026" alt="&quot;&quot;" style="position:absolute;margin-left:1.1pt;margin-top:13.35pt;width:16.2pt;height:14.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526,15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" path="m195721,l76849,112371,19735,53864,,72670r75920,78010l95887,132106,214527,19502,195721,xe" fillcolor="#70ad47" stroked="f" strokeweight=".06339mm">
                      <v:stroke joinstyle="miter"/>
                      <v:path arrowok="t" o:connecttype="custom" o:connectlocs="187705,0;73702,140647;18927,67418;0,90956;72811,188596;91960,165348;205741,24409" o:connectangles="0,0,0,0,0,0,0"/>
                    </v:shape>
                  </w:pict>
                </mc:Fallback>
              </mc:AlternateContent>
            </w:r>
          </w:p>
        </w:tc>
        <w:tc>
          <w:tcPr>
            <w:tcW w:w="4046" w:type="dxa"/>
          </w:tcPr>
          <w:p w14:paraId="4B905595" w14:textId="77777777" w:rsidR="000B5219" w:rsidRPr="00670CE9" w:rsidRDefault="000B5219" w:rsidP="004A163C">
            <w:pPr>
              <w:spacing w:after="120"/>
              <w:rPr>
                <w:rFonts w:ascii="Arial" w:hAnsi="Arial" w:cs="Arial"/>
                <w:szCs w:val="20"/>
              </w:rPr>
            </w:pPr>
            <w:r w:rsidRPr="00670CE9">
              <w:rPr>
                <w:rFonts w:ascii="Arial" w:hAnsi="Arial" w:cs="Arial"/>
                <w:szCs w:val="20"/>
              </w:rPr>
              <w:t xml:space="preserve">Option 2 addresses the </w:t>
            </w:r>
            <w:r>
              <w:rPr>
                <w:rFonts w:ascii="Arial" w:hAnsi="Arial" w:cs="Arial"/>
                <w:szCs w:val="20"/>
              </w:rPr>
              <w:t>ambiguity in</w:t>
            </w:r>
            <w:r w:rsidRPr="00670CE9">
              <w:rPr>
                <w:rFonts w:ascii="Arial" w:hAnsi="Arial" w:cs="Arial"/>
                <w:szCs w:val="20"/>
              </w:rPr>
              <w:t xml:space="preserve"> existing legislative arrangements</w:t>
            </w:r>
            <w:r>
              <w:rPr>
                <w:rFonts w:ascii="Arial" w:hAnsi="Arial" w:cs="Arial"/>
                <w:szCs w:val="20"/>
              </w:rPr>
              <w:t xml:space="preserve"> in relation to the capture of non-operational data CI assets</w:t>
            </w:r>
            <w:r w:rsidRPr="00670CE9">
              <w:rPr>
                <w:rFonts w:ascii="Arial" w:hAnsi="Arial" w:cs="Arial"/>
                <w:szCs w:val="20"/>
              </w:rPr>
              <w:t>, and corresponding Government objectives, in a number of ways:</w:t>
            </w:r>
          </w:p>
          <w:p w14:paraId="7B30176E" w14:textId="77777777" w:rsidR="000B5219"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 xml:space="preserve">Increasing protection for secondary systems operated by existing critical infrastructure entities. </w:t>
            </w:r>
          </w:p>
          <w:p w14:paraId="7EFFE326" w14:textId="77777777" w:rsidR="000B5219"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Reduced likelihood and severity of cyber-attacks on these systems.</w:t>
            </w:r>
          </w:p>
          <w:p w14:paraId="39BA2350" w14:textId="77777777" w:rsidR="000B5219" w:rsidRPr="591A7590"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Assistance in mitigating the consequences of these incidents on critical infrastructure.</w:t>
            </w:r>
          </w:p>
        </w:tc>
      </w:tr>
      <w:tr w:rsidR="000B5219" w:rsidRPr="00940D7E" w14:paraId="05197307" w14:textId="77777777" w:rsidTr="006F6754">
        <w:trPr>
          <w:trHeight w:val="302"/>
        </w:trPr>
        <w:tc>
          <w:tcPr>
            <w:tcW w:w="837" w:type="dxa"/>
            <w:shd w:val="clear" w:color="auto" w:fill="F2F2F2" w:themeFill="background2" w:themeFillShade="F2"/>
            <w:vAlign w:val="center"/>
          </w:tcPr>
          <w:p w14:paraId="7EDEA99F" w14:textId="77777777" w:rsidR="000B5219" w:rsidRPr="00DB0F47" w:rsidRDefault="000B5219" w:rsidP="004A163C">
            <w:pPr>
              <w:spacing w:before="60" w:after="60"/>
              <w:contextualSpacing/>
              <w:rPr>
                <w:rFonts w:ascii="Arial" w:hAnsi="Arial" w:cs="Arial"/>
                <w:b/>
                <w:bCs/>
                <w:szCs w:val="20"/>
              </w:rPr>
            </w:pPr>
            <w:r w:rsidRPr="591A7590">
              <w:rPr>
                <w:rFonts w:ascii="Arial" w:hAnsi="Arial" w:cs="Arial"/>
                <w:b/>
                <w:bCs/>
                <w:szCs w:val="20"/>
              </w:rPr>
              <w:t>1.2</w:t>
            </w:r>
          </w:p>
        </w:tc>
        <w:tc>
          <w:tcPr>
            <w:tcW w:w="1918" w:type="dxa"/>
            <w:vAlign w:val="center"/>
          </w:tcPr>
          <w:p w14:paraId="3F1E331F" w14:textId="77777777" w:rsidR="000B5219" w:rsidRPr="00400CBA" w:rsidRDefault="000B5219" w:rsidP="004A163C">
            <w:pPr>
              <w:spacing w:before="60" w:after="60"/>
              <w:contextualSpacing/>
              <w:rPr>
                <w:rFonts w:ascii="Arial" w:hAnsi="Arial" w:cs="Arial"/>
                <w:szCs w:val="20"/>
              </w:rPr>
            </w:pPr>
            <w:r w:rsidRPr="591A7590">
              <w:rPr>
                <w:rFonts w:ascii="Arial" w:hAnsi="Arial" w:cs="Arial"/>
                <w:szCs w:val="20"/>
              </w:rPr>
              <w:t xml:space="preserve">Businesses often face difficulties responding effectively in the aftermath of significant incidents because of legal risks and government’s limited ability to support with post-incident consequence management. </w:t>
            </w:r>
          </w:p>
        </w:tc>
        <w:tc>
          <w:tcPr>
            <w:tcW w:w="2266" w:type="dxa"/>
            <w:vAlign w:val="center"/>
          </w:tcPr>
          <w:p w14:paraId="049BF792" w14:textId="77777777" w:rsidR="000B5219" w:rsidRPr="00C45D0A" w:rsidRDefault="000B5219"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Enable a </w:t>
            </w:r>
            <w:r w:rsidRPr="591A7590">
              <w:rPr>
                <w:rFonts w:ascii="Arial" w:hAnsi="Arial" w:cs="Arial"/>
                <w:b/>
                <w:bCs/>
                <w:szCs w:val="20"/>
              </w:rPr>
              <w:t>coordinated,</w:t>
            </w:r>
            <w:r w:rsidRPr="591A7590">
              <w:rPr>
                <w:rFonts w:ascii="Arial" w:hAnsi="Arial" w:cs="Arial"/>
                <w:szCs w:val="20"/>
              </w:rPr>
              <w:t xml:space="preserve"> </w:t>
            </w:r>
            <w:r w:rsidRPr="591A7590">
              <w:rPr>
                <w:rFonts w:ascii="Arial" w:hAnsi="Arial" w:cs="Arial"/>
                <w:b/>
                <w:bCs/>
                <w:szCs w:val="20"/>
              </w:rPr>
              <w:t>agile, industry-led response</w:t>
            </w:r>
            <w:r w:rsidRPr="591A7590">
              <w:rPr>
                <w:rFonts w:ascii="Arial" w:hAnsi="Arial" w:cs="Arial"/>
                <w:szCs w:val="20"/>
              </w:rPr>
              <w:t xml:space="preserve"> to incidents with appropriate support from government where necessary. </w:t>
            </w:r>
          </w:p>
        </w:tc>
        <w:tc>
          <w:tcPr>
            <w:tcW w:w="558" w:type="dxa"/>
            <w:shd w:val="clear" w:color="auto" w:fill="99FF99"/>
            <w:vAlign w:val="center"/>
          </w:tcPr>
          <w:p w14:paraId="6E753E34" w14:textId="77777777" w:rsidR="000B5219" w:rsidRPr="591A7590" w:rsidRDefault="000B5219" w:rsidP="004A163C">
            <w:pPr>
              <w:pStyle w:val="ListParagraph"/>
              <w:spacing w:before="60" w:after="60"/>
              <w:ind w:left="360"/>
              <w:rPr>
                <w:rFonts w:ascii="Arial" w:hAnsi="Arial" w:cs="Arial"/>
                <w:szCs w:val="20"/>
              </w:rPr>
            </w:pPr>
            <w:r w:rsidRPr="00631F6B">
              <w:rPr>
                <w:rFonts w:ascii="Arial" w:hAnsi="Arial" w:cs="Arial"/>
                <w:noProof/>
                <w:color w:val="2B579A"/>
                <w:shd w:val="clear" w:color="auto" w:fill="E6E6E6"/>
              </w:rPr>
              <mc:AlternateContent>
                <mc:Choice Requires="wps">
                  <w:drawing>
                    <wp:anchor distT="0" distB="0" distL="114300" distR="114300" simplePos="0" relativeHeight="251658244" behindDoc="0" locked="0" layoutInCell="1" allowOverlap="1" wp14:anchorId="65738149" wp14:editId="2F2387BE">
                      <wp:simplePos x="0" y="0"/>
                      <wp:positionH relativeFrom="column">
                        <wp:posOffset>-635</wp:posOffset>
                      </wp:positionH>
                      <wp:positionV relativeFrom="paragraph">
                        <wp:posOffset>-47625</wp:posOffset>
                      </wp:positionV>
                      <wp:extent cx="220980" cy="203835"/>
                      <wp:effectExtent l="0" t="0" r="7620" b="5715"/>
                      <wp:wrapNone/>
                      <wp:docPr id="22" name="Freeform: Shape 22">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0980" cy="203835"/>
                              </a:xfrm>
                              <a:custGeom>
                                <a:avLst/>
                                <a:gdLst>
                                  <a:gd name="connsiteX0" fmla="*/ 195721 w 214526"/>
                                  <a:gd name="connsiteY0" fmla="*/ 0 h 150679"/>
                                  <a:gd name="connsiteX1" fmla="*/ 76849 w 214526"/>
                                  <a:gd name="connsiteY1" fmla="*/ 112371 h 150679"/>
                                  <a:gd name="connsiteX2" fmla="*/ 19735 w 214526"/>
                                  <a:gd name="connsiteY2" fmla="*/ 53864 h 150679"/>
                                  <a:gd name="connsiteX3" fmla="*/ 0 w 214526"/>
                                  <a:gd name="connsiteY3" fmla="*/ 72670 h 150679"/>
                                  <a:gd name="connsiteX4" fmla="*/ 75920 w 214526"/>
                                  <a:gd name="connsiteY4" fmla="*/ 150680 h 150679"/>
                                  <a:gd name="connsiteX5" fmla="*/ 95887 w 214526"/>
                                  <a:gd name="connsiteY5" fmla="*/ 132106 h 150679"/>
                                  <a:gd name="connsiteX6" fmla="*/ 214527 w 214526"/>
                                  <a:gd name="connsiteY6" fmla="*/ 19502 h 150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526" h="150679">
                                    <a:moveTo>
                                      <a:pt x="195721" y="0"/>
                                    </a:moveTo>
                                    <a:lnTo>
                                      <a:pt x="76849" y="112371"/>
                                    </a:lnTo>
                                    <a:lnTo>
                                      <a:pt x="19735" y="53864"/>
                                    </a:lnTo>
                                    <a:lnTo>
                                      <a:pt x="0" y="72670"/>
                                    </a:lnTo>
                                    <a:lnTo>
                                      <a:pt x="75920" y="150680"/>
                                    </a:lnTo>
                                    <a:lnTo>
                                      <a:pt x="95887" y="132106"/>
                                    </a:lnTo>
                                    <a:lnTo>
                                      <a:pt x="214527" y="19502"/>
                                    </a:lnTo>
                                    <a:close/>
                                  </a:path>
                                </a:pathLst>
                              </a:custGeom>
                              <a:solidFill>
                                <a:srgbClr val="70AD47"/>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AEE481" id="Freeform: Shape 22" o:spid="_x0000_s1026" alt="&quot;&quot;" style="position:absolute;margin-left:-.05pt;margin-top:-3.75pt;width:17.4pt;height:16.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526,15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" path="m195721,l76849,112371,19735,53864,,72670r75920,78010l95887,132106,214527,19502,195721,xe" fillcolor="#70ad47" stroked="f" strokeweight=".06339mm">
                      <v:stroke joinstyle="miter"/>
                      <v:path arrowok="t" o:connecttype="custom" o:connectlocs="201609,0;79161,152013;20329,72866;0,98306;78204,203836;98772,178710;220981,26382" o:connectangles="0,0,0,0,0,0,0"/>
                    </v:shape>
                  </w:pict>
                </mc:Fallback>
              </mc:AlternateContent>
            </w:r>
          </w:p>
        </w:tc>
        <w:tc>
          <w:tcPr>
            <w:tcW w:w="4046" w:type="dxa"/>
          </w:tcPr>
          <w:p w14:paraId="22E04A80" w14:textId="77777777" w:rsidR="000B5219" w:rsidRDefault="000B5219" w:rsidP="004A163C">
            <w:pPr>
              <w:spacing w:after="120"/>
              <w:rPr>
                <w:rFonts w:ascii="Arial" w:hAnsi="Arial" w:cs="Arial"/>
                <w:szCs w:val="20"/>
              </w:rPr>
            </w:pPr>
            <w:r>
              <w:rPr>
                <w:rFonts w:ascii="Arial" w:hAnsi="Arial" w:cs="Arial"/>
                <w:szCs w:val="20"/>
              </w:rPr>
              <w:t>O</w:t>
            </w:r>
            <w:r w:rsidRPr="00F7476B">
              <w:rPr>
                <w:rFonts w:ascii="Arial" w:hAnsi="Arial" w:cs="Arial"/>
                <w:szCs w:val="20"/>
              </w:rPr>
              <w:t xml:space="preserve">ption 2’s </w:t>
            </w:r>
            <w:r>
              <w:rPr>
                <w:rFonts w:ascii="Arial" w:hAnsi="Arial" w:cs="Arial"/>
                <w:szCs w:val="20"/>
              </w:rPr>
              <w:t>consequence management powers</w:t>
            </w:r>
            <w:r w:rsidRPr="00F7476B">
              <w:rPr>
                <w:rFonts w:ascii="Arial" w:hAnsi="Arial" w:cs="Arial"/>
                <w:szCs w:val="20"/>
              </w:rPr>
              <w:t xml:space="preserve"> will allow Government to </w:t>
            </w:r>
            <w:r>
              <w:rPr>
                <w:rFonts w:ascii="Arial" w:hAnsi="Arial" w:cs="Arial"/>
                <w:szCs w:val="20"/>
              </w:rPr>
              <w:t>collaborate with industry and have the ability to provide further assistance in response to an incident occurring. Such collaboration will provide Government with insights into each CI</w:t>
            </w:r>
            <w:r w:rsidRPr="00F7476B">
              <w:rPr>
                <w:rFonts w:ascii="Arial" w:hAnsi="Arial" w:cs="Arial"/>
                <w:szCs w:val="20"/>
              </w:rPr>
              <w:t xml:space="preserve"> asset’s operating environment and </w:t>
            </w:r>
            <w:r>
              <w:rPr>
                <w:rFonts w:ascii="Arial" w:hAnsi="Arial" w:cs="Arial"/>
                <w:szCs w:val="20"/>
              </w:rPr>
              <w:t>be able to provide appropriate support when deemed necessary</w:t>
            </w:r>
            <w:r w:rsidRPr="00F7476B">
              <w:rPr>
                <w:rFonts w:ascii="Arial" w:hAnsi="Arial" w:cs="Arial"/>
                <w:szCs w:val="20"/>
              </w:rPr>
              <w:t xml:space="preserve">. </w:t>
            </w:r>
          </w:p>
          <w:p w14:paraId="1196E2D9" w14:textId="77777777" w:rsidR="000B5219" w:rsidRPr="00746018" w:rsidRDefault="000B5219" w:rsidP="004A163C">
            <w:pPr>
              <w:spacing w:after="120"/>
              <w:rPr>
                <w:rFonts w:ascii="Arial" w:hAnsi="Arial" w:cs="Arial"/>
                <w:szCs w:val="20"/>
              </w:rPr>
            </w:pPr>
            <w:r>
              <w:rPr>
                <w:rFonts w:ascii="Arial" w:hAnsi="Arial" w:cs="Arial"/>
                <w:szCs w:val="20"/>
              </w:rPr>
              <w:t xml:space="preserve">Option 2 will allow </w:t>
            </w:r>
            <w:r w:rsidRPr="591A7590">
              <w:rPr>
                <w:rFonts w:ascii="Arial" w:hAnsi="Arial" w:cs="Arial"/>
                <w:szCs w:val="20"/>
              </w:rPr>
              <w:t xml:space="preserve">Government </w:t>
            </w:r>
            <w:r>
              <w:rPr>
                <w:rFonts w:ascii="Arial" w:hAnsi="Arial" w:cs="Arial"/>
                <w:szCs w:val="20"/>
              </w:rPr>
              <w:t>the</w:t>
            </w:r>
            <w:r w:rsidRPr="591A7590">
              <w:rPr>
                <w:rFonts w:ascii="Arial" w:hAnsi="Arial" w:cs="Arial"/>
                <w:szCs w:val="20"/>
              </w:rPr>
              <w:t xml:space="preserve"> benefit from an enhance</w:t>
            </w:r>
            <w:r>
              <w:rPr>
                <w:rFonts w:ascii="Arial" w:hAnsi="Arial" w:cs="Arial"/>
                <w:szCs w:val="20"/>
              </w:rPr>
              <w:t>d</w:t>
            </w:r>
            <w:r w:rsidRPr="591A7590">
              <w:rPr>
                <w:rFonts w:ascii="Arial" w:hAnsi="Arial" w:cs="Arial"/>
                <w:szCs w:val="20"/>
              </w:rPr>
              <w:t xml:space="preserve"> partnership with industry, including an opportunity to promote industry-led recovery, and mitigate the risk of </w:t>
            </w:r>
            <w:r>
              <w:rPr>
                <w:rFonts w:ascii="Arial" w:hAnsi="Arial" w:cs="Arial"/>
                <w:szCs w:val="20"/>
              </w:rPr>
              <w:t>irrecoverable damage with limited support for post-incident response</w:t>
            </w:r>
            <w:r w:rsidRPr="591A7590">
              <w:rPr>
                <w:rFonts w:ascii="Arial" w:hAnsi="Arial" w:cs="Arial"/>
                <w:szCs w:val="20"/>
              </w:rPr>
              <w:t xml:space="preserve"> arising from gaps in the existing regulatory regime</w:t>
            </w:r>
            <w:r>
              <w:rPr>
                <w:rFonts w:ascii="Arial" w:hAnsi="Arial" w:cs="Arial"/>
                <w:szCs w:val="20"/>
              </w:rPr>
              <w:t>; through:</w:t>
            </w:r>
          </w:p>
          <w:p w14:paraId="64896A35" w14:textId="77777777" w:rsidR="000B5219"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 xml:space="preserve">Support from Government to seamlessly coordinate incident responses. </w:t>
            </w:r>
          </w:p>
          <w:p w14:paraId="06BC691F" w14:textId="77777777" w:rsidR="000B5219" w:rsidRPr="591A7590"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Flexibility in responding to evolving threats and the potentially significant impact of an all-hazards event on the Australian economy and community.</w:t>
            </w:r>
          </w:p>
        </w:tc>
      </w:tr>
      <w:tr w:rsidR="000B5219" w:rsidRPr="00940D7E" w14:paraId="3BC68785" w14:textId="77777777" w:rsidTr="006F6754">
        <w:trPr>
          <w:trHeight w:val="302"/>
        </w:trPr>
        <w:tc>
          <w:tcPr>
            <w:tcW w:w="837" w:type="dxa"/>
            <w:shd w:val="clear" w:color="auto" w:fill="F2F2F2" w:themeFill="background2" w:themeFillShade="F2"/>
            <w:vAlign w:val="center"/>
          </w:tcPr>
          <w:p w14:paraId="3C5E7FD3" w14:textId="77777777" w:rsidR="000B5219" w:rsidRPr="00DB0F47" w:rsidRDefault="000B5219" w:rsidP="004A163C">
            <w:pPr>
              <w:keepLines/>
              <w:spacing w:before="60" w:after="60"/>
              <w:contextualSpacing/>
              <w:rPr>
                <w:rFonts w:ascii="Arial" w:hAnsi="Arial" w:cs="Arial"/>
                <w:b/>
                <w:bCs/>
                <w:szCs w:val="20"/>
              </w:rPr>
            </w:pPr>
            <w:r w:rsidRPr="591A7590">
              <w:rPr>
                <w:rFonts w:ascii="Arial" w:hAnsi="Arial" w:cs="Arial"/>
                <w:b/>
                <w:bCs/>
                <w:szCs w:val="20"/>
              </w:rPr>
              <w:t>1.3</w:t>
            </w:r>
          </w:p>
        </w:tc>
        <w:tc>
          <w:tcPr>
            <w:tcW w:w="1918" w:type="dxa"/>
            <w:vAlign w:val="center"/>
          </w:tcPr>
          <w:p w14:paraId="105AA8E8" w14:textId="77777777" w:rsidR="000B5219" w:rsidRPr="00400CBA" w:rsidRDefault="000B5219" w:rsidP="004A163C">
            <w:pPr>
              <w:keepLines/>
              <w:spacing w:before="60" w:after="60"/>
              <w:contextualSpacing/>
              <w:rPr>
                <w:rFonts w:ascii="Arial" w:hAnsi="Arial" w:cs="Arial"/>
                <w:szCs w:val="20"/>
              </w:rPr>
            </w:pPr>
            <w:r w:rsidRPr="591A7590">
              <w:rPr>
                <w:rFonts w:ascii="Arial" w:hAnsi="Arial" w:cs="Arial"/>
                <w:szCs w:val="20"/>
              </w:rPr>
              <w:t xml:space="preserve">When an entity is unwilling to comply with the regulator’s recommendations to enhance an RMP, there is no ability for the regulator to issue a direction that the entity remedy the deficient RMP. </w:t>
            </w:r>
          </w:p>
        </w:tc>
        <w:tc>
          <w:tcPr>
            <w:tcW w:w="2266" w:type="dxa"/>
            <w:vAlign w:val="center"/>
          </w:tcPr>
          <w:p w14:paraId="010E8B4D" w14:textId="77777777" w:rsidR="000B5219" w:rsidRPr="00D17C9D" w:rsidRDefault="000B5219"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b/>
                <w:bCs/>
                <w:szCs w:val="20"/>
              </w:rPr>
              <w:t>Clarify and enhance</w:t>
            </w:r>
            <w:r w:rsidRPr="591A7590">
              <w:rPr>
                <w:rFonts w:ascii="Arial" w:hAnsi="Arial" w:cs="Arial"/>
                <w:szCs w:val="20"/>
              </w:rPr>
              <w:t xml:space="preserve"> the security standards applicable to critical infrastructure. </w:t>
            </w:r>
          </w:p>
          <w:p w14:paraId="2602B33C" w14:textId="77777777" w:rsidR="000B5219" w:rsidRPr="00C45D0A" w:rsidRDefault="000B5219" w:rsidP="00510557">
            <w:pPr>
              <w:pStyle w:val="ListParagraph"/>
              <w:keepLines/>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Enable an </w:t>
            </w:r>
            <w:r w:rsidRPr="591A7590">
              <w:rPr>
                <w:rFonts w:ascii="Arial" w:hAnsi="Arial" w:cs="Arial"/>
                <w:b/>
                <w:bCs/>
                <w:szCs w:val="20"/>
              </w:rPr>
              <w:t>agile, industry-led</w:t>
            </w:r>
            <w:r w:rsidRPr="591A7590">
              <w:rPr>
                <w:rFonts w:ascii="Arial" w:hAnsi="Arial" w:cs="Arial"/>
                <w:szCs w:val="20"/>
              </w:rPr>
              <w:t xml:space="preserve"> </w:t>
            </w:r>
            <w:r w:rsidRPr="591A7590">
              <w:rPr>
                <w:rFonts w:ascii="Arial" w:hAnsi="Arial" w:cs="Arial"/>
                <w:b/>
                <w:bCs/>
                <w:szCs w:val="20"/>
              </w:rPr>
              <w:t>response</w:t>
            </w:r>
            <w:r w:rsidRPr="591A7590">
              <w:rPr>
                <w:rFonts w:ascii="Arial" w:hAnsi="Arial" w:cs="Arial"/>
                <w:szCs w:val="20"/>
              </w:rPr>
              <w:t xml:space="preserve"> to incidents with appropriate support from government where necessary.</w:t>
            </w:r>
          </w:p>
        </w:tc>
        <w:tc>
          <w:tcPr>
            <w:tcW w:w="558" w:type="dxa"/>
            <w:shd w:val="clear" w:color="auto" w:fill="99FF99"/>
            <w:vAlign w:val="center"/>
          </w:tcPr>
          <w:p w14:paraId="50A2C95B" w14:textId="77777777" w:rsidR="000B5219" w:rsidRPr="591A7590" w:rsidRDefault="000B5219" w:rsidP="004A163C">
            <w:pPr>
              <w:pStyle w:val="ListParagraph"/>
              <w:spacing w:before="60" w:after="60"/>
              <w:ind w:left="360"/>
              <w:rPr>
                <w:rFonts w:ascii="Arial" w:hAnsi="Arial" w:cs="Arial"/>
                <w:b/>
                <w:bCs/>
                <w:szCs w:val="20"/>
              </w:rPr>
            </w:pPr>
            <w:r w:rsidRPr="00631F6B">
              <w:rPr>
                <w:rFonts w:ascii="Arial" w:hAnsi="Arial" w:cs="Arial"/>
                <w:noProof/>
                <w:color w:val="2B579A"/>
                <w:shd w:val="clear" w:color="auto" w:fill="E6E6E6"/>
              </w:rPr>
              <mc:AlternateContent>
                <mc:Choice Requires="wps">
                  <w:drawing>
                    <wp:anchor distT="0" distB="0" distL="114300" distR="114300" simplePos="0" relativeHeight="251658245" behindDoc="0" locked="0" layoutInCell="1" allowOverlap="1" wp14:anchorId="2B349D3A" wp14:editId="135F14C8">
                      <wp:simplePos x="0" y="0"/>
                      <wp:positionH relativeFrom="column">
                        <wp:posOffset>18415</wp:posOffset>
                      </wp:positionH>
                      <wp:positionV relativeFrom="paragraph">
                        <wp:posOffset>31115</wp:posOffset>
                      </wp:positionV>
                      <wp:extent cx="198120" cy="211455"/>
                      <wp:effectExtent l="0" t="0" r="0" b="0"/>
                      <wp:wrapNone/>
                      <wp:docPr id="23" name="Freeform: Shape 2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198120" cy="211455"/>
                              </a:xfrm>
                              <a:custGeom>
                                <a:avLst/>
                                <a:gdLst>
                                  <a:gd name="connsiteX0" fmla="*/ 195721 w 214526"/>
                                  <a:gd name="connsiteY0" fmla="*/ 0 h 150679"/>
                                  <a:gd name="connsiteX1" fmla="*/ 76849 w 214526"/>
                                  <a:gd name="connsiteY1" fmla="*/ 112371 h 150679"/>
                                  <a:gd name="connsiteX2" fmla="*/ 19735 w 214526"/>
                                  <a:gd name="connsiteY2" fmla="*/ 53864 h 150679"/>
                                  <a:gd name="connsiteX3" fmla="*/ 0 w 214526"/>
                                  <a:gd name="connsiteY3" fmla="*/ 72670 h 150679"/>
                                  <a:gd name="connsiteX4" fmla="*/ 75920 w 214526"/>
                                  <a:gd name="connsiteY4" fmla="*/ 150680 h 150679"/>
                                  <a:gd name="connsiteX5" fmla="*/ 95887 w 214526"/>
                                  <a:gd name="connsiteY5" fmla="*/ 132106 h 150679"/>
                                  <a:gd name="connsiteX6" fmla="*/ 214527 w 214526"/>
                                  <a:gd name="connsiteY6" fmla="*/ 19502 h 150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4526" h="150679">
                                    <a:moveTo>
                                      <a:pt x="195721" y="0"/>
                                    </a:moveTo>
                                    <a:lnTo>
                                      <a:pt x="76849" y="112371"/>
                                    </a:lnTo>
                                    <a:lnTo>
                                      <a:pt x="19735" y="53864"/>
                                    </a:lnTo>
                                    <a:lnTo>
                                      <a:pt x="0" y="72670"/>
                                    </a:lnTo>
                                    <a:lnTo>
                                      <a:pt x="75920" y="150680"/>
                                    </a:lnTo>
                                    <a:lnTo>
                                      <a:pt x="95887" y="132106"/>
                                    </a:lnTo>
                                    <a:lnTo>
                                      <a:pt x="214527" y="19502"/>
                                    </a:lnTo>
                                    <a:close/>
                                  </a:path>
                                </a:pathLst>
                              </a:custGeom>
                              <a:solidFill>
                                <a:srgbClr val="70AD47"/>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FF5E6" id="Freeform: Shape 23" o:spid="_x0000_s1026" alt="&quot;&quot;" style="position:absolute;margin-left:1.45pt;margin-top:2.45pt;width:15.6pt;height:16.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526,15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" path="m195721,l76849,112371,19735,53864,,72670r75920,78010l95887,132106,214527,19502,195721,xe" fillcolor="#70ad47" stroked="f" strokeweight=".06339mm">
                      <v:stroke joinstyle="miter"/>
                      <v:path arrowok="t" o:connecttype="custom" o:connectlocs="180753,0;70972,157696;18226,75590;0,101981;70114,211456;88554,185391;198121,27368" o:connectangles="0,0,0,0,0,0,0"/>
                    </v:shape>
                  </w:pict>
                </mc:Fallback>
              </mc:AlternateContent>
            </w:r>
          </w:p>
        </w:tc>
        <w:tc>
          <w:tcPr>
            <w:tcW w:w="4046" w:type="dxa"/>
          </w:tcPr>
          <w:p w14:paraId="1013951F" w14:textId="6F50241F" w:rsidR="000B5219" w:rsidRPr="00750DBC" w:rsidRDefault="000B5219" w:rsidP="004A163C">
            <w:pPr>
              <w:spacing w:after="120"/>
              <w:rPr>
                <w:rFonts w:ascii="Arial" w:hAnsi="Arial" w:cs="Arial"/>
                <w:szCs w:val="20"/>
              </w:rPr>
            </w:pPr>
            <w:r w:rsidRPr="00750DBC">
              <w:rPr>
                <w:rFonts w:ascii="Arial" w:hAnsi="Arial" w:cs="Arial"/>
                <w:szCs w:val="20"/>
              </w:rPr>
              <w:t xml:space="preserve">The introduction of </w:t>
            </w:r>
            <w:r>
              <w:rPr>
                <w:rFonts w:ascii="Arial" w:hAnsi="Arial" w:cs="Arial"/>
                <w:szCs w:val="20"/>
              </w:rPr>
              <w:t>a directions power</w:t>
            </w:r>
            <w:r w:rsidRPr="00750DBC">
              <w:rPr>
                <w:rFonts w:ascii="Arial" w:hAnsi="Arial" w:cs="Arial"/>
                <w:szCs w:val="20"/>
              </w:rPr>
              <w:t xml:space="preserve"> under </w:t>
            </w:r>
            <w:r>
              <w:rPr>
                <w:rFonts w:ascii="Arial" w:hAnsi="Arial" w:cs="Arial"/>
                <w:szCs w:val="20"/>
              </w:rPr>
              <w:t>O</w:t>
            </w:r>
            <w:r w:rsidRPr="00750DBC">
              <w:rPr>
                <w:rFonts w:ascii="Arial" w:hAnsi="Arial" w:cs="Arial"/>
                <w:szCs w:val="20"/>
              </w:rPr>
              <w:t xml:space="preserve">ption 2, </w:t>
            </w:r>
            <w:r>
              <w:rPr>
                <w:rFonts w:ascii="Arial" w:hAnsi="Arial" w:cs="Arial"/>
                <w:szCs w:val="20"/>
              </w:rPr>
              <w:t xml:space="preserve">when an entity’s RMP is deemed </w:t>
            </w:r>
            <w:r w:rsidR="00BF0818">
              <w:rPr>
                <w:rFonts w:ascii="Arial" w:hAnsi="Arial" w:cs="Arial"/>
                <w:szCs w:val="20"/>
              </w:rPr>
              <w:t>seriously</w:t>
            </w:r>
            <w:r>
              <w:rPr>
                <w:rFonts w:ascii="Arial" w:hAnsi="Arial" w:cs="Arial"/>
                <w:szCs w:val="20"/>
              </w:rPr>
              <w:t xml:space="preserve"> deficient</w:t>
            </w:r>
            <w:r w:rsidRPr="00750DBC">
              <w:rPr>
                <w:rFonts w:ascii="Arial" w:hAnsi="Arial" w:cs="Arial"/>
                <w:szCs w:val="20"/>
              </w:rPr>
              <w:t xml:space="preserve">, will improve the security </w:t>
            </w:r>
            <w:r>
              <w:rPr>
                <w:rFonts w:ascii="Arial" w:hAnsi="Arial" w:cs="Arial"/>
                <w:szCs w:val="20"/>
              </w:rPr>
              <w:t xml:space="preserve">standards </w:t>
            </w:r>
            <w:r w:rsidRPr="00750DBC">
              <w:rPr>
                <w:rFonts w:ascii="Arial" w:hAnsi="Arial" w:cs="Arial"/>
                <w:szCs w:val="20"/>
              </w:rPr>
              <w:t>and resilience of critical infrastructure assets</w:t>
            </w:r>
            <w:r>
              <w:rPr>
                <w:rFonts w:ascii="Arial" w:hAnsi="Arial" w:cs="Arial"/>
                <w:szCs w:val="20"/>
              </w:rPr>
              <w:t>. This is because Government will have the ability to take action and direct that an entity uplift</w:t>
            </w:r>
            <w:r w:rsidRPr="00750DBC">
              <w:rPr>
                <w:rFonts w:ascii="Arial" w:hAnsi="Arial" w:cs="Arial"/>
                <w:szCs w:val="20"/>
              </w:rPr>
              <w:t xml:space="preserve"> the security and resilience of their asset</w:t>
            </w:r>
            <w:r>
              <w:rPr>
                <w:rFonts w:ascii="Arial" w:hAnsi="Arial" w:cs="Arial"/>
                <w:szCs w:val="20"/>
              </w:rPr>
              <w:t>s to meet required standards</w:t>
            </w:r>
            <w:r w:rsidRPr="00750DBC">
              <w:rPr>
                <w:rFonts w:ascii="Arial" w:hAnsi="Arial" w:cs="Arial"/>
                <w:szCs w:val="20"/>
              </w:rPr>
              <w:t xml:space="preserve">. </w:t>
            </w:r>
          </w:p>
          <w:p w14:paraId="5A4C7504" w14:textId="77777777" w:rsidR="000B5219" w:rsidRPr="00750DBC" w:rsidRDefault="000B5219" w:rsidP="004A163C">
            <w:pPr>
              <w:spacing w:after="120"/>
              <w:rPr>
                <w:rFonts w:ascii="Arial" w:hAnsi="Arial" w:cs="Arial"/>
                <w:szCs w:val="20"/>
              </w:rPr>
            </w:pPr>
            <w:r w:rsidRPr="00750DBC">
              <w:rPr>
                <w:rFonts w:ascii="Arial" w:hAnsi="Arial" w:cs="Arial"/>
                <w:szCs w:val="20"/>
              </w:rPr>
              <w:t xml:space="preserve">The </w:t>
            </w:r>
            <w:r>
              <w:rPr>
                <w:rFonts w:ascii="Arial" w:hAnsi="Arial" w:cs="Arial"/>
                <w:szCs w:val="20"/>
              </w:rPr>
              <w:t xml:space="preserve">Government will ensure that </w:t>
            </w:r>
            <w:r w:rsidRPr="00750DBC">
              <w:rPr>
                <w:rFonts w:ascii="Arial" w:hAnsi="Arial" w:cs="Arial"/>
                <w:szCs w:val="20"/>
              </w:rPr>
              <w:t>risk management program</w:t>
            </w:r>
            <w:r>
              <w:rPr>
                <w:rFonts w:ascii="Arial" w:hAnsi="Arial" w:cs="Arial"/>
                <w:szCs w:val="20"/>
              </w:rPr>
              <w:t xml:space="preserve">s are being implemented </w:t>
            </w:r>
            <w:r w:rsidRPr="00750DBC">
              <w:rPr>
                <w:rFonts w:ascii="Arial" w:hAnsi="Arial" w:cs="Arial"/>
                <w:szCs w:val="20"/>
              </w:rPr>
              <w:t>appropriately</w:t>
            </w:r>
            <w:r>
              <w:rPr>
                <w:rFonts w:ascii="Arial" w:hAnsi="Arial" w:cs="Arial"/>
                <w:szCs w:val="20"/>
              </w:rPr>
              <w:t xml:space="preserve"> </w:t>
            </w:r>
            <w:r w:rsidDel="002F3266">
              <w:rPr>
                <w:rFonts w:ascii="Arial" w:hAnsi="Arial" w:cs="Arial"/>
                <w:szCs w:val="20"/>
              </w:rPr>
              <w:t xml:space="preserve">and </w:t>
            </w:r>
            <w:r w:rsidRPr="00750DBC">
              <w:rPr>
                <w:rFonts w:ascii="Arial" w:hAnsi="Arial" w:cs="Arial"/>
                <w:szCs w:val="20"/>
              </w:rPr>
              <w:t>prioritised by responsible entities</w:t>
            </w:r>
            <w:r>
              <w:rPr>
                <w:rFonts w:ascii="Arial" w:hAnsi="Arial" w:cs="Arial"/>
                <w:szCs w:val="20"/>
              </w:rPr>
              <w:t>; including:</w:t>
            </w:r>
          </w:p>
          <w:p w14:paraId="4232017B" w14:textId="77777777" w:rsidR="000B5219"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 xml:space="preserve">Retaining the principle-based approach to compliance, including some discretion for entities in how they respond or integrate a direction to address a deficient RMP. </w:t>
            </w:r>
          </w:p>
          <w:p w14:paraId="23C327A3" w14:textId="77777777" w:rsidR="000B5219" w:rsidRDefault="000B5219" w:rsidP="00510557">
            <w:pPr>
              <w:pStyle w:val="ListParagraph"/>
              <w:numPr>
                <w:ilvl w:val="0"/>
                <w:numId w:val="20"/>
              </w:numPr>
              <w:spacing w:before="0" w:line="240" w:lineRule="auto"/>
              <w:rPr>
                <w:rFonts w:ascii="Arial" w:hAnsi="Arial" w:cs="Arial"/>
                <w:szCs w:val="20"/>
              </w:rPr>
            </w:pPr>
            <w:r>
              <w:rPr>
                <w:rFonts w:ascii="Arial" w:hAnsi="Arial" w:cs="Arial"/>
                <w:szCs w:val="20"/>
              </w:rPr>
              <w:t xml:space="preserve">Proactively addressing and mitigating any risks which may arise because of a deficient RMP. </w:t>
            </w:r>
          </w:p>
          <w:p w14:paraId="136F9C29" w14:textId="16832DCF" w:rsidR="00CE073F" w:rsidRPr="00C535C4" w:rsidRDefault="78DED8B6" w:rsidP="004D0CB1">
            <w:pPr>
              <w:pStyle w:val="ListParagraph"/>
              <w:numPr>
                <w:ilvl w:val="0"/>
                <w:numId w:val="20"/>
              </w:numPr>
              <w:spacing w:before="0" w:line="240" w:lineRule="auto"/>
              <w:rPr>
                <w:rFonts w:ascii="Arial" w:hAnsi="Arial" w:cs="Arial"/>
              </w:rPr>
            </w:pPr>
            <w:r w:rsidRPr="098AE7E4">
              <w:rPr>
                <w:rFonts w:ascii="Arial" w:hAnsi="Arial" w:cs="Arial"/>
              </w:rPr>
              <w:t>Providing guidance to industry on the meaning of ‘</w:t>
            </w:r>
            <w:r w:rsidR="004D0CB1">
              <w:rPr>
                <w:rFonts w:ascii="Arial" w:hAnsi="Arial" w:cs="Arial"/>
              </w:rPr>
              <w:t>seriously</w:t>
            </w:r>
            <w:r w:rsidR="004D0CB1" w:rsidRPr="098AE7E4">
              <w:rPr>
                <w:rFonts w:ascii="Arial" w:hAnsi="Arial" w:cs="Arial"/>
              </w:rPr>
              <w:t xml:space="preserve"> </w:t>
            </w:r>
            <w:r w:rsidRPr="098AE7E4">
              <w:rPr>
                <w:rFonts w:ascii="Arial" w:hAnsi="Arial" w:cs="Arial"/>
              </w:rPr>
              <w:t>deficient’ following the passage of legislation.</w:t>
            </w:r>
          </w:p>
        </w:tc>
      </w:tr>
    </w:tbl>
    <w:p w14:paraId="4A49BCC0" w14:textId="77777777" w:rsidR="000B5219" w:rsidRPr="006049CE" w:rsidRDefault="000B5219" w:rsidP="000B5219">
      <w:pPr>
        <w:rPr>
          <w:rFonts w:ascii="Arial" w:hAnsi="Arial" w:cs="Arial"/>
          <w:szCs w:val="20"/>
        </w:rPr>
      </w:pPr>
    </w:p>
    <w:p w14:paraId="09DAFDE0" w14:textId="2BF941D1" w:rsidR="000B5219" w:rsidRDefault="000B5219" w:rsidP="000B5219">
      <w:pPr>
        <w:spacing w:after="120"/>
        <w:rPr>
          <w:rFonts w:ascii="Arial" w:hAnsi="Arial" w:cs="Arial"/>
          <w:szCs w:val="20"/>
        </w:rPr>
      </w:pPr>
      <w:r w:rsidRPr="005A31D6">
        <w:rPr>
          <w:rFonts w:ascii="Arial" w:hAnsi="Arial" w:cs="Arial"/>
          <w:szCs w:val="20"/>
        </w:rPr>
        <w:t xml:space="preserve">The summary contained in </w:t>
      </w:r>
      <w:r w:rsidR="00FB1B81">
        <w:rPr>
          <w:rFonts w:ascii="Arial" w:hAnsi="Arial" w:cs="Arial"/>
          <w:szCs w:val="20"/>
        </w:rPr>
        <w:t>table 3</w:t>
      </w:r>
      <w:r w:rsidR="00502913" w:rsidRPr="00502913">
        <w:rPr>
          <w:rFonts w:ascii="Arial" w:hAnsi="Arial" w:cs="Arial"/>
          <w:szCs w:val="20"/>
        </w:rPr>
        <w:t>4</w:t>
      </w:r>
      <w:r w:rsidRPr="005A31D6">
        <w:rPr>
          <w:rFonts w:ascii="Arial" w:hAnsi="Arial" w:cs="Arial"/>
          <w:szCs w:val="20"/>
        </w:rPr>
        <w:t xml:space="preserve"> above indicates that Option 2 is the best option. This is primarily because amending the SOCI Act is only option capable of addressing each problem area identified in this IA. It achieves the objectives of Government intervention and stands to deliver substantial benefits to industry and the Australian economy as a whole. Conversely, </w:t>
      </w:r>
      <w:r w:rsidRPr="0019246C">
        <w:rPr>
          <w:rFonts w:ascii="Arial" w:hAnsi="Arial" w:cs="Arial"/>
          <w:color w:val="2B579A"/>
          <w:szCs w:val="20"/>
          <w:shd w:val="clear" w:color="auto" w:fill="E6E6E6"/>
        </w:rPr>
        <w:fldChar w:fldCharType="begin"/>
      </w:r>
      <w:r w:rsidRPr="0019246C">
        <w:rPr>
          <w:rFonts w:ascii="Arial" w:hAnsi="Arial" w:cs="Arial"/>
          <w:szCs w:val="20"/>
        </w:rPr>
        <w:instrText xml:space="preserve"> REF _Ref163737087 \h  \* MERGEFORMAT </w:instrText>
      </w:r>
      <w:r w:rsidRPr="0019246C">
        <w:rPr>
          <w:rFonts w:ascii="Arial" w:hAnsi="Arial" w:cs="Arial"/>
          <w:color w:val="2B579A"/>
          <w:szCs w:val="20"/>
          <w:shd w:val="clear" w:color="auto" w:fill="E6E6E6"/>
        </w:rPr>
      </w:r>
      <w:r w:rsidRPr="0019246C">
        <w:rPr>
          <w:rFonts w:ascii="Arial" w:hAnsi="Arial" w:cs="Arial"/>
          <w:color w:val="2B579A"/>
          <w:szCs w:val="20"/>
          <w:shd w:val="clear" w:color="auto" w:fill="E6E6E6"/>
        </w:rPr>
        <w:fldChar w:fldCharType="separate"/>
      </w:r>
      <w:r w:rsidR="00E8506B" w:rsidRPr="00E8506B">
        <w:rPr>
          <w:rFonts w:ascii="Arial" w:hAnsi="Arial" w:cs="Arial"/>
          <w:szCs w:val="20"/>
        </w:rPr>
        <w:t xml:space="preserve">Table </w:t>
      </w:r>
      <w:r w:rsidR="00E8506B" w:rsidRPr="00E8506B">
        <w:rPr>
          <w:rFonts w:ascii="Arial" w:hAnsi="Arial" w:cs="Arial"/>
          <w:noProof/>
          <w:szCs w:val="20"/>
        </w:rPr>
        <w:t>35</w:t>
      </w:r>
      <w:r w:rsidRPr="0019246C">
        <w:rPr>
          <w:rFonts w:ascii="Arial" w:hAnsi="Arial" w:cs="Arial"/>
          <w:color w:val="2B579A"/>
          <w:szCs w:val="20"/>
          <w:shd w:val="clear" w:color="auto" w:fill="E6E6E6"/>
        </w:rPr>
        <w:fldChar w:fldCharType="end"/>
      </w:r>
      <w:r w:rsidRPr="005A31D6">
        <w:rPr>
          <w:rFonts w:ascii="Arial" w:hAnsi="Arial" w:cs="Arial"/>
          <w:szCs w:val="20"/>
        </w:rPr>
        <w:t xml:space="preserve"> below draws on the analysis undertaken in Section 4 above, to highlight Option 1 and 3’s inability to address the identified problem areas and meet Government’s objectives for intervention.</w:t>
      </w:r>
    </w:p>
    <w:p w14:paraId="6287802D" w14:textId="77777777" w:rsidR="00F80A0E" w:rsidRDefault="00F80A0E" w:rsidP="000B5219">
      <w:pPr>
        <w:spacing w:after="120"/>
        <w:rPr>
          <w:rFonts w:ascii="Arial" w:hAnsi="Arial" w:cs="Arial"/>
          <w:szCs w:val="20"/>
        </w:rPr>
      </w:pPr>
    </w:p>
    <w:p w14:paraId="314A31F9" w14:textId="7DEB88AA" w:rsidR="000B5219" w:rsidRPr="00307761" w:rsidRDefault="000B5219" w:rsidP="000B5219">
      <w:pPr>
        <w:pStyle w:val="Caption"/>
        <w:rPr>
          <w:rFonts w:ascii="Calibri" w:hAnsi="Calibri" w:cs="Calibri"/>
          <w:b w:val="0"/>
        </w:rPr>
      </w:pPr>
      <w:bookmarkStart w:id="104" w:name="_Ref163737087"/>
      <w:r w:rsidRPr="00307761">
        <w:rPr>
          <w:rFonts w:ascii="Calibri" w:hAnsi="Calibri" w:cs="Calibri"/>
          <w:bCs/>
        </w:rPr>
        <w:t xml:space="preserve">Table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Table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35</w:t>
      </w:r>
      <w:r w:rsidRPr="00307761">
        <w:rPr>
          <w:rFonts w:ascii="Calibri" w:hAnsi="Calibri" w:cs="Calibri"/>
          <w:bCs/>
          <w:color w:val="2B579A"/>
          <w:shd w:val="clear" w:color="auto" w:fill="E6E6E6"/>
        </w:rPr>
        <w:fldChar w:fldCharType="end"/>
      </w:r>
      <w:bookmarkEnd w:id="104"/>
      <w:r w:rsidRPr="00307761">
        <w:rPr>
          <w:rFonts w:ascii="Calibri" w:hAnsi="Calibri" w:cs="Calibri"/>
          <w:b w:val="0"/>
        </w:rPr>
        <w:t xml:space="preserve"> Assessment of Options 1 &amp; 3 against objectives and problem elements</w:t>
      </w:r>
    </w:p>
    <w:tbl>
      <w:tblPr>
        <w:tblStyle w:val="TableGridLight"/>
        <w:tblW w:w="965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91"/>
        <w:gridCol w:w="2042"/>
        <w:gridCol w:w="2415"/>
        <w:gridCol w:w="591"/>
        <w:gridCol w:w="4014"/>
      </w:tblGrid>
      <w:tr w:rsidR="00BE6E37" w:rsidRPr="00940D7E" w14:paraId="3B24B90B" w14:textId="77777777" w:rsidTr="009763A8">
        <w:trPr>
          <w:trHeight w:val="303"/>
          <w:tblHeader/>
        </w:trPr>
        <w:tc>
          <w:tcPr>
            <w:tcW w:w="591" w:type="dxa"/>
            <w:shd w:val="clear" w:color="auto" w:fill="284B98"/>
            <w:vAlign w:val="center"/>
          </w:tcPr>
          <w:p w14:paraId="43E27003" w14:textId="7DE7FB05" w:rsidR="006038AE" w:rsidRPr="00F1701F" w:rsidRDefault="006038AE" w:rsidP="004A163C">
            <w:pPr>
              <w:spacing w:before="120" w:after="120"/>
              <w:rPr>
                <w:rFonts w:ascii="Arial" w:hAnsi="Arial" w:cs="Arial"/>
                <w:b/>
                <w:bCs/>
                <w:color w:val="FFFFFF" w:themeColor="background1"/>
                <w:szCs w:val="20"/>
              </w:rPr>
            </w:pPr>
          </w:p>
        </w:tc>
        <w:tc>
          <w:tcPr>
            <w:tcW w:w="2042" w:type="dxa"/>
            <w:shd w:val="clear" w:color="auto" w:fill="284B98"/>
            <w:vAlign w:val="center"/>
          </w:tcPr>
          <w:p w14:paraId="066BEEC2" w14:textId="1D86631B" w:rsidR="006038AE" w:rsidRPr="00F1701F" w:rsidRDefault="006038AE" w:rsidP="004A163C">
            <w:pPr>
              <w:spacing w:before="120" w:after="120"/>
              <w:rPr>
                <w:rFonts w:ascii="Arial" w:hAnsi="Arial" w:cs="Arial"/>
                <w:b/>
                <w:bCs/>
                <w:color w:val="FFFFFF" w:themeColor="background1"/>
                <w:szCs w:val="20"/>
              </w:rPr>
            </w:pPr>
            <w:r w:rsidRPr="591A7590">
              <w:rPr>
                <w:rFonts w:ascii="Arial" w:hAnsi="Arial" w:cs="Arial"/>
                <w:b/>
                <w:bCs/>
                <w:color w:val="FFFFFF" w:themeColor="background1"/>
                <w:szCs w:val="20"/>
              </w:rPr>
              <w:t>What is the problem?</w:t>
            </w:r>
          </w:p>
        </w:tc>
        <w:tc>
          <w:tcPr>
            <w:tcW w:w="2415" w:type="dxa"/>
            <w:shd w:val="clear" w:color="auto" w:fill="284B98"/>
          </w:tcPr>
          <w:p w14:paraId="1AA3F6A7" w14:textId="77777777" w:rsidR="006038AE" w:rsidRDefault="006038AE" w:rsidP="004A163C">
            <w:pPr>
              <w:spacing w:before="120" w:after="120"/>
              <w:rPr>
                <w:rFonts w:ascii="Arial" w:hAnsi="Arial" w:cs="Arial"/>
                <w:b/>
                <w:bCs/>
                <w:color w:val="FFFFFF" w:themeColor="background1"/>
                <w:szCs w:val="20"/>
              </w:rPr>
            </w:pPr>
          </w:p>
          <w:p w14:paraId="75B33F05" w14:textId="17C10494" w:rsidR="006038AE" w:rsidRDefault="006038AE" w:rsidP="004A163C">
            <w:pPr>
              <w:spacing w:before="120" w:after="120"/>
              <w:rPr>
                <w:rFonts w:ascii="Arial" w:hAnsi="Arial" w:cs="Arial"/>
                <w:b/>
                <w:bCs/>
                <w:color w:val="FFFFFF" w:themeColor="background1"/>
                <w:szCs w:val="20"/>
              </w:rPr>
            </w:pPr>
            <w:r w:rsidRPr="591A7590">
              <w:rPr>
                <w:rFonts w:ascii="Arial" w:hAnsi="Arial" w:cs="Arial"/>
                <w:b/>
                <w:bCs/>
                <w:color w:val="FFFFFF" w:themeColor="background1"/>
                <w:szCs w:val="20"/>
              </w:rPr>
              <w:t>What are Government’s objectives?</w:t>
            </w:r>
          </w:p>
        </w:tc>
        <w:tc>
          <w:tcPr>
            <w:tcW w:w="591" w:type="dxa"/>
            <w:shd w:val="clear" w:color="auto" w:fill="284B98"/>
            <w:vAlign w:val="center"/>
          </w:tcPr>
          <w:p w14:paraId="433DE1D5" w14:textId="4795E068" w:rsidR="006038AE" w:rsidRPr="591A7590" w:rsidRDefault="006038AE" w:rsidP="004A163C">
            <w:pPr>
              <w:spacing w:before="120" w:after="120"/>
              <w:rPr>
                <w:rFonts w:ascii="Arial" w:hAnsi="Arial" w:cs="Arial"/>
                <w:b/>
                <w:bCs/>
                <w:color w:val="FFFFFF" w:themeColor="background1"/>
                <w:szCs w:val="20"/>
              </w:rPr>
            </w:pPr>
          </w:p>
        </w:tc>
        <w:tc>
          <w:tcPr>
            <w:tcW w:w="4014" w:type="dxa"/>
            <w:shd w:val="clear" w:color="auto" w:fill="284B98"/>
            <w:vAlign w:val="center"/>
          </w:tcPr>
          <w:p w14:paraId="7885AC02" w14:textId="648D5B24" w:rsidR="006038AE" w:rsidRPr="591A7590" w:rsidRDefault="006038AE" w:rsidP="004A163C">
            <w:pPr>
              <w:spacing w:before="120" w:after="120"/>
              <w:rPr>
                <w:rFonts w:ascii="Arial" w:hAnsi="Arial" w:cs="Arial"/>
                <w:b/>
                <w:bCs/>
                <w:color w:val="FFFFFF" w:themeColor="background1"/>
                <w:szCs w:val="20"/>
              </w:rPr>
            </w:pPr>
            <w:r>
              <w:rPr>
                <w:rFonts w:ascii="Arial" w:hAnsi="Arial" w:cs="Arial"/>
                <w:b/>
                <w:bCs/>
                <w:color w:val="FFFFFF" w:themeColor="background1"/>
                <w:szCs w:val="20"/>
              </w:rPr>
              <w:t>Why not Option 1 or 3?</w:t>
            </w:r>
          </w:p>
        </w:tc>
      </w:tr>
      <w:tr w:rsidR="00BE6E37" w:rsidRPr="00940D7E" w14:paraId="2619B5B4" w14:textId="77777777" w:rsidTr="009763A8">
        <w:trPr>
          <w:trHeight w:val="8864"/>
        </w:trPr>
        <w:tc>
          <w:tcPr>
            <w:tcW w:w="591" w:type="dxa"/>
            <w:shd w:val="clear" w:color="auto" w:fill="F2F2F2" w:themeFill="background1" w:themeFillShade="F2"/>
            <w:vAlign w:val="center"/>
          </w:tcPr>
          <w:p w14:paraId="0ADBBFA1" w14:textId="77777777" w:rsidR="00F80A0E" w:rsidRPr="00DB0F47" w:rsidRDefault="00F80A0E" w:rsidP="004A163C">
            <w:pPr>
              <w:spacing w:before="60" w:after="60"/>
              <w:contextualSpacing/>
              <w:rPr>
                <w:rFonts w:ascii="Arial" w:hAnsi="Arial" w:cs="Arial"/>
                <w:b/>
                <w:bCs/>
                <w:szCs w:val="20"/>
              </w:rPr>
            </w:pPr>
            <w:r w:rsidRPr="591A7590">
              <w:rPr>
                <w:rFonts w:ascii="Arial" w:hAnsi="Arial" w:cs="Arial"/>
                <w:b/>
                <w:bCs/>
                <w:szCs w:val="20"/>
              </w:rPr>
              <w:t>1.1</w:t>
            </w:r>
          </w:p>
        </w:tc>
        <w:tc>
          <w:tcPr>
            <w:tcW w:w="2042" w:type="dxa"/>
            <w:vAlign w:val="center"/>
          </w:tcPr>
          <w:p w14:paraId="2B5334CB" w14:textId="77777777" w:rsidR="00F80A0E" w:rsidRPr="00400CBA" w:rsidRDefault="00F80A0E" w:rsidP="004A163C">
            <w:pPr>
              <w:spacing w:before="60" w:after="60"/>
              <w:contextualSpacing/>
              <w:rPr>
                <w:rFonts w:ascii="Arial" w:hAnsi="Arial" w:cs="Arial"/>
                <w:szCs w:val="20"/>
              </w:rPr>
            </w:pPr>
            <w:r w:rsidRPr="591A7590">
              <w:rPr>
                <w:rFonts w:ascii="Arial" w:hAnsi="Arial" w:cs="Arial"/>
                <w:szCs w:val="20"/>
              </w:rPr>
              <w:t xml:space="preserve">There is a growing number of cyber incidents which impact non-operational data storage systems held by critical infrastructure entities, which can often be a point of entry for malicious actors. </w:t>
            </w:r>
          </w:p>
        </w:tc>
        <w:tc>
          <w:tcPr>
            <w:tcW w:w="2415" w:type="dxa"/>
            <w:vAlign w:val="center"/>
          </w:tcPr>
          <w:p w14:paraId="321D1727" w14:textId="28196C0D" w:rsidR="00F80A0E" w:rsidRPr="00C45D0A" w:rsidRDefault="00F80A0E"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Ensure </w:t>
            </w:r>
            <w:r w:rsidRPr="591A7590">
              <w:rPr>
                <w:rFonts w:ascii="Arial" w:hAnsi="Arial" w:cs="Arial"/>
                <w:b/>
                <w:bCs/>
                <w:szCs w:val="20"/>
              </w:rPr>
              <w:t>consistent</w:t>
            </w:r>
            <w:r w:rsidRPr="591A7590">
              <w:rPr>
                <w:rFonts w:ascii="Arial" w:hAnsi="Arial" w:cs="Arial"/>
                <w:szCs w:val="20"/>
              </w:rPr>
              <w:t xml:space="preserve"> capture of secondary systems where vulnerabilities could have a relevant impact on critical infrastructure. </w:t>
            </w:r>
          </w:p>
        </w:tc>
        <w:tc>
          <w:tcPr>
            <w:tcW w:w="591" w:type="dxa"/>
            <w:shd w:val="clear" w:color="auto" w:fill="FFD597"/>
            <w:vAlign w:val="center"/>
          </w:tcPr>
          <w:p w14:paraId="210E10FB" w14:textId="7252EEC9" w:rsidR="00F80A0E" w:rsidRPr="591A7590" w:rsidRDefault="006038AE" w:rsidP="004A163C">
            <w:pPr>
              <w:pStyle w:val="ListParagraph"/>
              <w:spacing w:before="60" w:after="60"/>
              <w:ind w:left="360"/>
              <w:rPr>
                <w:rFonts w:ascii="Arial" w:hAnsi="Arial" w:cs="Arial"/>
                <w:szCs w:val="20"/>
              </w:rPr>
            </w:pPr>
            <w:r w:rsidRPr="00631F6B">
              <w:rPr>
                <w:rFonts w:ascii="Arial" w:hAnsi="Arial" w:cs="Arial"/>
                <w:noProof/>
                <w:color w:val="2B579A"/>
                <w:shd w:val="clear" w:color="auto" w:fill="E6E6E6"/>
              </w:rPr>
              <mc:AlternateContent>
                <mc:Choice Requires="wps">
                  <w:drawing>
                    <wp:anchor distT="0" distB="0" distL="114300" distR="114300" simplePos="0" relativeHeight="251660297" behindDoc="0" locked="0" layoutInCell="1" allowOverlap="1" wp14:anchorId="0BF6607A" wp14:editId="32986B60">
                      <wp:simplePos x="0" y="0"/>
                      <wp:positionH relativeFrom="column">
                        <wp:posOffset>-3810</wp:posOffset>
                      </wp:positionH>
                      <wp:positionV relativeFrom="paragraph">
                        <wp:posOffset>99695</wp:posOffset>
                      </wp:positionV>
                      <wp:extent cx="222250" cy="237490"/>
                      <wp:effectExtent l="0" t="0" r="0" b="0"/>
                      <wp:wrapNone/>
                      <wp:docPr id="3" name="Multiplication Sign 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E6E14" id="Multiplication Sign 3" o:spid="_x0000_s1026" alt="&quot;&quot;" style="position:absolute;margin-left:-.3pt;margin-top:7.85pt;width:17.5pt;height:18.7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p>
        </w:tc>
        <w:tc>
          <w:tcPr>
            <w:tcW w:w="4014" w:type="dxa"/>
          </w:tcPr>
          <w:p w14:paraId="33AE308C" w14:textId="77777777" w:rsidR="00F80A0E" w:rsidRPr="00147A72" w:rsidRDefault="00F80A0E" w:rsidP="004A163C">
            <w:pPr>
              <w:spacing w:before="60" w:after="60"/>
              <w:rPr>
                <w:rFonts w:ascii="Arial" w:hAnsi="Arial" w:cs="Arial"/>
                <w:b/>
                <w:bCs/>
                <w:szCs w:val="20"/>
              </w:rPr>
            </w:pPr>
            <w:r w:rsidRPr="00147A72">
              <w:rPr>
                <w:rFonts w:ascii="Arial" w:hAnsi="Arial" w:cs="Arial"/>
                <w:b/>
                <w:bCs/>
                <w:szCs w:val="20"/>
              </w:rPr>
              <w:t>Option 1:</w:t>
            </w:r>
          </w:p>
          <w:p w14:paraId="3C8929A6" w14:textId="77777777" w:rsidR="00F80A0E" w:rsidRDefault="00F80A0E" w:rsidP="004A163C">
            <w:pPr>
              <w:spacing w:before="60" w:after="60"/>
              <w:rPr>
                <w:rFonts w:ascii="Arial" w:hAnsi="Arial" w:cs="Arial"/>
                <w:szCs w:val="20"/>
              </w:rPr>
            </w:pPr>
            <w:r w:rsidRPr="00F36BB2">
              <w:rPr>
                <w:rFonts w:ascii="Arial" w:hAnsi="Arial" w:cs="Arial"/>
                <w:szCs w:val="20"/>
              </w:rPr>
              <w:t xml:space="preserve">If the status quo is maintained, </w:t>
            </w:r>
            <w:r>
              <w:rPr>
                <w:rFonts w:ascii="Arial" w:hAnsi="Arial" w:cs="Arial"/>
                <w:szCs w:val="20"/>
              </w:rPr>
              <w:t xml:space="preserve">identified vulnerabilities and corresponding </w:t>
            </w:r>
            <w:r w:rsidRPr="00F36BB2">
              <w:rPr>
                <w:rFonts w:ascii="Arial" w:hAnsi="Arial" w:cs="Arial"/>
                <w:szCs w:val="20"/>
              </w:rPr>
              <w:t xml:space="preserve">risks </w:t>
            </w:r>
            <w:r>
              <w:rPr>
                <w:rFonts w:ascii="Arial" w:hAnsi="Arial" w:cs="Arial"/>
                <w:szCs w:val="20"/>
              </w:rPr>
              <w:t xml:space="preserve">in relation to the increase in cyber incidents which have the ability to impact data storage systems, and </w:t>
            </w:r>
            <w:r w:rsidRPr="00F36BB2">
              <w:rPr>
                <w:rFonts w:ascii="Arial" w:hAnsi="Arial" w:cs="Arial"/>
                <w:szCs w:val="20"/>
              </w:rPr>
              <w:t>corresponding Government objective</w:t>
            </w:r>
            <w:r>
              <w:rPr>
                <w:rFonts w:ascii="Arial" w:hAnsi="Arial" w:cs="Arial"/>
                <w:szCs w:val="20"/>
              </w:rPr>
              <w:t xml:space="preserve">s, </w:t>
            </w:r>
            <w:r w:rsidRPr="00F36BB2">
              <w:rPr>
                <w:rFonts w:ascii="Arial" w:hAnsi="Arial" w:cs="Arial"/>
                <w:szCs w:val="20"/>
              </w:rPr>
              <w:t>can</w:t>
            </w:r>
            <w:r>
              <w:rPr>
                <w:rFonts w:ascii="Arial" w:hAnsi="Arial" w:cs="Arial"/>
                <w:szCs w:val="20"/>
              </w:rPr>
              <w:t>not</w:t>
            </w:r>
            <w:r w:rsidRPr="00F36BB2">
              <w:rPr>
                <w:rFonts w:ascii="Arial" w:hAnsi="Arial" w:cs="Arial"/>
                <w:szCs w:val="20"/>
              </w:rPr>
              <w:t xml:space="preserve"> be met.</w:t>
            </w:r>
            <w:r>
              <w:rPr>
                <w:rFonts w:ascii="Arial" w:hAnsi="Arial" w:cs="Arial"/>
                <w:szCs w:val="20"/>
              </w:rPr>
              <w:t xml:space="preserve"> This means: </w:t>
            </w:r>
          </w:p>
          <w:p w14:paraId="750FA762" w14:textId="77777777" w:rsidR="00F80A0E" w:rsidRDefault="00F80A0E" w:rsidP="00510557">
            <w:pPr>
              <w:pStyle w:val="ListParagraph"/>
              <w:numPr>
                <w:ilvl w:val="0"/>
                <w:numId w:val="59"/>
              </w:numPr>
              <w:spacing w:before="0" w:after="160" w:line="259" w:lineRule="auto"/>
              <w:contextualSpacing/>
              <w:rPr>
                <w:rFonts w:ascii="Arial" w:hAnsi="Arial" w:cs="Arial"/>
                <w:szCs w:val="20"/>
              </w:rPr>
            </w:pPr>
            <w:r>
              <w:rPr>
                <w:rFonts w:ascii="Arial" w:hAnsi="Arial" w:cs="Arial"/>
                <w:szCs w:val="20"/>
              </w:rPr>
              <w:t xml:space="preserve">There will be no consistent framework across the sector which accounts for secondary systems vulnerable to malicious attacks. </w:t>
            </w:r>
          </w:p>
          <w:p w14:paraId="749551E2" w14:textId="77777777" w:rsidR="00F80A0E" w:rsidRPr="005F3109" w:rsidRDefault="00F80A0E" w:rsidP="00510557">
            <w:pPr>
              <w:pStyle w:val="ListParagraph"/>
              <w:numPr>
                <w:ilvl w:val="0"/>
                <w:numId w:val="59"/>
              </w:numPr>
              <w:spacing w:before="0" w:after="0" w:line="240" w:lineRule="auto"/>
              <w:contextualSpacing/>
              <w:rPr>
                <w:rFonts w:ascii="Arial" w:hAnsi="Arial" w:cs="Arial"/>
                <w:szCs w:val="20"/>
              </w:rPr>
            </w:pPr>
            <w:r w:rsidRPr="00D83581">
              <w:rPr>
                <w:rFonts w:ascii="Arial" w:hAnsi="Arial" w:cs="Arial"/>
                <w:szCs w:val="20"/>
              </w:rPr>
              <w:t xml:space="preserve">Responsible entities will not be compelled to identify and mitigate </w:t>
            </w:r>
            <w:r>
              <w:rPr>
                <w:rFonts w:ascii="Arial" w:hAnsi="Arial" w:cs="Arial"/>
                <w:szCs w:val="20"/>
              </w:rPr>
              <w:t>risks in relation to vulnerabilities in their secondary non-operational systems</w:t>
            </w:r>
            <w:r w:rsidRPr="00D83581">
              <w:rPr>
                <w:rFonts w:ascii="Arial" w:hAnsi="Arial" w:cs="Arial"/>
                <w:szCs w:val="20"/>
              </w:rPr>
              <w:t xml:space="preserve">. </w:t>
            </w:r>
          </w:p>
          <w:p w14:paraId="36679C84" w14:textId="77777777" w:rsidR="00F80A0E" w:rsidRPr="00DE6231" w:rsidRDefault="00F80A0E" w:rsidP="00510557">
            <w:pPr>
              <w:pStyle w:val="ListParagraph"/>
              <w:numPr>
                <w:ilvl w:val="0"/>
                <w:numId w:val="59"/>
              </w:numPr>
              <w:spacing w:before="60" w:after="60" w:line="240" w:lineRule="auto"/>
              <w:contextualSpacing/>
              <w:rPr>
                <w:rFonts w:ascii="Arial" w:hAnsi="Arial" w:cs="Arial"/>
                <w:szCs w:val="20"/>
              </w:rPr>
            </w:pPr>
            <w:r w:rsidRPr="000E2137">
              <w:rPr>
                <w:rFonts w:ascii="Arial" w:hAnsi="Arial" w:cs="Arial"/>
                <w:szCs w:val="20"/>
              </w:rPr>
              <w:t xml:space="preserve">Organisations, and the economy, may incur substantial costs should disruptions affecting the operation of critical infrastructure assets occur. </w:t>
            </w:r>
            <w:r>
              <w:rPr>
                <w:rFonts w:ascii="Arial" w:hAnsi="Arial" w:cs="Arial"/>
                <w:szCs w:val="20"/>
              </w:rPr>
              <w:t>T</w:t>
            </w:r>
            <w:r w:rsidRPr="00DE6231">
              <w:rPr>
                <w:rFonts w:ascii="Arial" w:hAnsi="Arial" w:cs="Arial"/>
                <w:szCs w:val="20"/>
              </w:rPr>
              <w:t>he costs will depend on an incident’s frequency, severity and critical infrastructure assets affected.</w:t>
            </w:r>
          </w:p>
          <w:p w14:paraId="3FEC49BF" w14:textId="77777777" w:rsidR="00F80A0E" w:rsidRPr="009E2209" w:rsidRDefault="00F80A0E" w:rsidP="004A163C">
            <w:pPr>
              <w:spacing w:before="60" w:after="60"/>
              <w:rPr>
                <w:rFonts w:ascii="Arial" w:hAnsi="Arial" w:cs="Arial"/>
                <w:b/>
                <w:bCs/>
                <w:szCs w:val="20"/>
              </w:rPr>
            </w:pPr>
            <w:r w:rsidRPr="009E2209">
              <w:rPr>
                <w:rFonts w:ascii="Arial" w:hAnsi="Arial" w:cs="Arial"/>
                <w:b/>
                <w:bCs/>
                <w:szCs w:val="20"/>
              </w:rPr>
              <w:t>Option 3:</w:t>
            </w:r>
          </w:p>
          <w:p w14:paraId="1F7351E6" w14:textId="66D5FD66" w:rsidR="00F80A0E" w:rsidRPr="00DE6231" w:rsidRDefault="00F80A0E" w:rsidP="004A163C">
            <w:pPr>
              <w:spacing w:before="60" w:after="60"/>
              <w:rPr>
                <w:rFonts w:ascii="Arial" w:hAnsi="Arial" w:cs="Arial"/>
                <w:szCs w:val="20"/>
              </w:rPr>
            </w:pPr>
            <w:r w:rsidRPr="004F3A9E">
              <w:rPr>
                <w:rFonts w:ascii="Arial" w:hAnsi="Arial" w:cs="Arial"/>
                <w:szCs w:val="20"/>
              </w:rPr>
              <w:t xml:space="preserve">Under a voluntary arrangement, identified risks </w:t>
            </w:r>
            <w:r>
              <w:rPr>
                <w:rFonts w:ascii="Arial" w:hAnsi="Arial" w:cs="Arial"/>
                <w:szCs w:val="20"/>
              </w:rPr>
              <w:t xml:space="preserve">of additional secondary non-operational data system held by critical infrastructure entities </w:t>
            </w:r>
            <w:r w:rsidRPr="004F3A9E">
              <w:rPr>
                <w:rFonts w:ascii="Arial" w:hAnsi="Arial" w:cs="Arial"/>
                <w:szCs w:val="20"/>
              </w:rPr>
              <w:t xml:space="preserve">can only be addressed to the extent that responsible entities choose to participate in the framework. </w:t>
            </w:r>
            <w:r>
              <w:rPr>
                <w:rFonts w:ascii="Arial" w:hAnsi="Arial" w:cs="Arial"/>
                <w:szCs w:val="20"/>
              </w:rPr>
              <w:t xml:space="preserve">In addition, the </w:t>
            </w:r>
            <w:r w:rsidRPr="004F3A9E">
              <w:rPr>
                <w:rFonts w:ascii="Arial" w:hAnsi="Arial" w:cs="Arial"/>
                <w:szCs w:val="20"/>
              </w:rPr>
              <w:t>associated Government objective</w:t>
            </w:r>
            <w:r>
              <w:rPr>
                <w:rFonts w:ascii="Arial" w:hAnsi="Arial" w:cs="Arial"/>
                <w:szCs w:val="20"/>
              </w:rPr>
              <w:t xml:space="preserve"> to relieve this vulnerability will not be met as legislative protection will be inconsistent amongst the critical infrastructure ecosystem.  </w:t>
            </w:r>
          </w:p>
        </w:tc>
      </w:tr>
      <w:tr w:rsidR="00BE6E37" w:rsidRPr="00940D7E" w14:paraId="5F77B585" w14:textId="77777777" w:rsidTr="009763A8">
        <w:trPr>
          <w:trHeight w:val="8848"/>
        </w:trPr>
        <w:tc>
          <w:tcPr>
            <w:tcW w:w="591" w:type="dxa"/>
            <w:shd w:val="clear" w:color="auto" w:fill="F2F2F2" w:themeFill="background1" w:themeFillShade="F2"/>
            <w:vAlign w:val="center"/>
          </w:tcPr>
          <w:p w14:paraId="7EE59964" w14:textId="77777777" w:rsidR="00F80A0E" w:rsidRPr="00DB0F47" w:rsidRDefault="00F80A0E" w:rsidP="004A163C">
            <w:pPr>
              <w:spacing w:before="60" w:after="60"/>
              <w:contextualSpacing/>
              <w:rPr>
                <w:rFonts w:ascii="Arial" w:hAnsi="Arial" w:cs="Arial"/>
                <w:b/>
                <w:bCs/>
                <w:szCs w:val="20"/>
              </w:rPr>
            </w:pPr>
            <w:r w:rsidRPr="591A7590">
              <w:rPr>
                <w:rFonts w:ascii="Arial" w:hAnsi="Arial" w:cs="Arial"/>
                <w:b/>
                <w:bCs/>
                <w:szCs w:val="20"/>
              </w:rPr>
              <w:t>1.2</w:t>
            </w:r>
          </w:p>
        </w:tc>
        <w:tc>
          <w:tcPr>
            <w:tcW w:w="2042" w:type="dxa"/>
            <w:vAlign w:val="center"/>
          </w:tcPr>
          <w:p w14:paraId="493A9CD8" w14:textId="77777777" w:rsidR="00F80A0E" w:rsidRPr="00400CBA" w:rsidRDefault="00F80A0E" w:rsidP="004A163C">
            <w:pPr>
              <w:spacing w:before="60" w:after="60"/>
              <w:contextualSpacing/>
              <w:rPr>
                <w:rFonts w:ascii="Arial" w:hAnsi="Arial" w:cs="Arial"/>
                <w:szCs w:val="20"/>
              </w:rPr>
            </w:pPr>
            <w:r w:rsidRPr="591A7590">
              <w:rPr>
                <w:rFonts w:ascii="Arial" w:hAnsi="Arial" w:cs="Arial"/>
                <w:szCs w:val="20"/>
              </w:rPr>
              <w:t xml:space="preserve">Businesses often face difficulties responding effectively in the aftermath of significant incidents because of legal risks and government’s limited ability to support with post-incident consequence management. </w:t>
            </w:r>
          </w:p>
        </w:tc>
        <w:tc>
          <w:tcPr>
            <w:tcW w:w="2415" w:type="dxa"/>
            <w:vAlign w:val="center"/>
          </w:tcPr>
          <w:p w14:paraId="689FECB3" w14:textId="38E6AAAF" w:rsidR="00F80A0E" w:rsidRPr="00C45D0A" w:rsidRDefault="00F80A0E"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Enable a </w:t>
            </w:r>
            <w:r w:rsidRPr="591A7590">
              <w:rPr>
                <w:rFonts w:ascii="Arial" w:hAnsi="Arial" w:cs="Arial"/>
                <w:b/>
                <w:bCs/>
                <w:szCs w:val="20"/>
              </w:rPr>
              <w:t>coordinated,</w:t>
            </w:r>
            <w:r w:rsidRPr="591A7590">
              <w:rPr>
                <w:rFonts w:ascii="Arial" w:hAnsi="Arial" w:cs="Arial"/>
                <w:szCs w:val="20"/>
              </w:rPr>
              <w:t xml:space="preserve"> </w:t>
            </w:r>
            <w:r w:rsidRPr="591A7590">
              <w:rPr>
                <w:rFonts w:ascii="Arial" w:hAnsi="Arial" w:cs="Arial"/>
                <w:b/>
                <w:bCs/>
                <w:szCs w:val="20"/>
              </w:rPr>
              <w:t>agile, industry-led response</w:t>
            </w:r>
            <w:r w:rsidRPr="591A7590">
              <w:rPr>
                <w:rFonts w:ascii="Arial" w:hAnsi="Arial" w:cs="Arial"/>
                <w:szCs w:val="20"/>
              </w:rPr>
              <w:t xml:space="preserve"> to incidents with appropriate support from government where necessary. </w:t>
            </w:r>
          </w:p>
        </w:tc>
        <w:tc>
          <w:tcPr>
            <w:tcW w:w="591" w:type="dxa"/>
            <w:shd w:val="clear" w:color="auto" w:fill="FFD597"/>
            <w:vAlign w:val="center"/>
          </w:tcPr>
          <w:p w14:paraId="5A486DE3" w14:textId="042EC229" w:rsidR="00F80A0E" w:rsidRPr="591A7590" w:rsidRDefault="006038AE" w:rsidP="004A163C">
            <w:pPr>
              <w:pStyle w:val="ListParagraph"/>
              <w:spacing w:before="60" w:after="60"/>
              <w:ind w:left="360"/>
              <w:rPr>
                <w:rFonts w:ascii="Arial" w:hAnsi="Arial" w:cs="Arial"/>
                <w:szCs w:val="20"/>
              </w:rPr>
            </w:pPr>
            <w:r w:rsidRPr="00631F6B">
              <w:rPr>
                <w:rFonts w:ascii="Arial" w:hAnsi="Arial" w:cs="Arial"/>
                <w:noProof/>
                <w:color w:val="2B579A"/>
                <w:shd w:val="clear" w:color="auto" w:fill="E6E6E6"/>
              </w:rPr>
              <mc:AlternateContent>
                <mc:Choice Requires="wps">
                  <w:drawing>
                    <wp:anchor distT="0" distB="0" distL="114300" distR="114300" simplePos="0" relativeHeight="251662345" behindDoc="0" locked="0" layoutInCell="1" allowOverlap="1" wp14:anchorId="75D80B9C" wp14:editId="3D23BB07">
                      <wp:simplePos x="0" y="0"/>
                      <wp:positionH relativeFrom="column">
                        <wp:posOffset>-9525</wp:posOffset>
                      </wp:positionH>
                      <wp:positionV relativeFrom="paragraph">
                        <wp:posOffset>-98425</wp:posOffset>
                      </wp:positionV>
                      <wp:extent cx="222250" cy="237490"/>
                      <wp:effectExtent l="0" t="0" r="0" b="0"/>
                      <wp:wrapNone/>
                      <wp:docPr id="13" name="Multiplication Sign 13">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AEF27" id="Multiplication Sign 13" o:spid="_x0000_s1026" alt="&quot;&quot;" style="position:absolute;margin-left:-.75pt;margin-top:-7.75pt;width:17.5pt;height:18.7pt;z-index:251662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p>
        </w:tc>
        <w:tc>
          <w:tcPr>
            <w:tcW w:w="4014" w:type="dxa"/>
          </w:tcPr>
          <w:p w14:paraId="27AC75A8" w14:textId="77777777" w:rsidR="00F80A0E" w:rsidRDefault="00F80A0E" w:rsidP="004A163C">
            <w:pPr>
              <w:spacing w:before="60" w:after="60"/>
              <w:rPr>
                <w:rFonts w:ascii="Arial" w:hAnsi="Arial" w:cs="Arial"/>
                <w:b/>
                <w:bCs/>
                <w:szCs w:val="20"/>
              </w:rPr>
            </w:pPr>
            <w:r w:rsidRPr="00A67BBB">
              <w:rPr>
                <w:rFonts w:ascii="Arial" w:hAnsi="Arial" w:cs="Arial"/>
                <w:b/>
                <w:bCs/>
                <w:szCs w:val="20"/>
              </w:rPr>
              <w:t>Option 1:</w:t>
            </w:r>
          </w:p>
          <w:p w14:paraId="1BD98C43" w14:textId="77777777" w:rsidR="00F80A0E" w:rsidRPr="009A4C82" w:rsidRDefault="00F80A0E" w:rsidP="004A163C">
            <w:pPr>
              <w:spacing w:before="60" w:after="60"/>
              <w:rPr>
                <w:rFonts w:ascii="Arial" w:hAnsi="Arial" w:cs="Arial"/>
                <w:szCs w:val="20"/>
              </w:rPr>
            </w:pPr>
            <w:r w:rsidRPr="009A4C82">
              <w:rPr>
                <w:rFonts w:ascii="Arial" w:hAnsi="Arial" w:cs="Arial"/>
                <w:szCs w:val="20"/>
              </w:rPr>
              <w:t xml:space="preserve">If the status quo is maintained, there will be no improvement </w:t>
            </w:r>
            <w:r>
              <w:rPr>
                <w:rFonts w:ascii="Arial" w:hAnsi="Arial" w:cs="Arial"/>
                <w:szCs w:val="20"/>
              </w:rPr>
              <w:t>to businesses ability to respond effectively to the aftermath of an incident</w:t>
            </w:r>
            <w:r w:rsidRPr="009A4C82">
              <w:rPr>
                <w:rFonts w:ascii="Arial" w:hAnsi="Arial" w:cs="Arial"/>
                <w:szCs w:val="20"/>
              </w:rPr>
              <w:t xml:space="preserve">, nor </w:t>
            </w:r>
            <w:r>
              <w:rPr>
                <w:rFonts w:ascii="Arial" w:hAnsi="Arial" w:cs="Arial"/>
                <w:szCs w:val="20"/>
              </w:rPr>
              <w:t>allow Government to adequately provide support and guidance for post-incident responses</w:t>
            </w:r>
            <w:r w:rsidRPr="009A4C82">
              <w:rPr>
                <w:rFonts w:ascii="Arial" w:hAnsi="Arial" w:cs="Arial"/>
                <w:szCs w:val="20"/>
              </w:rPr>
              <w:t>.</w:t>
            </w:r>
          </w:p>
          <w:p w14:paraId="03E6ABBA" w14:textId="77777777" w:rsidR="00F80A0E" w:rsidRDefault="00F80A0E" w:rsidP="004A163C">
            <w:pPr>
              <w:spacing w:before="60" w:after="60"/>
              <w:rPr>
                <w:rFonts w:ascii="Arial" w:hAnsi="Arial" w:cs="Arial"/>
                <w:b/>
                <w:bCs/>
                <w:szCs w:val="20"/>
              </w:rPr>
            </w:pPr>
            <w:r w:rsidRPr="00A67BBB">
              <w:rPr>
                <w:rFonts w:ascii="Arial" w:hAnsi="Arial" w:cs="Arial"/>
                <w:b/>
                <w:bCs/>
                <w:szCs w:val="20"/>
              </w:rPr>
              <w:t>Option 3:</w:t>
            </w:r>
          </w:p>
          <w:p w14:paraId="1E2A7FDB" w14:textId="4356B9B0" w:rsidR="00F80A0E" w:rsidRPr="009A4C82" w:rsidRDefault="00F80A0E" w:rsidP="004A163C">
            <w:pPr>
              <w:spacing w:before="60" w:after="60"/>
              <w:rPr>
                <w:rFonts w:ascii="Arial" w:hAnsi="Arial" w:cs="Arial"/>
                <w:szCs w:val="20"/>
              </w:rPr>
            </w:pPr>
            <w:r w:rsidRPr="006E031B">
              <w:rPr>
                <w:rFonts w:ascii="Arial" w:hAnsi="Arial" w:cs="Arial"/>
                <w:szCs w:val="20"/>
              </w:rPr>
              <w:t xml:space="preserve">Under </w:t>
            </w:r>
            <w:r>
              <w:rPr>
                <w:rFonts w:ascii="Arial" w:hAnsi="Arial" w:cs="Arial"/>
                <w:szCs w:val="20"/>
              </w:rPr>
              <w:t>O</w:t>
            </w:r>
            <w:r w:rsidRPr="006E031B">
              <w:rPr>
                <w:rFonts w:ascii="Arial" w:hAnsi="Arial" w:cs="Arial"/>
                <w:szCs w:val="20"/>
              </w:rPr>
              <w:t xml:space="preserve">ption 3, </w:t>
            </w:r>
            <w:r>
              <w:rPr>
                <w:rFonts w:ascii="Arial" w:hAnsi="Arial" w:cs="Arial"/>
                <w:szCs w:val="20"/>
              </w:rPr>
              <w:t xml:space="preserve">the implementation of measure two in a voluntary format may facilitate </w:t>
            </w:r>
            <w:r w:rsidRPr="006E031B">
              <w:rPr>
                <w:rFonts w:ascii="Arial" w:hAnsi="Arial" w:cs="Arial"/>
                <w:szCs w:val="20"/>
              </w:rPr>
              <w:t>a stronger relationship between some industry stakeholders and Government.</w:t>
            </w:r>
            <w:r>
              <w:rPr>
                <w:rFonts w:ascii="Arial" w:hAnsi="Arial" w:cs="Arial"/>
                <w:szCs w:val="20"/>
              </w:rPr>
              <w:t xml:space="preserve"> This will be the result of Government providing appropriate support and guidance for entities post incident. </w:t>
            </w:r>
            <w:r w:rsidRPr="006E031B">
              <w:rPr>
                <w:rFonts w:ascii="Arial" w:hAnsi="Arial" w:cs="Arial"/>
                <w:szCs w:val="20"/>
              </w:rPr>
              <w:t xml:space="preserve">However, this will not be achieved </w:t>
            </w:r>
            <w:r>
              <w:rPr>
                <w:rFonts w:ascii="Arial" w:hAnsi="Arial" w:cs="Arial"/>
                <w:szCs w:val="20"/>
              </w:rPr>
              <w:t>across the critical infrastructure ecosystem</w:t>
            </w:r>
            <w:r w:rsidRPr="006E031B">
              <w:rPr>
                <w:rFonts w:ascii="Arial" w:hAnsi="Arial" w:cs="Arial"/>
                <w:szCs w:val="20"/>
              </w:rPr>
              <w:t>. Whil</w:t>
            </w:r>
            <w:r>
              <w:rPr>
                <w:rFonts w:ascii="Arial" w:hAnsi="Arial" w:cs="Arial"/>
                <w:szCs w:val="20"/>
              </w:rPr>
              <w:t xml:space="preserve">st industry seeks </w:t>
            </w:r>
            <w:r w:rsidRPr="006E031B">
              <w:rPr>
                <w:rFonts w:ascii="Arial" w:hAnsi="Arial" w:cs="Arial"/>
                <w:szCs w:val="20"/>
              </w:rPr>
              <w:t xml:space="preserve">accompanying guidance material </w:t>
            </w:r>
            <w:r>
              <w:rPr>
                <w:rFonts w:ascii="Arial" w:hAnsi="Arial" w:cs="Arial"/>
                <w:szCs w:val="20"/>
              </w:rPr>
              <w:t>with the directions power that will be awarded to Government, i</w:t>
            </w:r>
            <w:r w:rsidRPr="00F31FDF">
              <w:rPr>
                <w:rFonts w:ascii="Arial" w:hAnsi="Arial" w:cs="Arial"/>
                <w:szCs w:val="20"/>
              </w:rPr>
              <w:t xml:space="preserve">f </w:t>
            </w:r>
            <w:r>
              <w:rPr>
                <w:rFonts w:ascii="Arial" w:hAnsi="Arial" w:cs="Arial"/>
                <w:szCs w:val="20"/>
              </w:rPr>
              <w:t xml:space="preserve">measure 2 is </w:t>
            </w:r>
            <w:r w:rsidRPr="00F31FDF">
              <w:rPr>
                <w:rFonts w:ascii="Arial" w:hAnsi="Arial" w:cs="Arial"/>
                <w:szCs w:val="20"/>
              </w:rPr>
              <w:t xml:space="preserve">implemented on a voluntary basis, improvement to </w:t>
            </w:r>
            <w:r>
              <w:rPr>
                <w:rFonts w:ascii="Arial" w:hAnsi="Arial" w:cs="Arial"/>
                <w:szCs w:val="20"/>
              </w:rPr>
              <w:t xml:space="preserve">post incident industry response and </w:t>
            </w:r>
            <w:r w:rsidRPr="00F31FDF">
              <w:rPr>
                <w:rFonts w:ascii="Arial" w:hAnsi="Arial" w:cs="Arial"/>
                <w:szCs w:val="20"/>
              </w:rPr>
              <w:t xml:space="preserve">Government’s </w:t>
            </w:r>
            <w:r>
              <w:rPr>
                <w:rFonts w:ascii="Arial" w:hAnsi="Arial" w:cs="Arial"/>
                <w:szCs w:val="20"/>
              </w:rPr>
              <w:t>flexibility in responding to evolving threats with potentially significant impacts will be limited, including through existing legal obstacles. This is specifically in relation to impact mitigation and the ability for Government to direct a business to enact response plans. As such, a voluntary approach would only enhance the current imbalance and transparency of security in oversight mechanisms of critical infrastructure organisations differing State and Territory emergency management frameworks.</w:t>
            </w:r>
          </w:p>
        </w:tc>
      </w:tr>
      <w:tr w:rsidR="00BE6E37" w:rsidRPr="00940D7E" w14:paraId="425C5219" w14:textId="77777777" w:rsidTr="009763A8">
        <w:trPr>
          <w:trHeight w:val="9379"/>
        </w:trPr>
        <w:tc>
          <w:tcPr>
            <w:tcW w:w="591" w:type="dxa"/>
            <w:shd w:val="clear" w:color="auto" w:fill="F2F2F2" w:themeFill="background1" w:themeFillShade="F2"/>
            <w:vAlign w:val="center"/>
          </w:tcPr>
          <w:p w14:paraId="14D1EDE6" w14:textId="77777777" w:rsidR="00F80A0E" w:rsidRPr="00DB0F47" w:rsidRDefault="00F80A0E" w:rsidP="004A163C">
            <w:pPr>
              <w:keepLines/>
              <w:spacing w:before="60" w:after="60"/>
              <w:contextualSpacing/>
              <w:rPr>
                <w:rFonts w:ascii="Arial" w:hAnsi="Arial" w:cs="Arial"/>
                <w:b/>
                <w:bCs/>
                <w:szCs w:val="20"/>
              </w:rPr>
            </w:pPr>
            <w:r w:rsidRPr="591A7590">
              <w:rPr>
                <w:rFonts w:ascii="Arial" w:hAnsi="Arial" w:cs="Arial"/>
                <w:b/>
                <w:bCs/>
                <w:szCs w:val="20"/>
              </w:rPr>
              <w:t>1.3</w:t>
            </w:r>
          </w:p>
        </w:tc>
        <w:tc>
          <w:tcPr>
            <w:tcW w:w="2042" w:type="dxa"/>
            <w:vAlign w:val="center"/>
          </w:tcPr>
          <w:p w14:paraId="54A05603" w14:textId="77777777" w:rsidR="00F80A0E" w:rsidRPr="00400CBA" w:rsidRDefault="00F80A0E" w:rsidP="004A163C">
            <w:pPr>
              <w:keepLines/>
              <w:spacing w:before="60" w:after="60"/>
              <w:contextualSpacing/>
              <w:rPr>
                <w:rFonts w:ascii="Arial" w:hAnsi="Arial" w:cs="Arial"/>
                <w:szCs w:val="20"/>
              </w:rPr>
            </w:pPr>
            <w:r w:rsidRPr="591A7590">
              <w:rPr>
                <w:rFonts w:ascii="Arial" w:hAnsi="Arial" w:cs="Arial"/>
                <w:szCs w:val="20"/>
              </w:rPr>
              <w:t xml:space="preserve">When an entity is unwilling to comply with the regulator’s recommendations to enhance an RMP, there is no ability for the regulator to issue a direction that the entity remedy the deficient RMP. </w:t>
            </w:r>
          </w:p>
        </w:tc>
        <w:tc>
          <w:tcPr>
            <w:tcW w:w="2415" w:type="dxa"/>
            <w:vAlign w:val="center"/>
          </w:tcPr>
          <w:p w14:paraId="2610998B" w14:textId="5EF624FB" w:rsidR="00F80A0E" w:rsidRPr="00D17C9D" w:rsidRDefault="00F80A0E" w:rsidP="00510557">
            <w:pPr>
              <w:pStyle w:val="ListParagraph"/>
              <w:numPr>
                <w:ilvl w:val="0"/>
                <w:numId w:val="20"/>
              </w:numPr>
              <w:spacing w:before="60" w:after="60" w:line="240" w:lineRule="auto"/>
              <w:contextualSpacing/>
              <w:rPr>
                <w:rFonts w:ascii="Arial" w:hAnsi="Arial" w:cs="Arial"/>
                <w:szCs w:val="20"/>
              </w:rPr>
            </w:pPr>
            <w:r w:rsidRPr="591A7590">
              <w:rPr>
                <w:rFonts w:ascii="Arial" w:hAnsi="Arial" w:cs="Arial"/>
                <w:b/>
                <w:bCs/>
                <w:szCs w:val="20"/>
              </w:rPr>
              <w:t>Clarify and enhance</w:t>
            </w:r>
            <w:r w:rsidRPr="591A7590">
              <w:rPr>
                <w:rFonts w:ascii="Arial" w:hAnsi="Arial" w:cs="Arial"/>
                <w:szCs w:val="20"/>
              </w:rPr>
              <w:t xml:space="preserve"> the security standards applicable to critical infrastructure. </w:t>
            </w:r>
          </w:p>
          <w:p w14:paraId="65DF24EA" w14:textId="77777777" w:rsidR="00F80A0E" w:rsidRPr="00C45D0A" w:rsidRDefault="00F80A0E" w:rsidP="00510557">
            <w:pPr>
              <w:pStyle w:val="ListParagraph"/>
              <w:keepLines/>
              <w:numPr>
                <w:ilvl w:val="0"/>
                <w:numId w:val="20"/>
              </w:numPr>
              <w:spacing w:before="60" w:after="60" w:line="240" w:lineRule="auto"/>
              <w:contextualSpacing/>
              <w:rPr>
                <w:rFonts w:ascii="Arial" w:hAnsi="Arial" w:cs="Arial"/>
                <w:szCs w:val="20"/>
              </w:rPr>
            </w:pPr>
            <w:r w:rsidRPr="591A7590">
              <w:rPr>
                <w:rFonts w:ascii="Arial" w:hAnsi="Arial" w:cs="Arial"/>
                <w:szCs w:val="20"/>
              </w:rPr>
              <w:t xml:space="preserve">Enable an </w:t>
            </w:r>
            <w:r w:rsidRPr="591A7590">
              <w:rPr>
                <w:rFonts w:ascii="Arial" w:hAnsi="Arial" w:cs="Arial"/>
                <w:b/>
                <w:bCs/>
                <w:szCs w:val="20"/>
              </w:rPr>
              <w:t>agile, industry-led</w:t>
            </w:r>
            <w:r w:rsidRPr="591A7590">
              <w:rPr>
                <w:rFonts w:ascii="Arial" w:hAnsi="Arial" w:cs="Arial"/>
                <w:szCs w:val="20"/>
              </w:rPr>
              <w:t xml:space="preserve"> </w:t>
            </w:r>
            <w:r w:rsidRPr="591A7590">
              <w:rPr>
                <w:rFonts w:ascii="Arial" w:hAnsi="Arial" w:cs="Arial"/>
                <w:b/>
                <w:bCs/>
                <w:szCs w:val="20"/>
              </w:rPr>
              <w:t>response</w:t>
            </w:r>
            <w:r w:rsidRPr="591A7590">
              <w:rPr>
                <w:rFonts w:ascii="Arial" w:hAnsi="Arial" w:cs="Arial"/>
                <w:szCs w:val="20"/>
              </w:rPr>
              <w:t xml:space="preserve"> to incidents with appropriate support from government where necessary.</w:t>
            </w:r>
          </w:p>
        </w:tc>
        <w:tc>
          <w:tcPr>
            <w:tcW w:w="591" w:type="dxa"/>
            <w:shd w:val="clear" w:color="auto" w:fill="FFD597"/>
            <w:vAlign w:val="center"/>
          </w:tcPr>
          <w:p w14:paraId="3C98006C" w14:textId="23F5A7F2" w:rsidR="00F80A0E" w:rsidRPr="591A7590" w:rsidRDefault="006038AE" w:rsidP="004A163C">
            <w:pPr>
              <w:pStyle w:val="ListParagraph"/>
              <w:spacing w:before="60" w:after="60"/>
              <w:ind w:left="360"/>
              <w:rPr>
                <w:rFonts w:ascii="Arial" w:hAnsi="Arial" w:cs="Arial"/>
                <w:b/>
                <w:bCs/>
                <w:szCs w:val="20"/>
              </w:rPr>
            </w:pPr>
            <w:r w:rsidRPr="00631F6B">
              <w:rPr>
                <w:rFonts w:ascii="Arial" w:hAnsi="Arial" w:cs="Arial"/>
                <w:noProof/>
                <w:color w:val="2B579A"/>
                <w:shd w:val="clear" w:color="auto" w:fill="E6E6E6"/>
              </w:rPr>
              <mc:AlternateContent>
                <mc:Choice Requires="wps">
                  <w:drawing>
                    <wp:anchor distT="0" distB="0" distL="114300" distR="114300" simplePos="0" relativeHeight="251664393" behindDoc="0" locked="0" layoutInCell="1" allowOverlap="1" wp14:anchorId="172BBFBB" wp14:editId="2FDC2795">
                      <wp:simplePos x="0" y="0"/>
                      <wp:positionH relativeFrom="column">
                        <wp:posOffset>-5715</wp:posOffset>
                      </wp:positionH>
                      <wp:positionV relativeFrom="paragraph">
                        <wp:posOffset>-178435</wp:posOffset>
                      </wp:positionV>
                      <wp:extent cx="222250" cy="237490"/>
                      <wp:effectExtent l="0" t="0" r="0" b="0"/>
                      <wp:wrapNone/>
                      <wp:docPr id="14" name="Multiplication Sign 14">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222250" cy="237490"/>
                              </a:xfrm>
                              <a:prstGeom prst="mathMultiply">
                                <a:avLst/>
                              </a:prstGeom>
                              <a:solidFill>
                                <a:srgbClr val="ED7D31"/>
                              </a:solidFill>
                              <a:ln w="228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648EE" id="Multiplication Sign 14" o:spid="_x0000_s1026" alt="&quot;&quot;" style="position:absolute;margin-left:-.45pt;margin-top:-14.05pt;width:17.5pt;height:18.7pt;z-index:2516643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" path="m34295,74898l72462,39180r38663,41314l149788,39180r38167,35718l146921,118745r41034,43847l149788,198310,111125,156996,72462,198310,34295,162592,75329,118745,34295,74898xe" fillcolor="#ed7d31" stroked="f" strokeweight=".06339mm">
                      <v:stroke joinstyle="miter"/>
                      <v:path arrowok="t" o:connecttype="custom" o:connectlocs="34295,74898;72462,39180;111125,80494;149788,39180;187955,74898;146921,118745;187955,162592;149788,198310;111125,156996;72462,198310;34295,162592;75329,118745;34295,74898" o:connectangles="0,0,0,0,0,0,0,0,0,0,0,0,0"/>
                    </v:shape>
                  </w:pict>
                </mc:Fallback>
              </mc:AlternateContent>
            </w:r>
          </w:p>
        </w:tc>
        <w:tc>
          <w:tcPr>
            <w:tcW w:w="4014" w:type="dxa"/>
          </w:tcPr>
          <w:p w14:paraId="2E54F9CA" w14:textId="77777777" w:rsidR="00F80A0E" w:rsidRDefault="00F80A0E" w:rsidP="004A163C">
            <w:pPr>
              <w:spacing w:before="60" w:after="60"/>
              <w:rPr>
                <w:rFonts w:ascii="Arial" w:hAnsi="Arial" w:cs="Arial"/>
                <w:b/>
                <w:bCs/>
                <w:szCs w:val="20"/>
              </w:rPr>
            </w:pPr>
            <w:r>
              <w:rPr>
                <w:rFonts w:ascii="Arial" w:hAnsi="Arial" w:cs="Arial"/>
                <w:b/>
                <w:bCs/>
                <w:szCs w:val="20"/>
              </w:rPr>
              <w:t>Option 1:</w:t>
            </w:r>
          </w:p>
          <w:p w14:paraId="71A373BF" w14:textId="77777777" w:rsidR="00F80A0E" w:rsidRDefault="00F80A0E" w:rsidP="004A163C">
            <w:pPr>
              <w:spacing w:before="60" w:after="60"/>
              <w:rPr>
                <w:rFonts w:ascii="Arial" w:hAnsi="Arial" w:cs="Arial"/>
                <w:szCs w:val="20"/>
              </w:rPr>
            </w:pPr>
            <w:r w:rsidRPr="00785307">
              <w:rPr>
                <w:rFonts w:ascii="Arial" w:hAnsi="Arial" w:cs="Arial"/>
                <w:szCs w:val="20"/>
              </w:rPr>
              <w:t xml:space="preserve">Status quo legislative arrangements do not provide nuanced regulations, which support entities in </w:t>
            </w:r>
            <w:r>
              <w:rPr>
                <w:rFonts w:ascii="Arial" w:hAnsi="Arial" w:cs="Arial"/>
                <w:szCs w:val="20"/>
              </w:rPr>
              <w:t>implementing efficient RMPs</w:t>
            </w:r>
            <w:r w:rsidRPr="00785307">
              <w:rPr>
                <w:rFonts w:ascii="Arial" w:hAnsi="Arial" w:cs="Arial"/>
                <w:szCs w:val="20"/>
              </w:rPr>
              <w:t xml:space="preserve">. </w:t>
            </w:r>
            <w:r>
              <w:rPr>
                <w:rFonts w:ascii="Arial" w:hAnsi="Arial" w:cs="Arial"/>
                <w:szCs w:val="20"/>
              </w:rPr>
              <w:t xml:space="preserve">Existing enforceable undertaking measures are too time consuming and costly (for both the Department and affected entity), leaving open the risk that vulnerabilities from a deficient RMP materialise in the course of seeking an enforceable undertaking.  </w:t>
            </w:r>
          </w:p>
          <w:p w14:paraId="7980C858" w14:textId="77777777" w:rsidR="00F80A0E" w:rsidRPr="005A0C52" w:rsidRDefault="00F80A0E" w:rsidP="004A163C">
            <w:pPr>
              <w:spacing w:before="60" w:after="60"/>
              <w:rPr>
                <w:rFonts w:ascii="Arial" w:hAnsi="Arial" w:cs="Arial"/>
                <w:szCs w:val="20"/>
              </w:rPr>
            </w:pPr>
            <w:r>
              <w:rPr>
                <w:rFonts w:ascii="Arial" w:hAnsi="Arial" w:cs="Arial"/>
                <w:szCs w:val="20"/>
              </w:rPr>
              <w:t>Further, t</w:t>
            </w:r>
            <w:r w:rsidRPr="00785307">
              <w:rPr>
                <w:rFonts w:ascii="Arial" w:hAnsi="Arial" w:cs="Arial"/>
                <w:szCs w:val="20"/>
              </w:rPr>
              <w:t xml:space="preserve">here would be no uplift in risk management practices, or the security </w:t>
            </w:r>
            <w:r>
              <w:rPr>
                <w:rFonts w:ascii="Arial" w:hAnsi="Arial" w:cs="Arial"/>
                <w:szCs w:val="20"/>
              </w:rPr>
              <w:t xml:space="preserve">standards of entities and their protection and </w:t>
            </w:r>
            <w:r w:rsidRPr="00785307">
              <w:rPr>
                <w:rFonts w:ascii="Arial" w:hAnsi="Arial" w:cs="Arial"/>
                <w:szCs w:val="20"/>
              </w:rPr>
              <w:t xml:space="preserve">resilience </w:t>
            </w:r>
            <w:r>
              <w:rPr>
                <w:rFonts w:ascii="Arial" w:hAnsi="Arial" w:cs="Arial"/>
                <w:szCs w:val="20"/>
              </w:rPr>
              <w:t>of their</w:t>
            </w:r>
            <w:r w:rsidRPr="00785307">
              <w:rPr>
                <w:rFonts w:ascii="Arial" w:hAnsi="Arial" w:cs="Arial"/>
                <w:szCs w:val="20"/>
              </w:rPr>
              <w:t xml:space="preserve"> critical infrastructure assets. Without </w:t>
            </w:r>
            <w:r>
              <w:rPr>
                <w:rFonts w:ascii="Arial" w:hAnsi="Arial" w:cs="Arial"/>
                <w:szCs w:val="20"/>
              </w:rPr>
              <w:t xml:space="preserve">sector-wide </w:t>
            </w:r>
            <w:r w:rsidRPr="00785307">
              <w:rPr>
                <w:rFonts w:ascii="Arial" w:hAnsi="Arial" w:cs="Arial"/>
                <w:szCs w:val="20"/>
              </w:rPr>
              <w:t xml:space="preserve">concerted efforts to </w:t>
            </w:r>
            <w:r>
              <w:rPr>
                <w:rFonts w:ascii="Arial" w:hAnsi="Arial" w:cs="Arial"/>
                <w:szCs w:val="20"/>
              </w:rPr>
              <w:t>uplift security standards and RMP’s to provide defences</w:t>
            </w:r>
            <w:r w:rsidRPr="00785307">
              <w:rPr>
                <w:rFonts w:ascii="Arial" w:hAnsi="Arial" w:cs="Arial"/>
                <w:szCs w:val="20"/>
              </w:rPr>
              <w:t xml:space="preserve"> </w:t>
            </w:r>
            <w:r>
              <w:rPr>
                <w:rFonts w:ascii="Arial" w:hAnsi="Arial" w:cs="Arial"/>
                <w:szCs w:val="20"/>
              </w:rPr>
              <w:t xml:space="preserve">against </w:t>
            </w:r>
            <w:r w:rsidRPr="00785307">
              <w:rPr>
                <w:rFonts w:ascii="Arial" w:hAnsi="Arial" w:cs="Arial"/>
                <w:szCs w:val="20"/>
              </w:rPr>
              <w:t>hazards and an asset-wide uplift in the security and resilience of critical infrastructure assets, the Australian economy as a whole may incur significant cost.</w:t>
            </w:r>
          </w:p>
          <w:p w14:paraId="5C92D147" w14:textId="77777777" w:rsidR="00F80A0E" w:rsidRDefault="00F80A0E" w:rsidP="004A163C">
            <w:pPr>
              <w:spacing w:before="60" w:after="60"/>
              <w:rPr>
                <w:rFonts w:ascii="Arial" w:hAnsi="Arial" w:cs="Arial"/>
                <w:b/>
                <w:bCs/>
                <w:szCs w:val="20"/>
              </w:rPr>
            </w:pPr>
            <w:r>
              <w:rPr>
                <w:rFonts w:ascii="Arial" w:hAnsi="Arial" w:cs="Arial"/>
                <w:b/>
                <w:bCs/>
                <w:szCs w:val="20"/>
              </w:rPr>
              <w:t>Option 3:</w:t>
            </w:r>
          </w:p>
          <w:p w14:paraId="0CFF89F6" w14:textId="07736DA2" w:rsidR="00F80A0E" w:rsidRPr="005A0C52" w:rsidRDefault="00F80A0E" w:rsidP="004A163C">
            <w:pPr>
              <w:spacing w:before="60" w:after="60"/>
              <w:rPr>
                <w:rFonts w:ascii="Arial" w:hAnsi="Arial" w:cs="Arial"/>
                <w:szCs w:val="20"/>
              </w:rPr>
            </w:pPr>
            <w:r w:rsidRPr="007603DD">
              <w:rPr>
                <w:rFonts w:ascii="Arial" w:hAnsi="Arial" w:cs="Arial"/>
                <w:szCs w:val="20"/>
              </w:rPr>
              <w:t xml:space="preserve">A voluntary framework means </w:t>
            </w:r>
            <w:r>
              <w:rPr>
                <w:rFonts w:ascii="Arial" w:hAnsi="Arial" w:cs="Arial"/>
                <w:szCs w:val="20"/>
              </w:rPr>
              <w:t xml:space="preserve">that the risks to critical infrastructure assets which RMPs seek protect </w:t>
            </w:r>
            <w:r w:rsidRPr="007603DD">
              <w:rPr>
                <w:rFonts w:ascii="Arial" w:hAnsi="Arial" w:cs="Arial"/>
                <w:szCs w:val="20"/>
              </w:rPr>
              <w:t xml:space="preserve">will only be lowered to the extent that </w:t>
            </w:r>
            <w:r>
              <w:rPr>
                <w:rFonts w:ascii="Arial" w:hAnsi="Arial" w:cs="Arial"/>
                <w:szCs w:val="20"/>
              </w:rPr>
              <w:t>entities</w:t>
            </w:r>
            <w:r w:rsidRPr="007603DD">
              <w:rPr>
                <w:rFonts w:ascii="Arial" w:hAnsi="Arial" w:cs="Arial"/>
                <w:szCs w:val="20"/>
              </w:rPr>
              <w:t xml:space="preserve"> choose to participate in the framework. This will lead to an inconsistent uplift in responsible entities’ compliance with relevant </w:t>
            </w:r>
            <w:r>
              <w:rPr>
                <w:rFonts w:ascii="Arial" w:hAnsi="Arial" w:cs="Arial"/>
                <w:szCs w:val="20"/>
              </w:rPr>
              <w:t xml:space="preserve">security </w:t>
            </w:r>
            <w:r w:rsidRPr="007603DD">
              <w:rPr>
                <w:rFonts w:ascii="Arial" w:hAnsi="Arial" w:cs="Arial"/>
                <w:szCs w:val="20"/>
              </w:rPr>
              <w:t xml:space="preserve">standards. </w:t>
            </w:r>
            <w:r w:rsidRPr="00BF154A">
              <w:rPr>
                <w:rFonts w:ascii="Arial" w:hAnsi="Arial" w:cs="Arial"/>
                <w:szCs w:val="20"/>
              </w:rPr>
              <w:t>Given the interconnected nature of critical infrastructure assets improvements to</w:t>
            </w:r>
            <w:r>
              <w:rPr>
                <w:rFonts w:ascii="Arial" w:hAnsi="Arial" w:cs="Arial"/>
                <w:szCs w:val="20"/>
              </w:rPr>
              <w:t xml:space="preserve"> RMPs and</w:t>
            </w:r>
            <w:r w:rsidRPr="00BF154A">
              <w:rPr>
                <w:rFonts w:ascii="Arial" w:hAnsi="Arial" w:cs="Arial"/>
                <w:szCs w:val="20"/>
              </w:rPr>
              <w:t xml:space="preserve"> the</w:t>
            </w:r>
            <w:r>
              <w:rPr>
                <w:rFonts w:ascii="Arial" w:hAnsi="Arial" w:cs="Arial"/>
                <w:szCs w:val="20"/>
              </w:rPr>
              <w:t>reby</w:t>
            </w:r>
            <w:r w:rsidRPr="00BF154A">
              <w:rPr>
                <w:rFonts w:ascii="Arial" w:hAnsi="Arial" w:cs="Arial"/>
                <w:szCs w:val="20"/>
              </w:rPr>
              <w:t xml:space="preserve"> security and resilience of such assets will be limited, where the framework is not implemented on a sector-wide, mandatory basis.</w:t>
            </w:r>
          </w:p>
        </w:tc>
      </w:tr>
    </w:tbl>
    <w:p w14:paraId="381CE08A" w14:textId="53BC796B" w:rsidR="000B5219" w:rsidRDefault="000B5219" w:rsidP="000B5219">
      <w:pPr>
        <w:spacing w:before="240"/>
        <w:rPr>
          <w:rFonts w:ascii="Arial" w:hAnsi="Arial" w:cs="Arial"/>
          <w:szCs w:val="20"/>
        </w:rPr>
      </w:pPr>
      <w:r w:rsidRPr="00700DDB">
        <w:rPr>
          <w:rFonts w:ascii="Arial" w:hAnsi="Arial" w:cs="Arial"/>
          <w:szCs w:val="20"/>
        </w:rPr>
        <w:t xml:space="preserve">As demonstrated in </w:t>
      </w:r>
      <w:r w:rsidRPr="0019246C">
        <w:rPr>
          <w:rFonts w:ascii="Arial" w:hAnsi="Arial" w:cs="Arial"/>
          <w:color w:val="2B579A"/>
          <w:szCs w:val="20"/>
          <w:shd w:val="clear" w:color="auto" w:fill="E6E6E6"/>
        </w:rPr>
        <w:fldChar w:fldCharType="begin"/>
      </w:r>
      <w:r w:rsidRPr="0019246C">
        <w:rPr>
          <w:rFonts w:ascii="Arial" w:hAnsi="Arial" w:cs="Arial"/>
          <w:szCs w:val="20"/>
        </w:rPr>
        <w:instrText xml:space="preserve"> REF _Ref163737087 \h  \* MERGEFORMAT </w:instrText>
      </w:r>
      <w:r w:rsidRPr="0019246C">
        <w:rPr>
          <w:rFonts w:ascii="Arial" w:hAnsi="Arial" w:cs="Arial"/>
          <w:color w:val="2B579A"/>
          <w:szCs w:val="20"/>
          <w:shd w:val="clear" w:color="auto" w:fill="E6E6E6"/>
        </w:rPr>
      </w:r>
      <w:r w:rsidRPr="0019246C">
        <w:rPr>
          <w:rFonts w:ascii="Arial" w:hAnsi="Arial" w:cs="Arial"/>
          <w:color w:val="2B579A"/>
          <w:szCs w:val="20"/>
          <w:shd w:val="clear" w:color="auto" w:fill="E6E6E6"/>
        </w:rPr>
        <w:fldChar w:fldCharType="separate"/>
      </w:r>
      <w:r w:rsidR="00E8506B" w:rsidRPr="00E8506B">
        <w:rPr>
          <w:rFonts w:ascii="Arial" w:hAnsi="Arial" w:cs="Arial"/>
          <w:szCs w:val="20"/>
        </w:rPr>
        <w:t xml:space="preserve">Table </w:t>
      </w:r>
      <w:r w:rsidR="00E8506B" w:rsidRPr="00E8506B">
        <w:rPr>
          <w:rFonts w:ascii="Arial" w:hAnsi="Arial" w:cs="Arial"/>
          <w:noProof/>
          <w:szCs w:val="20"/>
        </w:rPr>
        <w:t>35</w:t>
      </w:r>
      <w:r w:rsidRPr="0019246C">
        <w:rPr>
          <w:rFonts w:ascii="Arial" w:hAnsi="Arial" w:cs="Arial"/>
          <w:color w:val="2B579A"/>
          <w:szCs w:val="20"/>
          <w:shd w:val="clear" w:color="auto" w:fill="E6E6E6"/>
        </w:rPr>
        <w:fldChar w:fldCharType="end"/>
      </w:r>
      <w:r w:rsidRPr="00700DDB">
        <w:rPr>
          <w:rFonts w:ascii="Arial" w:hAnsi="Arial" w:cs="Arial"/>
          <w:szCs w:val="20"/>
        </w:rPr>
        <w:t xml:space="preserve"> above, Options 1 and 3 are not capable of solving the policy problem, nor aligning with the Government objectives for intervention outlined by this IA. Without implementing Option 2 </w:t>
      </w:r>
      <w:r>
        <w:rPr>
          <w:rFonts w:ascii="Arial" w:hAnsi="Arial" w:cs="Arial"/>
          <w:szCs w:val="20"/>
        </w:rPr>
        <w:t xml:space="preserve">as demonstrated in </w:t>
      </w:r>
      <w:r w:rsidR="00502913" w:rsidRPr="0019246C">
        <w:rPr>
          <w:rFonts w:ascii="Arial" w:hAnsi="Arial" w:cs="Arial"/>
          <w:color w:val="2B579A"/>
          <w:szCs w:val="20"/>
          <w:shd w:val="clear" w:color="auto" w:fill="E6E6E6"/>
        </w:rPr>
        <w:fldChar w:fldCharType="begin"/>
      </w:r>
      <w:r w:rsidR="00502913" w:rsidRPr="0019246C">
        <w:rPr>
          <w:rFonts w:ascii="Arial" w:hAnsi="Arial" w:cs="Arial"/>
          <w:szCs w:val="20"/>
        </w:rPr>
        <w:instrText xml:space="preserve"> REF _Ref163737087 \h  \* MERGEFORMAT </w:instrText>
      </w:r>
      <w:r w:rsidR="00502913" w:rsidRPr="0019246C">
        <w:rPr>
          <w:rFonts w:ascii="Arial" w:hAnsi="Arial" w:cs="Arial"/>
          <w:color w:val="2B579A"/>
          <w:szCs w:val="20"/>
          <w:shd w:val="clear" w:color="auto" w:fill="E6E6E6"/>
        </w:rPr>
      </w:r>
      <w:r w:rsidR="00502913" w:rsidRPr="0019246C">
        <w:rPr>
          <w:rFonts w:ascii="Arial" w:hAnsi="Arial" w:cs="Arial"/>
          <w:color w:val="2B579A"/>
          <w:szCs w:val="20"/>
          <w:shd w:val="clear" w:color="auto" w:fill="E6E6E6"/>
        </w:rPr>
        <w:fldChar w:fldCharType="separate"/>
      </w:r>
      <w:r w:rsidR="00E8506B" w:rsidRPr="00E8506B">
        <w:rPr>
          <w:rFonts w:ascii="Arial" w:hAnsi="Arial" w:cs="Arial"/>
          <w:szCs w:val="20"/>
        </w:rPr>
        <w:t xml:space="preserve">Table </w:t>
      </w:r>
      <w:r w:rsidR="00E8506B" w:rsidRPr="00E8506B">
        <w:rPr>
          <w:rFonts w:ascii="Arial" w:hAnsi="Arial" w:cs="Arial"/>
          <w:noProof/>
          <w:szCs w:val="20"/>
        </w:rPr>
        <w:t>35</w:t>
      </w:r>
      <w:r w:rsidR="00502913" w:rsidRPr="0019246C">
        <w:rPr>
          <w:rFonts w:ascii="Arial" w:hAnsi="Arial" w:cs="Arial"/>
          <w:color w:val="2B579A"/>
          <w:szCs w:val="20"/>
          <w:shd w:val="clear" w:color="auto" w:fill="E6E6E6"/>
        </w:rPr>
        <w:fldChar w:fldCharType="end"/>
      </w:r>
      <w:r w:rsidR="00502913">
        <w:rPr>
          <w:rFonts w:ascii="Arial" w:hAnsi="Arial" w:cs="Arial"/>
          <w:color w:val="2B579A"/>
          <w:szCs w:val="20"/>
          <w:shd w:val="clear" w:color="auto" w:fill="E6E6E6"/>
        </w:rPr>
        <w:t xml:space="preserve"> </w:t>
      </w:r>
      <w:r>
        <w:rPr>
          <w:rFonts w:ascii="Arial" w:hAnsi="Arial" w:cs="Arial"/>
          <w:szCs w:val="20"/>
        </w:rPr>
        <w:t xml:space="preserve">above, </w:t>
      </w:r>
      <w:r w:rsidRPr="00700DDB">
        <w:rPr>
          <w:rFonts w:ascii="Arial" w:hAnsi="Arial" w:cs="Arial"/>
          <w:szCs w:val="20"/>
        </w:rPr>
        <w:t xml:space="preserve">amendments to the SOCI Act, the identified problem areas cannot be addressed, Government’s objectives for intervention cannot be met, and industry and the Australian economy as a whole will not experience, to the full extent, the avoided costs outlined above. </w:t>
      </w:r>
    </w:p>
    <w:p w14:paraId="58E89D3F" w14:textId="5DB5A4DA" w:rsidR="00FF6150" w:rsidRDefault="00FF6150" w:rsidP="00436D55">
      <w:pPr>
        <w:pStyle w:val="Heading3numbered"/>
        <w:numPr>
          <w:ilvl w:val="0"/>
          <w:numId w:val="0"/>
        </w:numPr>
        <w:spacing w:after="0"/>
        <w:ind w:left="1134" w:hanging="1134"/>
      </w:pPr>
      <w:bookmarkStart w:id="105" w:name="_Toc176182567"/>
      <w:r>
        <w:t>6.1.1 Net benefit comparison</w:t>
      </w:r>
      <w:bookmarkEnd w:id="105"/>
    </w:p>
    <w:p w14:paraId="4510A518" w14:textId="568D42E2" w:rsidR="00FF6150" w:rsidRDefault="000F126E" w:rsidP="000F126E">
      <w:pPr>
        <w:rPr>
          <w:rFonts w:ascii="Arial" w:hAnsi="Arial" w:cs="Arial"/>
          <w:szCs w:val="20"/>
        </w:rPr>
      </w:pPr>
      <w:r>
        <w:rPr>
          <w:rFonts w:ascii="Arial" w:hAnsi="Arial" w:cs="Arial"/>
          <w:szCs w:val="20"/>
        </w:rPr>
        <w:t xml:space="preserve">In addition to the above analysis, direct comparison of the net benefit of each of the three policy options considered in this IA also supported identification of Option 2 as the preferred option. </w:t>
      </w:r>
    </w:p>
    <w:p w14:paraId="291C8E1E" w14:textId="77777777" w:rsidR="00A16D5D" w:rsidRDefault="00A16D5D" w:rsidP="000F126E">
      <w:pPr>
        <w:rPr>
          <w:rFonts w:ascii="Arial" w:hAnsi="Arial" w:cs="Arial"/>
          <w:szCs w:val="20"/>
        </w:rPr>
      </w:pPr>
    </w:p>
    <w:p w14:paraId="4F3B17B0" w14:textId="77777777" w:rsidR="00A16D5D" w:rsidRDefault="00A16D5D">
      <w:pPr>
        <w:spacing w:before="80" w:after="80"/>
        <w:rPr>
          <w:rFonts w:ascii="Arial" w:hAnsi="Arial" w:cs="Arial"/>
          <w:szCs w:val="20"/>
        </w:rPr>
      </w:pPr>
      <w:r>
        <w:rPr>
          <w:rFonts w:ascii="Arial" w:hAnsi="Arial" w:cs="Arial"/>
          <w:szCs w:val="20"/>
        </w:rPr>
        <w:br w:type="page"/>
      </w:r>
    </w:p>
    <w:p w14:paraId="465479AD" w14:textId="4812E7F1" w:rsidR="00240AFB" w:rsidRDefault="00240AFB" w:rsidP="00A16D5D">
      <w:pPr>
        <w:pStyle w:val="Caption"/>
        <w:tabs>
          <w:tab w:val="clear" w:pos="1134"/>
          <w:tab w:val="left" w:pos="0"/>
        </w:tabs>
        <w:ind w:left="0" w:firstLine="0"/>
        <w:rPr>
          <w:b w:val="0"/>
          <w:bCs/>
        </w:rPr>
      </w:pPr>
      <w:r>
        <w:t xml:space="preserve">Table </w:t>
      </w:r>
      <w:r>
        <w:fldChar w:fldCharType="begin"/>
      </w:r>
      <w:r>
        <w:instrText>SEQ Table \* ARABIC</w:instrText>
      </w:r>
      <w:r>
        <w:fldChar w:fldCharType="separate"/>
      </w:r>
      <w:r w:rsidR="00E8506B">
        <w:rPr>
          <w:noProof/>
        </w:rPr>
        <w:t>36</w:t>
      </w:r>
      <w:r>
        <w:fldChar w:fldCharType="end"/>
      </w:r>
      <w:r>
        <w:t xml:space="preserve"> </w:t>
      </w:r>
      <w:r w:rsidRPr="00436D55">
        <w:rPr>
          <w:b w:val="0"/>
          <w:bCs/>
        </w:rPr>
        <w:t>Direct net benefit comparison</w:t>
      </w:r>
    </w:p>
    <w:tbl>
      <w:tblPr>
        <w:tblStyle w:val="TableGridLight"/>
        <w:tblW w:w="960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78"/>
        <w:gridCol w:w="7827"/>
      </w:tblGrid>
      <w:tr w:rsidR="003D476C" w:rsidRPr="591A7590" w14:paraId="147CF917" w14:textId="77777777" w:rsidTr="006F6754">
        <w:trPr>
          <w:trHeight w:val="289"/>
          <w:tblHeader/>
        </w:trPr>
        <w:tc>
          <w:tcPr>
            <w:tcW w:w="1778" w:type="dxa"/>
            <w:shd w:val="clear" w:color="auto" w:fill="284B98"/>
            <w:vAlign w:val="center"/>
          </w:tcPr>
          <w:p w14:paraId="23A712A2" w14:textId="66E9BF11" w:rsidR="003D476C" w:rsidRPr="00F1701F" w:rsidRDefault="003D476C">
            <w:pPr>
              <w:spacing w:before="120" w:after="120"/>
              <w:rPr>
                <w:rFonts w:ascii="Arial" w:hAnsi="Arial" w:cs="Arial"/>
                <w:b/>
                <w:bCs/>
                <w:color w:val="FFFFFF" w:themeColor="background1"/>
                <w:szCs w:val="20"/>
              </w:rPr>
            </w:pPr>
            <w:r>
              <w:rPr>
                <w:rFonts w:ascii="Arial" w:hAnsi="Arial" w:cs="Arial"/>
                <w:b/>
                <w:bCs/>
                <w:color w:val="FFFFFF" w:themeColor="background1"/>
                <w:szCs w:val="20"/>
              </w:rPr>
              <w:t>Option</w:t>
            </w:r>
          </w:p>
        </w:tc>
        <w:tc>
          <w:tcPr>
            <w:tcW w:w="7827" w:type="dxa"/>
            <w:shd w:val="clear" w:color="auto" w:fill="284B98"/>
          </w:tcPr>
          <w:p w14:paraId="5B8298B5" w14:textId="1CEEF32B" w:rsidR="003D476C" w:rsidRDefault="003D476C">
            <w:pPr>
              <w:spacing w:before="120" w:after="120"/>
              <w:rPr>
                <w:rFonts w:ascii="Arial" w:hAnsi="Arial" w:cs="Arial"/>
                <w:b/>
                <w:bCs/>
                <w:color w:val="FFFFFF" w:themeColor="background1"/>
                <w:szCs w:val="20"/>
              </w:rPr>
            </w:pPr>
            <w:r>
              <w:rPr>
                <w:rFonts w:ascii="Arial" w:hAnsi="Arial" w:cs="Arial"/>
                <w:b/>
                <w:bCs/>
                <w:color w:val="FFFFFF" w:themeColor="background1"/>
                <w:szCs w:val="20"/>
              </w:rPr>
              <w:t>Net benefit summary</w:t>
            </w:r>
          </w:p>
        </w:tc>
      </w:tr>
      <w:tr w:rsidR="003D476C" w:rsidRPr="591A7590" w14:paraId="065E457F" w14:textId="77777777" w:rsidTr="006F6754">
        <w:trPr>
          <w:trHeight w:val="316"/>
          <w:tblHeader/>
        </w:trPr>
        <w:tc>
          <w:tcPr>
            <w:tcW w:w="1778" w:type="dxa"/>
            <w:shd w:val="clear" w:color="auto" w:fill="F2F2F2" w:themeFill="background2" w:themeFillShade="F2"/>
            <w:vAlign w:val="center"/>
          </w:tcPr>
          <w:p w14:paraId="37471EB3" w14:textId="3EE97E0E" w:rsidR="003D476C" w:rsidRPr="00436D55" w:rsidRDefault="003D476C">
            <w:pPr>
              <w:spacing w:before="120" w:after="120"/>
              <w:rPr>
                <w:rFonts w:ascii="Arial" w:hAnsi="Arial" w:cs="Arial"/>
                <w:b/>
                <w:bCs/>
                <w:color w:val="000000" w:themeColor="text1"/>
                <w:szCs w:val="20"/>
              </w:rPr>
            </w:pPr>
            <w:r w:rsidRPr="00436D55">
              <w:rPr>
                <w:rFonts w:ascii="Arial" w:hAnsi="Arial" w:cs="Arial"/>
                <w:b/>
                <w:bCs/>
                <w:color w:val="000000" w:themeColor="text1"/>
                <w:szCs w:val="20"/>
              </w:rPr>
              <w:t xml:space="preserve">Option 1: </w:t>
            </w:r>
            <w:r w:rsidRPr="00436D55">
              <w:rPr>
                <w:rFonts w:ascii="Arial" w:hAnsi="Arial" w:cs="Arial"/>
                <w:color w:val="000000" w:themeColor="text1"/>
                <w:szCs w:val="20"/>
              </w:rPr>
              <w:t>Status quo</w:t>
            </w:r>
          </w:p>
        </w:tc>
        <w:tc>
          <w:tcPr>
            <w:tcW w:w="7827" w:type="dxa"/>
            <w:shd w:val="clear" w:color="auto" w:fill="auto"/>
          </w:tcPr>
          <w:p w14:paraId="6BAFD562" w14:textId="22B6D918" w:rsidR="003D476C" w:rsidRDefault="003D476C" w:rsidP="00436D55">
            <w:pPr>
              <w:pStyle w:val="BodyText"/>
              <w:numPr>
                <w:ilvl w:val="0"/>
                <w:numId w:val="110"/>
              </w:numPr>
              <w:spacing w:before="0" w:after="0"/>
              <w:rPr>
                <w:rStyle w:val="normaltextrun"/>
                <w:rFonts w:eastAsiaTheme="minorHAnsi" w:cstheme="minorBidi"/>
                <w:szCs w:val="22"/>
                <w:lang w:eastAsia="en-US"/>
              </w:rPr>
            </w:pPr>
            <w:r w:rsidRPr="00F36DA5">
              <w:rPr>
                <w:rStyle w:val="normaltextrun"/>
              </w:rPr>
              <w:t xml:space="preserve">Option 1 is not capable of addressing the gaps which have been identified in the SOCI Act, as this option involves no change to the Act or broader regulatory environment. </w:t>
            </w:r>
          </w:p>
          <w:p w14:paraId="4EF4105D" w14:textId="3C7C1B5A" w:rsidR="003D476C" w:rsidRDefault="003D476C" w:rsidP="00436D55">
            <w:pPr>
              <w:pStyle w:val="BodyText"/>
              <w:numPr>
                <w:ilvl w:val="0"/>
                <w:numId w:val="110"/>
              </w:numPr>
              <w:spacing w:before="0" w:after="0"/>
              <w:rPr>
                <w:rStyle w:val="normaltextrun"/>
                <w:rFonts w:eastAsiaTheme="minorHAnsi" w:cstheme="minorBidi"/>
                <w:szCs w:val="22"/>
                <w:lang w:eastAsia="en-US"/>
              </w:rPr>
            </w:pPr>
            <w:r>
              <w:rPr>
                <w:rStyle w:val="normaltextrun"/>
              </w:rPr>
              <w:t xml:space="preserve">The benefit of industry facing no </w:t>
            </w:r>
            <w:r w:rsidRPr="00F36DA5">
              <w:rPr>
                <w:rStyle w:val="normaltextrun"/>
              </w:rPr>
              <w:t>increase in regulatory costs</w:t>
            </w:r>
            <w:r>
              <w:rPr>
                <w:rStyle w:val="normaltextrun"/>
              </w:rPr>
              <w:t xml:space="preserve"> is outweighed by the </w:t>
            </w:r>
            <w:r w:rsidRPr="00F36DA5">
              <w:rPr>
                <w:rStyle w:val="normaltextrun"/>
              </w:rPr>
              <w:t xml:space="preserve">forgone benefit of consistent and clear regulation, </w:t>
            </w:r>
            <w:r>
              <w:rPr>
                <w:rStyle w:val="normaltextrun"/>
              </w:rPr>
              <w:t xml:space="preserve">and </w:t>
            </w:r>
            <w:r w:rsidRPr="00F36DA5">
              <w:rPr>
                <w:rStyle w:val="normaltextrun"/>
              </w:rPr>
              <w:t>agile, industry-led responses</w:t>
            </w:r>
            <w:r>
              <w:rPr>
                <w:rStyle w:val="normaltextrun"/>
              </w:rPr>
              <w:t xml:space="preserve"> post-incident. </w:t>
            </w:r>
          </w:p>
          <w:p w14:paraId="3E7196C3" w14:textId="00D21069" w:rsidR="003D476C" w:rsidRPr="00436D55" w:rsidRDefault="003D476C" w:rsidP="00436D55">
            <w:pPr>
              <w:pStyle w:val="BodyText"/>
              <w:numPr>
                <w:ilvl w:val="0"/>
                <w:numId w:val="110"/>
              </w:numPr>
              <w:spacing w:before="0" w:after="0"/>
            </w:pPr>
            <w:r w:rsidRPr="00F36DA5">
              <w:rPr>
                <w:rStyle w:val="normaltextrun"/>
              </w:rPr>
              <w:t>Without the</w:t>
            </w:r>
            <w:r>
              <w:rPr>
                <w:rStyle w:val="normaltextrun"/>
              </w:rPr>
              <w:t>se</w:t>
            </w:r>
            <w:r w:rsidRPr="00F36DA5">
              <w:rPr>
                <w:rStyle w:val="normaltextrun"/>
              </w:rPr>
              <w:t xml:space="preserve"> benefit</w:t>
            </w:r>
            <w:r>
              <w:rPr>
                <w:rStyle w:val="normaltextrun"/>
              </w:rPr>
              <w:t xml:space="preserve">s, </w:t>
            </w:r>
            <w:r w:rsidRPr="00F36DA5">
              <w:rPr>
                <w:rStyle w:val="normaltextrun"/>
              </w:rPr>
              <w:t>critical infrastructure is left</w:t>
            </w:r>
            <w:r>
              <w:rPr>
                <w:rStyle w:val="normaltextrun"/>
              </w:rPr>
              <w:t xml:space="preserve"> </w:t>
            </w:r>
            <w:r w:rsidRPr="00F36DA5">
              <w:rPr>
                <w:rStyle w:val="normaltextrun"/>
              </w:rPr>
              <w:t>vulnerable to a growing threat of incidents. Industry may face the increased likelihood and consequences of all-hazard incidents. </w:t>
            </w:r>
            <w:r w:rsidRPr="00F36DA5">
              <w:rPr>
                <w:rStyle w:val="eop"/>
              </w:rPr>
              <w:t> </w:t>
            </w:r>
          </w:p>
        </w:tc>
      </w:tr>
      <w:tr w:rsidR="003D476C" w:rsidRPr="591A7590" w14:paraId="4726AD43" w14:textId="77777777" w:rsidTr="006F6754">
        <w:trPr>
          <w:trHeight w:val="316"/>
          <w:tblHeader/>
        </w:trPr>
        <w:tc>
          <w:tcPr>
            <w:tcW w:w="1778" w:type="dxa"/>
            <w:shd w:val="clear" w:color="auto" w:fill="F2F2F2" w:themeFill="background2" w:themeFillShade="F2"/>
            <w:vAlign w:val="center"/>
          </w:tcPr>
          <w:p w14:paraId="6E7BCF2F" w14:textId="39F04916" w:rsidR="003D476C" w:rsidRPr="00436D55" w:rsidRDefault="003D476C" w:rsidP="00436D55">
            <w:pPr>
              <w:rPr>
                <w:rFonts w:ascii="Arial" w:hAnsi="Arial" w:cs="Arial"/>
                <w:b/>
                <w:bCs/>
                <w:color w:val="000000" w:themeColor="text1"/>
                <w:szCs w:val="20"/>
              </w:rPr>
            </w:pPr>
            <w:r w:rsidRPr="00436D55">
              <w:rPr>
                <w:rFonts w:ascii="Arial" w:hAnsi="Arial" w:cs="Arial"/>
                <w:b/>
                <w:bCs/>
                <w:color w:val="000000" w:themeColor="text1"/>
                <w:szCs w:val="20"/>
              </w:rPr>
              <w:t xml:space="preserve">Option 2: </w:t>
            </w:r>
            <w:r w:rsidRPr="00436D55">
              <w:rPr>
                <w:rFonts w:ascii="Arial" w:hAnsi="Arial" w:cs="Arial"/>
                <w:color w:val="000000" w:themeColor="text1"/>
                <w:szCs w:val="20"/>
              </w:rPr>
              <w:t>Amend the SOCI Act</w:t>
            </w:r>
          </w:p>
        </w:tc>
        <w:tc>
          <w:tcPr>
            <w:tcW w:w="7827" w:type="dxa"/>
            <w:shd w:val="clear" w:color="auto" w:fill="auto"/>
          </w:tcPr>
          <w:p w14:paraId="1632ED2C" w14:textId="7C7AE3F5" w:rsidR="003D476C" w:rsidRDefault="003D476C" w:rsidP="00436D55">
            <w:pPr>
              <w:pStyle w:val="ListParagraph"/>
              <w:numPr>
                <w:ilvl w:val="0"/>
                <w:numId w:val="111"/>
              </w:numPr>
              <w:spacing w:before="0" w:after="0"/>
              <w:rPr>
                <w:rFonts w:ascii="Arial" w:eastAsiaTheme="minorEastAsia" w:hAnsi="Arial" w:cs="Arial"/>
                <w:szCs w:val="20"/>
              </w:rPr>
            </w:pPr>
            <w:r>
              <w:rPr>
                <w:rFonts w:ascii="Arial" w:eastAsiaTheme="minorEastAsia" w:hAnsi="Arial" w:cs="Arial"/>
                <w:szCs w:val="20"/>
              </w:rPr>
              <w:t>B</w:t>
            </w:r>
            <w:r w:rsidRPr="00436D55">
              <w:rPr>
                <w:rFonts w:ascii="Arial" w:eastAsiaTheme="minorEastAsia" w:hAnsi="Arial" w:cs="Arial"/>
                <w:szCs w:val="20"/>
              </w:rPr>
              <w:t xml:space="preserve">enefits of Option 2 will be at least (and </w:t>
            </w:r>
            <w:r>
              <w:rPr>
                <w:rFonts w:ascii="Arial" w:eastAsiaTheme="minorEastAsia" w:hAnsi="Arial" w:cs="Arial"/>
                <w:szCs w:val="20"/>
              </w:rPr>
              <w:t>likely</w:t>
            </w:r>
            <w:r w:rsidRPr="00436D55">
              <w:rPr>
                <w:rFonts w:ascii="Arial" w:eastAsiaTheme="minorEastAsia" w:hAnsi="Arial" w:cs="Arial"/>
                <w:szCs w:val="20"/>
              </w:rPr>
              <w:t xml:space="preserve"> more than) the costs of the regulation. This is primarily because the marginal costs of the proposed changes are expected to be small, relative to existing costs associated with compliance under the SOCI Act and the potential avoided costs of future incidents</w:t>
            </w:r>
            <w:r>
              <w:rPr>
                <w:rFonts w:ascii="Arial" w:eastAsiaTheme="minorEastAsia" w:hAnsi="Arial" w:cs="Arial"/>
                <w:szCs w:val="20"/>
              </w:rPr>
              <w:t>.</w:t>
            </w:r>
          </w:p>
          <w:p w14:paraId="5031BB38" w14:textId="18AC32DE" w:rsidR="003D476C" w:rsidRPr="00436D55" w:rsidRDefault="003D476C" w:rsidP="00436D55">
            <w:pPr>
              <w:pStyle w:val="ListParagraph"/>
              <w:numPr>
                <w:ilvl w:val="0"/>
                <w:numId w:val="111"/>
              </w:numPr>
              <w:spacing w:before="0" w:after="0"/>
              <w:rPr>
                <w:rFonts w:ascii="Arial" w:hAnsi="Arial" w:cs="Arial"/>
                <w:szCs w:val="20"/>
              </w:rPr>
            </w:pPr>
            <w:r>
              <w:rPr>
                <w:rFonts w:ascii="Arial" w:eastAsiaTheme="minorEastAsia" w:hAnsi="Arial" w:cs="Arial"/>
                <w:szCs w:val="20"/>
              </w:rPr>
              <w:t>D</w:t>
            </w:r>
            <w:r w:rsidRPr="00436D55">
              <w:rPr>
                <w:rFonts w:ascii="Arial" w:eastAsiaTheme="minorEastAsia" w:hAnsi="Arial" w:cs="Arial"/>
                <w:szCs w:val="20"/>
              </w:rPr>
              <w:t xml:space="preserve">ue to the expected frequency of interventions being once every three years, the number of avoided incidents required for total benefits to exceed the cost impact of Option 2 is also low (as set out in </w:t>
            </w:r>
            <w:r w:rsidRPr="00436D55">
              <w:rPr>
                <w:rFonts w:ascii="Arial" w:eastAsiaTheme="minorEastAsia" w:hAnsi="Arial" w:cs="Arial"/>
                <w:color w:val="2B579A"/>
                <w:szCs w:val="20"/>
                <w:shd w:val="clear" w:color="auto" w:fill="E6E6E6"/>
              </w:rPr>
              <w:fldChar w:fldCharType="begin"/>
            </w:r>
            <w:r w:rsidRPr="00436D55">
              <w:rPr>
                <w:rFonts w:ascii="Arial" w:eastAsiaTheme="minorEastAsia" w:hAnsi="Arial" w:cs="Arial"/>
                <w:szCs w:val="20"/>
              </w:rPr>
              <w:instrText xml:space="preserve"> REF _Ref163735245 \h  \* MERGEFORMAT </w:instrText>
            </w:r>
            <w:r w:rsidRPr="00436D55">
              <w:rPr>
                <w:rFonts w:ascii="Arial" w:eastAsiaTheme="minorEastAsia" w:hAnsi="Arial" w:cs="Arial"/>
                <w:color w:val="2B579A"/>
                <w:szCs w:val="20"/>
                <w:shd w:val="clear" w:color="auto" w:fill="E6E6E6"/>
              </w:rPr>
            </w:r>
            <w:r w:rsidRPr="00436D55">
              <w:rPr>
                <w:rFonts w:ascii="Arial" w:eastAsiaTheme="minorEastAsia" w:hAnsi="Arial" w:cs="Arial"/>
                <w:color w:val="2B579A"/>
                <w:szCs w:val="20"/>
                <w:shd w:val="clear" w:color="auto" w:fill="E6E6E6"/>
              </w:rPr>
              <w:fldChar w:fldCharType="separate"/>
            </w:r>
            <w:r w:rsidR="00E8506B" w:rsidRPr="00E8506B">
              <w:rPr>
                <w:rFonts w:ascii="Arial" w:eastAsiaTheme="minorEastAsia" w:hAnsi="Arial" w:cs="Arial"/>
                <w:szCs w:val="20"/>
              </w:rPr>
              <w:t>Table 31</w:t>
            </w:r>
            <w:r w:rsidRPr="00436D55">
              <w:rPr>
                <w:rFonts w:ascii="Arial" w:eastAsiaTheme="minorEastAsia" w:hAnsi="Arial" w:cs="Arial"/>
                <w:color w:val="2B579A"/>
                <w:szCs w:val="20"/>
                <w:shd w:val="clear" w:color="auto" w:fill="E6E6E6"/>
              </w:rPr>
              <w:fldChar w:fldCharType="end"/>
            </w:r>
            <w:r w:rsidRPr="00436D55">
              <w:rPr>
                <w:rFonts w:ascii="Arial" w:eastAsiaTheme="minorEastAsia" w:hAnsi="Arial" w:cs="Arial"/>
                <w:szCs w:val="20"/>
              </w:rPr>
              <w:t xml:space="preserve">). The benefits of Option 2 will be at least the costs of the regulation.  </w:t>
            </w:r>
          </w:p>
          <w:p w14:paraId="1F7A9445" w14:textId="5E36FBD1" w:rsidR="003D476C" w:rsidRDefault="003D476C" w:rsidP="00436D55">
            <w:pPr>
              <w:pStyle w:val="ListParagraph"/>
              <w:numPr>
                <w:ilvl w:val="0"/>
                <w:numId w:val="111"/>
              </w:numPr>
              <w:spacing w:before="0" w:after="0"/>
            </w:pPr>
            <w:r>
              <w:t>T</w:t>
            </w:r>
            <w:r w:rsidRPr="591A7590">
              <w:t xml:space="preserve">he increasing frequency of incidents makes the proposed reform measures more likely to exceed the anticipated costs over time. </w:t>
            </w:r>
          </w:p>
          <w:p w14:paraId="1EC82B3F" w14:textId="13F2A1BB" w:rsidR="003D476C" w:rsidRPr="591A7590" w:rsidRDefault="003D476C" w:rsidP="00436D55">
            <w:pPr>
              <w:pStyle w:val="ListParagraph"/>
              <w:numPr>
                <w:ilvl w:val="0"/>
                <w:numId w:val="111"/>
              </w:numPr>
              <w:spacing w:before="0" w:after="0"/>
              <w:rPr>
                <w:rFonts w:ascii="Arial" w:hAnsi="Arial" w:cs="Arial"/>
                <w:b/>
                <w:bCs/>
                <w:color w:val="FFFFFF" w:themeColor="background1"/>
                <w:szCs w:val="20"/>
              </w:rPr>
            </w:pPr>
            <w:r>
              <w:t>The total economy-wide</w:t>
            </w:r>
            <w:r w:rsidRPr="591A7590">
              <w:t xml:space="preserve"> cost of these reforms are expected to be </w:t>
            </w:r>
            <w:r>
              <w:t>low</w:t>
            </w:r>
            <w:r w:rsidRPr="591A7590">
              <w:t xml:space="preserve">, when compared with the losses individuals may experience during or following an all-hazards event. </w:t>
            </w:r>
          </w:p>
        </w:tc>
      </w:tr>
      <w:tr w:rsidR="003D476C" w:rsidRPr="591A7590" w14:paraId="38EAAB50" w14:textId="77777777" w:rsidTr="006F6754">
        <w:trPr>
          <w:trHeight w:val="316"/>
          <w:tblHeader/>
        </w:trPr>
        <w:tc>
          <w:tcPr>
            <w:tcW w:w="1778" w:type="dxa"/>
            <w:shd w:val="clear" w:color="auto" w:fill="F2F2F2" w:themeFill="background2" w:themeFillShade="F2"/>
            <w:vAlign w:val="center"/>
          </w:tcPr>
          <w:p w14:paraId="0A42EC54" w14:textId="1F9E1186" w:rsidR="003D476C" w:rsidRPr="00436D55" w:rsidRDefault="003D476C">
            <w:pPr>
              <w:spacing w:before="120" w:after="120"/>
              <w:rPr>
                <w:rFonts w:ascii="Arial" w:hAnsi="Arial" w:cs="Arial"/>
                <w:b/>
                <w:bCs/>
                <w:color w:val="000000" w:themeColor="text1"/>
                <w:szCs w:val="20"/>
              </w:rPr>
            </w:pPr>
            <w:r w:rsidRPr="00436D55">
              <w:rPr>
                <w:rFonts w:ascii="Arial" w:hAnsi="Arial" w:cs="Arial"/>
                <w:b/>
                <w:bCs/>
                <w:color w:val="000000" w:themeColor="text1"/>
                <w:szCs w:val="20"/>
              </w:rPr>
              <w:t xml:space="preserve">Option 3: </w:t>
            </w:r>
            <w:r w:rsidRPr="00436D55">
              <w:rPr>
                <w:rFonts w:ascii="Arial" w:hAnsi="Arial" w:cs="Arial"/>
                <w:color w:val="000000" w:themeColor="text1"/>
                <w:szCs w:val="20"/>
              </w:rPr>
              <w:t>Enhanced collaboration with industry</w:t>
            </w:r>
          </w:p>
        </w:tc>
        <w:tc>
          <w:tcPr>
            <w:tcW w:w="7827" w:type="dxa"/>
            <w:shd w:val="clear" w:color="auto" w:fill="auto"/>
          </w:tcPr>
          <w:p w14:paraId="0BC1B251" w14:textId="0EC2132E" w:rsidR="003D476C" w:rsidRPr="00F3367C" w:rsidDel="001C2753" w:rsidRDefault="003D476C" w:rsidP="00436D55">
            <w:pPr>
              <w:pStyle w:val="ListParagraph"/>
              <w:numPr>
                <w:ilvl w:val="0"/>
                <w:numId w:val="112"/>
              </w:numPr>
              <w:spacing w:before="0" w:after="0"/>
              <w:rPr>
                <w:rFonts w:ascii="Arial" w:hAnsi="Arial" w:cs="Arial"/>
              </w:rPr>
            </w:pPr>
            <w:r>
              <w:rPr>
                <w:rFonts w:ascii="Arial" w:eastAsiaTheme="minorEastAsia" w:hAnsi="Arial" w:cs="Arial"/>
                <w:szCs w:val="20"/>
              </w:rPr>
              <w:t>T</w:t>
            </w:r>
            <w:r w:rsidRPr="00436D55">
              <w:rPr>
                <w:rFonts w:ascii="Arial" w:eastAsiaTheme="minorEastAsia" w:hAnsi="Arial" w:cs="Arial"/>
                <w:szCs w:val="20"/>
              </w:rPr>
              <w:t>he net benefit</w:t>
            </w:r>
            <w:r>
              <w:rPr>
                <w:rFonts w:ascii="Arial" w:eastAsiaTheme="minorEastAsia" w:hAnsi="Arial" w:cs="Arial"/>
                <w:szCs w:val="20"/>
              </w:rPr>
              <w:t xml:space="preserve"> of Option 3</w:t>
            </w:r>
            <w:r w:rsidRPr="00436D55">
              <w:rPr>
                <w:rFonts w:ascii="Arial" w:eastAsiaTheme="minorEastAsia" w:hAnsi="Arial" w:cs="Arial"/>
                <w:szCs w:val="20"/>
              </w:rPr>
              <w:t xml:space="preserve"> is inherently limited by the fact that not all required reforms can be addressed through the TISN (given the requirement that directions powers are legislated). </w:t>
            </w:r>
            <w:r w:rsidRPr="098AE7E4">
              <w:rPr>
                <w:rFonts w:ascii="Arial" w:eastAsiaTheme="minorEastAsia" w:hAnsi="Arial" w:cs="Arial"/>
              </w:rPr>
              <w:t>T</w:t>
            </w:r>
            <w:r w:rsidRPr="00436D55">
              <w:rPr>
                <w:rFonts w:ascii="Arial" w:eastAsiaTheme="minorEastAsia" w:hAnsi="Arial" w:cs="Arial"/>
              </w:rPr>
              <w:t xml:space="preserve">he net benefit of Option 3 is likely higher than pursuing Option 1, but likely lower than the net benefit offered by Option 2. This is because the voluntary format of Option 3, and the limitations on its ability to address all problem areas means it cannot address the growing threats and consequences of all-hazard incidents. </w:t>
            </w:r>
          </w:p>
          <w:p w14:paraId="6B29371C" w14:textId="24B66903" w:rsidR="003D476C" w:rsidRPr="00F3367C" w:rsidDel="001C2753" w:rsidRDefault="003D476C" w:rsidP="00436D55">
            <w:pPr>
              <w:pStyle w:val="ListParagraph"/>
              <w:numPr>
                <w:ilvl w:val="0"/>
                <w:numId w:val="112"/>
              </w:numPr>
              <w:spacing w:before="0" w:after="0"/>
              <w:rPr>
                <w:rFonts w:ascii="Arial" w:hAnsi="Arial" w:cs="Arial"/>
              </w:rPr>
            </w:pPr>
            <w:r w:rsidRPr="00436D55">
              <w:rPr>
                <w:rFonts w:ascii="Arial" w:eastAsiaTheme="minorEastAsia" w:hAnsi="Arial" w:cs="Arial"/>
              </w:rPr>
              <w:t xml:space="preserve">Government will continue to dedicate resources to the TISN under </w:t>
            </w:r>
            <w:r w:rsidRPr="098AE7E4">
              <w:rPr>
                <w:rFonts w:ascii="Arial" w:eastAsiaTheme="minorEastAsia" w:hAnsi="Arial" w:cs="Arial"/>
              </w:rPr>
              <w:t xml:space="preserve">any </w:t>
            </w:r>
            <w:r w:rsidRPr="00436D55">
              <w:rPr>
                <w:rFonts w:ascii="Arial" w:eastAsiaTheme="minorEastAsia" w:hAnsi="Arial" w:cs="Arial"/>
              </w:rPr>
              <w:t>option to ensure world-class collaboration between industry and Government.</w:t>
            </w:r>
          </w:p>
          <w:p w14:paraId="4471192C" w14:textId="7052B534" w:rsidR="003D476C" w:rsidRPr="00A16D5D" w:rsidRDefault="003D476C" w:rsidP="00A16D5D">
            <w:pPr>
              <w:rPr>
                <w:rFonts w:ascii="Arial" w:hAnsi="Arial" w:cs="Arial"/>
                <w:b/>
                <w:bCs/>
                <w:color w:val="FFFFFF" w:themeColor="background1"/>
                <w:szCs w:val="20"/>
              </w:rPr>
            </w:pPr>
          </w:p>
        </w:tc>
      </w:tr>
      <w:tr w:rsidR="003D476C" w:rsidRPr="591A7590" w14:paraId="70C3157F" w14:textId="77777777" w:rsidTr="006F6754">
        <w:trPr>
          <w:trHeight w:val="316"/>
          <w:tblHeader/>
        </w:trPr>
        <w:tc>
          <w:tcPr>
            <w:tcW w:w="1778" w:type="dxa"/>
            <w:shd w:val="clear" w:color="auto" w:fill="F2F2F2" w:themeFill="background2" w:themeFillShade="F2"/>
            <w:vAlign w:val="center"/>
          </w:tcPr>
          <w:p w14:paraId="294AFA53" w14:textId="5578B625" w:rsidR="003D476C" w:rsidRPr="00436D55" w:rsidRDefault="003D476C" w:rsidP="003D476C">
            <w:pPr>
              <w:spacing w:before="120" w:after="120"/>
              <w:rPr>
                <w:rFonts w:ascii="Arial" w:hAnsi="Arial" w:cs="Arial"/>
                <w:b/>
                <w:bCs/>
                <w:color w:val="000000" w:themeColor="text1"/>
                <w:szCs w:val="20"/>
              </w:rPr>
            </w:pPr>
            <w:r>
              <w:rPr>
                <w:rFonts w:ascii="Arial" w:hAnsi="Arial" w:cs="Arial"/>
                <w:b/>
                <w:bCs/>
                <w:color w:val="000000" w:themeColor="text1"/>
                <w:szCs w:val="20"/>
              </w:rPr>
              <w:t>Overall Comparison</w:t>
            </w:r>
          </w:p>
        </w:tc>
        <w:tc>
          <w:tcPr>
            <w:tcW w:w="7827" w:type="dxa"/>
            <w:shd w:val="clear" w:color="auto" w:fill="auto"/>
            <w:vAlign w:val="center"/>
          </w:tcPr>
          <w:p w14:paraId="76D2EAA9" w14:textId="77777777" w:rsidR="003D476C" w:rsidRDefault="003D476C" w:rsidP="003D476C">
            <w:pPr>
              <w:spacing w:before="120" w:after="120"/>
              <w:rPr>
                <w:rFonts w:ascii="Arial" w:hAnsi="Arial" w:cs="Arial"/>
                <w:color w:val="000000" w:themeColor="text1"/>
                <w:szCs w:val="20"/>
              </w:rPr>
            </w:pPr>
            <w:r>
              <w:rPr>
                <w:rFonts w:ascii="Arial" w:hAnsi="Arial" w:cs="Arial"/>
                <w:color w:val="000000" w:themeColor="text1"/>
                <w:szCs w:val="20"/>
              </w:rPr>
              <w:t xml:space="preserve">Direct comparison of the net benefit of each option supports identification of Option 2 as the preferred option because: </w:t>
            </w:r>
          </w:p>
          <w:p w14:paraId="14814B8F" w14:textId="77777777" w:rsidR="003D476C" w:rsidRPr="00436D55" w:rsidRDefault="003D476C" w:rsidP="003D476C">
            <w:pPr>
              <w:pStyle w:val="ListParagraph"/>
              <w:numPr>
                <w:ilvl w:val="0"/>
                <w:numId w:val="113"/>
              </w:numPr>
              <w:rPr>
                <w:rFonts w:ascii="Arial" w:eastAsiaTheme="minorEastAsia" w:hAnsi="Arial" w:cs="Arial"/>
                <w:color w:val="FFFFFF" w:themeColor="background1"/>
                <w:szCs w:val="20"/>
              </w:rPr>
            </w:pPr>
            <w:r w:rsidRPr="00436D55">
              <w:rPr>
                <w:rFonts w:ascii="Arial" w:eastAsiaTheme="minorEastAsia" w:hAnsi="Arial" w:cs="Arial"/>
                <w:color w:val="000000" w:themeColor="text1"/>
                <w:szCs w:val="20"/>
              </w:rPr>
              <w:t xml:space="preserve">It is the only option capable of addressing the problem areas identified in Section 1 of this IA; </w:t>
            </w:r>
          </w:p>
          <w:p w14:paraId="3F3C71A9" w14:textId="77777777" w:rsidR="003D476C" w:rsidRPr="00436D55" w:rsidRDefault="003D476C" w:rsidP="003D476C">
            <w:pPr>
              <w:pStyle w:val="ListParagraph"/>
              <w:numPr>
                <w:ilvl w:val="0"/>
                <w:numId w:val="113"/>
              </w:numPr>
              <w:rPr>
                <w:rFonts w:ascii="Arial" w:eastAsiaTheme="minorEastAsia" w:hAnsi="Arial" w:cs="Arial"/>
                <w:color w:val="FFFFFF" w:themeColor="background1"/>
                <w:szCs w:val="20"/>
              </w:rPr>
            </w:pPr>
            <w:r>
              <w:rPr>
                <w:rFonts w:ascii="Arial" w:eastAsiaTheme="minorEastAsia" w:hAnsi="Arial" w:cs="Arial"/>
                <w:color w:val="000000" w:themeColor="text1"/>
                <w:szCs w:val="20"/>
              </w:rPr>
              <w:t xml:space="preserve">While the overall costs are higher as compared to Options 1 and 3, the net benefit is also higher; and </w:t>
            </w:r>
          </w:p>
          <w:p w14:paraId="3C720CC8" w14:textId="0CE12987" w:rsidR="003D476C" w:rsidRDefault="003D476C" w:rsidP="003D476C">
            <w:pPr>
              <w:pStyle w:val="ListParagraph"/>
              <w:numPr>
                <w:ilvl w:val="0"/>
                <w:numId w:val="112"/>
              </w:numPr>
              <w:spacing w:before="0" w:after="0"/>
              <w:rPr>
                <w:rFonts w:ascii="Arial" w:eastAsiaTheme="minorEastAsia" w:hAnsi="Arial" w:cs="Arial"/>
                <w:szCs w:val="20"/>
              </w:rPr>
            </w:pPr>
            <w:r>
              <w:rPr>
                <w:rFonts w:ascii="Arial" w:eastAsiaTheme="minorEastAsia" w:hAnsi="Arial" w:cs="Arial"/>
                <w:color w:val="000000" w:themeColor="text1"/>
                <w:szCs w:val="20"/>
              </w:rPr>
              <w:t xml:space="preserve">The increasing frequency of incidents means benefits of Option 2 are more likely to exceed the costs overtime.  </w:t>
            </w:r>
          </w:p>
        </w:tc>
      </w:tr>
    </w:tbl>
    <w:p w14:paraId="46DED697" w14:textId="77777777" w:rsidR="000B5219" w:rsidRPr="00700DDB" w:rsidRDefault="000B5219" w:rsidP="000B5219">
      <w:pPr>
        <w:pStyle w:val="Heading2"/>
        <w:rPr>
          <w:rFonts w:ascii="Arial" w:hAnsi="Arial"/>
        </w:rPr>
      </w:pPr>
      <w:bookmarkStart w:id="106" w:name="_Toc164683845"/>
      <w:bookmarkStart w:id="107" w:name="_Toc176183947"/>
      <w:r w:rsidRPr="4F26752A">
        <w:rPr>
          <w:rFonts w:ascii="Arial" w:hAnsi="Arial"/>
        </w:rPr>
        <w:t>6.2 Implementation</w:t>
      </w:r>
      <w:bookmarkEnd w:id="106"/>
      <w:bookmarkEnd w:id="107"/>
    </w:p>
    <w:p w14:paraId="414B596F" w14:textId="0F61423B" w:rsidR="00384DB6" w:rsidRDefault="000B5219" w:rsidP="00436D55">
      <w:pPr>
        <w:spacing w:after="240"/>
        <w:rPr>
          <w:rFonts w:ascii="Arial" w:hAnsi="Arial" w:cs="Arial"/>
          <w:szCs w:val="20"/>
        </w:rPr>
      </w:pPr>
      <w:r w:rsidRPr="00700DDB">
        <w:rPr>
          <w:rFonts w:ascii="Arial" w:hAnsi="Arial" w:cs="Arial"/>
          <w:szCs w:val="20"/>
        </w:rPr>
        <w:t xml:space="preserve">Although it offers the best option from those considered, </w:t>
      </w:r>
      <w:r>
        <w:rPr>
          <w:rFonts w:ascii="Arial" w:hAnsi="Arial" w:cs="Arial"/>
          <w:szCs w:val="20"/>
        </w:rPr>
        <w:t>O</w:t>
      </w:r>
      <w:r w:rsidRPr="00700DDB">
        <w:rPr>
          <w:rFonts w:ascii="Arial" w:hAnsi="Arial" w:cs="Arial"/>
          <w:szCs w:val="20"/>
        </w:rPr>
        <w:t xml:space="preserve">ption 2 is not without risks. Effective implementation of </w:t>
      </w:r>
      <w:r>
        <w:rPr>
          <w:rFonts w:ascii="Arial" w:hAnsi="Arial" w:cs="Arial"/>
          <w:szCs w:val="20"/>
        </w:rPr>
        <w:t>proposed amendments to the SOCI Act is</w:t>
      </w:r>
      <w:r w:rsidRPr="00700DDB">
        <w:rPr>
          <w:rFonts w:ascii="Arial" w:hAnsi="Arial" w:cs="Arial"/>
          <w:szCs w:val="20"/>
        </w:rPr>
        <w:t xml:space="preserve"> essential for ensuring </w:t>
      </w:r>
      <w:r>
        <w:rPr>
          <w:rFonts w:ascii="Arial" w:hAnsi="Arial" w:cs="Arial"/>
          <w:szCs w:val="20"/>
        </w:rPr>
        <w:t>O</w:t>
      </w:r>
      <w:r w:rsidRPr="00700DDB">
        <w:rPr>
          <w:rFonts w:ascii="Arial" w:hAnsi="Arial" w:cs="Arial"/>
          <w:szCs w:val="20"/>
        </w:rPr>
        <w:t xml:space="preserve">ption 2’s benefits are realised in their entirety. </w:t>
      </w:r>
      <w:r w:rsidR="00384DB6">
        <w:rPr>
          <w:rFonts w:ascii="Arial" w:hAnsi="Arial" w:cs="Arial"/>
          <w:szCs w:val="20"/>
        </w:rPr>
        <w:t xml:space="preserve">This IA, including stakeholder feedback, risks and implementation considerations, will accompany the passage of the proposed legislative amendments to inform a final decision (in line with the table below). </w:t>
      </w:r>
    </w:p>
    <w:p w14:paraId="105F4C32" w14:textId="35A8DA14" w:rsidR="00384DB6" w:rsidRPr="005229CA" w:rsidRDefault="00384DB6" w:rsidP="00436D55">
      <w:pPr>
        <w:pStyle w:val="Caption"/>
        <w:rPr>
          <w:bCs/>
        </w:rPr>
      </w:pPr>
      <w:r>
        <w:t xml:space="preserve">Table </w:t>
      </w:r>
      <w:fldSimple w:instr=" SEQ Table \* ARABIC ">
        <w:r w:rsidR="00E8506B">
          <w:rPr>
            <w:noProof/>
          </w:rPr>
          <w:t>37</w:t>
        </w:r>
      </w:fldSimple>
      <w:r>
        <w:t xml:space="preserve"> </w:t>
      </w:r>
      <w:r w:rsidRPr="00436D55">
        <w:rPr>
          <w:b w:val="0"/>
          <w:bCs/>
        </w:rPr>
        <w:t>Summary of policy development</w:t>
      </w:r>
    </w:p>
    <w:tbl>
      <w:tblPr>
        <w:tblW w:w="9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40"/>
        <w:gridCol w:w="2333"/>
        <w:gridCol w:w="3186"/>
      </w:tblGrid>
      <w:tr w:rsidR="00384DB6" w:rsidRPr="001707E4" w14:paraId="10DC4758" w14:textId="77777777" w:rsidTr="009763A8">
        <w:trPr>
          <w:trHeight w:val="313"/>
        </w:trPr>
        <w:tc>
          <w:tcPr>
            <w:tcW w:w="4040"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034EA2" w:themeFill="accent1"/>
            <w:vAlign w:val="center"/>
            <w:hideMark/>
          </w:tcPr>
          <w:p w14:paraId="48B41F54" w14:textId="77777777" w:rsidR="00384DB6" w:rsidRPr="001707E4" w:rsidRDefault="00384DB6" w:rsidP="00384DB6">
            <w:pPr>
              <w:ind w:left="127"/>
              <w:textAlignment w:val="baseline"/>
              <w:rPr>
                <w:rFonts w:ascii="Times New Roman" w:eastAsia="Times New Roman" w:hAnsi="Times New Roman" w:cs="Times New Roman"/>
                <w:sz w:val="24"/>
                <w:szCs w:val="24"/>
                <w:lang w:eastAsia="en-AU"/>
              </w:rPr>
            </w:pPr>
            <w:r w:rsidRPr="001707E4">
              <w:rPr>
                <w:rFonts w:ascii="Arial" w:eastAsia="Times New Roman" w:hAnsi="Arial" w:cs="Arial"/>
                <w:b/>
                <w:bCs/>
                <w:color w:val="FFFFFF"/>
                <w:szCs w:val="20"/>
                <w:lang w:eastAsia="en-AU"/>
              </w:rPr>
              <w:t>Policy development stage</w:t>
            </w:r>
            <w:r w:rsidRPr="001707E4">
              <w:rPr>
                <w:rFonts w:ascii="Arial" w:eastAsia="Times New Roman" w:hAnsi="Arial" w:cs="Arial"/>
                <w:color w:val="FFFFFF"/>
                <w:szCs w:val="20"/>
                <w:lang w:eastAsia="en-AU"/>
              </w:rPr>
              <w:t> </w:t>
            </w:r>
          </w:p>
        </w:tc>
        <w:tc>
          <w:tcPr>
            <w:tcW w:w="233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034EA2" w:themeFill="accent1"/>
            <w:vAlign w:val="center"/>
            <w:hideMark/>
          </w:tcPr>
          <w:p w14:paraId="4122B407" w14:textId="77777777" w:rsidR="00384DB6" w:rsidRPr="001707E4" w:rsidRDefault="00384DB6" w:rsidP="00384DB6">
            <w:pPr>
              <w:ind w:left="164"/>
              <w:textAlignment w:val="baseline"/>
              <w:rPr>
                <w:rFonts w:ascii="Times New Roman" w:eastAsia="Times New Roman" w:hAnsi="Times New Roman" w:cs="Times New Roman"/>
                <w:sz w:val="24"/>
                <w:szCs w:val="24"/>
                <w:lang w:eastAsia="en-AU"/>
              </w:rPr>
            </w:pPr>
            <w:r w:rsidRPr="001707E4">
              <w:rPr>
                <w:rFonts w:ascii="Arial" w:eastAsia="Times New Roman" w:hAnsi="Arial" w:cs="Arial"/>
                <w:b/>
                <w:bCs/>
                <w:color w:val="FFFFFF"/>
                <w:szCs w:val="20"/>
                <w:lang w:eastAsia="en-AU"/>
              </w:rPr>
              <w:t>Relevant IA development stage</w:t>
            </w:r>
            <w:r w:rsidRPr="001707E4">
              <w:rPr>
                <w:rFonts w:ascii="Arial" w:eastAsia="Times New Roman" w:hAnsi="Arial" w:cs="Arial"/>
                <w:color w:val="FFFFFF"/>
                <w:szCs w:val="20"/>
                <w:lang w:eastAsia="en-AU"/>
              </w:rPr>
              <w:t> </w:t>
            </w:r>
          </w:p>
        </w:tc>
        <w:tc>
          <w:tcPr>
            <w:tcW w:w="3186"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034EA2" w:themeFill="accent1"/>
            <w:vAlign w:val="center"/>
          </w:tcPr>
          <w:p w14:paraId="6B615A90" w14:textId="77777777" w:rsidR="00384DB6" w:rsidRDefault="00384DB6" w:rsidP="00384DB6">
            <w:pPr>
              <w:rPr>
                <w:rFonts w:ascii="Arial" w:eastAsia="Times New Roman" w:hAnsi="Arial" w:cs="Arial"/>
                <w:b/>
                <w:bCs/>
                <w:color w:val="FFFFFF" w:themeColor="background2"/>
                <w:lang w:eastAsia="en-AU"/>
              </w:rPr>
            </w:pPr>
            <w:r w:rsidRPr="4F26752A">
              <w:rPr>
                <w:rFonts w:ascii="Arial" w:eastAsia="Times New Roman" w:hAnsi="Arial" w:cs="Arial"/>
                <w:b/>
                <w:bCs/>
                <w:color w:val="FFFFFF" w:themeColor="background2"/>
                <w:lang w:eastAsia="en-AU"/>
              </w:rPr>
              <w:t xml:space="preserve"> Dates</w:t>
            </w:r>
          </w:p>
        </w:tc>
      </w:tr>
      <w:tr w:rsidR="00384DB6" w:rsidRPr="001707E4" w14:paraId="34FD8FB3" w14:textId="77777777" w:rsidTr="009763A8">
        <w:trPr>
          <w:trHeight w:val="313"/>
        </w:trPr>
        <w:tc>
          <w:tcPr>
            <w:tcW w:w="4040"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6DA9A65A" w14:textId="77777777" w:rsidR="00384DB6" w:rsidRPr="001707E4" w:rsidRDefault="00384DB6">
            <w:pPr>
              <w:pStyle w:val="Tablebody0"/>
              <w:ind w:left="127"/>
              <w:rPr>
                <w:rFonts w:ascii="Times New Roman" w:hAnsi="Times New Roman"/>
                <w:sz w:val="24"/>
                <w:szCs w:val="24"/>
                <w:lang w:eastAsia="en-AU"/>
              </w:rPr>
            </w:pPr>
            <w:r w:rsidRPr="001707E4">
              <w:rPr>
                <w:lang w:eastAsia="en-AU"/>
              </w:rPr>
              <w:t>Detailed consultation paper on the nature of the proposed reform measures for industry </w:t>
            </w:r>
          </w:p>
        </w:tc>
        <w:tc>
          <w:tcPr>
            <w:tcW w:w="233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205FAB0E" w14:textId="77777777" w:rsidR="00384DB6" w:rsidRPr="001707E4" w:rsidRDefault="00384DB6">
            <w:pPr>
              <w:pStyle w:val="Tablebody0"/>
              <w:ind w:left="164"/>
              <w:rPr>
                <w:lang w:eastAsia="en-AU"/>
              </w:rPr>
            </w:pPr>
            <w:r w:rsidRPr="4F26752A">
              <w:rPr>
                <w:lang w:eastAsia="en-AU"/>
              </w:rPr>
              <w:t>Draft IA  </w:t>
            </w:r>
          </w:p>
        </w:tc>
        <w:tc>
          <w:tcPr>
            <w:tcW w:w="3186"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46909DAB" w14:textId="50C2545C" w:rsidR="00384DB6" w:rsidRDefault="00384DB6">
            <w:pPr>
              <w:pStyle w:val="Tablebody0"/>
              <w:rPr>
                <w:lang w:eastAsia="en-AU"/>
              </w:rPr>
            </w:pPr>
            <w:r w:rsidRPr="4F26752A">
              <w:rPr>
                <w:lang w:eastAsia="en-AU"/>
              </w:rPr>
              <w:t>19 December 2023 – 1 March 2024</w:t>
            </w:r>
          </w:p>
        </w:tc>
      </w:tr>
      <w:tr w:rsidR="00384DB6" w:rsidRPr="001707E4" w14:paraId="338F1823" w14:textId="77777777" w:rsidTr="009763A8">
        <w:trPr>
          <w:trHeight w:val="313"/>
        </w:trPr>
        <w:tc>
          <w:tcPr>
            <w:tcW w:w="4040"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7E7E930D" w14:textId="77777777" w:rsidR="00384DB6" w:rsidRPr="001707E4" w:rsidRDefault="00384DB6">
            <w:pPr>
              <w:pStyle w:val="Tablebody0"/>
              <w:ind w:left="127"/>
              <w:rPr>
                <w:lang w:eastAsia="en-AU"/>
              </w:rPr>
            </w:pPr>
            <w:r w:rsidRPr="4F26752A">
              <w:rPr>
                <w:lang w:eastAsia="en-AU"/>
              </w:rPr>
              <w:t>Detailed consultation on the nature of the proposed reform measures to support an Exposure Draft of the Bill (however was unable to be released with the Exposure Draft)</w:t>
            </w:r>
          </w:p>
        </w:tc>
        <w:tc>
          <w:tcPr>
            <w:tcW w:w="233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58DC4F6F" w14:textId="77777777" w:rsidR="00384DB6" w:rsidRPr="001707E4" w:rsidRDefault="00384DB6">
            <w:pPr>
              <w:pStyle w:val="Tablebody0"/>
              <w:ind w:left="164"/>
              <w:rPr>
                <w:lang w:eastAsia="en-AU"/>
              </w:rPr>
            </w:pPr>
            <w:r w:rsidRPr="4F26752A">
              <w:rPr>
                <w:lang w:eastAsia="en-AU"/>
              </w:rPr>
              <w:t>Early Assessment IA </w:t>
            </w:r>
          </w:p>
        </w:tc>
        <w:tc>
          <w:tcPr>
            <w:tcW w:w="3186"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16E03CF4" w14:textId="77777777" w:rsidR="00384DB6" w:rsidRDefault="00384DB6">
            <w:pPr>
              <w:pStyle w:val="Tablebody0"/>
              <w:rPr>
                <w:lang w:eastAsia="en-AU"/>
              </w:rPr>
            </w:pPr>
            <w:r w:rsidRPr="4F26752A">
              <w:rPr>
                <w:lang w:eastAsia="en-AU"/>
              </w:rPr>
              <w:t>March 2024</w:t>
            </w:r>
          </w:p>
        </w:tc>
      </w:tr>
      <w:tr w:rsidR="00384DB6" w:rsidRPr="001707E4" w14:paraId="6F968DAC" w14:textId="77777777" w:rsidTr="009763A8">
        <w:trPr>
          <w:trHeight w:val="313"/>
        </w:trPr>
        <w:tc>
          <w:tcPr>
            <w:tcW w:w="4040"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139DB2BC" w14:textId="77777777" w:rsidR="00384DB6" w:rsidRPr="001707E4" w:rsidRDefault="00384DB6">
            <w:pPr>
              <w:pStyle w:val="Tablebody0"/>
              <w:ind w:left="127"/>
              <w:rPr>
                <w:rFonts w:ascii="Times New Roman" w:hAnsi="Times New Roman"/>
                <w:sz w:val="24"/>
                <w:szCs w:val="24"/>
                <w:lang w:eastAsia="en-AU"/>
              </w:rPr>
            </w:pPr>
            <w:r w:rsidRPr="001707E4">
              <w:rPr>
                <w:lang w:eastAsia="en-AU"/>
              </w:rPr>
              <w:t>Decision by Government to implement proposed reform measures </w:t>
            </w:r>
          </w:p>
        </w:tc>
        <w:tc>
          <w:tcPr>
            <w:tcW w:w="233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23DE9CBB" w14:textId="77777777" w:rsidR="00384DB6" w:rsidRPr="001707E4" w:rsidRDefault="00384DB6">
            <w:pPr>
              <w:pStyle w:val="Tablebody0"/>
              <w:ind w:left="164"/>
              <w:rPr>
                <w:lang w:eastAsia="en-AU"/>
              </w:rPr>
            </w:pPr>
            <w:r w:rsidRPr="4F26752A">
              <w:rPr>
                <w:lang w:eastAsia="en-AU"/>
              </w:rPr>
              <w:t>First Pass IA </w:t>
            </w:r>
          </w:p>
        </w:tc>
        <w:tc>
          <w:tcPr>
            <w:tcW w:w="3186"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2E2F81E2" w14:textId="77777777" w:rsidR="00384DB6" w:rsidRDefault="00384DB6">
            <w:pPr>
              <w:rPr>
                <w:lang w:eastAsia="en-AU"/>
              </w:rPr>
            </w:pPr>
            <w:r w:rsidRPr="4F26752A">
              <w:rPr>
                <w:lang w:eastAsia="en-AU"/>
              </w:rPr>
              <w:t>July 2024</w:t>
            </w:r>
          </w:p>
        </w:tc>
      </w:tr>
      <w:tr w:rsidR="00384DB6" w:rsidRPr="001707E4" w14:paraId="6A288D6B" w14:textId="77777777" w:rsidTr="009763A8">
        <w:trPr>
          <w:trHeight w:val="313"/>
        </w:trPr>
        <w:tc>
          <w:tcPr>
            <w:tcW w:w="4040"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hideMark/>
          </w:tcPr>
          <w:p w14:paraId="7DC5DFC4" w14:textId="77777777" w:rsidR="00384DB6" w:rsidRPr="001707E4" w:rsidRDefault="00384DB6">
            <w:pPr>
              <w:pStyle w:val="Tablebody0"/>
              <w:ind w:left="127"/>
              <w:rPr>
                <w:rFonts w:ascii="Times New Roman" w:hAnsi="Times New Roman"/>
                <w:sz w:val="24"/>
                <w:szCs w:val="24"/>
                <w:lang w:eastAsia="en-AU"/>
              </w:rPr>
            </w:pPr>
            <w:r w:rsidRPr="001707E4">
              <w:rPr>
                <w:lang w:eastAsia="en-AU"/>
              </w:rPr>
              <w:t>Final decision by Government to implement proposed reform measures </w:t>
            </w:r>
          </w:p>
        </w:tc>
        <w:tc>
          <w:tcPr>
            <w:tcW w:w="2333"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hideMark/>
          </w:tcPr>
          <w:p w14:paraId="2B264BC7" w14:textId="77777777" w:rsidR="00384DB6" w:rsidRPr="001707E4" w:rsidRDefault="00384DB6">
            <w:pPr>
              <w:pStyle w:val="Tablebody0"/>
              <w:ind w:left="164"/>
              <w:rPr>
                <w:lang w:eastAsia="en-AU"/>
              </w:rPr>
            </w:pPr>
            <w:r w:rsidRPr="4F26752A">
              <w:rPr>
                <w:lang w:eastAsia="en-AU"/>
              </w:rPr>
              <w:t>Second Pass IA  </w:t>
            </w:r>
          </w:p>
        </w:tc>
        <w:tc>
          <w:tcPr>
            <w:tcW w:w="3186" w:type="dxa"/>
            <w:tcBorders>
              <w:top w:val="single" w:sz="6" w:space="0" w:color="BFBFBF" w:themeColor="background2" w:themeShade="BF"/>
              <w:left w:val="single" w:sz="6" w:space="0" w:color="BFBFBF" w:themeColor="background2" w:themeShade="BF"/>
              <w:bottom w:val="single" w:sz="6" w:space="0" w:color="BFBFBF" w:themeColor="background2" w:themeShade="BF"/>
              <w:right w:val="single" w:sz="6" w:space="0" w:color="BFBFBF" w:themeColor="background2" w:themeShade="BF"/>
            </w:tcBorders>
            <w:shd w:val="clear" w:color="auto" w:fill="auto"/>
            <w:vAlign w:val="center"/>
          </w:tcPr>
          <w:p w14:paraId="7735E895" w14:textId="77777777" w:rsidR="00384DB6" w:rsidRDefault="00384DB6">
            <w:pPr>
              <w:pStyle w:val="Tablebody0"/>
              <w:rPr>
                <w:lang w:eastAsia="en-AU"/>
              </w:rPr>
            </w:pPr>
            <w:r w:rsidRPr="4F26752A">
              <w:rPr>
                <w:lang w:eastAsia="en-AU"/>
              </w:rPr>
              <w:t>Spring 2024</w:t>
            </w:r>
          </w:p>
        </w:tc>
      </w:tr>
    </w:tbl>
    <w:p w14:paraId="2420676D" w14:textId="77777777" w:rsidR="00384DB6" w:rsidRDefault="00384DB6" w:rsidP="000B5219">
      <w:pPr>
        <w:rPr>
          <w:rFonts w:ascii="Arial" w:hAnsi="Arial" w:cs="Arial"/>
          <w:szCs w:val="20"/>
        </w:rPr>
      </w:pPr>
    </w:p>
    <w:p w14:paraId="6DDB2B21" w14:textId="4D43E8EB" w:rsidR="000B5219" w:rsidRDefault="000B5219" w:rsidP="000B5219">
      <w:pPr>
        <w:rPr>
          <w:rFonts w:ascii="Arial" w:hAnsi="Arial" w:cs="Arial"/>
          <w:szCs w:val="20"/>
        </w:rPr>
      </w:pPr>
      <w:r w:rsidRPr="00700DDB">
        <w:rPr>
          <w:rFonts w:ascii="Arial" w:hAnsi="Arial" w:cs="Arial"/>
          <w:szCs w:val="20"/>
        </w:rPr>
        <w:t xml:space="preserve">The risks associated with </w:t>
      </w:r>
      <w:r>
        <w:rPr>
          <w:rFonts w:ascii="Arial" w:hAnsi="Arial" w:cs="Arial"/>
          <w:szCs w:val="20"/>
        </w:rPr>
        <w:t>O</w:t>
      </w:r>
      <w:r w:rsidRPr="00700DDB">
        <w:rPr>
          <w:rFonts w:ascii="Arial" w:hAnsi="Arial" w:cs="Arial"/>
          <w:szCs w:val="20"/>
        </w:rPr>
        <w:t xml:space="preserve">ption 2, as well as a proposed implementation, monitoring and evaluation plan are </w:t>
      </w:r>
      <w:r>
        <w:rPr>
          <w:rFonts w:ascii="Arial" w:hAnsi="Arial" w:cs="Arial"/>
          <w:szCs w:val="20"/>
        </w:rPr>
        <w:t>discussed</w:t>
      </w:r>
      <w:r w:rsidRPr="00700DDB">
        <w:rPr>
          <w:rFonts w:ascii="Arial" w:hAnsi="Arial" w:cs="Arial"/>
          <w:szCs w:val="20"/>
        </w:rPr>
        <w:t xml:space="preserve"> below. </w:t>
      </w:r>
    </w:p>
    <w:p w14:paraId="0C128DBF" w14:textId="77777777" w:rsidR="000B5219" w:rsidRPr="00DD1CBB" w:rsidRDefault="000B5219" w:rsidP="000B5219">
      <w:pPr>
        <w:pStyle w:val="Heading3"/>
        <w:spacing w:line="240" w:lineRule="auto"/>
        <w:rPr>
          <w:rFonts w:ascii="Arial" w:hAnsi="Arial" w:cs="Arial"/>
        </w:rPr>
      </w:pPr>
      <w:bookmarkStart w:id="108" w:name="_Toc176182569"/>
      <w:r w:rsidRPr="00DD1CBB">
        <w:rPr>
          <w:rFonts w:ascii="Arial" w:hAnsi="Arial" w:cs="Arial"/>
        </w:rPr>
        <w:t>6.1.1 Approach to implementation</w:t>
      </w:r>
      <w:bookmarkEnd w:id="108"/>
    </w:p>
    <w:p w14:paraId="3ED49C7F" w14:textId="77777777" w:rsidR="000B5219" w:rsidRPr="00BA782A" w:rsidRDefault="000B5219" w:rsidP="000B5219">
      <w:pPr>
        <w:rPr>
          <w:rFonts w:ascii="Arial" w:hAnsi="Arial" w:cs="Arial"/>
          <w:szCs w:val="20"/>
        </w:rPr>
      </w:pPr>
      <w:r w:rsidRPr="00BA782A">
        <w:rPr>
          <w:rFonts w:ascii="Arial" w:hAnsi="Arial" w:cs="Arial"/>
          <w:szCs w:val="20"/>
        </w:rPr>
        <w:t xml:space="preserve">This section outlines the Department’s proposed implementation plan, including an outline of key implementation tasks, and the challenges or risks associated with implementing the proposed amendments to the SOCI Act. Evaluation considerations, including an evaluation plan, are contained in section 7 below. </w:t>
      </w:r>
    </w:p>
    <w:p w14:paraId="7D84923E" w14:textId="77777777" w:rsidR="00C47EE2" w:rsidRDefault="00C47EE2" w:rsidP="000B5219">
      <w:pPr>
        <w:rPr>
          <w:rFonts w:ascii="Arial" w:hAnsi="Arial" w:cs="Arial"/>
          <w:szCs w:val="20"/>
        </w:rPr>
      </w:pPr>
    </w:p>
    <w:p w14:paraId="61EB5A1E" w14:textId="77777777" w:rsidR="000B5219" w:rsidRDefault="000B5219" w:rsidP="000B5219">
      <w:pPr>
        <w:rPr>
          <w:rFonts w:ascii="Arial" w:hAnsi="Arial" w:cs="Arial"/>
          <w:szCs w:val="20"/>
        </w:rPr>
      </w:pPr>
      <w:r w:rsidRPr="00A61BEE">
        <w:rPr>
          <w:rFonts w:ascii="Arial" w:hAnsi="Arial" w:cs="Arial"/>
          <w:szCs w:val="20"/>
        </w:rPr>
        <w:t xml:space="preserve">Government’s objectives for implementation are to introduce </w:t>
      </w:r>
      <w:r>
        <w:rPr>
          <w:rFonts w:ascii="Arial" w:hAnsi="Arial" w:cs="Arial"/>
          <w:szCs w:val="20"/>
        </w:rPr>
        <w:t>amendments to the SOCI Act</w:t>
      </w:r>
      <w:r w:rsidRPr="00A61BEE">
        <w:rPr>
          <w:rFonts w:ascii="Arial" w:hAnsi="Arial" w:cs="Arial"/>
          <w:szCs w:val="20"/>
        </w:rPr>
        <w:t xml:space="preserve"> in a manner which ensures affected industry stakeholders: </w:t>
      </w:r>
    </w:p>
    <w:p w14:paraId="1CED2C02" w14:textId="77777777" w:rsidR="000B5219" w:rsidRDefault="000B5219" w:rsidP="00510557">
      <w:pPr>
        <w:pStyle w:val="ListParagraph"/>
        <w:numPr>
          <w:ilvl w:val="0"/>
          <w:numId w:val="21"/>
        </w:numPr>
        <w:contextualSpacing/>
        <w:rPr>
          <w:rFonts w:ascii="Arial" w:hAnsi="Arial" w:cs="Arial"/>
          <w:szCs w:val="20"/>
        </w:rPr>
      </w:pPr>
      <w:r w:rsidRPr="00A61BEE">
        <w:rPr>
          <w:rFonts w:ascii="Arial" w:hAnsi="Arial" w:cs="Arial"/>
          <w:szCs w:val="20"/>
        </w:rPr>
        <w:t xml:space="preserve">Understand and comply with their </w:t>
      </w:r>
      <w:r>
        <w:rPr>
          <w:rFonts w:ascii="Arial" w:hAnsi="Arial" w:cs="Arial"/>
          <w:szCs w:val="20"/>
        </w:rPr>
        <w:t xml:space="preserve">new or expanded </w:t>
      </w:r>
      <w:r w:rsidRPr="00A61BEE">
        <w:rPr>
          <w:rFonts w:ascii="Arial" w:hAnsi="Arial" w:cs="Arial"/>
          <w:szCs w:val="20"/>
        </w:rPr>
        <w:t>obligations under the</w:t>
      </w:r>
      <w:r>
        <w:rPr>
          <w:rFonts w:ascii="Arial" w:hAnsi="Arial" w:cs="Arial"/>
          <w:szCs w:val="20"/>
        </w:rPr>
        <w:t xml:space="preserve"> amended SOCI Act;</w:t>
      </w:r>
    </w:p>
    <w:p w14:paraId="51BE0CE9" w14:textId="77777777" w:rsidR="000B5219" w:rsidRPr="00E47286" w:rsidRDefault="000B5219" w:rsidP="00510557">
      <w:pPr>
        <w:pStyle w:val="ListParagraph"/>
        <w:numPr>
          <w:ilvl w:val="0"/>
          <w:numId w:val="21"/>
        </w:numPr>
        <w:contextualSpacing/>
        <w:rPr>
          <w:rFonts w:ascii="Arial" w:hAnsi="Arial" w:cs="Arial"/>
          <w:szCs w:val="20"/>
        </w:rPr>
      </w:pPr>
      <w:r>
        <w:rPr>
          <w:rFonts w:ascii="Arial" w:hAnsi="Arial" w:cs="Arial"/>
          <w:szCs w:val="20"/>
        </w:rPr>
        <w:t>Continue to e</w:t>
      </w:r>
      <w:r w:rsidRPr="00A61BEE">
        <w:rPr>
          <w:rFonts w:ascii="Arial" w:hAnsi="Arial" w:cs="Arial"/>
          <w:szCs w:val="20"/>
        </w:rPr>
        <w:t xml:space="preserve">ngage with Government to identify, understand and mitigate risks which exist in the sector, and collaborate to drive the implementation of </w:t>
      </w:r>
      <w:r>
        <w:rPr>
          <w:rFonts w:ascii="Arial" w:hAnsi="Arial" w:cs="Arial"/>
          <w:szCs w:val="20"/>
        </w:rPr>
        <w:t>strong</w:t>
      </w:r>
      <w:r w:rsidRPr="00A61BEE">
        <w:rPr>
          <w:rFonts w:ascii="Arial" w:hAnsi="Arial" w:cs="Arial"/>
          <w:szCs w:val="20"/>
        </w:rPr>
        <w:t xml:space="preserve"> security standards</w:t>
      </w:r>
      <w:r>
        <w:rPr>
          <w:rFonts w:ascii="Arial" w:hAnsi="Arial" w:cs="Arial"/>
          <w:szCs w:val="20"/>
        </w:rPr>
        <w:t xml:space="preserve"> and expedient responses in the aftermath of an incident</w:t>
      </w:r>
      <w:r w:rsidRPr="00A61BEE">
        <w:rPr>
          <w:rFonts w:ascii="Arial" w:hAnsi="Arial" w:cs="Arial"/>
          <w:szCs w:val="20"/>
        </w:rPr>
        <w:t xml:space="preserve">; and </w:t>
      </w:r>
    </w:p>
    <w:p w14:paraId="6341D279" w14:textId="641A113B" w:rsidR="003B580E" w:rsidRPr="00502913" w:rsidRDefault="000B5219" w:rsidP="009763A8">
      <w:pPr>
        <w:pStyle w:val="ListParagraph"/>
        <w:numPr>
          <w:ilvl w:val="0"/>
          <w:numId w:val="21"/>
        </w:numPr>
        <w:contextualSpacing/>
        <w:rPr>
          <w:rFonts w:ascii="Arial" w:hAnsi="Arial" w:cs="Arial"/>
          <w:szCs w:val="20"/>
        </w:rPr>
      </w:pPr>
      <w:r w:rsidRPr="00A61BEE">
        <w:rPr>
          <w:rFonts w:ascii="Arial" w:hAnsi="Arial" w:cs="Arial"/>
          <w:szCs w:val="20"/>
        </w:rPr>
        <w:t xml:space="preserve">Receive appropriate and consistent direction, assistance, and guidance from Government, to allow for compliance with </w:t>
      </w:r>
      <w:r>
        <w:rPr>
          <w:rFonts w:ascii="Arial" w:hAnsi="Arial" w:cs="Arial"/>
          <w:szCs w:val="20"/>
        </w:rPr>
        <w:t>new and expanded</w:t>
      </w:r>
      <w:r w:rsidRPr="00A61BEE">
        <w:rPr>
          <w:rFonts w:ascii="Arial" w:hAnsi="Arial" w:cs="Arial"/>
          <w:szCs w:val="20"/>
        </w:rPr>
        <w:t xml:space="preserve"> obligations.</w:t>
      </w:r>
    </w:p>
    <w:p w14:paraId="05543353" w14:textId="099B84CD" w:rsidR="0052682F" w:rsidRDefault="0052682F" w:rsidP="0052682F">
      <w:pPr>
        <w:pStyle w:val="Heading4"/>
        <w:rPr>
          <w:rFonts w:ascii="Arial" w:hAnsi="Arial" w:cs="Arial"/>
        </w:rPr>
      </w:pPr>
      <w:r>
        <w:rPr>
          <w:rFonts w:ascii="Arial" w:hAnsi="Arial" w:cs="Arial"/>
        </w:rPr>
        <w:t>Implementation plan</w:t>
      </w:r>
    </w:p>
    <w:p w14:paraId="1F40440B" w14:textId="247DDF67" w:rsidR="00E8506B" w:rsidRPr="00E8506B" w:rsidRDefault="0052682F" w:rsidP="00E8506B">
      <w:pPr>
        <w:rPr>
          <w:rFonts w:ascii="Arial" w:hAnsi="Arial" w:cs="Arial"/>
          <w:szCs w:val="20"/>
        </w:rPr>
      </w:pPr>
      <w:r w:rsidRPr="001B438D">
        <w:rPr>
          <w:rFonts w:ascii="Arial" w:hAnsi="Arial" w:cs="Arial"/>
          <w:szCs w:val="20"/>
        </w:rPr>
        <w:t xml:space="preserve">Effective implementation requires the completion of several key steps, identified below in </w:t>
      </w:r>
      <w:r w:rsidRPr="009F72DB">
        <w:rPr>
          <w:rFonts w:ascii="Arial" w:hAnsi="Arial" w:cs="Arial"/>
          <w:szCs w:val="20"/>
        </w:rPr>
        <w:t xml:space="preserve">Figure </w:t>
      </w:r>
      <w:r w:rsidR="00B21FC2">
        <w:rPr>
          <w:rFonts w:ascii="Arial" w:hAnsi="Arial" w:cs="Arial"/>
          <w:szCs w:val="20"/>
        </w:rPr>
        <w:t>1</w:t>
      </w:r>
      <w:r w:rsidRPr="001B438D">
        <w:rPr>
          <w:rFonts w:ascii="Arial" w:hAnsi="Arial" w:cs="Arial"/>
          <w:szCs w:val="20"/>
        </w:rPr>
        <w:t xml:space="preserve">. Additional detail on these activities is set out in </w:t>
      </w:r>
      <w:r w:rsidRPr="003060A2">
        <w:rPr>
          <w:rFonts w:ascii="Arial" w:hAnsi="Arial" w:cs="Arial"/>
          <w:color w:val="2B579A"/>
          <w:szCs w:val="20"/>
          <w:shd w:val="clear" w:color="auto" w:fill="E6E6E6"/>
        </w:rPr>
        <w:fldChar w:fldCharType="begin"/>
      </w:r>
      <w:r w:rsidRPr="003060A2">
        <w:rPr>
          <w:rFonts w:ascii="Arial" w:hAnsi="Arial" w:cs="Arial"/>
          <w:szCs w:val="20"/>
        </w:rPr>
        <w:instrText xml:space="preserve"> REF _Ref163737185 \h </w:instrText>
      </w:r>
      <w:r>
        <w:rPr>
          <w:rFonts w:ascii="Arial" w:hAnsi="Arial" w:cs="Arial"/>
          <w:szCs w:val="20"/>
        </w:rPr>
        <w:instrText xml:space="preserve"> \* MERGEFORMAT </w:instrText>
      </w:r>
      <w:r w:rsidRPr="003060A2">
        <w:rPr>
          <w:rFonts w:ascii="Arial" w:hAnsi="Arial" w:cs="Arial"/>
          <w:color w:val="2B579A"/>
          <w:szCs w:val="20"/>
          <w:shd w:val="clear" w:color="auto" w:fill="E6E6E6"/>
        </w:rPr>
      </w:r>
      <w:r w:rsidRPr="003060A2">
        <w:rPr>
          <w:rFonts w:ascii="Arial" w:hAnsi="Arial" w:cs="Arial"/>
          <w:color w:val="2B579A"/>
          <w:szCs w:val="20"/>
          <w:shd w:val="clear" w:color="auto" w:fill="E6E6E6"/>
        </w:rPr>
        <w:fldChar w:fldCharType="separate"/>
      </w:r>
    </w:p>
    <w:p w14:paraId="7F7F10C4" w14:textId="77777777" w:rsidR="00E8506B" w:rsidRPr="00E8506B" w:rsidRDefault="00E8506B" w:rsidP="009763A8">
      <w:pPr>
        <w:rPr>
          <w:rFonts w:ascii="Arial" w:hAnsi="Arial" w:cs="Arial"/>
          <w:szCs w:val="20"/>
        </w:rPr>
      </w:pPr>
    </w:p>
    <w:p w14:paraId="7502AE07" w14:textId="1E68AAF2" w:rsidR="003B580E" w:rsidRDefault="0052682F" w:rsidP="0052682F">
      <w:r w:rsidRPr="003060A2">
        <w:rPr>
          <w:rFonts w:ascii="Arial" w:hAnsi="Arial" w:cs="Arial"/>
          <w:color w:val="2B579A"/>
          <w:szCs w:val="20"/>
          <w:shd w:val="clear" w:color="auto" w:fill="E6E6E6"/>
        </w:rPr>
        <w:fldChar w:fldCharType="end"/>
      </w:r>
      <w:r w:rsidR="003B580E" w:rsidRPr="00631F6B">
        <w:rPr>
          <w:rFonts w:ascii="Arial" w:hAnsi="Arial" w:cs="Arial"/>
          <w:noProof/>
          <w:color w:val="2B579A"/>
          <w:shd w:val="clear" w:color="auto" w:fill="E6E6E6"/>
          <w:lang w:eastAsia="en-AU"/>
        </w:rPr>
        <mc:AlternateContent>
          <mc:Choice Requires="wps">
            <w:drawing>
              <wp:inline distT="0" distB="0" distL="0" distR="0" wp14:anchorId="05435C98" wp14:editId="5CF7B5E9">
                <wp:extent cx="6057900" cy="312420"/>
                <wp:effectExtent l="0" t="0" r="0" b="0"/>
                <wp:docPr id="28" name="Text Box 28" descr="Figure 1: Overview of implementation plan"/>
                <wp:cNvGraphicFramePr/>
                <a:graphic xmlns:a="http://schemas.openxmlformats.org/drawingml/2006/main">
                  <a:graphicData uri="http://schemas.microsoft.com/office/word/2010/wordprocessingShape">
                    <wps:wsp>
                      <wps:cNvSpPr txBox="1"/>
                      <wps:spPr>
                        <a:xfrm>
                          <a:off x="0" y="0"/>
                          <a:ext cx="6057900" cy="312420"/>
                        </a:xfrm>
                        <a:prstGeom prst="rect">
                          <a:avLst/>
                        </a:prstGeom>
                        <a:solidFill>
                          <a:prstClr val="white"/>
                        </a:solidFill>
                        <a:ln>
                          <a:noFill/>
                        </a:ln>
                      </wps:spPr>
                      <wps:txbx>
                        <w:txbxContent>
                          <w:p w14:paraId="731AAF99" w14:textId="49D57D31" w:rsidR="00D1192F" w:rsidRPr="00307761" w:rsidRDefault="00D1192F" w:rsidP="0052682F">
                            <w:pPr>
                              <w:pStyle w:val="Caption"/>
                              <w:rPr>
                                <w:rFonts w:ascii="Calibri" w:hAnsi="Calibri" w:cs="Calibri"/>
                                <w:b w:val="0"/>
                                <w:noProof/>
                              </w:rPr>
                            </w:pPr>
                            <w:r w:rsidRPr="00307761">
                              <w:rPr>
                                <w:rFonts w:ascii="Calibri" w:hAnsi="Calibri" w:cs="Calibri"/>
                                <w:bCs/>
                              </w:rPr>
                              <w:t xml:space="preserve">Figure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Figure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1</w:t>
                            </w:r>
                            <w:r w:rsidRPr="00307761">
                              <w:rPr>
                                <w:rFonts w:ascii="Calibri" w:hAnsi="Calibri" w:cs="Calibri"/>
                                <w:bCs/>
                                <w:color w:val="2B579A"/>
                                <w:shd w:val="clear" w:color="auto" w:fill="E6E6E6"/>
                              </w:rPr>
                              <w:fldChar w:fldCharType="end"/>
                            </w:r>
                            <w:r w:rsidRPr="00307761">
                              <w:rPr>
                                <w:rFonts w:ascii="Calibri" w:hAnsi="Calibri" w:cs="Calibri"/>
                                <w:b w:val="0"/>
                                <w:bCs/>
                              </w:rPr>
                              <w:t>:</w:t>
                            </w:r>
                            <w:r w:rsidRPr="00307761">
                              <w:rPr>
                                <w:rFonts w:ascii="Calibri" w:hAnsi="Calibri" w:cs="Calibri"/>
                                <w:b w:val="0"/>
                              </w:rPr>
                              <w:t xml:space="preserve"> Overview of implementation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435C98" id="_x0000_t202" coordsize="21600,21600" o:spt="202" path="m,l,21600r21600,l21600,xe">
                <v:stroke joinstyle="miter"/>
                <v:path gradientshapeok="t" o:connecttype="rect"/>
              </v:shapetype>
              <v:shape id="Text Box 28" o:spid="_x0000_s1026" type="#_x0000_t202" alt="Figure 1: Overview of implementation plan" style="width:477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" stroked="f">
                <v:textbox inset="0,0,0,0">
                  <w:txbxContent>
                    <w:p w14:paraId="731AAF99" w14:textId="49D57D31" w:rsidR="00D1192F" w:rsidRPr="00307761" w:rsidRDefault="00D1192F" w:rsidP="0052682F">
                      <w:pPr>
                        <w:pStyle w:val="Caption"/>
                        <w:rPr>
                          <w:rFonts w:ascii="Calibri" w:hAnsi="Calibri" w:cs="Calibri"/>
                          <w:b w:val="0"/>
                          <w:noProof/>
                        </w:rPr>
                      </w:pPr>
                      <w:r w:rsidRPr="00307761">
                        <w:rPr>
                          <w:rFonts w:ascii="Calibri" w:hAnsi="Calibri" w:cs="Calibri"/>
                          <w:bCs/>
                        </w:rPr>
                        <w:t xml:space="preserve">Figure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Figure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1</w:t>
                      </w:r>
                      <w:r w:rsidRPr="00307761">
                        <w:rPr>
                          <w:rFonts w:ascii="Calibri" w:hAnsi="Calibri" w:cs="Calibri"/>
                          <w:bCs/>
                          <w:color w:val="2B579A"/>
                          <w:shd w:val="clear" w:color="auto" w:fill="E6E6E6"/>
                        </w:rPr>
                        <w:fldChar w:fldCharType="end"/>
                      </w:r>
                      <w:r w:rsidRPr="00307761">
                        <w:rPr>
                          <w:rFonts w:ascii="Calibri" w:hAnsi="Calibri" w:cs="Calibri"/>
                          <w:b w:val="0"/>
                          <w:bCs/>
                        </w:rPr>
                        <w:t>:</w:t>
                      </w:r>
                      <w:r w:rsidRPr="00307761">
                        <w:rPr>
                          <w:rFonts w:ascii="Calibri" w:hAnsi="Calibri" w:cs="Calibri"/>
                          <w:b w:val="0"/>
                        </w:rPr>
                        <w:t xml:space="preserve"> Overview of implementation plan</w:t>
                      </w:r>
                    </w:p>
                  </w:txbxContent>
                </v:textbox>
                <w10:anchorlock/>
              </v:shape>
            </w:pict>
          </mc:Fallback>
        </mc:AlternateContent>
      </w:r>
      <w:r w:rsidR="003B580E" w:rsidRPr="00631F6B">
        <w:rPr>
          <w:rFonts w:ascii="Arial" w:hAnsi="Arial" w:cs="Arial"/>
          <w:noProof/>
          <w:color w:val="2B579A"/>
          <w:shd w:val="clear" w:color="auto" w:fill="E6E6E6"/>
          <w:lang w:eastAsia="en-AU"/>
        </w:rPr>
        <w:drawing>
          <wp:inline distT="0" distB="0" distL="0" distR="0" wp14:anchorId="3A4C9F7A" wp14:editId="3179312D">
            <wp:extent cx="6324600" cy="2363931"/>
            <wp:effectExtent l="0" t="19050" r="0" b="74930"/>
            <wp:docPr id="27" name="Diagram 27" descr="Implementation plan flow diagram. There are six stages. Stage one is draft text for legislative amendments. Stage is passage of amendments to SOCI Act and Rules. Stage three is transition period. Stage four is new obligations become enforceable. Stage five is compliance, monitoring consequence management. Stage six is continuous improve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F75C3DF" w14:textId="78C94B0D" w:rsidR="003B580E" w:rsidRPr="009763A8" w:rsidRDefault="003B580E" w:rsidP="009763A8">
      <w:bookmarkStart w:id="109" w:name="_Ref163737185"/>
    </w:p>
    <w:p w14:paraId="43530598" w14:textId="311848B6" w:rsidR="0052682F" w:rsidRPr="00307761" w:rsidRDefault="0052682F" w:rsidP="0052682F">
      <w:pPr>
        <w:pStyle w:val="Caption"/>
        <w:rPr>
          <w:rFonts w:ascii="Calibri" w:hAnsi="Calibri" w:cs="Calibri"/>
          <w:b w:val="0"/>
        </w:rPr>
      </w:pPr>
      <w:r w:rsidRPr="00307761">
        <w:rPr>
          <w:rFonts w:ascii="Calibri" w:hAnsi="Calibri" w:cs="Calibri"/>
          <w:bCs/>
        </w:rPr>
        <w:t xml:space="preserve">Table </w:t>
      </w:r>
      <w:r w:rsidRPr="00307761">
        <w:rPr>
          <w:rFonts w:ascii="Calibri" w:hAnsi="Calibri" w:cs="Calibri"/>
          <w:bCs/>
          <w:color w:val="2B579A"/>
          <w:shd w:val="clear" w:color="auto" w:fill="E6E6E6"/>
        </w:rPr>
        <w:fldChar w:fldCharType="begin"/>
      </w:r>
      <w:r w:rsidRPr="00307761">
        <w:rPr>
          <w:rFonts w:ascii="Calibri" w:hAnsi="Calibri" w:cs="Calibri"/>
        </w:rPr>
        <w:instrText xml:space="preserve"> SEQ Table \* ARABIC </w:instrText>
      </w:r>
      <w:r w:rsidRPr="00307761">
        <w:rPr>
          <w:rFonts w:ascii="Calibri" w:hAnsi="Calibri" w:cs="Calibri"/>
          <w:bCs/>
          <w:color w:val="2B579A"/>
          <w:shd w:val="clear" w:color="auto" w:fill="E6E6E6"/>
        </w:rPr>
        <w:fldChar w:fldCharType="separate"/>
      </w:r>
      <w:r w:rsidR="00E8506B">
        <w:rPr>
          <w:rFonts w:ascii="Calibri" w:hAnsi="Calibri" w:cs="Calibri"/>
          <w:noProof/>
        </w:rPr>
        <w:t>38</w:t>
      </w:r>
      <w:r w:rsidRPr="00307761">
        <w:rPr>
          <w:rFonts w:ascii="Calibri" w:hAnsi="Calibri" w:cs="Calibri"/>
          <w:bCs/>
          <w:color w:val="2B579A"/>
          <w:shd w:val="clear" w:color="auto" w:fill="E6E6E6"/>
        </w:rPr>
        <w:fldChar w:fldCharType="end"/>
      </w:r>
      <w:bookmarkEnd w:id="109"/>
      <w:r w:rsidRPr="00307761">
        <w:rPr>
          <w:rFonts w:ascii="Calibri" w:hAnsi="Calibri" w:cs="Calibri"/>
          <w:b w:val="0"/>
        </w:rPr>
        <w:t xml:space="preserve"> Detail on implementation activities </w:t>
      </w:r>
    </w:p>
    <w:tbl>
      <w:tblPr>
        <w:tblW w:w="94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8"/>
        <w:gridCol w:w="8448"/>
      </w:tblGrid>
      <w:tr w:rsidR="0052682F" w:rsidRPr="00940D7E" w14:paraId="762966A3" w14:textId="77777777" w:rsidTr="009763A8">
        <w:trPr>
          <w:trHeight w:val="309"/>
          <w:tblHeader/>
        </w:trPr>
        <w:tc>
          <w:tcPr>
            <w:tcW w:w="1038" w:type="dxa"/>
            <w:tcBorders>
              <w:top w:val="nil"/>
              <w:left w:val="nil"/>
              <w:bottom w:val="single" w:sz="6" w:space="0" w:color="D9D9D9" w:themeColor="background2" w:themeShade="D9"/>
              <w:right w:val="single" w:sz="6" w:space="0" w:color="D9D9D9" w:themeColor="background2" w:themeShade="D9"/>
            </w:tcBorders>
            <w:shd w:val="clear" w:color="auto" w:fill="284B98"/>
            <w:vAlign w:val="center"/>
            <w:hideMark/>
          </w:tcPr>
          <w:p w14:paraId="630A7AF9" w14:textId="77777777" w:rsidR="0052682F" w:rsidRPr="00651125" w:rsidRDefault="0052682F" w:rsidP="004A163C">
            <w:pPr>
              <w:spacing w:before="120" w:after="120"/>
              <w:rPr>
                <w:rFonts w:ascii="Arial" w:hAnsi="Arial" w:cs="Arial"/>
                <w:b/>
                <w:bCs/>
                <w:color w:val="FFFFFF" w:themeColor="background1"/>
                <w:szCs w:val="20"/>
                <w:lang w:eastAsia="en-AU"/>
              </w:rPr>
            </w:pPr>
            <w:r w:rsidRPr="667B69DA">
              <w:rPr>
                <w:rFonts w:ascii="Arial" w:hAnsi="Arial" w:cs="Arial"/>
                <w:b/>
                <w:bCs/>
                <w:color w:val="FFFFFF" w:themeColor="background1"/>
                <w:szCs w:val="20"/>
                <w:lang w:eastAsia="en-AU"/>
              </w:rPr>
              <w:t>Stage</w:t>
            </w:r>
          </w:p>
        </w:tc>
        <w:tc>
          <w:tcPr>
            <w:tcW w:w="8448" w:type="dxa"/>
            <w:tcBorders>
              <w:top w:val="nil"/>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284B98"/>
            <w:vAlign w:val="center"/>
            <w:hideMark/>
          </w:tcPr>
          <w:p w14:paraId="241C8BBC" w14:textId="77777777" w:rsidR="0052682F" w:rsidRPr="00651125" w:rsidRDefault="0052682F" w:rsidP="004A163C">
            <w:pPr>
              <w:spacing w:before="120" w:after="120"/>
              <w:rPr>
                <w:rFonts w:ascii="Arial" w:hAnsi="Arial" w:cs="Arial"/>
                <w:b/>
                <w:bCs/>
                <w:color w:val="FFFFFF" w:themeColor="background1"/>
                <w:szCs w:val="20"/>
                <w:lang w:eastAsia="en-AU"/>
              </w:rPr>
            </w:pPr>
            <w:r w:rsidRPr="667B69DA">
              <w:rPr>
                <w:rFonts w:ascii="Arial" w:hAnsi="Arial" w:cs="Arial"/>
                <w:b/>
                <w:bCs/>
                <w:color w:val="FFFFFF" w:themeColor="background1"/>
                <w:szCs w:val="20"/>
                <w:lang w:eastAsia="en-AU"/>
              </w:rPr>
              <w:t>Activities</w:t>
            </w:r>
          </w:p>
        </w:tc>
      </w:tr>
      <w:tr w:rsidR="0052682F" w:rsidRPr="00940D7E" w14:paraId="2F3B1822" w14:textId="77777777" w:rsidTr="009763A8">
        <w:trPr>
          <w:trHeight w:val="309"/>
        </w:trPr>
        <w:tc>
          <w:tcPr>
            <w:tcW w:w="1038"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2D537606" w14:textId="77777777" w:rsidR="0052682F" w:rsidRPr="00782396" w:rsidRDefault="0052682F" w:rsidP="004A163C">
            <w:pPr>
              <w:rPr>
                <w:rFonts w:ascii="Arial" w:hAnsi="Arial" w:cs="Arial"/>
                <w:b/>
                <w:bCs/>
                <w:szCs w:val="24"/>
                <w:lang w:eastAsia="en-AU"/>
              </w:rPr>
            </w:pPr>
            <w:r w:rsidRPr="00782396">
              <w:rPr>
                <w:rFonts w:ascii="Arial" w:hAnsi="Arial" w:cs="Arial"/>
                <w:b/>
                <w:bCs/>
                <w:szCs w:val="24"/>
                <w:lang w:eastAsia="en-AU"/>
              </w:rPr>
              <w:t>Stage 1</w:t>
            </w:r>
          </w:p>
        </w:tc>
        <w:tc>
          <w:tcPr>
            <w:tcW w:w="8448"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hideMark/>
          </w:tcPr>
          <w:p w14:paraId="75E392ED"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Complete consultation with industry on proposed amendments, including on regulatory impacts.</w:t>
            </w:r>
          </w:p>
          <w:p w14:paraId="36888AA1" w14:textId="77777777" w:rsidR="0052682F" w:rsidRPr="007104CB"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Prepare draft text for amendments (incorporating industry feedback) for consideration by Government. </w:t>
            </w:r>
          </w:p>
        </w:tc>
      </w:tr>
      <w:tr w:rsidR="0052682F" w:rsidRPr="00940D7E" w14:paraId="523A1EBA" w14:textId="77777777" w:rsidTr="009763A8">
        <w:trPr>
          <w:trHeight w:val="309"/>
        </w:trPr>
        <w:tc>
          <w:tcPr>
            <w:tcW w:w="1038"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09199B6F" w14:textId="77777777" w:rsidR="0052682F" w:rsidRPr="00782396" w:rsidRDefault="0052682F" w:rsidP="004A163C">
            <w:pPr>
              <w:rPr>
                <w:rFonts w:ascii="Arial" w:hAnsi="Arial" w:cs="Arial"/>
                <w:b/>
                <w:bCs/>
                <w:szCs w:val="24"/>
                <w:lang w:eastAsia="en-AU"/>
              </w:rPr>
            </w:pPr>
            <w:r w:rsidRPr="00782396">
              <w:rPr>
                <w:rFonts w:ascii="Arial" w:hAnsi="Arial" w:cs="Arial"/>
                <w:b/>
                <w:bCs/>
                <w:szCs w:val="24"/>
                <w:lang w:eastAsia="en-AU"/>
              </w:rPr>
              <w:t>Stage 2</w:t>
            </w:r>
          </w:p>
        </w:tc>
        <w:tc>
          <w:tcPr>
            <w:tcW w:w="8448"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366CA4F3"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Passage of amendments to the SOCI Act and subordinate legislation. </w:t>
            </w:r>
          </w:p>
          <w:p w14:paraId="0100DDE4"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Preparation and publication of guidance material for industry on compliance with obligations, which may include: </w:t>
            </w:r>
          </w:p>
          <w:p w14:paraId="194D1E9D" w14:textId="77777777" w:rsidR="0052682F" w:rsidRDefault="0052682F" w:rsidP="00510557">
            <w:pPr>
              <w:pStyle w:val="ListParagraph"/>
              <w:numPr>
                <w:ilvl w:val="0"/>
                <w:numId w:val="61"/>
              </w:numPr>
              <w:spacing w:before="0" w:after="0" w:line="240" w:lineRule="auto"/>
              <w:contextualSpacing/>
              <w:rPr>
                <w:rFonts w:ascii="Arial" w:hAnsi="Arial" w:cs="Arial"/>
                <w:szCs w:val="20"/>
              </w:rPr>
            </w:pPr>
            <w:r w:rsidRPr="00782283">
              <w:rPr>
                <w:rFonts w:ascii="Arial" w:hAnsi="Arial" w:cs="Arial"/>
                <w:szCs w:val="20"/>
              </w:rPr>
              <w:t>Case studies</w:t>
            </w:r>
          </w:p>
          <w:p w14:paraId="3E9C3C03" w14:textId="77777777" w:rsidR="0052682F" w:rsidRDefault="0052682F" w:rsidP="00510557">
            <w:pPr>
              <w:pStyle w:val="ListParagraph"/>
              <w:numPr>
                <w:ilvl w:val="0"/>
                <w:numId w:val="61"/>
              </w:numPr>
              <w:spacing w:before="0" w:after="0" w:line="240" w:lineRule="auto"/>
              <w:contextualSpacing/>
              <w:rPr>
                <w:rFonts w:ascii="Arial" w:hAnsi="Arial" w:cs="Arial"/>
                <w:szCs w:val="20"/>
              </w:rPr>
            </w:pPr>
            <w:r w:rsidRPr="00782283">
              <w:rPr>
                <w:rFonts w:ascii="Arial" w:hAnsi="Arial" w:cs="Arial"/>
                <w:szCs w:val="20"/>
              </w:rPr>
              <w:t xml:space="preserve">Frequently asked questions; </w:t>
            </w:r>
          </w:p>
          <w:p w14:paraId="0AB70F4E" w14:textId="77777777" w:rsidR="0052682F" w:rsidRDefault="0052682F" w:rsidP="00510557">
            <w:pPr>
              <w:pStyle w:val="ListParagraph"/>
              <w:numPr>
                <w:ilvl w:val="0"/>
                <w:numId w:val="61"/>
              </w:numPr>
              <w:spacing w:before="0" w:after="0" w:line="240" w:lineRule="auto"/>
              <w:contextualSpacing/>
              <w:rPr>
                <w:rFonts w:ascii="Arial" w:hAnsi="Arial" w:cs="Arial"/>
                <w:szCs w:val="20"/>
              </w:rPr>
            </w:pPr>
            <w:r>
              <w:rPr>
                <w:rFonts w:ascii="Arial" w:hAnsi="Arial" w:cs="Arial"/>
                <w:szCs w:val="20"/>
              </w:rPr>
              <w:t>Guidance and engagement</w:t>
            </w:r>
            <w:r w:rsidRPr="00782283">
              <w:rPr>
                <w:rFonts w:ascii="Arial" w:hAnsi="Arial" w:cs="Arial"/>
                <w:szCs w:val="20"/>
              </w:rPr>
              <w:t xml:space="preserve"> through the TISN;</w:t>
            </w:r>
            <w:r>
              <w:rPr>
                <w:rFonts w:ascii="Arial" w:hAnsi="Arial" w:cs="Arial"/>
                <w:szCs w:val="20"/>
              </w:rPr>
              <w:t xml:space="preserve"> and </w:t>
            </w:r>
          </w:p>
          <w:p w14:paraId="2BD2D4CA" w14:textId="77777777" w:rsidR="0052682F" w:rsidRPr="005008DE" w:rsidRDefault="0052682F" w:rsidP="00510557">
            <w:pPr>
              <w:pStyle w:val="ListParagraph"/>
              <w:numPr>
                <w:ilvl w:val="0"/>
                <w:numId w:val="61"/>
              </w:numPr>
              <w:spacing w:before="0" w:after="0" w:line="240" w:lineRule="auto"/>
              <w:contextualSpacing/>
              <w:rPr>
                <w:rFonts w:ascii="Arial" w:hAnsi="Arial" w:cs="Arial"/>
                <w:szCs w:val="20"/>
              </w:rPr>
            </w:pPr>
            <w:r w:rsidRPr="00782283">
              <w:rPr>
                <w:rFonts w:ascii="Arial" w:hAnsi="Arial" w:cs="Arial"/>
                <w:szCs w:val="20"/>
              </w:rPr>
              <w:t>Insights into best practice and Government’s expectations.</w:t>
            </w:r>
          </w:p>
        </w:tc>
      </w:tr>
      <w:tr w:rsidR="0052682F" w:rsidRPr="00940D7E" w14:paraId="2F6CE070" w14:textId="77777777" w:rsidTr="009763A8">
        <w:trPr>
          <w:trHeight w:val="309"/>
        </w:trPr>
        <w:tc>
          <w:tcPr>
            <w:tcW w:w="1038"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1AB99B24" w14:textId="77777777" w:rsidR="0052682F" w:rsidRPr="00782396" w:rsidRDefault="0052682F" w:rsidP="004A163C">
            <w:pPr>
              <w:rPr>
                <w:rFonts w:ascii="Arial" w:hAnsi="Arial" w:cs="Arial"/>
                <w:b/>
                <w:bCs/>
                <w:szCs w:val="24"/>
                <w:lang w:eastAsia="en-AU"/>
              </w:rPr>
            </w:pPr>
            <w:r w:rsidRPr="00782396">
              <w:rPr>
                <w:rFonts w:ascii="Arial" w:hAnsi="Arial" w:cs="Arial"/>
                <w:b/>
                <w:bCs/>
                <w:szCs w:val="24"/>
                <w:lang w:eastAsia="en-AU"/>
              </w:rPr>
              <w:t>Stage 3</w:t>
            </w:r>
          </w:p>
        </w:tc>
        <w:tc>
          <w:tcPr>
            <w:tcW w:w="8448"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5D817830"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Commencement of transition period where industry commence undertaking activities to become compliant with expanded obligations (where relevant). For example, capture of secondary systems in the definition of ‘material risk’. </w:t>
            </w:r>
          </w:p>
          <w:p w14:paraId="4AECA78C" w14:textId="77777777" w:rsidR="1E801FBC" w:rsidRDefault="1E801FBC" w:rsidP="0BBA59E1">
            <w:pPr>
              <w:pStyle w:val="ListParagraph"/>
              <w:spacing w:before="0" w:after="0" w:line="240" w:lineRule="auto"/>
              <w:contextualSpacing/>
              <w:rPr>
                <w:rFonts w:ascii="Arial" w:hAnsi="Arial" w:cs="Arial"/>
              </w:rPr>
            </w:pPr>
            <w:r w:rsidRPr="0BBA59E1">
              <w:rPr>
                <w:rFonts w:ascii="Arial" w:hAnsi="Arial" w:cs="Arial"/>
              </w:rPr>
              <w:t>Measure 1 will be in effect once the legislation and updated rules are in force, while measures 2 and 3 will only be used as needed and as a last resort.</w:t>
            </w:r>
          </w:p>
          <w:p w14:paraId="73E48517"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Education and engagement</w:t>
            </w:r>
          </w:p>
          <w:p w14:paraId="20D2BE64"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Preparation of policies and procedures for compliance activities. </w:t>
            </w:r>
          </w:p>
          <w:p w14:paraId="4FDEBFB2" w14:textId="77777777" w:rsidR="0052682F" w:rsidRPr="005008DE" w:rsidRDefault="0052682F" w:rsidP="004A163C">
            <w:pPr>
              <w:pStyle w:val="ListParagraph"/>
              <w:spacing w:after="0" w:line="240" w:lineRule="auto"/>
              <w:ind w:left="340"/>
              <w:rPr>
                <w:rFonts w:ascii="Arial" w:hAnsi="Arial" w:cs="Arial"/>
                <w:szCs w:val="20"/>
              </w:rPr>
            </w:pPr>
          </w:p>
        </w:tc>
      </w:tr>
      <w:tr w:rsidR="0052682F" w:rsidRPr="00940D7E" w14:paraId="10CC0C5E" w14:textId="77777777" w:rsidTr="009763A8">
        <w:trPr>
          <w:trHeight w:val="309"/>
        </w:trPr>
        <w:tc>
          <w:tcPr>
            <w:tcW w:w="1038"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7EEAFB2E" w14:textId="77777777" w:rsidR="0052682F" w:rsidRPr="00782396" w:rsidRDefault="0052682F" w:rsidP="004A163C">
            <w:pPr>
              <w:rPr>
                <w:rFonts w:ascii="Arial" w:hAnsi="Arial" w:cs="Arial"/>
                <w:b/>
                <w:bCs/>
                <w:szCs w:val="24"/>
                <w:lang w:eastAsia="en-AU"/>
              </w:rPr>
            </w:pPr>
            <w:r w:rsidRPr="00782396">
              <w:rPr>
                <w:rFonts w:ascii="Arial" w:hAnsi="Arial" w:cs="Arial"/>
                <w:b/>
                <w:bCs/>
                <w:szCs w:val="24"/>
                <w:lang w:eastAsia="en-AU"/>
              </w:rPr>
              <w:t>Stage 4</w:t>
            </w:r>
          </w:p>
        </w:tc>
        <w:tc>
          <w:tcPr>
            <w:tcW w:w="8448"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17B31364"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Enforcement of expanded obligations commences. </w:t>
            </w:r>
          </w:p>
          <w:p w14:paraId="4BFBAA96" w14:textId="77777777" w:rsidR="0052682F" w:rsidRPr="005008DE" w:rsidRDefault="0052682F" w:rsidP="004A163C">
            <w:pPr>
              <w:pStyle w:val="ListParagraph"/>
              <w:spacing w:after="0" w:line="240" w:lineRule="auto"/>
              <w:ind w:left="340"/>
              <w:rPr>
                <w:rFonts w:ascii="Arial" w:hAnsi="Arial" w:cs="Arial"/>
                <w:szCs w:val="20"/>
              </w:rPr>
            </w:pPr>
            <w:r w:rsidRPr="2F6B7F1D">
              <w:rPr>
                <w:rFonts w:ascii="Arial" w:hAnsi="Arial" w:cs="Arial"/>
                <w:szCs w:val="20"/>
              </w:rPr>
              <w:t xml:space="preserve"> </w:t>
            </w:r>
          </w:p>
        </w:tc>
      </w:tr>
      <w:tr w:rsidR="0052682F" w:rsidRPr="00940D7E" w14:paraId="6F7ED903" w14:textId="77777777" w:rsidTr="009763A8">
        <w:trPr>
          <w:trHeight w:val="309"/>
        </w:trPr>
        <w:tc>
          <w:tcPr>
            <w:tcW w:w="1038"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7F033DBF" w14:textId="77777777" w:rsidR="0052682F" w:rsidRPr="00782396" w:rsidRDefault="0052682F" w:rsidP="004A163C">
            <w:pPr>
              <w:rPr>
                <w:rFonts w:ascii="Arial" w:hAnsi="Arial" w:cs="Arial"/>
                <w:b/>
                <w:bCs/>
                <w:szCs w:val="24"/>
                <w:lang w:eastAsia="en-AU"/>
              </w:rPr>
            </w:pPr>
            <w:r w:rsidRPr="00782396">
              <w:rPr>
                <w:rFonts w:ascii="Arial" w:hAnsi="Arial" w:cs="Arial"/>
                <w:b/>
                <w:bCs/>
                <w:szCs w:val="24"/>
                <w:lang w:eastAsia="en-AU"/>
              </w:rPr>
              <w:t>Stage 5</w:t>
            </w:r>
          </w:p>
        </w:tc>
        <w:tc>
          <w:tcPr>
            <w:tcW w:w="8448"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3A64D328"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Post-implementation review of amendments. </w:t>
            </w:r>
          </w:p>
          <w:p w14:paraId="4905684B" w14:textId="77777777" w:rsidR="0052682F" w:rsidRPr="005008DE"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May form part of the legislative independent review of the SOCI Act, required under s 60A. </w:t>
            </w:r>
          </w:p>
        </w:tc>
      </w:tr>
      <w:tr w:rsidR="0052682F" w:rsidRPr="00940D7E" w14:paraId="05CF6E89" w14:textId="77777777" w:rsidTr="009763A8">
        <w:trPr>
          <w:trHeight w:val="309"/>
        </w:trPr>
        <w:tc>
          <w:tcPr>
            <w:tcW w:w="1038"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70584B23" w14:textId="77777777" w:rsidR="0052682F" w:rsidRPr="00782396" w:rsidRDefault="0052682F" w:rsidP="004A163C">
            <w:pPr>
              <w:rPr>
                <w:rFonts w:ascii="Arial" w:hAnsi="Arial" w:cs="Arial"/>
                <w:b/>
                <w:bCs/>
                <w:szCs w:val="24"/>
                <w:lang w:eastAsia="en-AU"/>
              </w:rPr>
            </w:pPr>
            <w:r w:rsidRPr="00782396">
              <w:rPr>
                <w:rFonts w:ascii="Arial" w:hAnsi="Arial" w:cs="Arial"/>
                <w:b/>
                <w:bCs/>
                <w:szCs w:val="24"/>
                <w:lang w:eastAsia="en-AU"/>
              </w:rPr>
              <w:t>Stage 6</w:t>
            </w:r>
          </w:p>
        </w:tc>
        <w:tc>
          <w:tcPr>
            <w:tcW w:w="8448"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06477215" w14:textId="77777777" w:rsidR="0052682F"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Implementation of formal and informal regular feedback mechanisms, including through the TISN. </w:t>
            </w:r>
          </w:p>
          <w:p w14:paraId="7DF0468C" w14:textId="77777777" w:rsidR="0052682F" w:rsidRPr="005008DE" w:rsidRDefault="0052682F" w:rsidP="0BBA59E1">
            <w:pPr>
              <w:pStyle w:val="ListParagraph"/>
              <w:spacing w:before="0" w:after="0" w:line="240" w:lineRule="auto"/>
              <w:contextualSpacing/>
              <w:rPr>
                <w:rFonts w:ascii="Arial" w:hAnsi="Arial" w:cs="Arial"/>
              </w:rPr>
            </w:pPr>
            <w:r w:rsidRPr="0BBA59E1">
              <w:rPr>
                <w:rFonts w:ascii="Arial" w:hAnsi="Arial" w:cs="Arial"/>
              </w:rPr>
              <w:t xml:space="preserve">Possible updates to guidance materials in response informal feedback from industry. </w:t>
            </w:r>
          </w:p>
        </w:tc>
      </w:tr>
    </w:tbl>
    <w:p w14:paraId="01D0330C" w14:textId="77777777" w:rsidR="0052682F" w:rsidRDefault="0052682F" w:rsidP="0052682F">
      <w:pPr>
        <w:pStyle w:val="Heading4"/>
        <w:rPr>
          <w:rFonts w:ascii="Arial" w:hAnsi="Arial" w:cs="Arial"/>
        </w:rPr>
      </w:pPr>
      <w:r w:rsidRPr="00872CFA">
        <w:rPr>
          <w:rFonts w:ascii="Arial" w:hAnsi="Arial" w:cs="Arial"/>
        </w:rPr>
        <w:t xml:space="preserve">Regulatory functions </w:t>
      </w:r>
    </w:p>
    <w:p w14:paraId="2B430C75" w14:textId="77777777" w:rsidR="0052682F" w:rsidRPr="00F2743D" w:rsidRDefault="0052682F" w:rsidP="006A474D">
      <w:pPr>
        <w:spacing w:line="264" w:lineRule="auto"/>
        <w:rPr>
          <w:rFonts w:ascii="Arial" w:hAnsi="Arial" w:cs="Arial"/>
          <w:szCs w:val="20"/>
        </w:rPr>
      </w:pPr>
      <w:r w:rsidRPr="0BBA59E1">
        <w:rPr>
          <w:rFonts w:ascii="Arial" w:hAnsi="Arial" w:cs="Arial"/>
        </w:rPr>
        <w:t xml:space="preserve">The Department has regulatory powers under the SOCI Act, through provisions contained in the </w:t>
      </w:r>
      <w:r w:rsidRPr="0BBA59E1">
        <w:rPr>
          <w:rFonts w:ascii="Arial" w:hAnsi="Arial" w:cs="Arial"/>
          <w:i/>
          <w:iCs/>
        </w:rPr>
        <w:t>Regulatory Powers (Standard Provisions) Act 2014</w:t>
      </w:r>
      <w:r w:rsidRPr="0BBA59E1">
        <w:rPr>
          <w:rFonts w:ascii="Arial" w:hAnsi="Arial" w:cs="Arial"/>
        </w:rPr>
        <w:t>. Monitoring and compliance activities will be conducted by the Department, who will continue to discharge their relevant regulatory function across Australia’s critical infrastructure sectors.</w:t>
      </w:r>
      <w:r w:rsidRPr="0BBA59E1">
        <w:rPr>
          <w:rStyle w:val="FootnoteReference"/>
          <w:rFonts w:ascii="Arial" w:hAnsi="Arial" w:cs="Arial"/>
        </w:rPr>
        <w:footnoteReference w:id="34"/>
      </w:r>
      <w:r w:rsidRPr="0BBA59E1">
        <w:rPr>
          <w:rFonts w:ascii="Arial" w:hAnsi="Arial" w:cs="Arial"/>
        </w:rPr>
        <w:t xml:space="preserve"> The Department continues to engage and coordinate with existing critical infrastructure regulators across the various sectors. </w:t>
      </w:r>
    </w:p>
    <w:p w14:paraId="4641A7B8" w14:textId="77777777" w:rsidR="0BBA59E1" w:rsidRDefault="0BBA59E1" w:rsidP="006A474D">
      <w:pPr>
        <w:spacing w:line="264" w:lineRule="auto"/>
        <w:rPr>
          <w:rFonts w:ascii="Arial" w:hAnsi="Arial" w:cs="Arial"/>
        </w:rPr>
      </w:pPr>
    </w:p>
    <w:p w14:paraId="5FCC05B3" w14:textId="77777777" w:rsidR="0052682F" w:rsidRPr="00F2743D" w:rsidRDefault="0052682F" w:rsidP="006A474D">
      <w:pPr>
        <w:spacing w:line="264" w:lineRule="auto"/>
        <w:rPr>
          <w:rFonts w:ascii="Arial" w:hAnsi="Arial" w:cs="Arial"/>
          <w:szCs w:val="20"/>
        </w:rPr>
      </w:pPr>
      <w:r w:rsidRPr="00F2743D">
        <w:rPr>
          <w:rFonts w:ascii="Arial" w:hAnsi="Arial" w:cs="Arial"/>
          <w:szCs w:val="20"/>
        </w:rPr>
        <w:t xml:space="preserve">The Department will continue to report on its regulatory activities, including the implementation of expanded obligations, in its annual report to Parliament as required by section 60 of the SOCI Act. </w:t>
      </w:r>
    </w:p>
    <w:p w14:paraId="31038549" w14:textId="77777777" w:rsidR="0052682F" w:rsidRDefault="0052682F" w:rsidP="0052682F">
      <w:pPr>
        <w:pStyle w:val="Heading4"/>
        <w:rPr>
          <w:rFonts w:ascii="Arial" w:hAnsi="Arial" w:cs="Arial"/>
        </w:rPr>
      </w:pPr>
      <w:r w:rsidRPr="00872CFA">
        <w:rPr>
          <w:rFonts w:ascii="Arial" w:hAnsi="Arial" w:cs="Arial"/>
        </w:rPr>
        <w:t>Approach to compliance</w:t>
      </w:r>
    </w:p>
    <w:p w14:paraId="6F1D1284" w14:textId="77777777" w:rsidR="0052682F" w:rsidRPr="006A474D" w:rsidRDefault="0052682F" w:rsidP="0052682F">
      <w:pPr>
        <w:pStyle w:val="Heading4"/>
        <w:spacing w:before="0" w:after="240"/>
        <w:rPr>
          <w:rFonts w:ascii="Arial" w:eastAsiaTheme="minorHAnsi" w:hAnsi="Arial" w:cs="Arial"/>
          <w:b w:val="0"/>
          <w:iCs/>
        </w:rPr>
      </w:pPr>
      <w:r w:rsidRPr="006A474D">
        <w:rPr>
          <w:rFonts w:ascii="Arial" w:eastAsiaTheme="minorHAnsi" w:hAnsi="Arial" w:cs="Arial"/>
          <w:b w:val="0"/>
          <w:iCs/>
        </w:rPr>
        <w:t>The Department specifies five principles which provide guidance in the exercise of its regulatory powers and engagement with industry.</w:t>
      </w:r>
      <w:r w:rsidRPr="006A474D">
        <w:rPr>
          <w:rStyle w:val="FootnoteReference"/>
          <w:rFonts w:ascii="Arial" w:eastAsiaTheme="minorHAnsi" w:hAnsi="Arial" w:cs="Arial"/>
          <w:b w:val="0"/>
          <w:iCs/>
        </w:rPr>
        <w:footnoteReference w:id="35"/>
      </w:r>
    </w:p>
    <w:p w14:paraId="495C395B" w14:textId="75AF5A89" w:rsidR="0052682F" w:rsidRPr="00307761" w:rsidRDefault="0052682F" w:rsidP="0052682F">
      <w:pPr>
        <w:pStyle w:val="Caption"/>
        <w:rPr>
          <w:rFonts w:ascii="Calibri" w:hAnsi="Calibri" w:cs="Calibri"/>
          <w:b w:val="0"/>
        </w:rPr>
      </w:pPr>
      <w:r w:rsidRPr="00307761">
        <w:rPr>
          <w:rFonts w:ascii="Calibri" w:hAnsi="Calibri" w:cs="Calibri"/>
          <w:bCs/>
        </w:rPr>
        <w:t xml:space="preserve">Table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Table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39</w:t>
      </w:r>
      <w:r w:rsidRPr="00307761">
        <w:rPr>
          <w:rFonts w:ascii="Calibri" w:hAnsi="Calibri" w:cs="Calibri"/>
          <w:bCs/>
          <w:color w:val="2B579A"/>
          <w:shd w:val="clear" w:color="auto" w:fill="E6E6E6"/>
        </w:rPr>
        <w:fldChar w:fldCharType="end"/>
      </w:r>
      <w:r w:rsidRPr="00307761">
        <w:rPr>
          <w:rFonts w:ascii="Calibri" w:hAnsi="Calibri" w:cs="Calibri"/>
          <w:b w:val="0"/>
          <w:bCs/>
        </w:rPr>
        <w:t>:</w:t>
      </w:r>
      <w:r w:rsidRPr="00307761">
        <w:rPr>
          <w:rFonts w:ascii="Calibri" w:hAnsi="Calibri" w:cs="Calibri"/>
          <w:b w:val="0"/>
        </w:rPr>
        <w:t xml:space="preserve"> Departments regulatory principles</w:t>
      </w:r>
    </w:p>
    <w:tbl>
      <w:tblPr>
        <w:tblW w:w="9475" w:type="dxa"/>
        <w:tblBorders>
          <w:insideH w:val="single" w:sz="4" w:space="0" w:color="FFFFFF" w:themeColor="background2"/>
          <w:insideV w:val="single" w:sz="4" w:space="0" w:color="FFFFFF" w:themeColor="background2"/>
        </w:tblBorders>
        <w:tblCellMar>
          <w:left w:w="0" w:type="dxa"/>
          <w:right w:w="0" w:type="dxa"/>
        </w:tblCellMar>
        <w:tblLook w:val="04A0" w:firstRow="1" w:lastRow="0" w:firstColumn="1" w:lastColumn="0" w:noHBand="0" w:noVBand="1"/>
      </w:tblPr>
      <w:tblGrid>
        <w:gridCol w:w="1537"/>
        <w:gridCol w:w="7938"/>
      </w:tblGrid>
      <w:tr w:rsidR="0052682F" w:rsidRPr="00940D7E" w14:paraId="3876636B" w14:textId="77777777" w:rsidTr="009763A8">
        <w:trPr>
          <w:trHeight w:val="304"/>
          <w:tblHeader/>
        </w:trPr>
        <w:tc>
          <w:tcPr>
            <w:tcW w:w="1537" w:type="dxa"/>
            <w:shd w:val="clear" w:color="auto" w:fill="284B98"/>
            <w:vAlign w:val="center"/>
            <w:hideMark/>
          </w:tcPr>
          <w:p w14:paraId="72112502" w14:textId="77777777" w:rsidR="0052682F" w:rsidRPr="00651125" w:rsidRDefault="0052682F" w:rsidP="004A163C">
            <w:pPr>
              <w:spacing w:before="120" w:after="120"/>
              <w:rPr>
                <w:rFonts w:ascii="Arial" w:hAnsi="Arial" w:cs="Arial"/>
                <w:b/>
                <w:bCs/>
                <w:color w:val="FFFFFF" w:themeColor="background1"/>
                <w:szCs w:val="20"/>
                <w:lang w:eastAsia="en-AU"/>
              </w:rPr>
            </w:pPr>
            <w:r>
              <w:rPr>
                <w:rFonts w:ascii="Arial" w:hAnsi="Arial" w:cs="Arial"/>
                <w:b/>
                <w:bCs/>
                <w:color w:val="FFFFFF" w:themeColor="background1"/>
                <w:szCs w:val="20"/>
                <w:lang w:eastAsia="en-AU"/>
              </w:rPr>
              <w:t>Principle</w:t>
            </w:r>
          </w:p>
        </w:tc>
        <w:tc>
          <w:tcPr>
            <w:tcW w:w="7938" w:type="dxa"/>
            <w:shd w:val="clear" w:color="auto" w:fill="284B98"/>
            <w:vAlign w:val="center"/>
            <w:hideMark/>
          </w:tcPr>
          <w:p w14:paraId="16C5AC79" w14:textId="77777777" w:rsidR="0052682F" w:rsidRPr="00651125" w:rsidRDefault="0052682F" w:rsidP="004A163C">
            <w:pPr>
              <w:spacing w:before="120" w:after="120"/>
              <w:rPr>
                <w:rFonts w:ascii="Arial" w:hAnsi="Arial" w:cs="Arial"/>
                <w:b/>
                <w:bCs/>
                <w:color w:val="FFFFFF" w:themeColor="background1"/>
                <w:szCs w:val="20"/>
                <w:lang w:eastAsia="en-AU"/>
              </w:rPr>
            </w:pPr>
            <w:r>
              <w:rPr>
                <w:rFonts w:ascii="Arial" w:hAnsi="Arial" w:cs="Arial"/>
                <w:b/>
                <w:bCs/>
                <w:color w:val="FFFFFF" w:themeColor="background1"/>
                <w:szCs w:val="20"/>
                <w:lang w:eastAsia="en-AU"/>
              </w:rPr>
              <w:t>Meaning</w:t>
            </w:r>
          </w:p>
        </w:tc>
      </w:tr>
      <w:tr w:rsidR="0052682F" w:rsidRPr="00940D7E" w14:paraId="4A23BB6F" w14:textId="77777777" w:rsidTr="009763A8">
        <w:trPr>
          <w:trHeight w:val="304"/>
        </w:trPr>
        <w:tc>
          <w:tcPr>
            <w:tcW w:w="1537" w:type="dxa"/>
            <w:shd w:val="clear" w:color="auto" w:fill="F2F2F2"/>
            <w:vAlign w:val="center"/>
            <w:hideMark/>
          </w:tcPr>
          <w:p w14:paraId="30D0C1F6" w14:textId="77777777" w:rsidR="0052682F" w:rsidRPr="00782396" w:rsidRDefault="0052682F" w:rsidP="004A163C">
            <w:pPr>
              <w:rPr>
                <w:rFonts w:ascii="Arial" w:hAnsi="Arial" w:cs="Arial"/>
                <w:b/>
                <w:bCs/>
                <w:szCs w:val="24"/>
                <w:lang w:eastAsia="en-AU"/>
              </w:rPr>
            </w:pPr>
            <w:r>
              <w:rPr>
                <w:rFonts w:ascii="Arial" w:hAnsi="Arial" w:cs="Arial"/>
                <w:b/>
                <w:bCs/>
                <w:szCs w:val="24"/>
                <w:lang w:eastAsia="en-AU"/>
              </w:rPr>
              <w:t>Focus on risk</w:t>
            </w:r>
          </w:p>
        </w:tc>
        <w:tc>
          <w:tcPr>
            <w:tcW w:w="7938" w:type="dxa"/>
            <w:shd w:val="clear" w:color="auto" w:fill="auto"/>
            <w:vAlign w:val="center"/>
            <w:hideMark/>
          </w:tcPr>
          <w:p w14:paraId="53ADB5C9" w14:textId="77777777" w:rsidR="0052682F" w:rsidRPr="002466F9" w:rsidRDefault="0052682F" w:rsidP="00510557">
            <w:pPr>
              <w:pStyle w:val="ListParagraph"/>
              <w:numPr>
                <w:ilvl w:val="0"/>
                <w:numId w:val="65"/>
              </w:numPr>
              <w:spacing w:before="0" w:after="0" w:line="240" w:lineRule="auto"/>
              <w:contextualSpacing/>
              <w:rPr>
                <w:rFonts w:ascii="Arial" w:hAnsi="Arial" w:cs="Arial"/>
                <w:szCs w:val="20"/>
              </w:rPr>
            </w:pPr>
            <w:r w:rsidRPr="002466F9">
              <w:rPr>
                <w:rFonts w:ascii="Arial" w:hAnsi="Arial" w:cs="Arial"/>
                <w:szCs w:val="20"/>
              </w:rPr>
              <w:t>Focus attention and resources on higher risk areas to ensure the resilience and security of the sectors we regulate.</w:t>
            </w:r>
          </w:p>
        </w:tc>
      </w:tr>
      <w:tr w:rsidR="0052682F" w:rsidRPr="00940D7E" w14:paraId="5CDAF2A8" w14:textId="77777777" w:rsidTr="009763A8">
        <w:trPr>
          <w:trHeight w:val="304"/>
        </w:trPr>
        <w:tc>
          <w:tcPr>
            <w:tcW w:w="1537" w:type="dxa"/>
            <w:shd w:val="clear" w:color="auto" w:fill="F2F2F2"/>
            <w:vAlign w:val="center"/>
          </w:tcPr>
          <w:p w14:paraId="57DA5BE0" w14:textId="77777777" w:rsidR="0052682F" w:rsidRDefault="0052682F" w:rsidP="004A163C">
            <w:pPr>
              <w:rPr>
                <w:rFonts w:ascii="Arial" w:hAnsi="Arial" w:cs="Arial"/>
                <w:b/>
                <w:bCs/>
                <w:szCs w:val="24"/>
                <w:lang w:eastAsia="en-AU"/>
              </w:rPr>
            </w:pPr>
            <w:r>
              <w:rPr>
                <w:rFonts w:ascii="Arial" w:hAnsi="Arial" w:cs="Arial"/>
                <w:b/>
                <w:bCs/>
                <w:szCs w:val="24"/>
                <w:lang w:eastAsia="en-AU"/>
              </w:rPr>
              <w:t>Promote voluntary compliance</w:t>
            </w:r>
          </w:p>
        </w:tc>
        <w:tc>
          <w:tcPr>
            <w:tcW w:w="7938" w:type="dxa"/>
            <w:shd w:val="clear" w:color="auto" w:fill="auto"/>
            <w:vAlign w:val="center"/>
          </w:tcPr>
          <w:p w14:paraId="6F03964F" w14:textId="77777777" w:rsidR="0052682F" w:rsidRDefault="0052682F" w:rsidP="00510557">
            <w:pPr>
              <w:pStyle w:val="ListParagraph"/>
              <w:numPr>
                <w:ilvl w:val="0"/>
                <w:numId w:val="64"/>
              </w:numPr>
              <w:spacing w:before="0" w:after="0" w:line="240" w:lineRule="auto"/>
              <w:contextualSpacing/>
              <w:rPr>
                <w:rFonts w:ascii="Arial" w:hAnsi="Arial" w:cs="Arial"/>
                <w:szCs w:val="20"/>
              </w:rPr>
            </w:pPr>
            <w:r w:rsidRPr="00EB13F8">
              <w:rPr>
                <w:rFonts w:ascii="Arial" w:hAnsi="Arial" w:cs="Arial"/>
                <w:szCs w:val="20"/>
              </w:rPr>
              <w:t>Where appropriate,</w:t>
            </w:r>
            <w:r>
              <w:rPr>
                <w:rFonts w:ascii="Arial" w:hAnsi="Arial" w:cs="Arial"/>
                <w:szCs w:val="20"/>
              </w:rPr>
              <w:t xml:space="preserve"> </w:t>
            </w:r>
            <w:r w:rsidRPr="00EB13F8">
              <w:rPr>
                <w:rFonts w:ascii="Arial" w:hAnsi="Arial" w:cs="Arial"/>
                <w:szCs w:val="20"/>
              </w:rPr>
              <w:t xml:space="preserve">adopt a consultative approach with industry stakeholders. </w:t>
            </w:r>
          </w:p>
          <w:p w14:paraId="77AA5127" w14:textId="77777777" w:rsidR="0052682F" w:rsidRDefault="0052682F" w:rsidP="00510557">
            <w:pPr>
              <w:pStyle w:val="ListParagraph"/>
              <w:numPr>
                <w:ilvl w:val="0"/>
                <w:numId w:val="64"/>
              </w:numPr>
              <w:spacing w:before="0" w:after="0" w:line="240" w:lineRule="auto"/>
              <w:contextualSpacing/>
              <w:rPr>
                <w:rFonts w:ascii="Arial" w:hAnsi="Arial" w:cs="Arial"/>
                <w:szCs w:val="20"/>
              </w:rPr>
            </w:pPr>
            <w:r>
              <w:rPr>
                <w:rFonts w:ascii="Arial" w:hAnsi="Arial" w:cs="Arial"/>
                <w:szCs w:val="20"/>
              </w:rPr>
              <w:t>S</w:t>
            </w:r>
            <w:r w:rsidRPr="00EB13F8">
              <w:rPr>
                <w:rFonts w:ascii="Arial" w:hAnsi="Arial" w:cs="Arial"/>
                <w:szCs w:val="20"/>
              </w:rPr>
              <w:t xml:space="preserve">olicit feedback to inform continuous improvement within the critical infrastructure sectors. </w:t>
            </w:r>
          </w:p>
          <w:p w14:paraId="5BF83A21" w14:textId="77777777" w:rsidR="0052682F" w:rsidRPr="00EB13F8" w:rsidRDefault="0052682F" w:rsidP="00510557">
            <w:pPr>
              <w:pStyle w:val="ListParagraph"/>
              <w:numPr>
                <w:ilvl w:val="0"/>
                <w:numId w:val="64"/>
              </w:numPr>
              <w:spacing w:before="0" w:after="0" w:line="240" w:lineRule="auto"/>
              <w:contextualSpacing/>
              <w:rPr>
                <w:rFonts w:ascii="Arial" w:hAnsi="Arial" w:cs="Arial"/>
                <w:szCs w:val="20"/>
              </w:rPr>
            </w:pPr>
            <w:r>
              <w:rPr>
                <w:rFonts w:ascii="Arial" w:hAnsi="Arial" w:cs="Arial"/>
                <w:szCs w:val="20"/>
              </w:rPr>
              <w:t>P</w:t>
            </w:r>
            <w:r w:rsidRPr="00EB13F8">
              <w:rPr>
                <w:rFonts w:ascii="Arial" w:hAnsi="Arial" w:cs="Arial"/>
                <w:szCs w:val="20"/>
              </w:rPr>
              <w:t>rovide education and guidance to help industry partners understand their legislative obligations.</w:t>
            </w:r>
          </w:p>
        </w:tc>
      </w:tr>
      <w:tr w:rsidR="0052682F" w:rsidRPr="00940D7E" w14:paraId="356D955C" w14:textId="77777777" w:rsidTr="009763A8">
        <w:trPr>
          <w:trHeight w:val="304"/>
        </w:trPr>
        <w:tc>
          <w:tcPr>
            <w:tcW w:w="1537" w:type="dxa"/>
            <w:shd w:val="clear" w:color="auto" w:fill="F2F2F2"/>
            <w:vAlign w:val="center"/>
          </w:tcPr>
          <w:p w14:paraId="569BFBBC" w14:textId="77777777" w:rsidR="0052682F" w:rsidRDefault="0052682F" w:rsidP="004A163C">
            <w:pPr>
              <w:rPr>
                <w:rFonts w:ascii="Arial" w:hAnsi="Arial" w:cs="Arial"/>
                <w:b/>
                <w:bCs/>
                <w:szCs w:val="24"/>
                <w:lang w:eastAsia="en-AU"/>
              </w:rPr>
            </w:pPr>
            <w:r>
              <w:rPr>
                <w:rFonts w:ascii="Arial" w:hAnsi="Arial" w:cs="Arial"/>
                <w:b/>
                <w:bCs/>
                <w:szCs w:val="24"/>
                <w:lang w:eastAsia="en-AU"/>
              </w:rPr>
              <w:t xml:space="preserve">Be accountable, </w:t>
            </w:r>
            <w:r w:rsidDel="006973AF">
              <w:rPr>
                <w:rFonts w:ascii="Arial" w:hAnsi="Arial" w:cs="Arial"/>
                <w:b/>
                <w:bCs/>
                <w:szCs w:val="24"/>
                <w:lang w:eastAsia="en-AU"/>
              </w:rPr>
              <w:t>fair</w:t>
            </w:r>
            <w:r>
              <w:rPr>
                <w:rFonts w:ascii="Arial" w:hAnsi="Arial" w:cs="Arial"/>
                <w:b/>
                <w:bCs/>
                <w:szCs w:val="24"/>
                <w:lang w:eastAsia="en-AU"/>
              </w:rPr>
              <w:t xml:space="preserve">, and transparent </w:t>
            </w:r>
          </w:p>
        </w:tc>
        <w:tc>
          <w:tcPr>
            <w:tcW w:w="7938" w:type="dxa"/>
            <w:shd w:val="clear" w:color="auto" w:fill="auto"/>
            <w:vAlign w:val="center"/>
          </w:tcPr>
          <w:p w14:paraId="391539EF" w14:textId="77777777" w:rsidR="0052682F" w:rsidRDefault="0052682F" w:rsidP="00510557">
            <w:pPr>
              <w:pStyle w:val="ListParagraph"/>
              <w:numPr>
                <w:ilvl w:val="0"/>
                <w:numId w:val="66"/>
              </w:numPr>
              <w:tabs>
                <w:tab w:val="num" w:pos="1877"/>
              </w:tabs>
              <w:spacing w:before="0" w:after="0" w:line="240" w:lineRule="auto"/>
              <w:contextualSpacing/>
              <w:rPr>
                <w:rFonts w:ascii="Arial" w:hAnsi="Arial" w:cs="Arial"/>
                <w:szCs w:val="20"/>
              </w:rPr>
            </w:pPr>
            <w:r>
              <w:rPr>
                <w:rFonts w:ascii="Arial" w:hAnsi="Arial" w:cs="Arial"/>
                <w:szCs w:val="20"/>
              </w:rPr>
              <w:t>A</w:t>
            </w:r>
            <w:r w:rsidRPr="00EB13F8">
              <w:rPr>
                <w:rFonts w:ascii="Arial" w:hAnsi="Arial" w:cs="Arial"/>
                <w:szCs w:val="20"/>
              </w:rPr>
              <w:t xml:space="preserve">void unnecessarily impacting the efficient and effective operations of responsible entities. </w:t>
            </w:r>
          </w:p>
          <w:p w14:paraId="7E5C491B" w14:textId="77777777" w:rsidR="0052682F" w:rsidRPr="00EB13F8" w:rsidRDefault="0052682F" w:rsidP="00510557">
            <w:pPr>
              <w:pStyle w:val="ListParagraph"/>
              <w:numPr>
                <w:ilvl w:val="0"/>
                <w:numId w:val="66"/>
              </w:numPr>
              <w:tabs>
                <w:tab w:val="num" w:pos="1877"/>
              </w:tabs>
              <w:spacing w:before="0" w:after="0" w:line="240" w:lineRule="auto"/>
              <w:contextualSpacing/>
              <w:rPr>
                <w:rFonts w:ascii="Arial" w:hAnsi="Arial" w:cs="Arial"/>
                <w:szCs w:val="20"/>
              </w:rPr>
            </w:pPr>
            <w:r>
              <w:rPr>
                <w:rFonts w:ascii="Arial" w:hAnsi="Arial" w:cs="Arial"/>
                <w:szCs w:val="20"/>
              </w:rPr>
              <w:t>Make</w:t>
            </w:r>
            <w:r w:rsidRPr="00EB13F8">
              <w:rPr>
                <w:rFonts w:ascii="Arial" w:hAnsi="Arial" w:cs="Arial"/>
                <w:szCs w:val="20"/>
              </w:rPr>
              <w:t xml:space="preserve"> timely decisions based on legislative requirements.</w:t>
            </w:r>
          </w:p>
        </w:tc>
      </w:tr>
      <w:tr w:rsidR="0052682F" w:rsidRPr="00940D7E" w14:paraId="51A4FE4F" w14:textId="77777777" w:rsidTr="009763A8">
        <w:trPr>
          <w:trHeight w:val="304"/>
        </w:trPr>
        <w:tc>
          <w:tcPr>
            <w:tcW w:w="1537" w:type="dxa"/>
            <w:shd w:val="clear" w:color="auto" w:fill="F2F2F2"/>
            <w:vAlign w:val="center"/>
          </w:tcPr>
          <w:p w14:paraId="4807AA56" w14:textId="77777777" w:rsidR="0052682F" w:rsidRDefault="0052682F" w:rsidP="004A163C">
            <w:pPr>
              <w:rPr>
                <w:rFonts w:ascii="Arial" w:hAnsi="Arial" w:cs="Arial"/>
                <w:b/>
                <w:bCs/>
                <w:szCs w:val="24"/>
                <w:lang w:eastAsia="en-AU"/>
              </w:rPr>
            </w:pPr>
            <w:r>
              <w:rPr>
                <w:rFonts w:ascii="Arial" w:hAnsi="Arial" w:cs="Arial"/>
                <w:b/>
                <w:bCs/>
                <w:szCs w:val="24"/>
                <w:lang w:eastAsia="en-AU"/>
              </w:rPr>
              <w:t xml:space="preserve">Act consistently </w:t>
            </w:r>
          </w:p>
        </w:tc>
        <w:tc>
          <w:tcPr>
            <w:tcW w:w="7938" w:type="dxa"/>
            <w:shd w:val="clear" w:color="auto" w:fill="auto"/>
            <w:vAlign w:val="center"/>
          </w:tcPr>
          <w:p w14:paraId="691E7CC2" w14:textId="77777777" w:rsidR="0052682F" w:rsidRPr="00EB13F8" w:rsidRDefault="0052682F" w:rsidP="00510557">
            <w:pPr>
              <w:pStyle w:val="ListParagraph"/>
              <w:numPr>
                <w:ilvl w:val="0"/>
                <w:numId w:val="64"/>
              </w:numPr>
              <w:spacing w:before="0" w:after="0" w:line="240" w:lineRule="auto"/>
              <w:contextualSpacing/>
              <w:rPr>
                <w:rFonts w:ascii="Arial" w:hAnsi="Arial" w:cs="Arial"/>
                <w:szCs w:val="20"/>
              </w:rPr>
            </w:pPr>
            <w:r w:rsidRPr="00EB13F8">
              <w:rPr>
                <w:rFonts w:ascii="Arial" w:hAnsi="Arial" w:cs="Arial"/>
                <w:szCs w:val="20"/>
              </w:rPr>
              <w:t>We deliver equitable decision-making across a variety of critical infrastructure sectors and situations.</w:t>
            </w:r>
          </w:p>
        </w:tc>
      </w:tr>
      <w:tr w:rsidR="0052682F" w:rsidRPr="00940D7E" w14:paraId="25069243" w14:textId="77777777" w:rsidTr="009763A8">
        <w:trPr>
          <w:trHeight w:val="304"/>
        </w:trPr>
        <w:tc>
          <w:tcPr>
            <w:tcW w:w="1537" w:type="dxa"/>
            <w:shd w:val="clear" w:color="auto" w:fill="F2F2F2"/>
            <w:vAlign w:val="center"/>
          </w:tcPr>
          <w:p w14:paraId="41BD02C0" w14:textId="77777777" w:rsidR="0052682F" w:rsidRDefault="0052682F" w:rsidP="004A163C">
            <w:pPr>
              <w:rPr>
                <w:rFonts w:ascii="Arial" w:hAnsi="Arial" w:cs="Arial"/>
                <w:b/>
                <w:bCs/>
                <w:szCs w:val="24"/>
                <w:lang w:eastAsia="en-AU"/>
              </w:rPr>
            </w:pPr>
            <w:r>
              <w:rPr>
                <w:rFonts w:ascii="Arial" w:hAnsi="Arial" w:cs="Arial"/>
                <w:b/>
                <w:bCs/>
                <w:szCs w:val="24"/>
                <w:lang w:eastAsia="en-AU"/>
              </w:rPr>
              <w:t>Act proportionately</w:t>
            </w:r>
          </w:p>
        </w:tc>
        <w:tc>
          <w:tcPr>
            <w:tcW w:w="7938" w:type="dxa"/>
            <w:shd w:val="clear" w:color="auto" w:fill="auto"/>
            <w:vAlign w:val="center"/>
          </w:tcPr>
          <w:p w14:paraId="0B1F68BA" w14:textId="77777777" w:rsidR="0052682F" w:rsidRPr="00EB13F8" w:rsidRDefault="0052682F" w:rsidP="00510557">
            <w:pPr>
              <w:pStyle w:val="ListParagraph"/>
              <w:numPr>
                <w:ilvl w:val="0"/>
                <w:numId w:val="62"/>
              </w:numPr>
              <w:shd w:val="clear" w:color="auto" w:fill="FFFFFF"/>
              <w:spacing w:before="0" w:after="0" w:line="240" w:lineRule="auto"/>
              <w:contextualSpacing/>
              <w:rPr>
                <w:rFonts w:ascii="Arial" w:hAnsi="Arial" w:cs="Arial"/>
                <w:szCs w:val="20"/>
              </w:rPr>
            </w:pPr>
            <w:r w:rsidRPr="00EB13F8">
              <w:rPr>
                <w:rFonts w:ascii="Arial" w:hAnsi="Arial" w:cs="Arial"/>
                <w:szCs w:val="20"/>
              </w:rPr>
              <w:t xml:space="preserve">When exercising enforcement </w:t>
            </w:r>
            <w:r w:rsidRPr="00EB13F8" w:rsidDel="00123C54">
              <w:rPr>
                <w:rFonts w:ascii="Arial" w:hAnsi="Arial" w:cs="Arial"/>
                <w:szCs w:val="20"/>
              </w:rPr>
              <w:t>powers</w:t>
            </w:r>
            <w:r w:rsidRPr="00EB13F8">
              <w:rPr>
                <w:rFonts w:ascii="Arial" w:hAnsi="Arial" w:cs="Arial"/>
                <w:szCs w:val="20"/>
              </w:rPr>
              <w:t>, we consider the:</w:t>
            </w:r>
          </w:p>
          <w:p w14:paraId="4F016D67" w14:textId="77777777" w:rsidR="0052682F" w:rsidRPr="00EB13F8" w:rsidRDefault="0052682F" w:rsidP="00510557">
            <w:pPr>
              <w:pStyle w:val="ListParagraph"/>
              <w:numPr>
                <w:ilvl w:val="0"/>
                <w:numId w:val="63"/>
              </w:numPr>
              <w:shd w:val="clear" w:color="auto" w:fill="FFFFFF"/>
              <w:spacing w:before="0" w:after="0" w:line="240" w:lineRule="auto"/>
              <w:contextualSpacing/>
              <w:rPr>
                <w:rFonts w:ascii="Arial" w:hAnsi="Arial" w:cs="Arial"/>
                <w:szCs w:val="20"/>
              </w:rPr>
            </w:pPr>
            <w:r w:rsidRPr="00EB13F8">
              <w:rPr>
                <w:rFonts w:ascii="Arial" w:hAnsi="Arial" w:cs="Arial"/>
                <w:szCs w:val="20"/>
              </w:rPr>
              <w:t>security implications of the non-compliance</w:t>
            </w:r>
            <w:r>
              <w:rPr>
                <w:rFonts w:ascii="Arial" w:hAnsi="Arial" w:cs="Arial"/>
                <w:szCs w:val="20"/>
              </w:rPr>
              <w:t>;</w:t>
            </w:r>
          </w:p>
          <w:p w14:paraId="04CEED5A" w14:textId="77777777" w:rsidR="0052682F" w:rsidRPr="00EB13F8" w:rsidRDefault="0052682F" w:rsidP="00510557">
            <w:pPr>
              <w:pStyle w:val="ListParagraph"/>
              <w:numPr>
                <w:ilvl w:val="0"/>
                <w:numId w:val="63"/>
              </w:numPr>
              <w:shd w:val="clear" w:color="auto" w:fill="FFFFFF"/>
              <w:spacing w:before="0" w:after="0" w:line="240" w:lineRule="auto"/>
              <w:contextualSpacing/>
              <w:rPr>
                <w:rFonts w:ascii="Arial" w:hAnsi="Arial" w:cs="Arial"/>
                <w:szCs w:val="20"/>
              </w:rPr>
            </w:pPr>
            <w:r w:rsidRPr="00EB13F8">
              <w:rPr>
                <w:rFonts w:ascii="Arial" w:hAnsi="Arial" w:cs="Arial"/>
                <w:szCs w:val="20"/>
              </w:rPr>
              <w:t>seriousness of the non-compliance</w:t>
            </w:r>
            <w:r>
              <w:rPr>
                <w:rFonts w:ascii="Arial" w:hAnsi="Arial" w:cs="Arial"/>
                <w:szCs w:val="20"/>
              </w:rPr>
              <w:t>;</w:t>
            </w:r>
          </w:p>
          <w:p w14:paraId="11743C83" w14:textId="77777777" w:rsidR="0052682F" w:rsidRPr="00EB13F8" w:rsidRDefault="0052682F" w:rsidP="00510557">
            <w:pPr>
              <w:pStyle w:val="ListParagraph"/>
              <w:numPr>
                <w:ilvl w:val="0"/>
                <w:numId w:val="63"/>
              </w:numPr>
              <w:shd w:val="clear" w:color="auto" w:fill="FFFFFF"/>
              <w:spacing w:before="0" w:after="0" w:line="240" w:lineRule="auto"/>
              <w:contextualSpacing/>
              <w:rPr>
                <w:rFonts w:ascii="Arial" w:hAnsi="Arial" w:cs="Arial"/>
                <w:szCs w:val="20"/>
              </w:rPr>
            </w:pPr>
            <w:r w:rsidRPr="00EB13F8">
              <w:rPr>
                <w:rFonts w:ascii="Arial" w:hAnsi="Arial" w:cs="Arial"/>
                <w:szCs w:val="20"/>
              </w:rPr>
              <w:t>compliance history and regulatory posture of the entity</w:t>
            </w:r>
            <w:r>
              <w:rPr>
                <w:rFonts w:ascii="Arial" w:hAnsi="Arial" w:cs="Arial"/>
                <w:szCs w:val="20"/>
              </w:rPr>
              <w:t>;</w:t>
            </w:r>
          </w:p>
          <w:p w14:paraId="33422483" w14:textId="77777777" w:rsidR="0052682F" w:rsidRPr="00EB13F8" w:rsidRDefault="0052682F" w:rsidP="00510557">
            <w:pPr>
              <w:pStyle w:val="ListParagraph"/>
              <w:numPr>
                <w:ilvl w:val="0"/>
                <w:numId w:val="63"/>
              </w:numPr>
              <w:shd w:val="clear" w:color="auto" w:fill="FFFFFF"/>
              <w:spacing w:before="0" w:after="0" w:line="240" w:lineRule="auto"/>
              <w:contextualSpacing/>
              <w:rPr>
                <w:rFonts w:ascii="Arial" w:hAnsi="Arial" w:cs="Arial"/>
                <w:szCs w:val="20"/>
              </w:rPr>
            </w:pPr>
            <w:r w:rsidRPr="00EB13F8">
              <w:rPr>
                <w:rFonts w:ascii="Arial" w:hAnsi="Arial" w:cs="Arial"/>
                <w:szCs w:val="20"/>
              </w:rPr>
              <w:t>need for deterrence</w:t>
            </w:r>
            <w:r>
              <w:rPr>
                <w:rFonts w:ascii="Arial" w:hAnsi="Arial" w:cs="Arial"/>
                <w:szCs w:val="20"/>
              </w:rPr>
              <w:t>;</w:t>
            </w:r>
          </w:p>
          <w:p w14:paraId="0B7F94E7" w14:textId="77777777" w:rsidR="0052682F" w:rsidRPr="00EB13F8" w:rsidRDefault="0052682F" w:rsidP="00510557">
            <w:pPr>
              <w:pStyle w:val="ListParagraph"/>
              <w:numPr>
                <w:ilvl w:val="0"/>
                <w:numId w:val="63"/>
              </w:numPr>
              <w:shd w:val="clear" w:color="auto" w:fill="FFFFFF"/>
              <w:spacing w:before="0" w:after="0" w:line="240" w:lineRule="auto"/>
              <w:contextualSpacing/>
              <w:rPr>
                <w:rFonts w:ascii="Arial" w:hAnsi="Arial" w:cs="Arial"/>
                <w:szCs w:val="20"/>
              </w:rPr>
            </w:pPr>
            <w:r w:rsidRPr="00EB13F8">
              <w:rPr>
                <w:rFonts w:ascii="Arial" w:hAnsi="Arial" w:cs="Arial"/>
                <w:szCs w:val="20"/>
              </w:rPr>
              <w:t>facts of the matter at hand</w:t>
            </w:r>
            <w:r>
              <w:rPr>
                <w:rFonts w:ascii="Arial" w:hAnsi="Arial" w:cs="Arial"/>
                <w:szCs w:val="20"/>
              </w:rPr>
              <w:t>; and</w:t>
            </w:r>
          </w:p>
          <w:p w14:paraId="38801731" w14:textId="77777777" w:rsidR="0052682F" w:rsidRPr="00EB13F8" w:rsidRDefault="0052682F" w:rsidP="00510557">
            <w:pPr>
              <w:pStyle w:val="ListParagraph"/>
              <w:numPr>
                <w:ilvl w:val="0"/>
                <w:numId w:val="63"/>
              </w:numPr>
              <w:shd w:val="clear" w:color="auto" w:fill="FFFFFF"/>
              <w:spacing w:before="0" w:after="0" w:line="240" w:lineRule="auto"/>
              <w:contextualSpacing/>
              <w:rPr>
                <w:rFonts w:ascii="Arial" w:hAnsi="Arial" w:cs="Arial"/>
                <w:szCs w:val="20"/>
              </w:rPr>
            </w:pPr>
            <w:r w:rsidRPr="00EB13F8">
              <w:rPr>
                <w:rFonts w:ascii="Arial" w:hAnsi="Arial" w:cs="Arial"/>
                <w:szCs w:val="20"/>
              </w:rPr>
              <w:t>impact on Australia’s reputation or Australian interests overseas.</w:t>
            </w:r>
          </w:p>
        </w:tc>
      </w:tr>
    </w:tbl>
    <w:p w14:paraId="0825D78E" w14:textId="77777777" w:rsidR="0052682F" w:rsidRDefault="0052682F" w:rsidP="0052682F">
      <w:pPr>
        <w:pStyle w:val="NormalWeb"/>
        <w:shd w:val="clear" w:color="auto" w:fill="FFFFFF" w:themeFill="background1"/>
        <w:spacing w:before="240" w:beforeAutospacing="0" w:after="120" w:afterAutospacing="0" w:line="240" w:lineRule="auto"/>
        <w:rPr>
          <w:rFonts w:ascii="Arial" w:hAnsi="Arial" w:cs="Arial"/>
          <w:sz w:val="20"/>
          <w:szCs w:val="20"/>
          <w:lang w:eastAsia="en-US"/>
        </w:rPr>
      </w:pPr>
      <w:r w:rsidRPr="3A9E9E7F">
        <w:rPr>
          <w:rFonts w:ascii="Arial" w:hAnsi="Arial" w:cs="Arial"/>
          <w:sz w:val="20"/>
          <w:szCs w:val="20"/>
          <w:lang w:eastAsia="en-US"/>
        </w:rPr>
        <w:t xml:space="preserve">These principles inform the way in which the Department’s regulatory functions engages with industry including, wherever possible, working in partnership with regulated entities to manage and understand risk. This approach reflects the Department’s vision for voluntary compliance with the SOCI Act by owners and operators and ultimately, the effective management of security risks across all critical infrastructure sectors. </w:t>
      </w:r>
    </w:p>
    <w:p w14:paraId="2ECB1371" w14:textId="77777777" w:rsidR="0052682F" w:rsidRPr="009851ED" w:rsidRDefault="0052682F" w:rsidP="0052682F">
      <w:pPr>
        <w:pStyle w:val="NormalWeb"/>
        <w:shd w:val="clear" w:color="auto" w:fill="FFFFFF"/>
        <w:spacing w:beforeAutospacing="0" w:after="120" w:afterAutospacing="0" w:line="240"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Where non-compliance is observed, the range of options available include: </w:t>
      </w:r>
    </w:p>
    <w:p w14:paraId="3FB59A03"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education and engagement</w:t>
      </w:r>
    </w:p>
    <w:p w14:paraId="34E23544"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non-compliance and observation notices</w:t>
      </w:r>
    </w:p>
    <w:p w14:paraId="652232D0"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corrective action plans</w:t>
      </w:r>
    </w:p>
    <w:p w14:paraId="6C044FD8"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infringement notices</w:t>
      </w:r>
    </w:p>
    <w:p w14:paraId="7C77FC17"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directions</w:t>
      </w:r>
    </w:p>
    <w:p w14:paraId="220EEA7B"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enforceable undertakings</w:t>
      </w:r>
    </w:p>
    <w:p w14:paraId="3146285B"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enforcement orders</w:t>
      </w:r>
    </w:p>
    <w:p w14:paraId="6B870352"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suspension or revocation of authorisations</w:t>
      </w:r>
    </w:p>
    <w:p w14:paraId="35975FF1" w14:textId="77777777" w:rsidR="0052682F" w:rsidRPr="00355160" w:rsidRDefault="0052682F" w:rsidP="00510557">
      <w:pPr>
        <w:pStyle w:val="ListParagraph"/>
        <w:numPr>
          <w:ilvl w:val="0"/>
          <w:numId w:val="21"/>
        </w:numPr>
        <w:contextualSpacing/>
        <w:rPr>
          <w:rFonts w:ascii="Arial" w:hAnsi="Arial" w:cs="Arial"/>
          <w:szCs w:val="20"/>
        </w:rPr>
      </w:pPr>
      <w:r w:rsidRPr="00355160">
        <w:rPr>
          <w:rFonts w:ascii="Arial" w:hAnsi="Arial" w:cs="Arial"/>
          <w:szCs w:val="20"/>
        </w:rPr>
        <w:t>prosecution.</w:t>
      </w:r>
    </w:p>
    <w:p w14:paraId="0B4883D6" w14:textId="77777777" w:rsidR="0052682F" w:rsidRPr="009851ED" w:rsidRDefault="0052682F" w:rsidP="0052682F">
      <w:pPr>
        <w:shd w:val="clear" w:color="auto" w:fill="FFFFFF"/>
        <w:spacing w:after="120"/>
        <w:rPr>
          <w:rFonts w:ascii="Arial" w:hAnsi="Arial" w:cs="Arial"/>
          <w:szCs w:val="20"/>
        </w:rPr>
      </w:pPr>
      <w:r>
        <w:rPr>
          <w:rFonts w:ascii="Arial" w:hAnsi="Arial" w:cs="Arial"/>
          <w:szCs w:val="20"/>
        </w:rPr>
        <w:t xml:space="preserve">The Department selects the most appropriate approach to compliance, based on the objectives of the legislation. </w:t>
      </w:r>
      <w:r w:rsidRPr="009851ED">
        <w:rPr>
          <w:rFonts w:ascii="Arial" w:hAnsi="Arial" w:cs="Arial"/>
          <w:szCs w:val="20"/>
        </w:rPr>
        <w:t xml:space="preserve"> </w:t>
      </w:r>
    </w:p>
    <w:p w14:paraId="77F64FB4" w14:textId="77777777" w:rsidR="0052682F" w:rsidRDefault="0052682F" w:rsidP="0BBA59E1">
      <w:pPr>
        <w:shd w:val="clear" w:color="auto" w:fill="FFFFFF" w:themeFill="background2"/>
        <w:spacing w:after="120"/>
        <w:rPr>
          <w:rFonts w:ascii="Arial" w:hAnsi="Arial" w:cs="Arial"/>
        </w:rPr>
      </w:pPr>
      <w:r w:rsidRPr="0BBA59E1">
        <w:rPr>
          <w:rFonts w:ascii="Arial" w:hAnsi="Arial" w:cs="Arial"/>
        </w:rPr>
        <w:t xml:space="preserve">In 2023-24, the Department’s compliance focus has been on education and awareness. This approach has ensured that industry understands and seeks to comply with applicable obligations under the SOCI Act. </w:t>
      </w:r>
    </w:p>
    <w:p w14:paraId="3F5C979D" w14:textId="77777777" w:rsidR="0052682F" w:rsidRPr="00A302D4" w:rsidRDefault="0052682F" w:rsidP="0BBA59E1">
      <w:pPr>
        <w:shd w:val="clear" w:color="auto" w:fill="FFFFFF" w:themeFill="background2"/>
        <w:spacing w:after="120"/>
        <w:rPr>
          <w:rFonts w:ascii="Arial" w:hAnsi="Arial" w:cs="Arial"/>
        </w:rPr>
      </w:pPr>
      <w:r w:rsidRPr="0BBA59E1">
        <w:rPr>
          <w:rFonts w:ascii="Arial" w:hAnsi="Arial" w:cs="Arial"/>
        </w:rPr>
        <w:t xml:space="preserve">The CISC is currently undertaking a limited series of trial audits to test industry compliance with existing SOCI Act obligations. This will inform and guide the commencement of compliance audit activities in 2024-25, which will aim to balance education and awareness raising activities with compliance activities. This approach aims to effectively drive an uplift in regulated entity compliance. This approach will not impact on the transition period proposed by the Department for expanded obligations which arise from the amendments to the SOCI Act contemplated in this IA. </w:t>
      </w:r>
    </w:p>
    <w:p w14:paraId="5E31392D" w14:textId="77777777" w:rsidR="0052682F" w:rsidRDefault="0052682F" w:rsidP="0052682F">
      <w:pPr>
        <w:pStyle w:val="Heading3"/>
        <w:rPr>
          <w:rFonts w:ascii="Arial" w:hAnsi="Arial" w:cs="Arial"/>
        </w:rPr>
      </w:pPr>
      <w:bookmarkStart w:id="110" w:name="_Toc176182570"/>
      <w:r w:rsidRPr="00456BE4">
        <w:rPr>
          <w:rFonts w:ascii="Arial" w:hAnsi="Arial" w:cs="Arial"/>
        </w:rPr>
        <w:t>6.1.2 Challenges and risks to implementation</w:t>
      </w:r>
      <w:bookmarkEnd w:id="110"/>
    </w:p>
    <w:p w14:paraId="216B56B4" w14:textId="561FA932" w:rsidR="0052682F" w:rsidRDefault="0052682F" w:rsidP="0052682F">
      <w:pPr>
        <w:rPr>
          <w:rFonts w:ascii="Arial" w:hAnsi="Arial" w:cs="Arial"/>
          <w:szCs w:val="20"/>
        </w:rPr>
      </w:pPr>
      <w:r w:rsidRPr="00190431">
        <w:rPr>
          <w:rFonts w:ascii="Arial" w:hAnsi="Arial" w:cs="Arial"/>
          <w:szCs w:val="20"/>
        </w:rPr>
        <w:t>There are several challenges and risks which could impede the Department’s successfu</w:t>
      </w:r>
      <w:r w:rsidRPr="00631F6B">
        <w:rPr>
          <w:rFonts w:ascii="Arial" w:hAnsi="Arial" w:cs="Arial"/>
          <w:szCs w:val="20"/>
        </w:rPr>
        <w:t xml:space="preserve">l </w:t>
      </w:r>
      <w:r w:rsidRPr="00190431">
        <w:rPr>
          <w:rFonts w:ascii="Arial" w:hAnsi="Arial" w:cs="Arial"/>
          <w:szCs w:val="20"/>
        </w:rPr>
        <w:t>implementation of amendments to the SOCI Act. These challenges and risks are identified i</w:t>
      </w:r>
      <w:r w:rsidR="00EA3651">
        <w:rPr>
          <w:rFonts w:ascii="Arial" w:hAnsi="Arial" w:cs="Arial"/>
          <w:szCs w:val="20"/>
        </w:rPr>
        <w:t>n table 41</w:t>
      </w:r>
      <w:r w:rsidRPr="00190431">
        <w:rPr>
          <w:rFonts w:ascii="Arial" w:hAnsi="Arial" w:cs="Arial"/>
          <w:szCs w:val="20"/>
        </w:rPr>
        <w:t xml:space="preserve"> below, and rated in terms of their likelihood and consequence, in accordance with </w:t>
      </w:r>
      <w:r w:rsidRPr="00EA3651">
        <w:rPr>
          <w:rFonts w:ascii="Arial" w:hAnsi="Arial" w:cs="Arial"/>
          <w:szCs w:val="20"/>
        </w:rPr>
        <w:fldChar w:fldCharType="begin"/>
      </w:r>
      <w:r>
        <w:rPr>
          <w:rFonts w:ascii="Arial" w:hAnsi="Arial" w:cs="Arial"/>
          <w:szCs w:val="20"/>
        </w:rPr>
        <w:instrText xml:space="preserve"> REF _Ref163737272 \h  \* MERGEFORMAT </w:instrText>
      </w:r>
      <w:r w:rsidRPr="00EA3651">
        <w:rPr>
          <w:rFonts w:ascii="Arial" w:hAnsi="Arial" w:cs="Arial"/>
          <w:szCs w:val="20"/>
        </w:rPr>
      </w:r>
      <w:r w:rsidRPr="00EA3651">
        <w:rPr>
          <w:rFonts w:ascii="Arial" w:hAnsi="Arial" w:cs="Arial"/>
          <w:szCs w:val="20"/>
        </w:rPr>
        <w:fldChar w:fldCharType="separate"/>
      </w:r>
      <w:r w:rsidR="00E8506B" w:rsidRPr="00E8506B">
        <w:rPr>
          <w:rFonts w:ascii="Arial" w:hAnsi="Arial" w:cs="Arial"/>
          <w:szCs w:val="20"/>
        </w:rPr>
        <w:t>Table 40</w:t>
      </w:r>
      <w:r w:rsidRPr="00EA3651">
        <w:rPr>
          <w:rFonts w:ascii="Arial" w:hAnsi="Arial" w:cs="Arial"/>
          <w:szCs w:val="20"/>
        </w:rPr>
        <w:fldChar w:fldCharType="end"/>
      </w:r>
      <w:r w:rsidRPr="00B900D3">
        <w:rPr>
          <w:rFonts w:ascii="Arial" w:hAnsi="Arial" w:cs="Arial"/>
          <w:szCs w:val="20"/>
        </w:rPr>
        <w:t>.</w:t>
      </w:r>
      <w:r w:rsidRPr="00190431">
        <w:rPr>
          <w:rFonts w:ascii="Arial" w:hAnsi="Arial" w:cs="Arial"/>
          <w:szCs w:val="20"/>
        </w:rPr>
        <w:t xml:space="preserve"> </w:t>
      </w:r>
    </w:p>
    <w:p w14:paraId="2DEA0BB0" w14:textId="038A9887" w:rsidR="0052682F" w:rsidRPr="00307761" w:rsidRDefault="0052682F" w:rsidP="0052682F">
      <w:pPr>
        <w:pStyle w:val="Caption"/>
        <w:rPr>
          <w:rFonts w:ascii="Calibri" w:hAnsi="Calibri" w:cs="Calibri"/>
          <w:b w:val="0"/>
        </w:rPr>
      </w:pPr>
      <w:bookmarkStart w:id="111" w:name="_Ref163737272"/>
      <w:r w:rsidRPr="00307761">
        <w:rPr>
          <w:rFonts w:ascii="Calibri" w:hAnsi="Calibri" w:cs="Calibri"/>
          <w:bCs/>
        </w:rPr>
        <w:t xml:space="preserve">Table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Table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40</w:t>
      </w:r>
      <w:r w:rsidRPr="00307761">
        <w:rPr>
          <w:rFonts w:ascii="Calibri" w:hAnsi="Calibri" w:cs="Calibri"/>
          <w:bCs/>
          <w:color w:val="2B579A"/>
          <w:shd w:val="clear" w:color="auto" w:fill="E6E6E6"/>
        </w:rPr>
        <w:fldChar w:fldCharType="end"/>
      </w:r>
      <w:bookmarkEnd w:id="111"/>
      <w:r w:rsidRPr="00307761">
        <w:rPr>
          <w:rFonts w:ascii="Calibri" w:hAnsi="Calibri" w:cs="Calibri"/>
          <w:b w:val="0"/>
        </w:rPr>
        <w:t xml:space="preserve"> Likelihood and consequence ratings</w:t>
      </w:r>
    </w:p>
    <w:tbl>
      <w:tblPr>
        <w:tblStyle w:val="TableGridLight"/>
        <w:tblW w:w="964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35"/>
        <w:gridCol w:w="3117"/>
        <w:gridCol w:w="1632"/>
        <w:gridCol w:w="3562"/>
      </w:tblGrid>
      <w:tr w:rsidR="006038AE" w:rsidRPr="00940D7E" w14:paraId="1CC77AC0" w14:textId="77777777" w:rsidTr="009763A8">
        <w:trPr>
          <w:trHeight w:val="319"/>
        </w:trPr>
        <w:tc>
          <w:tcPr>
            <w:tcW w:w="1335" w:type="dxa"/>
            <w:shd w:val="clear" w:color="auto" w:fill="284B98"/>
            <w:vAlign w:val="center"/>
          </w:tcPr>
          <w:p w14:paraId="1A04D752" w14:textId="77777777" w:rsidR="006038AE" w:rsidRPr="00F1701F" w:rsidRDefault="006038AE" w:rsidP="004A163C">
            <w:pPr>
              <w:spacing w:before="120" w:after="120"/>
              <w:rPr>
                <w:rFonts w:ascii="Arial" w:hAnsi="Arial" w:cs="Arial"/>
                <w:b/>
                <w:bCs/>
                <w:color w:val="FFFFFF" w:themeColor="background1"/>
                <w:szCs w:val="20"/>
              </w:rPr>
            </w:pPr>
            <w:r>
              <w:rPr>
                <w:rFonts w:ascii="Arial" w:hAnsi="Arial" w:cs="Arial"/>
                <w:b/>
                <w:bCs/>
                <w:color w:val="FFFFFF" w:themeColor="background1"/>
                <w:szCs w:val="20"/>
              </w:rPr>
              <w:t>Likelihood</w:t>
            </w:r>
          </w:p>
        </w:tc>
        <w:tc>
          <w:tcPr>
            <w:tcW w:w="3117" w:type="dxa"/>
            <w:shd w:val="clear" w:color="auto" w:fill="284B98"/>
            <w:vAlign w:val="center"/>
          </w:tcPr>
          <w:p w14:paraId="06CF1FAE" w14:textId="75FA2FB3" w:rsidR="006038AE" w:rsidRPr="00F1701F" w:rsidRDefault="006038AE" w:rsidP="004A163C">
            <w:pPr>
              <w:spacing w:before="120" w:after="120"/>
              <w:rPr>
                <w:rFonts w:ascii="Arial" w:hAnsi="Arial" w:cs="Arial"/>
                <w:b/>
                <w:bCs/>
                <w:color w:val="FFFFFF" w:themeColor="background1"/>
                <w:szCs w:val="20"/>
              </w:rPr>
            </w:pPr>
          </w:p>
        </w:tc>
        <w:tc>
          <w:tcPr>
            <w:tcW w:w="1632" w:type="dxa"/>
            <w:shd w:val="clear" w:color="auto" w:fill="284B98"/>
          </w:tcPr>
          <w:p w14:paraId="5457308A" w14:textId="77777777" w:rsidR="006038AE" w:rsidRDefault="006038AE" w:rsidP="004A163C">
            <w:pPr>
              <w:spacing w:before="120" w:after="120"/>
              <w:rPr>
                <w:rFonts w:ascii="Arial" w:hAnsi="Arial" w:cs="Arial"/>
                <w:b/>
                <w:bCs/>
                <w:color w:val="FFFFFF" w:themeColor="background1"/>
                <w:szCs w:val="20"/>
              </w:rPr>
            </w:pPr>
            <w:r>
              <w:rPr>
                <w:rFonts w:ascii="Arial" w:hAnsi="Arial" w:cs="Arial"/>
                <w:b/>
                <w:bCs/>
                <w:color w:val="FFFFFF" w:themeColor="background1"/>
                <w:szCs w:val="20"/>
              </w:rPr>
              <w:t>Consequence</w:t>
            </w:r>
          </w:p>
        </w:tc>
        <w:tc>
          <w:tcPr>
            <w:tcW w:w="3562" w:type="dxa"/>
            <w:shd w:val="clear" w:color="auto" w:fill="284B98"/>
          </w:tcPr>
          <w:p w14:paraId="52FF074A" w14:textId="61A6BAC0" w:rsidR="006038AE" w:rsidRDefault="006038AE" w:rsidP="004A163C">
            <w:pPr>
              <w:spacing w:before="120" w:after="120"/>
              <w:rPr>
                <w:rFonts w:ascii="Arial" w:hAnsi="Arial" w:cs="Arial"/>
                <w:b/>
                <w:bCs/>
                <w:color w:val="FFFFFF" w:themeColor="background1"/>
                <w:szCs w:val="20"/>
              </w:rPr>
            </w:pPr>
          </w:p>
        </w:tc>
      </w:tr>
      <w:tr w:rsidR="0052682F" w:rsidRPr="00940D7E" w14:paraId="6471F57D" w14:textId="77777777" w:rsidTr="009763A8">
        <w:trPr>
          <w:trHeight w:val="319"/>
        </w:trPr>
        <w:tc>
          <w:tcPr>
            <w:tcW w:w="1335" w:type="dxa"/>
            <w:shd w:val="clear" w:color="auto" w:fill="F2F2F2" w:themeFill="background1" w:themeFillShade="F2"/>
            <w:vAlign w:val="center"/>
          </w:tcPr>
          <w:p w14:paraId="2BBCDB90" w14:textId="77777777" w:rsidR="0052682F" w:rsidRPr="00DB0F47" w:rsidRDefault="0052682F" w:rsidP="004A163C">
            <w:pPr>
              <w:spacing w:before="60" w:after="60"/>
              <w:contextualSpacing/>
              <w:rPr>
                <w:rFonts w:ascii="Arial" w:hAnsi="Arial" w:cs="Arial"/>
                <w:b/>
                <w:bCs/>
                <w:szCs w:val="20"/>
              </w:rPr>
            </w:pPr>
            <w:r>
              <w:rPr>
                <w:rFonts w:ascii="Arial" w:hAnsi="Arial" w:cs="Arial"/>
                <w:b/>
                <w:bCs/>
                <w:szCs w:val="20"/>
              </w:rPr>
              <w:t>Low</w:t>
            </w:r>
          </w:p>
        </w:tc>
        <w:tc>
          <w:tcPr>
            <w:tcW w:w="3117" w:type="dxa"/>
            <w:vAlign w:val="center"/>
          </w:tcPr>
          <w:p w14:paraId="073FE58E" w14:textId="77777777" w:rsidR="0052682F" w:rsidRPr="00400CBA" w:rsidRDefault="0052682F" w:rsidP="004A163C">
            <w:pPr>
              <w:spacing w:before="60" w:after="60"/>
              <w:contextualSpacing/>
              <w:rPr>
                <w:rFonts w:ascii="Arial" w:hAnsi="Arial" w:cs="Arial"/>
                <w:szCs w:val="20"/>
              </w:rPr>
            </w:pPr>
            <w:r w:rsidRPr="00BF38E1">
              <w:rPr>
                <w:rFonts w:ascii="Arial" w:hAnsi="Arial" w:cs="Arial"/>
                <w:szCs w:val="20"/>
              </w:rPr>
              <w:t>The identified risk or challenge</w:t>
            </w:r>
            <w:r>
              <w:rPr>
                <w:rFonts w:ascii="Arial" w:hAnsi="Arial" w:cs="Arial"/>
                <w:szCs w:val="20"/>
              </w:rPr>
              <w:t xml:space="preserve"> is u</w:t>
            </w:r>
            <w:r w:rsidRPr="00BF38E1">
              <w:rPr>
                <w:rFonts w:ascii="Arial" w:hAnsi="Arial" w:cs="Arial"/>
                <w:szCs w:val="20"/>
              </w:rPr>
              <w:t>nlikely to eventuate.</w:t>
            </w:r>
          </w:p>
        </w:tc>
        <w:tc>
          <w:tcPr>
            <w:tcW w:w="1632" w:type="dxa"/>
            <w:shd w:val="clear" w:color="auto" w:fill="BBDAFD" w:themeFill="accent1" w:themeFillTint="33"/>
            <w:vAlign w:val="center"/>
          </w:tcPr>
          <w:p w14:paraId="39561B94" w14:textId="77777777" w:rsidR="0052682F" w:rsidRPr="00FC26B3" w:rsidRDefault="0052682F" w:rsidP="004A163C">
            <w:pPr>
              <w:spacing w:before="60" w:after="60"/>
              <w:rPr>
                <w:rFonts w:ascii="Arial" w:hAnsi="Arial" w:cs="Arial"/>
                <w:b/>
                <w:bCs/>
                <w:szCs w:val="20"/>
              </w:rPr>
            </w:pPr>
            <w:r w:rsidRPr="00FC26B3">
              <w:rPr>
                <w:rFonts w:ascii="Arial" w:hAnsi="Arial" w:cs="Arial"/>
                <w:b/>
                <w:bCs/>
                <w:szCs w:val="20"/>
              </w:rPr>
              <w:t>Minimal</w:t>
            </w:r>
          </w:p>
        </w:tc>
        <w:tc>
          <w:tcPr>
            <w:tcW w:w="3562" w:type="dxa"/>
            <w:vAlign w:val="center"/>
          </w:tcPr>
          <w:p w14:paraId="376CCFF0" w14:textId="77777777" w:rsidR="0052682F" w:rsidRPr="00190431" w:rsidRDefault="0052682F" w:rsidP="004A163C">
            <w:pPr>
              <w:spacing w:before="60" w:after="60"/>
              <w:rPr>
                <w:rFonts w:ascii="Arial" w:hAnsi="Arial" w:cs="Arial"/>
                <w:szCs w:val="20"/>
              </w:rPr>
            </w:pPr>
            <w:r w:rsidRPr="00A9425A">
              <w:rPr>
                <w:rFonts w:ascii="Arial" w:hAnsi="Arial" w:cs="Arial"/>
                <w:szCs w:val="20"/>
              </w:rPr>
              <w:t xml:space="preserve">If the identified risk or challenge does eventuate, it would have a limited effect on the Department’s ability to implement the </w:t>
            </w:r>
            <w:r>
              <w:rPr>
                <w:rFonts w:ascii="Arial" w:hAnsi="Arial" w:cs="Arial"/>
                <w:szCs w:val="20"/>
              </w:rPr>
              <w:t xml:space="preserve">proposed measures.  </w:t>
            </w:r>
          </w:p>
        </w:tc>
      </w:tr>
      <w:tr w:rsidR="0052682F" w:rsidRPr="00940D7E" w14:paraId="3F9777CE" w14:textId="77777777" w:rsidTr="009763A8">
        <w:trPr>
          <w:trHeight w:val="319"/>
        </w:trPr>
        <w:tc>
          <w:tcPr>
            <w:tcW w:w="1335" w:type="dxa"/>
            <w:shd w:val="clear" w:color="auto" w:fill="E6E6E6" w:themeFill="background2" w:themeFillShade="E6"/>
            <w:vAlign w:val="center"/>
          </w:tcPr>
          <w:p w14:paraId="02E3AB4F" w14:textId="77777777" w:rsidR="0052682F" w:rsidRDefault="0052682F" w:rsidP="004A163C">
            <w:pPr>
              <w:spacing w:before="60" w:after="60"/>
              <w:contextualSpacing/>
              <w:rPr>
                <w:rFonts w:ascii="Arial" w:hAnsi="Arial" w:cs="Arial"/>
                <w:b/>
                <w:bCs/>
                <w:szCs w:val="20"/>
              </w:rPr>
            </w:pPr>
            <w:r>
              <w:rPr>
                <w:rFonts w:ascii="Arial" w:hAnsi="Arial" w:cs="Arial"/>
                <w:b/>
                <w:bCs/>
                <w:szCs w:val="20"/>
              </w:rPr>
              <w:t>Medium</w:t>
            </w:r>
          </w:p>
        </w:tc>
        <w:tc>
          <w:tcPr>
            <w:tcW w:w="3117" w:type="dxa"/>
            <w:vAlign w:val="center"/>
          </w:tcPr>
          <w:p w14:paraId="732FA294" w14:textId="77777777" w:rsidR="0052682F" w:rsidRPr="00400CBA" w:rsidRDefault="0052682F" w:rsidP="004A163C">
            <w:pPr>
              <w:spacing w:before="60" w:after="60"/>
              <w:contextualSpacing/>
              <w:rPr>
                <w:rFonts w:ascii="Arial" w:hAnsi="Arial" w:cs="Arial"/>
                <w:szCs w:val="20"/>
              </w:rPr>
            </w:pPr>
            <w:r w:rsidRPr="000C1F71">
              <w:rPr>
                <w:rFonts w:ascii="Arial" w:hAnsi="Arial" w:cs="Arial"/>
                <w:szCs w:val="20"/>
              </w:rPr>
              <w:t xml:space="preserve">It is reasonably possible that the identified risk or challenge </w:t>
            </w:r>
            <w:r>
              <w:rPr>
                <w:rFonts w:ascii="Arial" w:hAnsi="Arial" w:cs="Arial"/>
                <w:szCs w:val="20"/>
              </w:rPr>
              <w:t>will</w:t>
            </w:r>
            <w:r w:rsidRPr="000C1F71">
              <w:rPr>
                <w:rFonts w:ascii="Arial" w:hAnsi="Arial" w:cs="Arial"/>
                <w:szCs w:val="20"/>
              </w:rPr>
              <w:t xml:space="preserve"> eventuate.</w:t>
            </w:r>
          </w:p>
        </w:tc>
        <w:tc>
          <w:tcPr>
            <w:tcW w:w="1632" w:type="dxa"/>
            <w:shd w:val="clear" w:color="auto" w:fill="77B6FC" w:themeFill="accent1" w:themeFillTint="66"/>
            <w:vAlign w:val="center"/>
          </w:tcPr>
          <w:p w14:paraId="057D0068" w14:textId="77777777" w:rsidR="0052682F" w:rsidRPr="00FC26B3" w:rsidRDefault="0052682F" w:rsidP="004A163C">
            <w:pPr>
              <w:spacing w:before="60" w:after="60"/>
              <w:rPr>
                <w:rFonts w:ascii="Arial" w:hAnsi="Arial" w:cs="Arial"/>
                <w:b/>
                <w:bCs/>
                <w:szCs w:val="20"/>
              </w:rPr>
            </w:pPr>
            <w:r w:rsidRPr="00FC26B3">
              <w:rPr>
                <w:rFonts w:ascii="Arial" w:hAnsi="Arial" w:cs="Arial"/>
                <w:b/>
                <w:bCs/>
                <w:szCs w:val="20"/>
              </w:rPr>
              <w:t>Moderate</w:t>
            </w:r>
          </w:p>
        </w:tc>
        <w:tc>
          <w:tcPr>
            <w:tcW w:w="3562" w:type="dxa"/>
            <w:vAlign w:val="center"/>
          </w:tcPr>
          <w:p w14:paraId="27854AE8" w14:textId="77777777" w:rsidR="0052682F" w:rsidRPr="00190431" w:rsidRDefault="0052682F" w:rsidP="004A163C">
            <w:pPr>
              <w:spacing w:before="60" w:after="60"/>
              <w:rPr>
                <w:rFonts w:ascii="Arial" w:hAnsi="Arial" w:cs="Arial"/>
                <w:szCs w:val="20"/>
              </w:rPr>
            </w:pPr>
            <w:r w:rsidRPr="00C046F0">
              <w:rPr>
                <w:rFonts w:ascii="Arial" w:hAnsi="Arial" w:cs="Arial"/>
                <w:szCs w:val="20"/>
              </w:rPr>
              <w:t xml:space="preserve">If the identified risk or challenge does eventuate, it would have a substantial effect on the Department’s ability to implement the </w:t>
            </w:r>
            <w:r>
              <w:rPr>
                <w:rFonts w:ascii="Arial" w:hAnsi="Arial" w:cs="Arial"/>
                <w:szCs w:val="20"/>
              </w:rPr>
              <w:t>proposed measures</w:t>
            </w:r>
            <w:r w:rsidRPr="00C046F0">
              <w:rPr>
                <w:rFonts w:ascii="Arial" w:hAnsi="Arial" w:cs="Arial"/>
                <w:szCs w:val="20"/>
              </w:rPr>
              <w:t>.</w:t>
            </w:r>
          </w:p>
        </w:tc>
      </w:tr>
      <w:tr w:rsidR="0052682F" w:rsidRPr="00940D7E" w14:paraId="0E7232F7" w14:textId="77777777" w:rsidTr="009763A8">
        <w:trPr>
          <w:trHeight w:val="319"/>
        </w:trPr>
        <w:tc>
          <w:tcPr>
            <w:tcW w:w="1335" w:type="dxa"/>
            <w:shd w:val="clear" w:color="auto" w:fill="A6A6A6" w:themeFill="background1" w:themeFillShade="A6"/>
            <w:vAlign w:val="center"/>
          </w:tcPr>
          <w:p w14:paraId="30DBE54A" w14:textId="77777777" w:rsidR="0052682F" w:rsidRDefault="0052682F" w:rsidP="004A163C">
            <w:pPr>
              <w:spacing w:before="60" w:after="60"/>
              <w:contextualSpacing/>
              <w:rPr>
                <w:rFonts w:ascii="Arial" w:hAnsi="Arial" w:cs="Arial"/>
                <w:b/>
                <w:bCs/>
                <w:szCs w:val="20"/>
              </w:rPr>
            </w:pPr>
            <w:r>
              <w:rPr>
                <w:rFonts w:ascii="Arial" w:hAnsi="Arial" w:cs="Arial"/>
                <w:b/>
                <w:bCs/>
                <w:szCs w:val="20"/>
              </w:rPr>
              <w:t>High</w:t>
            </w:r>
          </w:p>
        </w:tc>
        <w:tc>
          <w:tcPr>
            <w:tcW w:w="3117" w:type="dxa"/>
            <w:vAlign w:val="center"/>
          </w:tcPr>
          <w:p w14:paraId="7EF81E59" w14:textId="77777777" w:rsidR="0052682F" w:rsidRPr="00400CBA" w:rsidRDefault="0052682F" w:rsidP="004A163C">
            <w:pPr>
              <w:spacing w:before="60" w:after="60"/>
              <w:contextualSpacing/>
              <w:rPr>
                <w:rFonts w:ascii="Arial" w:hAnsi="Arial" w:cs="Arial"/>
                <w:szCs w:val="20"/>
              </w:rPr>
            </w:pPr>
            <w:r w:rsidRPr="00CD506E">
              <w:rPr>
                <w:rFonts w:ascii="Arial" w:hAnsi="Arial" w:cs="Arial"/>
                <w:szCs w:val="20"/>
              </w:rPr>
              <w:t>It is likely that the identified risk or challenge w</w:t>
            </w:r>
            <w:r>
              <w:rPr>
                <w:rFonts w:ascii="Arial" w:hAnsi="Arial" w:cs="Arial"/>
                <w:szCs w:val="20"/>
              </w:rPr>
              <w:t xml:space="preserve">ill eventuate. </w:t>
            </w:r>
          </w:p>
        </w:tc>
        <w:tc>
          <w:tcPr>
            <w:tcW w:w="1632" w:type="dxa"/>
            <w:shd w:val="clear" w:color="auto" w:fill="3391FB" w:themeFill="accent1" w:themeFillTint="99"/>
            <w:vAlign w:val="center"/>
          </w:tcPr>
          <w:p w14:paraId="0FB12DB4" w14:textId="77777777" w:rsidR="0052682F" w:rsidRPr="00FC26B3" w:rsidRDefault="0052682F" w:rsidP="004A163C">
            <w:pPr>
              <w:spacing w:before="60" w:after="60"/>
              <w:rPr>
                <w:rFonts w:ascii="Arial" w:hAnsi="Arial" w:cs="Arial"/>
                <w:b/>
                <w:bCs/>
                <w:szCs w:val="20"/>
              </w:rPr>
            </w:pPr>
            <w:r w:rsidRPr="00FC26B3">
              <w:rPr>
                <w:rFonts w:ascii="Arial" w:hAnsi="Arial" w:cs="Arial"/>
                <w:b/>
                <w:bCs/>
                <w:szCs w:val="20"/>
              </w:rPr>
              <w:t>Severe</w:t>
            </w:r>
          </w:p>
        </w:tc>
        <w:tc>
          <w:tcPr>
            <w:tcW w:w="3562" w:type="dxa"/>
            <w:vAlign w:val="center"/>
          </w:tcPr>
          <w:p w14:paraId="1B32FF20" w14:textId="77777777" w:rsidR="0052682F" w:rsidRPr="00190431" w:rsidRDefault="0052682F" w:rsidP="004A163C">
            <w:pPr>
              <w:spacing w:before="60" w:after="60"/>
              <w:rPr>
                <w:rFonts w:ascii="Arial" w:hAnsi="Arial" w:cs="Arial"/>
                <w:szCs w:val="20"/>
              </w:rPr>
            </w:pPr>
            <w:r w:rsidRPr="00830D5F">
              <w:rPr>
                <w:rFonts w:ascii="Arial" w:hAnsi="Arial" w:cs="Arial"/>
                <w:szCs w:val="20"/>
              </w:rPr>
              <w:t xml:space="preserve">If the identified risk or challenge does eventuate, it would have a significant effect on the Department’s ability to implement the </w:t>
            </w:r>
            <w:r>
              <w:rPr>
                <w:rFonts w:ascii="Arial" w:hAnsi="Arial" w:cs="Arial"/>
                <w:szCs w:val="20"/>
              </w:rPr>
              <w:t>proposed measures</w:t>
            </w:r>
            <w:r w:rsidRPr="00830D5F">
              <w:rPr>
                <w:rFonts w:ascii="Arial" w:hAnsi="Arial" w:cs="Arial"/>
                <w:szCs w:val="20"/>
              </w:rPr>
              <w:t>.</w:t>
            </w:r>
          </w:p>
        </w:tc>
      </w:tr>
    </w:tbl>
    <w:p w14:paraId="4E19D405" w14:textId="77777777" w:rsidR="0052682F" w:rsidRDefault="0052682F" w:rsidP="0052682F">
      <w:pPr>
        <w:rPr>
          <w:rFonts w:ascii="Arial" w:hAnsi="Arial" w:cs="Arial"/>
        </w:rPr>
      </w:pPr>
    </w:p>
    <w:p w14:paraId="4FE796B0" w14:textId="39B351B3" w:rsidR="0052682F" w:rsidRPr="00A567AB" w:rsidRDefault="00E92E79" w:rsidP="0052682F">
      <w:pPr>
        <w:pStyle w:val="Caption"/>
        <w:rPr>
          <w:rFonts w:ascii="Calibri" w:hAnsi="Calibri" w:cs="Calibri"/>
          <w:b w:val="0"/>
        </w:rPr>
      </w:pPr>
      <w:r w:rsidRPr="00307761">
        <w:rPr>
          <w:rFonts w:ascii="Calibri" w:hAnsi="Calibri" w:cs="Calibri"/>
          <w:bCs/>
        </w:rPr>
        <w:t xml:space="preserve">Table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Table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41</w:t>
      </w:r>
      <w:r w:rsidRPr="00307761">
        <w:rPr>
          <w:rFonts w:ascii="Calibri" w:hAnsi="Calibri" w:cs="Calibri"/>
          <w:bCs/>
          <w:color w:val="2B579A"/>
          <w:shd w:val="clear" w:color="auto" w:fill="E6E6E6"/>
        </w:rPr>
        <w:fldChar w:fldCharType="end"/>
      </w:r>
      <w:r>
        <w:rPr>
          <w:rFonts w:ascii="Calibri" w:hAnsi="Calibri" w:cs="Calibri"/>
          <w:bCs/>
          <w:color w:val="2B579A"/>
          <w:shd w:val="clear" w:color="auto" w:fill="E6E6E6"/>
        </w:rPr>
        <w:t xml:space="preserve"> </w:t>
      </w:r>
      <w:r w:rsidR="0052682F" w:rsidRPr="00A567AB">
        <w:rPr>
          <w:rFonts w:ascii="Calibri" w:hAnsi="Calibri" w:cs="Calibri"/>
          <w:b w:val="0"/>
        </w:rPr>
        <w:t>Challenges and risks to implementation</w:t>
      </w:r>
    </w:p>
    <w:tbl>
      <w:tblPr>
        <w:tblStyle w:val="TableGrid"/>
        <w:tblW w:w="9581" w:type="dxa"/>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91"/>
        <w:gridCol w:w="1291"/>
        <w:gridCol w:w="1736"/>
        <w:gridCol w:w="3563"/>
      </w:tblGrid>
      <w:tr w:rsidR="0052682F" w:rsidRPr="00940D7E" w14:paraId="750C739B" w14:textId="77777777" w:rsidTr="009763A8">
        <w:trPr>
          <w:trHeight w:val="473"/>
          <w:tblHeader/>
        </w:trPr>
        <w:tc>
          <w:tcPr>
            <w:tcW w:w="2991" w:type="dxa"/>
            <w:shd w:val="clear" w:color="auto" w:fill="284B98"/>
          </w:tcPr>
          <w:p w14:paraId="028CB3BC" w14:textId="77777777" w:rsidR="0052682F" w:rsidRPr="00ED1153" w:rsidRDefault="0052682F" w:rsidP="004A163C">
            <w:pPr>
              <w:spacing w:before="120" w:after="120"/>
              <w:rPr>
                <w:rFonts w:ascii="Arial" w:hAnsi="Arial" w:cs="Arial"/>
                <w:b/>
                <w:bCs/>
                <w:color w:val="FFFFFF" w:themeColor="background1"/>
                <w:szCs w:val="20"/>
              </w:rPr>
            </w:pPr>
            <w:r w:rsidRPr="00ED1153">
              <w:rPr>
                <w:rFonts w:ascii="Arial" w:hAnsi="Arial" w:cs="Arial"/>
                <w:b/>
                <w:bCs/>
                <w:color w:val="FFFFFF" w:themeColor="background1"/>
                <w:szCs w:val="20"/>
              </w:rPr>
              <w:t>Challenge or risk</w:t>
            </w:r>
          </w:p>
        </w:tc>
        <w:tc>
          <w:tcPr>
            <w:tcW w:w="1291" w:type="dxa"/>
            <w:shd w:val="clear" w:color="auto" w:fill="284B98"/>
          </w:tcPr>
          <w:p w14:paraId="6AD7E5F2" w14:textId="77777777" w:rsidR="0052682F" w:rsidRPr="00ED1153" w:rsidRDefault="0052682F" w:rsidP="004A163C">
            <w:pPr>
              <w:spacing w:before="120" w:after="120"/>
              <w:rPr>
                <w:rFonts w:ascii="Arial" w:hAnsi="Arial" w:cs="Arial"/>
                <w:b/>
                <w:bCs/>
                <w:color w:val="FFFFFF" w:themeColor="background1"/>
                <w:szCs w:val="20"/>
              </w:rPr>
            </w:pPr>
            <w:r w:rsidRPr="00ED1153">
              <w:rPr>
                <w:rFonts w:ascii="Arial" w:hAnsi="Arial" w:cs="Arial"/>
                <w:b/>
                <w:bCs/>
                <w:color w:val="FFFFFF" w:themeColor="background1"/>
                <w:szCs w:val="20"/>
              </w:rPr>
              <w:t>Likelihood</w:t>
            </w:r>
          </w:p>
        </w:tc>
        <w:tc>
          <w:tcPr>
            <w:tcW w:w="1736" w:type="dxa"/>
            <w:shd w:val="clear" w:color="auto" w:fill="284B98"/>
          </w:tcPr>
          <w:p w14:paraId="779D6D06" w14:textId="77777777" w:rsidR="0052682F" w:rsidRPr="00ED1153" w:rsidRDefault="0052682F" w:rsidP="004A163C">
            <w:pPr>
              <w:spacing w:before="120" w:after="120"/>
              <w:rPr>
                <w:rFonts w:ascii="Arial" w:hAnsi="Arial" w:cs="Arial"/>
                <w:b/>
                <w:bCs/>
                <w:color w:val="FFFFFF" w:themeColor="background1"/>
                <w:szCs w:val="20"/>
              </w:rPr>
            </w:pPr>
            <w:r w:rsidRPr="00ED1153">
              <w:rPr>
                <w:rFonts w:ascii="Arial" w:hAnsi="Arial" w:cs="Arial"/>
                <w:b/>
                <w:bCs/>
                <w:color w:val="FFFFFF" w:themeColor="background1"/>
                <w:szCs w:val="20"/>
              </w:rPr>
              <w:t>Consequence</w:t>
            </w:r>
          </w:p>
        </w:tc>
        <w:tc>
          <w:tcPr>
            <w:tcW w:w="3563" w:type="dxa"/>
            <w:shd w:val="clear" w:color="auto" w:fill="284B98"/>
          </w:tcPr>
          <w:p w14:paraId="6D6C768A" w14:textId="77777777" w:rsidR="0052682F" w:rsidRPr="00ED1153" w:rsidRDefault="0052682F" w:rsidP="004A163C">
            <w:pPr>
              <w:spacing w:before="120" w:after="120"/>
              <w:rPr>
                <w:rFonts w:ascii="Arial" w:hAnsi="Arial" w:cs="Arial"/>
                <w:b/>
                <w:bCs/>
                <w:color w:val="FFFFFF" w:themeColor="background1"/>
                <w:szCs w:val="20"/>
              </w:rPr>
            </w:pPr>
            <w:r w:rsidRPr="00ED1153">
              <w:rPr>
                <w:rFonts w:ascii="Arial" w:hAnsi="Arial" w:cs="Arial"/>
                <w:b/>
                <w:bCs/>
                <w:color w:val="FFFFFF" w:themeColor="background1"/>
                <w:szCs w:val="20"/>
              </w:rPr>
              <w:t>Management</w:t>
            </w:r>
          </w:p>
        </w:tc>
      </w:tr>
      <w:tr w:rsidR="0052682F" w:rsidRPr="00940D7E" w14:paraId="4DDE5AF5" w14:textId="77777777" w:rsidTr="009763A8">
        <w:trPr>
          <w:trHeight w:val="3710"/>
        </w:trPr>
        <w:tc>
          <w:tcPr>
            <w:tcW w:w="2991" w:type="dxa"/>
            <w:vAlign w:val="center"/>
          </w:tcPr>
          <w:p w14:paraId="79BBFBAA" w14:textId="77777777" w:rsidR="0052682F" w:rsidRPr="00C3215C" w:rsidRDefault="0052682F" w:rsidP="004A163C">
            <w:pPr>
              <w:rPr>
                <w:rFonts w:ascii="Arial" w:hAnsi="Arial" w:cs="Arial"/>
              </w:rPr>
            </w:pPr>
            <w:r w:rsidRPr="00C3215C">
              <w:rPr>
                <w:rFonts w:ascii="Arial" w:hAnsi="Arial" w:cs="Arial"/>
                <w:b/>
                <w:bCs/>
                <w:szCs w:val="20"/>
              </w:rPr>
              <w:t>Lack of industry awareness of amendments:</w:t>
            </w:r>
            <w:r w:rsidRPr="00C3215C">
              <w:rPr>
                <w:rFonts w:ascii="Arial" w:hAnsi="Arial" w:cs="Arial"/>
                <w:szCs w:val="20"/>
              </w:rPr>
              <w:t xml:space="preserve"> Some industry stakeholders may be unaware of the amendments, or the extent of their obligations under the amended SOCI Act</w:t>
            </w:r>
          </w:p>
        </w:tc>
        <w:tc>
          <w:tcPr>
            <w:tcW w:w="1291" w:type="dxa"/>
            <w:shd w:val="clear" w:color="auto" w:fill="F2F2F2" w:themeFill="background1" w:themeFillShade="F2"/>
            <w:vAlign w:val="center"/>
          </w:tcPr>
          <w:p w14:paraId="3BB29A6D" w14:textId="77777777" w:rsidR="0052682F" w:rsidRPr="00414DFD" w:rsidRDefault="0052682F" w:rsidP="004A163C">
            <w:pPr>
              <w:jc w:val="center"/>
              <w:rPr>
                <w:rFonts w:ascii="Arial" w:hAnsi="Arial" w:cs="Arial"/>
                <w:b/>
                <w:bCs/>
                <w:szCs w:val="20"/>
              </w:rPr>
            </w:pPr>
            <w:r w:rsidRPr="00414DFD">
              <w:rPr>
                <w:rFonts w:ascii="Arial" w:hAnsi="Arial" w:cs="Arial"/>
                <w:b/>
                <w:bCs/>
                <w:szCs w:val="20"/>
              </w:rPr>
              <w:t>Low</w:t>
            </w:r>
          </w:p>
        </w:tc>
        <w:tc>
          <w:tcPr>
            <w:tcW w:w="1736" w:type="dxa"/>
            <w:shd w:val="clear" w:color="auto" w:fill="3391FB" w:themeFill="accent1" w:themeFillTint="99"/>
            <w:vAlign w:val="center"/>
          </w:tcPr>
          <w:p w14:paraId="4DDB1034" w14:textId="77777777" w:rsidR="0052682F" w:rsidRDefault="0052682F" w:rsidP="004A163C">
            <w:pPr>
              <w:jc w:val="center"/>
              <w:rPr>
                <w:rFonts w:ascii="Arial" w:hAnsi="Arial" w:cs="Arial"/>
              </w:rPr>
            </w:pPr>
            <w:r>
              <w:rPr>
                <w:rFonts w:ascii="Arial" w:hAnsi="Arial" w:cs="Arial"/>
                <w:b/>
                <w:bCs/>
                <w:szCs w:val="20"/>
              </w:rPr>
              <w:t>Severe</w:t>
            </w:r>
          </w:p>
        </w:tc>
        <w:tc>
          <w:tcPr>
            <w:tcW w:w="3563" w:type="dxa"/>
          </w:tcPr>
          <w:p w14:paraId="6809751A" w14:textId="77777777" w:rsidR="0052682F" w:rsidRPr="005D7692" w:rsidRDefault="0052682F" w:rsidP="004A163C">
            <w:pPr>
              <w:rPr>
                <w:rFonts w:ascii="Arial" w:hAnsi="Arial" w:cs="Arial"/>
                <w:szCs w:val="20"/>
              </w:rPr>
            </w:pPr>
            <w:r w:rsidRPr="3A9E9E7F">
              <w:rPr>
                <w:rFonts w:ascii="Arial" w:hAnsi="Arial" w:cs="Arial"/>
                <w:szCs w:val="20"/>
              </w:rPr>
              <w:t xml:space="preserve">The Department has led consultation with </w:t>
            </w:r>
            <w:r>
              <w:rPr>
                <w:rFonts w:ascii="Arial" w:hAnsi="Arial" w:cs="Arial"/>
                <w:szCs w:val="20"/>
              </w:rPr>
              <w:t>i</w:t>
            </w:r>
            <w:r w:rsidRPr="3A9E9E7F">
              <w:rPr>
                <w:rFonts w:ascii="Arial" w:hAnsi="Arial" w:cs="Arial"/>
                <w:szCs w:val="20"/>
              </w:rPr>
              <w:t>ndustry, to provide context on the proposed reforms</w:t>
            </w:r>
            <w:r>
              <w:rPr>
                <w:rFonts w:ascii="Arial" w:hAnsi="Arial" w:cs="Arial"/>
                <w:szCs w:val="20"/>
              </w:rPr>
              <w:t xml:space="preserve"> and elicit feedback</w:t>
            </w:r>
            <w:r w:rsidRPr="3A9E9E7F">
              <w:rPr>
                <w:rFonts w:ascii="Arial" w:hAnsi="Arial" w:cs="Arial"/>
                <w:szCs w:val="20"/>
              </w:rPr>
              <w:t xml:space="preserve">. This consultation included town hall forums, round tables, and open feedback forums. Consequently, it appears unlikely that any affected entities would be unaware of the upcoming introduction of the reform measures to the SOCI Act. Following a presentation to </w:t>
            </w:r>
            <w:r>
              <w:rPr>
                <w:rFonts w:ascii="Arial" w:hAnsi="Arial" w:cs="Arial"/>
                <w:szCs w:val="20"/>
              </w:rPr>
              <w:t>i</w:t>
            </w:r>
            <w:r w:rsidRPr="3A9E9E7F">
              <w:rPr>
                <w:rFonts w:ascii="Arial" w:hAnsi="Arial" w:cs="Arial"/>
                <w:szCs w:val="20"/>
              </w:rPr>
              <w:t>ndustry of the Draft IA; consultation period provided a further opportunity to build industry’s awareness of, and receive feedback on, the proposed measures.</w:t>
            </w:r>
          </w:p>
        </w:tc>
      </w:tr>
      <w:tr w:rsidR="0052682F" w:rsidRPr="00940D7E" w14:paraId="158DB63C" w14:textId="77777777" w:rsidTr="009763A8">
        <w:trPr>
          <w:trHeight w:val="145"/>
        </w:trPr>
        <w:tc>
          <w:tcPr>
            <w:tcW w:w="2991" w:type="dxa"/>
            <w:vAlign w:val="center"/>
          </w:tcPr>
          <w:p w14:paraId="66545426" w14:textId="77777777" w:rsidR="0052682F" w:rsidRPr="00414DFD" w:rsidRDefault="0052682F" w:rsidP="004A163C">
            <w:pPr>
              <w:rPr>
                <w:rFonts w:ascii="Arial" w:hAnsi="Arial" w:cs="Arial"/>
                <w:szCs w:val="20"/>
              </w:rPr>
            </w:pPr>
            <w:r w:rsidRPr="00414DFD">
              <w:rPr>
                <w:rFonts w:ascii="Arial" w:hAnsi="Arial" w:cs="Arial"/>
                <w:b/>
                <w:bCs/>
                <w:szCs w:val="20"/>
              </w:rPr>
              <w:t>Government capability</w:t>
            </w:r>
            <w:r w:rsidRPr="00414DFD">
              <w:rPr>
                <w:rFonts w:ascii="Arial" w:hAnsi="Arial" w:cs="Arial"/>
                <w:szCs w:val="20"/>
              </w:rPr>
              <w:t>: Insufficient funding or understaffing could impact on the effectiveness of the proposed reforms</w:t>
            </w:r>
            <w:r>
              <w:rPr>
                <w:rFonts w:ascii="Arial" w:hAnsi="Arial" w:cs="Arial"/>
                <w:szCs w:val="20"/>
              </w:rPr>
              <w:t>, especially in relation to compliance activities.</w:t>
            </w:r>
          </w:p>
        </w:tc>
        <w:tc>
          <w:tcPr>
            <w:tcW w:w="1291" w:type="dxa"/>
            <w:shd w:val="clear" w:color="auto" w:fill="E6E6E6" w:themeFill="background2" w:themeFillShade="E6"/>
            <w:vAlign w:val="center"/>
          </w:tcPr>
          <w:p w14:paraId="4C2D2C44" w14:textId="77777777" w:rsidR="0052682F" w:rsidRDefault="0052682F" w:rsidP="004A163C">
            <w:pPr>
              <w:jc w:val="center"/>
              <w:rPr>
                <w:rFonts w:ascii="Arial" w:hAnsi="Arial" w:cs="Arial"/>
              </w:rPr>
            </w:pPr>
            <w:r>
              <w:rPr>
                <w:rFonts w:ascii="Arial" w:hAnsi="Arial" w:cs="Arial"/>
                <w:b/>
                <w:bCs/>
                <w:szCs w:val="20"/>
              </w:rPr>
              <w:t>Medium</w:t>
            </w:r>
          </w:p>
        </w:tc>
        <w:tc>
          <w:tcPr>
            <w:tcW w:w="1736" w:type="dxa"/>
            <w:shd w:val="clear" w:color="auto" w:fill="3391FB" w:themeFill="accent1" w:themeFillTint="99"/>
            <w:vAlign w:val="center"/>
          </w:tcPr>
          <w:p w14:paraId="7C080D35" w14:textId="77777777" w:rsidR="0052682F" w:rsidRDefault="0052682F" w:rsidP="004A163C">
            <w:pPr>
              <w:jc w:val="center"/>
              <w:rPr>
                <w:rFonts w:ascii="Arial" w:hAnsi="Arial" w:cs="Arial"/>
              </w:rPr>
            </w:pPr>
            <w:r>
              <w:rPr>
                <w:rFonts w:ascii="Arial" w:hAnsi="Arial" w:cs="Arial"/>
                <w:b/>
                <w:bCs/>
                <w:szCs w:val="20"/>
              </w:rPr>
              <w:t>Severe</w:t>
            </w:r>
          </w:p>
        </w:tc>
        <w:tc>
          <w:tcPr>
            <w:tcW w:w="3563" w:type="dxa"/>
          </w:tcPr>
          <w:p w14:paraId="5BEFA8A8" w14:textId="77777777" w:rsidR="0052682F" w:rsidRPr="000805D0" w:rsidRDefault="0052682F" w:rsidP="004A163C">
            <w:pPr>
              <w:rPr>
                <w:rFonts w:ascii="Arial" w:hAnsi="Arial" w:cs="Arial"/>
                <w:szCs w:val="20"/>
              </w:rPr>
            </w:pPr>
            <w:r w:rsidRPr="11649716">
              <w:rPr>
                <w:rFonts w:ascii="Arial" w:hAnsi="Arial" w:cs="Arial"/>
                <w:szCs w:val="20"/>
              </w:rPr>
              <w:t xml:space="preserve">The Department will be able to utilise current resourcing for Measures 1 and 3. </w:t>
            </w:r>
          </w:p>
          <w:p w14:paraId="14261F5C" w14:textId="77777777" w:rsidR="0052682F" w:rsidRPr="000805D0" w:rsidRDefault="0052682F" w:rsidP="004A163C">
            <w:pPr>
              <w:rPr>
                <w:rFonts w:ascii="Arial" w:hAnsi="Arial" w:cs="Arial"/>
                <w:szCs w:val="20"/>
              </w:rPr>
            </w:pPr>
            <w:r>
              <w:rPr>
                <w:rFonts w:ascii="Arial" w:hAnsi="Arial" w:cs="Arial"/>
                <w:szCs w:val="20"/>
              </w:rPr>
              <w:t>F</w:t>
            </w:r>
            <w:r w:rsidRPr="3A9E9E7F">
              <w:rPr>
                <w:rFonts w:ascii="Arial" w:hAnsi="Arial" w:cs="Arial"/>
                <w:szCs w:val="20"/>
              </w:rPr>
              <w:t xml:space="preserve">or Measure 2, </w:t>
            </w:r>
            <w:r>
              <w:rPr>
                <w:rFonts w:ascii="Arial" w:hAnsi="Arial" w:cs="Arial"/>
                <w:szCs w:val="20"/>
              </w:rPr>
              <w:t>resourcing and capability development may be required</w:t>
            </w:r>
            <w:r w:rsidRPr="3A9E9E7F">
              <w:rPr>
                <w:rFonts w:ascii="Arial" w:hAnsi="Arial" w:cs="Arial"/>
                <w:szCs w:val="20"/>
              </w:rPr>
              <w:t xml:space="preserve"> to ensure officials engaging with industry are knowledgeable, highly skilled at identifying vulnerabilities in critical infrastructure assets, and are able to support the Department’s regulatory role. </w:t>
            </w:r>
          </w:p>
        </w:tc>
      </w:tr>
      <w:tr w:rsidR="0052682F" w:rsidRPr="00940D7E" w14:paraId="434FE502" w14:textId="77777777" w:rsidTr="009763A8">
        <w:trPr>
          <w:trHeight w:val="1387"/>
        </w:trPr>
        <w:tc>
          <w:tcPr>
            <w:tcW w:w="2991" w:type="dxa"/>
            <w:vAlign w:val="center"/>
          </w:tcPr>
          <w:p w14:paraId="7894DCE8" w14:textId="77777777" w:rsidR="0052682F" w:rsidRPr="00414DFD" w:rsidRDefault="0052682F" w:rsidP="004A163C">
            <w:pPr>
              <w:rPr>
                <w:rFonts w:ascii="Arial" w:hAnsi="Arial" w:cs="Arial"/>
                <w:szCs w:val="20"/>
              </w:rPr>
            </w:pPr>
            <w:r w:rsidRPr="00414DFD">
              <w:rPr>
                <w:rFonts w:ascii="Arial" w:hAnsi="Arial" w:cs="Arial"/>
                <w:b/>
                <w:bCs/>
                <w:szCs w:val="20"/>
              </w:rPr>
              <w:t>Implementation costs:</w:t>
            </w:r>
            <w:r w:rsidRPr="00414DFD">
              <w:rPr>
                <w:rFonts w:ascii="Arial" w:hAnsi="Arial" w:cs="Arial"/>
                <w:szCs w:val="20"/>
              </w:rPr>
              <w:t xml:space="preserve"> There is a risk that the expected costs of implementation are either over or underestimated by industry and within this </w:t>
            </w:r>
            <w:r>
              <w:rPr>
                <w:rFonts w:ascii="Arial" w:hAnsi="Arial" w:cs="Arial"/>
                <w:szCs w:val="20"/>
              </w:rPr>
              <w:t>IA.</w:t>
            </w:r>
          </w:p>
        </w:tc>
        <w:tc>
          <w:tcPr>
            <w:tcW w:w="1291" w:type="dxa"/>
            <w:shd w:val="clear" w:color="auto" w:fill="E6E6E6" w:themeFill="background2" w:themeFillShade="E6"/>
            <w:vAlign w:val="center"/>
          </w:tcPr>
          <w:p w14:paraId="01EBAA91" w14:textId="77777777" w:rsidR="0052682F" w:rsidRDefault="0052682F" w:rsidP="004A163C">
            <w:pPr>
              <w:jc w:val="center"/>
              <w:rPr>
                <w:rFonts w:ascii="Arial" w:hAnsi="Arial" w:cs="Arial"/>
              </w:rPr>
            </w:pPr>
            <w:r>
              <w:rPr>
                <w:rFonts w:ascii="Arial" w:hAnsi="Arial" w:cs="Arial"/>
                <w:b/>
                <w:bCs/>
                <w:szCs w:val="20"/>
              </w:rPr>
              <w:t>Medium</w:t>
            </w:r>
          </w:p>
        </w:tc>
        <w:tc>
          <w:tcPr>
            <w:tcW w:w="1736" w:type="dxa"/>
            <w:shd w:val="clear" w:color="auto" w:fill="77B6FC" w:themeFill="accent1" w:themeFillTint="66"/>
            <w:vAlign w:val="center"/>
          </w:tcPr>
          <w:p w14:paraId="48FB40EF" w14:textId="77777777" w:rsidR="0052682F" w:rsidRDefault="0052682F" w:rsidP="004A163C">
            <w:pPr>
              <w:jc w:val="center"/>
              <w:rPr>
                <w:rFonts w:ascii="Arial" w:hAnsi="Arial" w:cs="Arial"/>
              </w:rPr>
            </w:pPr>
            <w:r>
              <w:rPr>
                <w:rFonts w:ascii="Arial" w:hAnsi="Arial" w:cs="Arial"/>
                <w:b/>
                <w:bCs/>
                <w:szCs w:val="20"/>
              </w:rPr>
              <w:t>Moderate</w:t>
            </w:r>
          </w:p>
        </w:tc>
        <w:tc>
          <w:tcPr>
            <w:tcW w:w="3563" w:type="dxa"/>
          </w:tcPr>
          <w:p w14:paraId="69F6FCDF" w14:textId="77777777" w:rsidR="0052682F" w:rsidRPr="000805D0" w:rsidRDefault="0052682F" w:rsidP="004A163C">
            <w:pPr>
              <w:rPr>
                <w:rFonts w:ascii="Arial" w:hAnsi="Arial" w:cs="Arial"/>
                <w:szCs w:val="20"/>
              </w:rPr>
            </w:pPr>
            <w:r w:rsidRPr="000805D0">
              <w:rPr>
                <w:rFonts w:ascii="Arial" w:hAnsi="Arial" w:cs="Arial"/>
                <w:szCs w:val="20"/>
              </w:rPr>
              <w:t xml:space="preserve">Requesting that industry include a cost range when providing costing data </w:t>
            </w:r>
            <w:r>
              <w:rPr>
                <w:rFonts w:ascii="Arial" w:hAnsi="Arial" w:cs="Arial"/>
                <w:szCs w:val="20"/>
              </w:rPr>
              <w:t>may</w:t>
            </w:r>
            <w:r w:rsidRPr="000805D0">
              <w:rPr>
                <w:rFonts w:ascii="Arial" w:hAnsi="Arial" w:cs="Arial"/>
                <w:szCs w:val="20"/>
              </w:rPr>
              <w:t xml:space="preserve"> mitigate the risk that costs to industry could be higher than anticipated.</w:t>
            </w:r>
          </w:p>
        </w:tc>
      </w:tr>
    </w:tbl>
    <w:p w14:paraId="6B114A14" w14:textId="77777777" w:rsidR="0052682F" w:rsidRPr="00471D60" w:rsidRDefault="0052682F" w:rsidP="0052682F">
      <w:pPr>
        <w:rPr>
          <w:rFonts w:ascii="Arial" w:hAnsi="Arial" w:cs="Arial"/>
        </w:rPr>
      </w:pPr>
      <w:r w:rsidRPr="00D15081">
        <w:rPr>
          <w:rFonts w:ascii="Arial" w:hAnsi="Arial" w:cs="Arial"/>
        </w:rPr>
        <w:br w:type="page"/>
      </w:r>
    </w:p>
    <w:p w14:paraId="1153BEA1" w14:textId="77777777" w:rsidR="0052682F" w:rsidRPr="0052682F" w:rsidRDefault="0052682F" w:rsidP="00510557">
      <w:pPr>
        <w:pStyle w:val="Heading1"/>
        <w:widowControl/>
        <w:numPr>
          <w:ilvl w:val="0"/>
          <w:numId w:val="26"/>
        </w:numPr>
        <w:spacing w:before="240" w:after="0" w:line="259" w:lineRule="auto"/>
        <w:rPr>
          <w:rFonts w:ascii="Arial" w:hAnsi="Arial"/>
          <w:sz w:val="32"/>
          <w:szCs w:val="32"/>
        </w:rPr>
      </w:pPr>
      <w:bookmarkStart w:id="112" w:name="_How_will_you"/>
      <w:bookmarkStart w:id="113" w:name="_Toc164683846"/>
      <w:bookmarkStart w:id="114" w:name="_Toc176183948"/>
      <w:bookmarkEnd w:id="112"/>
      <w:r w:rsidRPr="0052682F">
        <w:rPr>
          <w:rFonts w:ascii="Arial" w:hAnsi="Arial"/>
          <w:sz w:val="32"/>
          <w:szCs w:val="32"/>
        </w:rPr>
        <w:t>How will you evaluate your chosen option against the success metrics?</w:t>
      </w:r>
      <w:bookmarkEnd w:id="113"/>
      <w:bookmarkEnd w:id="114"/>
    </w:p>
    <w:p w14:paraId="54C4E68D" w14:textId="77777777" w:rsidR="0052682F" w:rsidRDefault="0052682F" w:rsidP="0052682F">
      <w:pPr>
        <w:pStyle w:val="Heading2"/>
        <w:rPr>
          <w:rFonts w:ascii="Arial" w:hAnsi="Arial"/>
        </w:rPr>
      </w:pPr>
      <w:bookmarkStart w:id="115" w:name="_Toc164683847"/>
      <w:bookmarkStart w:id="116" w:name="_Toc176183949"/>
      <w:r w:rsidRPr="2F6B7F1D">
        <w:rPr>
          <w:rFonts w:ascii="Arial" w:hAnsi="Arial"/>
        </w:rPr>
        <w:t>7.1 Approach to evaluation</w:t>
      </w:r>
      <w:bookmarkEnd w:id="115"/>
      <w:bookmarkEnd w:id="116"/>
    </w:p>
    <w:p w14:paraId="20CD94AE" w14:textId="77777777" w:rsidR="0052682F" w:rsidRPr="003F7568" w:rsidRDefault="0052682F" w:rsidP="0052682F">
      <w:pPr>
        <w:rPr>
          <w:rFonts w:ascii="Arial" w:hAnsi="Arial" w:cs="Arial"/>
          <w:szCs w:val="20"/>
        </w:rPr>
      </w:pPr>
      <w:r w:rsidRPr="003F7568">
        <w:rPr>
          <w:rFonts w:ascii="Arial" w:hAnsi="Arial" w:cs="Arial"/>
          <w:szCs w:val="20"/>
        </w:rPr>
        <w:t>The effectiveness of</w:t>
      </w:r>
      <w:r>
        <w:rPr>
          <w:rFonts w:ascii="Arial" w:hAnsi="Arial" w:cs="Arial"/>
          <w:szCs w:val="20"/>
        </w:rPr>
        <w:t xml:space="preserve"> the proposed</w:t>
      </w:r>
      <w:r w:rsidRPr="003F7568">
        <w:rPr>
          <w:rFonts w:ascii="Arial" w:hAnsi="Arial" w:cs="Arial"/>
          <w:szCs w:val="20"/>
        </w:rPr>
        <w:t xml:space="preserve"> amendments to the SOCI Act will be assessed on an ongoing basis. This will include through </w:t>
      </w:r>
      <w:r>
        <w:rPr>
          <w:rFonts w:ascii="Arial" w:hAnsi="Arial" w:cs="Arial"/>
          <w:szCs w:val="20"/>
        </w:rPr>
        <w:t>Parliamentary</w:t>
      </w:r>
      <w:r w:rsidRPr="003F7568">
        <w:rPr>
          <w:rFonts w:ascii="Arial" w:hAnsi="Arial" w:cs="Arial"/>
          <w:szCs w:val="20"/>
        </w:rPr>
        <w:t xml:space="preserve"> processes and ad hoc feedback from industry and Government stakeholders</w:t>
      </w:r>
      <w:r>
        <w:rPr>
          <w:rFonts w:ascii="Arial" w:hAnsi="Arial" w:cs="Arial"/>
          <w:szCs w:val="20"/>
        </w:rPr>
        <w:t xml:space="preserve"> (including through mechanisms such as the TISN)</w:t>
      </w:r>
      <w:r w:rsidRPr="003F7568">
        <w:rPr>
          <w:rFonts w:ascii="Arial" w:hAnsi="Arial" w:cs="Arial"/>
          <w:szCs w:val="20"/>
        </w:rPr>
        <w:t xml:space="preserve">. </w:t>
      </w:r>
    </w:p>
    <w:p w14:paraId="5F0AF73A" w14:textId="7A679EA7" w:rsidR="003B580E" w:rsidRDefault="0052682F" w:rsidP="0052682F">
      <w:pPr>
        <w:rPr>
          <w:rFonts w:ascii="Arial" w:hAnsi="Arial" w:cs="Arial"/>
          <w:szCs w:val="20"/>
        </w:rPr>
      </w:pPr>
      <w:r w:rsidRPr="003F7568">
        <w:rPr>
          <w:rFonts w:ascii="Arial" w:hAnsi="Arial" w:cs="Arial"/>
          <w:szCs w:val="20"/>
        </w:rPr>
        <w:t xml:space="preserve">Mechanisms for review of the amendments are outlined in </w:t>
      </w:r>
      <w:r w:rsidRPr="009F72DB">
        <w:rPr>
          <w:rFonts w:ascii="Arial" w:hAnsi="Arial" w:cs="Arial"/>
          <w:szCs w:val="20"/>
        </w:rPr>
        <w:t xml:space="preserve">Figure </w:t>
      </w:r>
      <w:r w:rsidR="00B21FC2">
        <w:rPr>
          <w:rFonts w:ascii="Arial" w:hAnsi="Arial" w:cs="Arial"/>
          <w:szCs w:val="20"/>
        </w:rPr>
        <w:t xml:space="preserve">2 </w:t>
      </w:r>
      <w:r w:rsidRPr="003F7568">
        <w:rPr>
          <w:rFonts w:ascii="Arial" w:hAnsi="Arial" w:cs="Arial"/>
          <w:szCs w:val="20"/>
        </w:rPr>
        <w:t xml:space="preserve">below. </w:t>
      </w:r>
    </w:p>
    <w:p w14:paraId="3E7D604D" w14:textId="77777777" w:rsidR="00C139E6" w:rsidRPr="00307761" w:rsidRDefault="00C139E6" w:rsidP="00C139E6">
      <w:pPr>
        <w:pStyle w:val="Caption"/>
        <w:rPr>
          <w:rFonts w:ascii="Calibri" w:hAnsi="Calibri" w:cs="Calibri"/>
          <w:b w:val="0"/>
          <w:noProof/>
        </w:rPr>
      </w:pPr>
      <w:r w:rsidRPr="00307761">
        <w:rPr>
          <w:rFonts w:ascii="Calibri" w:hAnsi="Calibri" w:cs="Calibri"/>
          <w:bCs/>
        </w:rPr>
        <w:t xml:space="preserve">Figure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Figure \* ARABIC </w:instrText>
      </w:r>
      <w:r w:rsidRPr="00307761">
        <w:rPr>
          <w:rFonts w:ascii="Calibri" w:hAnsi="Calibri" w:cs="Calibri"/>
          <w:bCs/>
          <w:color w:val="2B579A"/>
          <w:shd w:val="clear" w:color="auto" w:fill="E6E6E6"/>
        </w:rPr>
        <w:fldChar w:fldCharType="separate"/>
      </w:r>
      <w:r>
        <w:rPr>
          <w:rFonts w:ascii="Calibri" w:hAnsi="Calibri" w:cs="Calibri"/>
          <w:bCs/>
          <w:noProof/>
        </w:rPr>
        <w:t>2</w:t>
      </w:r>
      <w:r w:rsidRPr="00307761">
        <w:rPr>
          <w:rFonts w:ascii="Calibri" w:hAnsi="Calibri" w:cs="Calibri"/>
          <w:bCs/>
          <w:color w:val="2B579A"/>
          <w:shd w:val="clear" w:color="auto" w:fill="E6E6E6"/>
        </w:rPr>
        <w:fldChar w:fldCharType="end"/>
      </w:r>
      <w:r w:rsidRPr="00307761">
        <w:rPr>
          <w:rFonts w:ascii="Calibri" w:hAnsi="Calibri" w:cs="Calibri"/>
          <w:b w:val="0"/>
        </w:rPr>
        <w:t xml:space="preserve"> Evaluation mechanisms</w:t>
      </w:r>
    </w:p>
    <w:p w14:paraId="454D6F51" w14:textId="43185A8B" w:rsidR="003B580E" w:rsidRDefault="003B580E" w:rsidP="0052682F">
      <w:pPr>
        <w:rPr>
          <w:rFonts w:ascii="Arial" w:hAnsi="Arial" w:cs="Arial"/>
          <w:szCs w:val="20"/>
        </w:rPr>
      </w:pPr>
      <w:r w:rsidRPr="00631F6B">
        <w:rPr>
          <w:rFonts w:ascii="Arial" w:hAnsi="Arial" w:cs="Arial"/>
          <w:noProof/>
          <w:color w:val="2B579A"/>
          <w:shd w:val="clear" w:color="auto" w:fill="E6E6E6"/>
          <w:lang w:eastAsia="en-AU"/>
        </w:rPr>
        <w:drawing>
          <wp:inline distT="0" distB="0" distL="0" distR="0" wp14:anchorId="518091A4" wp14:editId="36AB1962">
            <wp:extent cx="6591300" cy="2809875"/>
            <wp:effectExtent l="0" t="0" r="0" b="9525"/>
            <wp:docPr id="34" name="Diagram 34" descr="Evaluation mechanisms for the Department. These include engagement, assurance and reporting. The Department will engage with industry through TISN for informal review of the amendments' effectiveness. The department also engages with other regulators and technical advisors to ensure distribution to industry of up to date information on all hazards which may impact on critical infrastructure. For assurance, regulators will have the ongoing responsibility to assure Government that industry's compliance obligations are being met. The CISC's education, awareness, compliance and enforcement infrastructure will provide data on adoption of standards and practices by industry. This data will provide crucial insights on the amendment's effectiveness. For reporting, the department is required under s 60 of the SOCI Act to make an annual report to Parliament. This report will include detail on directions, regulatory action and information gathering. Responsible entities' requirement to submit an annual report in relation to the rules provides an additional avenue for evaluating some aspects of the proposed reform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3CEDE34" w14:textId="71F23D7E" w:rsidR="003B580E" w:rsidRDefault="003B580E" w:rsidP="0052682F">
      <w:pPr>
        <w:rPr>
          <w:rFonts w:ascii="Arial" w:hAnsi="Arial" w:cs="Arial"/>
          <w:szCs w:val="20"/>
        </w:rPr>
      </w:pPr>
    </w:p>
    <w:p w14:paraId="60FC368A" w14:textId="77777777" w:rsidR="003B580E" w:rsidRPr="003F7568" w:rsidRDefault="003B580E" w:rsidP="0052682F">
      <w:pPr>
        <w:rPr>
          <w:rFonts w:ascii="Arial" w:hAnsi="Arial" w:cs="Arial"/>
          <w:szCs w:val="20"/>
        </w:rPr>
      </w:pPr>
    </w:p>
    <w:p w14:paraId="2CF8177E" w14:textId="77777777" w:rsidR="00DD1CBB" w:rsidRDefault="00A3370C" w:rsidP="00DD1CBB">
      <w:pPr>
        <w:pStyle w:val="Heading3numbered"/>
        <w:numPr>
          <w:ilvl w:val="2"/>
          <w:numId w:val="83"/>
        </w:numPr>
      </w:pPr>
      <w:bookmarkStart w:id="117" w:name="_Toc176182573"/>
      <w:bookmarkStart w:id="118" w:name="_Toc164683848"/>
      <w:r>
        <w:t xml:space="preserve">Approach to evaluation - </w:t>
      </w:r>
      <w:r w:rsidR="00DD1CBB">
        <w:t xml:space="preserve">Measure 1 - </w:t>
      </w:r>
      <w:r w:rsidR="00DD1CBB" w:rsidRPr="00DD1CBB">
        <w:t>Protecting critical infrastructure – Data storage systems and business critical data</w:t>
      </w:r>
      <w:bookmarkEnd w:id="117"/>
    </w:p>
    <w:p w14:paraId="44A9F857" w14:textId="77777777" w:rsidR="00413505" w:rsidRDefault="00413505" w:rsidP="286CEFD9">
      <w:pPr>
        <w:pStyle w:val="BodyText"/>
        <w:rPr>
          <w:lang w:eastAsia="en-US"/>
        </w:rPr>
      </w:pPr>
      <w:r>
        <w:rPr>
          <w:lang w:eastAsia="en-US"/>
        </w:rPr>
        <w:t>Evaluation on the effectiveness of Measure 1 will be through</w:t>
      </w:r>
      <w:r w:rsidR="41BBD4EB" w:rsidRPr="286CEFD9">
        <w:rPr>
          <w:lang w:eastAsia="en-US"/>
        </w:rPr>
        <w:t>:</w:t>
      </w:r>
    </w:p>
    <w:p w14:paraId="47A90AF4" w14:textId="184DEDF2" w:rsidR="00413505" w:rsidRDefault="3624659A" w:rsidP="00B8723A">
      <w:pPr>
        <w:pStyle w:val="BodyText"/>
        <w:numPr>
          <w:ilvl w:val="0"/>
          <w:numId w:val="88"/>
        </w:numPr>
        <w:rPr>
          <w:lang w:eastAsia="en-US"/>
        </w:rPr>
      </w:pPr>
      <w:r w:rsidRPr="4573C637">
        <w:rPr>
          <w:lang w:eastAsia="en-US"/>
        </w:rPr>
        <w:t>A</w:t>
      </w:r>
      <w:r w:rsidR="00413505" w:rsidRPr="4573C637">
        <w:rPr>
          <w:lang w:eastAsia="en-US"/>
        </w:rPr>
        <w:t xml:space="preserve">nalysis of </w:t>
      </w:r>
      <w:r w:rsidR="496AE108" w:rsidRPr="4573C637">
        <w:rPr>
          <w:lang w:eastAsia="en-US"/>
        </w:rPr>
        <w:t>relevant cyber incident data sources, including annual RMP annual attestations, RMP audits, and cyber incident reports and follow-up investigations with relevant regulators, agencies and critical infrastructure entities.</w:t>
      </w:r>
      <w:r w:rsidR="00C10F7C">
        <w:rPr>
          <w:rStyle w:val="FootnoteReference"/>
          <w:lang w:eastAsia="en-US"/>
        </w:rPr>
        <w:footnoteReference w:id="36"/>
      </w:r>
    </w:p>
    <w:p w14:paraId="3B161B51" w14:textId="77777777" w:rsidR="00413505" w:rsidRDefault="496AE108" w:rsidP="00B8723A">
      <w:pPr>
        <w:pStyle w:val="BodyText"/>
        <w:numPr>
          <w:ilvl w:val="0"/>
          <w:numId w:val="88"/>
        </w:numPr>
        <w:rPr>
          <w:lang w:eastAsia="en-US"/>
        </w:rPr>
      </w:pPr>
      <w:r w:rsidRPr="4573C637">
        <w:rPr>
          <w:lang w:eastAsia="en-US"/>
        </w:rPr>
        <w:t>C</w:t>
      </w:r>
      <w:r w:rsidR="00A41E23" w:rsidRPr="4573C637">
        <w:rPr>
          <w:lang w:eastAsia="en-US"/>
        </w:rPr>
        <w:t xml:space="preserve">yber incidents </w:t>
      </w:r>
      <w:r w:rsidR="00C47EE2" w:rsidRPr="4573C637">
        <w:rPr>
          <w:lang w:eastAsia="en-US"/>
        </w:rPr>
        <w:t>a</w:t>
      </w:r>
      <w:r w:rsidR="00A41E23" w:rsidRPr="4573C637">
        <w:rPr>
          <w:lang w:eastAsia="en-US"/>
        </w:rPr>
        <w:t>ffecting critical infrastructure</w:t>
      </w:r>
      <w:r w:rsidR="00843A7C" w:rsidRPr="4573C637">
        <w:rPr>
          <w:lang w:eastAsia="en-US"/>
        </w:rPr>
        <w:t>, particularly those</w:t>
      </w:r>
      <w:r w:rsidR="00A41E23" w:rsidRPr="4573C637">
        <w:rPr>
          <w:lang w:eastAsia="en-US"/>
        </w:rPr>
        <w:t xml:space="preserve"> caused by </w:t>
      </w:r>
      <w:r w:rsidR="00413505" w:rsidRPr="4573C637">
        <w:rPr>
          <w:lang w:eastAsia="en-US"/>
        </w:rPr>
        <w:t>lateral</w:t>
      </w:r>
      <w:r w:rsidR="00A41E23" w:rsidRPr="4573C637">
        <w:rPr>
          <w:lang w:eastAsia="en-US"/>
        </w:rPr>
        <w:t xml:space="preserve"> movement from data storage systems that hold business critical data. The Cyber Security Strategy’s, proposed Cyber Incident Review Board</w:t>
      </w:r>
      <w:r w:rsidR="7BB12273" w:rsidRPr="4573C637">
        <w:rPr>
          <w:lang w:eastAsia="en-US"/>
        </w:rPr>
        <w:t xml:space="preserve"> (CIRB)</w:t>
      </w:r>
      <w:r w:rsidR="00A41E23" w:rsidRPr="4573C637">
        <w:rPr>
          <w:lang w:eastAsia="en-US"/>
        </w:rPr>
        <w:t xml:space="preserve">, </w:t>
      </w:r>
      <w:r w:rsidR="00C47EE2" w:rsidRPr="4573C637">
        <w:rPr>
          <w:lang w:eastAsia="en-US"/>
        </w:rPr>
        <w:t>may</w:t>
      </w:r>
      <w:r w:rsidR="00A41E23" w:rsidRPr="4573C637">
        <w:rPr>
          <w:lang w:eastAsia="en-US"/>
        </w:rPr>
        <w:t xml:space="preserve"> enable suitable oversight and understanding for analysis. </w:t>
      </w:r>
      <w:r w:rsidR="58DBAEFB" w:rsidRPr="4573C637">
        <w:rPr>
          <w:lang w:eastAsia="en-US"/>
        </w:rPr>
        <w:t xml:space="preserve">Analysis from the </w:t>
      </w:r>
      <w:r w:rsidR="37F3228C" w:rsidRPr="4573C637">
        <w:rPr>
          <w:lang w:eastAsia="en-US"/>
        </w:rPr>
        <w:t xml:space="preserve">CIRB </w:t>
      </w:r>
      <w:r w:rsidR="06310380" w:rsidRPr="4573C637">
        <w:rPr>
          <w:lang w:eastAsia="en-US"/>
        </w:rPr>
        <w:t xml:space="preserve">will inform the Department’s understanding of cyber incident trends and may assist to evaluate long term reductions in incidents affecting </w:t>
      </w:r>
      <w:r w:rsidR="09E76234" w:rsidRPr="4573C637">
        <w:rPr>
          <w:lang w:eastAsia="en-US"/>
        </w:rPr>
        <w:t xml:space="preserve">relevant </w:t>
      </w:r>
      <w:r w:rsidR="06310380" w:rsidRPr="4573C637">
        <w:rPr>
          <w:lang w:eastAsia="en-US"/>
        </w:rPr>
        <w:t xml:space="preserve">critical </w:t>
      </w:r>
      <w:r w:rsidR="6BC2075B" w:rsidRPr="4573C637">
        <w:rPr>
          <w:lang w:eastAsia="en-US"/>
        </w:rPr>
        <w:t>infrastructure</w:t>
      </w:r>
      <w:r w:rsidR="06310380" w:rsidRPr="4573C637">
        <w:rPr>
          <w:lang w:eastAsia="en-US"/>
        </w:rPr>
        <w:t xml:space="preserve"> data storage assets. </w:t>
      </w:r>
    </w:p>
    <w:p w14:paraId="5A22C2BF" w14:textId="77777777" w:rsidR="5164DD8D" w:rsidRDefault="7AAABAE8" w:rsidP="4573C637">
      <w:pPr>
        <w:pStyle w:val="BodyText"/>
        <w:ind w:left="720"/>
      </w:pPr>
      <w:r w:rsidRPr="4573C637">
        <w:rPr>
          <w:lang w:eastAsia="en-US"/>
        </w:rPr>
        <w:t xml:space="preserve"> </w:t>
      </w:r>
    </w:p>
    <w:p w14:paraId="02960ECE" w14:textId="77777777" w:rsidR="00DD1CBB" w:rsidRDefault="00A3370C" w:rsidP="00DD1CBB">
      <w:pPr>
        <w:pStyle w:val="Heading3numbered"/>
        <w:numPr>
          <w:ilvl w:val="2"/>
          <w:numId w:val="83"/>
        </w:numPr>
      </w:pPr>
      <w:bookmarkStart w:id="119" w:name="_Toc176182574"/>
      <w:r>
        <w:t xml:space="preserve">Approach to evaluation - </w:t>
      </w:r>
      <w:r w:rsidR="00DD1CBB">
        <w:t>Measure 2: Improving our national response to the consequences of significant incidents – Consequent management powers</w:t>
      </w:r>
      <w:bookmarkEnd w:id="119"/>
    </w:p>
    <w:p w14:paraId="51C29A26" w14:textId="77777777" w:rsidR="00B8723A" w:rsidRDefault="00A41E23" w:rsidP="286CEFD9">
      <w:pPr>
        <w:pStyle w:val="BodyText"/>
        <w:rPr>
          <w:lang w:eastAsia="en-US"/>
        </w:rPr>
      </w:pPr>
      <w:r>
        <w:rPr>
          <w:lang w:eastAsia="en-US"/>
        </w:rPr>
        <w:t>Evaluation on the effectiveness of Measure 2 will be through</w:t>
      </w:r>
      <w:r w:rsidR="6EE9077D" w:rsidRPr="286CEFD9">
        <w:rPr>
          <w:lang w:eastAsia="en-US"/>
        </w:rPr>
        <w:t>:</w:t>
      </w:r>
    </w:p>
    <w:p w14:paraId="31A08F2E" w14:textId="04FAD14B" w:rsidR="00B8723A" w:rsidRDefault="00D92714" w:rsidP="4573C637">
      <w:pPr>
        <w:pStyle w:val="BodyText"/>
        <w:numPr>
          <w:ilvl w:val="0"/>
          <w:numId w:val="86"/>
        </w:numPr>
        <w:rPr>
          <w:lang w:eastAsia="en-US"/>
        </w:rPr>
      </w:pPr>
      <w:r>
        <w:rPr>
          <w:lang w:eastAsia="en-US"/>
        </w:rPr>
        <w:t>A</w:t>
      </w:r>
      <w:r w:rsidR="00A41E23" w:rsidRPr="4573C637">
        <w:rPr>
          <w:lang w:eastAsia="en-US"/>
        </w:rPr>
        <w:t xml:space="preserve">nalysis </w:t>
      </w:r>
      <w:r w:rsidR="00D929A4" w:rsidRPr="4573C637">
        <w:rPr>
          <w:lang w:eastAsia="en-US"/>
        </w:rPr>
        <w:t xml:space="preserve">of </w:t>
      </w:r>
      <w:r w:rsidR="00C47EE2" w:rsidRPr="4573C637">
        <w:rPr>
          <w:lang w:eastAsia="en-US"/>
        </w:rPr>
        <w:t>end-to-end</w:t>
      </w:r>
      <w:r w:rsidR="00D929A4" w:rsidRPr="4573C637">
        <w:rPr>
          <w:lang w:eastAsia="en-US"/>
        </w:rPr>
        <w:t xml:space="preserve"> incident response. </w:t>
      </w:r>
      <w:r w:rsidR="00481299" w:rsidRPr="4573C637">
        <w:rPr>
          <w:lang w:eastAsia="en-US"/>
        </w:rPr>
        <w:t>T</w:t>
      </w:r>
      <w:r w:rsidR="00035E2F" w:rsidRPr="4573C637">
        <w:rPr>
          <w:lang w:eastAsia="en-US"/>
        </w:rPr>
        <w:t xml:space="preserve">he proposed </w:t>
      </w:r>
      <w:r>
        <w:rPr>
          <w:lang w:eastAsia="en-US"/>
        </w:rPr>
        <w:t>CIRB, under the Cyber Security s</w:t>
      </w:r>
      <w:r w:rsidR="00035E2F" w:rsidRPr="4573C637">
        <w:rPr>
          <w:lang w:eastAsia="en-US"/>
        </w:rPr>
        <w:t xml:space="preserve">trategy </w:t>
      </w:r>
      <w:r w:rsidR="00C47EE2" w:rsidRPr="4573C637">
        <w:rPr>
          <w:lang w:eastAsia="en-US"/>
        </w:rPr>
        <w:t>may</w:t>
      </w:r>
      <w:r w:rsidR="00035E2F" w:rsidRPr="4573C637">
        <w:rPr>
          <w:lang w:eastAsia="en-US"/>
        </w:rPr>
        <w:t xml:space="preserve"> allow sufficient oversight of the use of the powe</w:t>
      </w:r>
      <w:r w:rsidR="00F3637D" w:rsidRPr="4573C637">
        <w:rPr>
          <w:lang w:eastAsia="en-US"/>
        </w:rPr>
        <w:t xml:space="preserve">r. </w:t>
      </w:r>
    </w:p>
    <w:p w14:paraId="77A1AD5A" w14:textId="77777777" w:rsidR="00DD1CBB" w:rsidRPr="00DD1CBB" w:rsidRDefault="00D92714" w:rsidP="00876E9E">
      <w:pPr>
        <w:pStyle w:val="BodyText"/>
        <w:numPr>
          <w:ilvl w:val="0"/>
          <w:numId w:val="86"/>
        </w:numPr>
        <w:rPr>
          <w:lang w:eastAsia="en-US"/>
        </w:rPr>
      </w:pPr>
      <w:r>
        <w:rPr>
          <w:lang w:eastAsia="en-US"/>
        </w:rPr>
        <w:t>T</w:t>
      </w:r>
      <w:r w:rsidR="52395DF7" w:rsidRPr="286CEFD9">
        <w:rPr>
          <w:lang w:eastAsia="en-US"/>
        </w:rPr>
        <w:t xml:space="preserve">he </w:t>
      </w:r>
      <w:r w:rsidR="00481299">
        <w:rPr>
          <w:lang w:eastAsia="en-US"/>
        </w:rPr>
        <w:t>use of this power will be reportable to the Minister</w:t>
      </w:r>
      <w:r w:rsidR="00C47EE2">
        <w:rPr>
          <w:lang w:eastAsia="en-US"/>
        </w:rPr>
        <w:t xml:space="preserve"> for presentation in Parliament</w:t>
      </w:r>
      <w:r w:rsidR="00481299">
        <w:rPr>
          <w:lang w:eastAsia="en-US"/>
        </w:rPr>
        <w:t xml:space="preserve"> as part of s 60 of the SOCI Act.  </w:t>
      </w:r>
    </w:p>
    <w:p w14:paraId="10844724" w14:textId="77777777" w:rsidR="00DD1CBB" w:rsidRDefault="00A3370C" w:rsidP="00DD1CBB">
      <w:pPr>
        <w:pStyle w:val="Heading3numbered"/>
        <w:numPr>
          <w:ilvl w:val="2"/>
          <w:numId w:val="83"/>
        </w:numPr>
      </w:pPr>
      <w:bookmarkStart w:id="120" w:name="_Toc176182575"/>
      <w:r>
        <w:t xml:space="preserve">Approach to evaluation - </w:t>
      </w:r>
      <w:r w:rsidR="00DD1CBB">
        <w:t>Measure 3: Enforcing Critical infrastructure risk management obligations – review and remedy powers</w:t>
      </w:r>
      <w:bookmarkEnd w:id="120"/>
    </w:p>
    <w:p w14:paraId="39970FBE" w14:textId="1DB3FC42" w:rsidR="00481299" w:rsidRPr="00DD1CBB" w:rsidRDefault="00481299" w:rsidP="00DD1CBB">
      <w:pPr>
        <w:pStyle w:val="BodyText"/>
        <w:rPr>
          <w:lang w:eastAsia="en-US"/>
        </w:rPr>
      </w:pPr>
      <w:r>
        <w:rPr>
          <w:lang w:eastAsia="en-US"/>
        </w:rPr>
        <w:t xml:space="preserve">It is anticipated that use of this power will be reportable to the Minister as part of s 60 of the SOCI Act. </w:t>
      </w:r>
      <w:r w:rsidR="600DBBA9" w:rsidRPr="31241484">
        <w:rPr>
          <w:lang w:eastAsia="en-US"/>
        </w:rPr>
        <w:t xml:space="preserve">This will form the basis of the evaluation of effectiveness. </w:t>
      </w:r>
      <w:r w:rsidRPr="31241484">
        <w:rPr>
          <w:lang w:eastAsia="en-US"/>
        </w:rPr>
        <w:t xml:space="preserve"> </w:t>
      </w:r>
    </w:p>
    <w:p w14:paraId="7343B4ED" w14:textId="77777777" w:rsidR="0052682F" w:rsidRPr="00550486" w:rsidRDefault="0052682F" w:rsidP="0052682F">
      <w:pPr>
        <w:pStyle w:val="Heading2"/>
        <w:rPr>
          <w:rFonts w:ascii="Arial" w:hAnsi="Arial"/>
        </w:rPr>
      </w:pPr>
      <w:bookmarkStart w:id="121" w:name="_Toc176183950"/>
      <w:r w:rsidRPr="2F6B7F1D">
        <w:rPr>
          <w:rFonts w:ascii="Arial" w:hAnsi="Arial"/>
        </w:rPr>
        <w:t>7.2 Indicators of success</w:t>
      </w:r>
      <w:bookmarkEnd w:id="118"/>
      <w:bookmarkEnd w:id="121"/>
      <w:r w:rsidRPr="2F6B7F1D">
        <w:rPr>
          <w:rFonts w:ascii="Arial" w:hAnsi="Arial"/>
        </w:rPr>
        <w:t xml:space="preserve"> </w:t>
      </w:r>
    </w:p>
    <w:p w14:paraId="0780DE30" w14:textId="77777777" w:rsidR="0052682F" w:rsidRPr="009D2AA1" w:rsidRDefault="0052682F" w:rsidP="0052682F">
      <w:pPr>
        <w:rPr>
          <w:rFonts w:ascii="Arial" w:hAnsi="Arial" w:cs="Arial"/>
          <w:szCs w:val="20"/>
        </w:rPr>
      </w:pPr>
      <w:r w:rsidRPr="009D2AA1">
        <w:rPr>
          <w:rFonts w:ascii="Arial" w:hAnsi="Arial" w:cs="Arial"/>
          <w:szCs w:val="20"/>
        </w:rPr>
        <w:t xml:space="preserve">Amendments to the SOCI Act will ensure effective identification, </w:t>
      </w:r>
      <w:r w:rsidRPr="009D2AA1" w:rsidDel="00047C8A">
        <w:rPr>
          <w:rFonts w:ascii="Arial" w:hAnsi="Arial" w:cs="Arial"/>
          <w:szCs w:val="20"/>
        </w:rPr>
        <w:t>assessment</w:t>
      </w:r>
      <w:r w:rsidRPr="009D2AA1">
        <w:rPr>
          <w:rFonts w:ascii="Arial" w:hAnsi="Arial" w:cs="Arial"/>
          <w:szCs w:val="20"/>
        </w:rPr>
        <w:t xml:space="preserve">, and mitigation of risks, enhancing industry’s ability to respond to critical infrastructure disruptions. </w:t>
      </w:r>
    </w:p>
    <w:p w14:paraId="75D8951A" w14:textId="77777777" w:rsidR="00BE1642" w:rsidRDefault="00BE1642" w:rsidP="0052682F">
      <w:pPr>
        <w:ind w:left="720" w:hanging="720"/>
        <w:rPr>
          <w:rFonts w:ascii="Arial" w:hAnsi="Arial" w:cs="Arial"/>
          <w:szCs w:val="20"/>
        </w:rPr>
      </w:pPr>
    </w:p>
    <w:p w14:paraId="10DCF318" w14:textId="77777777" w:rsidR="0052682F" w:rsidRDefault="0052682F" w:rsidP="0052682F">
      <w:pPr>
        <w:ind w:left="720" w:hanging="720"/>
        <w:rPr>
          <w:rFonts w:ascii="Arial" w:hAnsi="Arial" w:cs="Arial"/>
          <w:szCs w:val="20"/>
        </w:rPr>
      </w:pPr>
      <w:r w:rsidRPr="009D2AA1">
        <w:rPr>
          <w:rFonts w:ascii="Arial" w:hAnsi="Arial" w:cs="Arial"/>
          <w:szCs w:val="20"/>
        </w:rPr>
        <w:t>If implemented successfully, the amendments to the SOCI Act will</w:t>
      </w:r>
      <w:r>
        <w:rPr>
          <w:rFonts w:ascii="Arial" w:hAnsi="Arial" w:cs="Arial"/>
          <w:szCs w:val="20"/>
        </w:rPr>
        <w:t xml:space="preserve">: </w:t>
      </w:r>
    </w:p>
    <w:p w14:paraId="0766A1E2" w14:textId="77777777" w:rsidR="0052682F" w:rsidRDefault="0052682F" w:rsidP="00510557">
      <w:pPr>
        <w:pStyle w:val="ListParagraph"/>
        <w:numPr>
          <w:ilvl w:val="0"/>
          <w:numId w:val="21"/>
        </w:numPr>
        <w:contextualSpacing/>
        <w:rPr>
          <w:rFonts w:ascii="Arial" w:hAnsi="Arial" w:cs="Arial"/>
          <w:szCs w:val="20"/>
        </w:rPr>
      </w:pPr>
      <w:r w:rsidRPr="0069670B">
        <w:rPr>
          <w:rFonts w:ascii="Arial" w:hAnsi="Arial" w:cs="Arial"/>
          <w:szCs w:val="20"/>
        </w:rPr>
        <w:t xml:space="preserve">Allow Government, </w:t>
      </w:r>
      <w:r w:rsidRPr="0069670B" w:rsidDel="00EC1792">
        <w:rPr>
          <w:rFonts w:ascii="Arial" w:hAnsi="Arial" w:cs="Arial"/>
          <w:szCs w:val="20"/>
        </w:rPr>
        <w:t>industry</w:t>
      </w:r>
      <w:r w:rsidRPr="0069670B">
        <w:rPr>
          <w:rFonts w:ascii="Arial" w:hAnsi="Arial" w:cs="Arial"/>
          <w:szCs w:val="20"/>
        </w:rPr>
        <w:t>, and the Australian public to have ongoing confidence in the resilience of our critical infrastructure providers</w:t>
      </w:r>
      <w:r>
        <w:rPr>
          <w:rFonts w:ascii="Arial" w:hAnsi="Arial" w:cs="Arial"/>
          <w:szCs w:val="20"/>
        </w:rPr>
        <w:t>;</w:t>
      </w:r>
    </w:p>
    <w:p w14:paraId="075D1D7E" w14:textId="77777777" w:rsidR="0052682F" w:rsidRDefault="0052682F" w:rsidP="00510557">
      <w:pPr>
        <w:pStyle w:val="ListParagraph"/>
        <w:numPr>
          <w:ilvl w:val="0"/>
          <w:numId w:val="21"/>
        </w:numPr>
        <w:contextualSpacing/>
        <w:rPr>
          <w:rFonts w:ascii="Arial" w:hAnsi="Arial" w:cs="Arial"/>
          <w:szCs w:val="20"/>
        </w:rPr>
      </w:pPr>
      <w:r>
        <w:rPr>
          <w:rFonts w:ascii="Arial" w:hAnsi="Arial" w:cs="Arial"/>
          <w:szCs w:val="20"/>
        </w:rPr>
        <w:t xml:space="preserve">Ensure the </w:t>
      </w:r>
      <w:r w:rsidRPr="0069670B">
        <w:rPr>
          <w:rFonts w:ascii="Arial" w:hAnsi="Arial" w:cs="Arial"/>
          <w:szCs w:val="20"/>
        </w:rPr>
        <w:t>provision of adequate support from Government to industry in the aftermath of an incident</w:t>
      </w:r>
      <w:r>
        <w:rPr>
          <w:rFonts w:ascii="Arial" w:hAnsi="Arial" w:cs="Arial"/>
          <w:szCs w:val="20"/>
        </w:rPr>
        <w:t xml:space="preserve">; and </w:t>
      </w:r>
    </w:p>
    <w:p w14:paraId="1A411BB4" w14:textId="77777777" w:rsidR="0052682F" w:rsidRPr="0069670B" w:rsidRDefault="0052682F" w:rsidP="00510557">
      <w:pPr>
        <w:pStyle w:val="ListParagraph"/>
        <w:numPr>
          <w:ilvl w:val="0"/>
          <w:numId w:val="21"/>
        </w:numPr>
        <w:contextualSpacing/>
        <w:rPr>
          <w:rFonts w:ascii="Arial" w:hAnsi="Arial" w:cs="Arial"/>
          <w:szCs w:val="20"/>
        </w:rPr>
      </w:pPr>
      <w:r>
        <w:rPr>
          <w:rFonts w:ascii="Arial" w:hAnsi="Arial" w:cs="Arial"/>
          <w:szCs w:val="20"/>
        </w:rPr>
        <w:t>A strengthened relationship between i</w:t>
      </w:r>
      <w:r w:rsidRPr="0069670B">
        <w:rPr>
          <w:rFonts w:ascii="Arial" w:hAnsi="Arial" w:cs="Arial"/>
          <w:szCs w:val="20"/>
        </w:rPr>
        <w:t xml:space="preserve">ndustry </w:t>
      </w:r>
      <w:r>
        <w:rPr>
          <w:rFonts w:ascii="Arial" w:hAnsi="Arial" w:cs="Arial"/>
          <w:szCs w:val="20"/>
        </w:rPr>
        <w:t>and</w:t>
      </w:r>
      <w:r w:rsidRPr="0069670B">
        <w:rPr>
          <w:rFonts w:ascii="Arial" w:hAnsi="Arial" w:cs="Arial"/>
          <w:szCs w:val="20"/>
        </w:rPr>
        <w:t xml:space="preserve"> Government through heightened and more frequent engagement, </w:t>
      </w:r>
      <w:r w:rsidRPr="0069670B" w:rsidDel="009034CA">
        <w:rPr>
          <w:rFonts w:ascii="Arial" w:hAnsi="Arial" w:cs="Arial"/>
          <w:szCs w:val="20"/>
        </w:rPr>
        <w:t>knowledge</w:t>
      </w:r>
      <w:r w:rsidRPr="0069670B">
        <w:rPr>
          <w:rFonts w:ascii="Arial" w:hAnsi="Arial" w:cs="Arial"/>
          <w:szCs w:val="20"/>
        </w:rPr>
        <w:t xml:space="preserve">, and awareness of the Department’s approach to compliance, and improved visibility for both industry stakeholders and Government. </w:t>
      </w:r>
    </w:p>
    <w:p w14:paraId="4ED09351" w14:textId="5296853C" w:rsidR="0052682F" w:rsidRDefault="0052682F" w:rsidP="4F26752A">
      <w:pPr>
        <w:rPr>
          <w:rFonts w:ascii="Arial" w:eastAsia="Times New Roman" w:hAnsi="Arial" w:cs="Arial"/>
          <w:lang w:eastAsia="en-AU"/>
        </w:rPr>
      </w:pPr>
      <w:r w:rsidRPr="4F26752A">
        <w:rPr>
          <w:rFonts w:ascii="Arial" w:eastAsia="Times New Roman" w:hAnsi="Arial" w:cs="Arial"/>
          <w:lang w:eastAsia="en-AU"/>
        </w:rPr>
        <w:t>Section 60A of the SOCI Act requires the conduct of an independent review of the operation of the SOCI Act.</w:t>
      </w:r>
      <w:r w:rsidR="00A674F8">
        <w:rPr>
          <w:rFonts w:ascii="Arial" w:eastAsia="Times New Roman" w:hAnsi="Arial" w:cs="Arial"/>
          <w:lang w:eastAsia="en-AU"/>
        </w:rPr>
        <w:t xml:space="preserve"> The timing and focus of this independent review is </w:t>
      </w:r>
      <w:r w:rsidR="006D2835">
        <w:rPr>
          <w:rFonts w:ascii="Arial" w:eastAsia="Times New Roman" w:hAnsi="Arial" w:cs="Arial"/>
          <w:lang w:eastAsia="en-AU"/>
        </w:rPr>
        <w:t>a matter for</w:t>
      </w:r>
      <w:r w:rsidR="00A674F8">
        <w:rPr>
          <w:rFonts w:ascii="Arial" w:eastAsia="Times New Roman" w:hAnsi="Arial" w:cs="Arial"/>
          <w:lang w:eastAsia="en-AU"/>
        </w:rPr>
        <w:t xml:space="preserve"> Government. </w:t>
      </w:r>
      <w:r w:rsidRPr="4F26752A">
        <w:rPr>
          <w:rFonts w:ascii="Arial" w:eastAsia="Times New Roman" w:hAnsi="Arial" w:cs="Arial"/>
          <w:lang w:eastAsia="en-AU"/>
        </w:rPr>
        <w:t xml:space="preserve">The amendments to the SOCI Act contemplated in this IA will be captured by this review process. </w:t>
      </w:r>
    </w:p>
    <w:p w14:paraId="32B07CD8" w14:textId="77777777" w:rsidR="008E5D18" w:rsidRDefault="008E5D18" w:rsidP="0052682F">
      <w:pPr>
        <w:rPr>
          <w:rFonts w:ascii="Arial" w:eastAsia="Times New Roman" w:hAnsi="Arial" w:cs="Arial"/>
          <w:szCs w:val="20"/>
          <w:lang w:eastAsia="en-AU"/>
        </w:rPr>
      </w:pPr>
    </w:p>
    <w:p w14:paraId="37B22BF5" w14:textId="419A4E33" w:rsidR="0052682F" w:rsidRDefault="0052682F" w:rsidP="00307761">
      <w:pPr>
        <w:rPr>
          <w:rFonts w:ascii="Arial" w:eastAsia="Times New Roman" w:hAnsi="Arial" w:cs="Arial"/>
          <w:szCs w:val="20"/>
          <w:lang w:eastAsia="en-AU"/>
        </w:rPr>
      </w:pPr>
      <w:r w:rsidRPr="00307761">
        <w:rPr>
          <w:rFonts w:ascii="Arial" w:eastAsia="Times New Roman" w:hAnsi="Arial" w:cs="Arial"/>
          <w:szCs w:val="20"/>
          <w:lang w:eastAsia="en-AU"/>
        </w:rPr>
        <w:t>The above indications of success align with Government’s objectives f</w:t>
      </w:r>
      <w:r w:rsidR="00307761" w:rsidRPr="00307761">
        <w:rPr>
          <w:rFonts w:ascii="Arial" w:eastAsia="Times New Roman" w:hAnsi="Arial" w:cs="Arial"/>
          <w:szCs w:val="20"/>
          <w:lang w:eastAsia="en-AU"/>
        </w:rPr>
        <w:t>or intervention, as outlined</w:t>
      </w:r>
      <w:r w:rsidR="008E5D18">
        <w:rPr>
          <w:rFonts w:ascii="Arial" w:eastAsia="Times New Roman" w:hAnsi="Arial" w:cs="Arial"/>
          <w:szCs w:val="20"/>
          <w:lang w:eastAsia="en-AU"/>
        </w:rPr>
        <w:t xml:space="preserve"> in</w:t>
      </w:r>
      <w:r w:rsidR="00307761" w:rsidRPr="00307761">
        <w:rPr>
          <w:rFonts w:ascii="Arial" w:eastAsia="Times New Roman" w:hAnsi="Arial" w:cs="Arial"/>
          <w:szCs w:val="20"/>
          <w:lang w:eastAsia="en-AU"/>
        </w:rPr>
        <w:t xml:space="preserve"> </w:t>
      </w:r>
      <w:r w:rsidRPr="00307761">
        <w:rPr>
          <w:rFonts w:ascii="Arial" w:eastAsia="Times New Roman" w:hAnsi="Arial" w:cs="Arial"/>
          <w:szCs w:val="20"/>
          <w:lang w:eastAsia="en-AU"/>
        </w:rPr>
        <w:t xml:space="preserve">table </w:t>
      </w:r>
      <w:r w:rsidR="00490E9C">
        <w:rPr>
          <w:rFonts w:ascii="Arial" w:eastAsia="Times New Roman" w:hAnsi="Arial" w:cs="Arial"/>
          <w:szCs w:val="20"/>
          <w:lang w:eastAsia="en-AU"/>
        </w:rPr>
        <w:t>4</w:t>
      </w:r>
      <w:r w:rsidR="00290005">
        <w:rPr>
          <w:rFonts w:ascii="Arial" w:eastAsia="Times New Roman" w:hAnsi="Arial" w:cs="Arial"/>
          <w:szCs w:val="20"/>
          <w:lang w:eastAsia="en-AU"/>
        </w:rPr>
        <w:t>2</w:t>
      </w:r>
      <w:r w:rsidRPr="00307761">
        <w:rPr>
          <w:rFonts w:ascii="Arial" w:eastAsia="Times New Roman" w:hAnsi="Arial" w:cs="Arial"/>
          <w:szCs w:val="20"/>
          <w:lang w:eastAsia="en-AU"/>
        </w:rPr>
        <w:t xml:space="preserve"> below.</w:t>
      </w:r>
    </w:p>
    <w:p w14:paraId="16326D0B" w14:textId="77777777" w:rsidR="0016036B" w:rsidRDefault="0016036B" w:rsidP="00307761">
      <w:pPr>
        <w:rPr>
          <w:rFonts w:ascii="Arial" w:eastAsia="Times New Roman" w:hAnsi="Arial" w:cs="Arial"/>
          <w:szCs w:val="20"/>
          <w:lang w:eastAsia="en-AU"/>
        </w:rPr>
      </w:pPr>
    </w:p>
    <w:p w14:paraId="75391F9F" w14:textId="77777777" w:rsidR="0016036B" w:rsidRDefault="0016036B" w:rsidP="00307761">
      <w:pPr>
        <w:rPr>
          <w:rFonts w:ascii="Arial" w:eastAsia="Times New Roman" w:hAnsi="Arial" w:cs="Arial"/>
          <w:szCs w:val="20"/>
          <w:lang w:eastAsia="en-AU"/>
        </w:rPr>
      </w:pPr>
    </w:p>
    <w:p w14:paraId="41E71D03" w14:textId="77777777" w:rsidR="0016036B" w:rsidRDefault="0016036B" w:rsidP="00307761">
      <w:pPr>
        <w:rPr>
          <w:rFonts w:ascii="Arial" w:eastAsia="Times New Roman" w:hAnsi="Arial" w:cs="Arial"/>
          <w:szCs w:val="20"/>
          <w:lang w:eastAsia="en-AU"/>
        </w:rPr>
      </w:pPr>
    </w:p>
    <w:p w14:paraId="0574A90F" w14:textId="77777777" w:rsidR="0016036B" w:rsidRDefault="0016036B" w:rsidP="00307761">
      <w:pPr>
        <w:rPr>
          <w:rFonts w:ascii="Arial" w:eastAsia="Times New Roman" w:hAnsi="Arial" w:cs="Arial"/>
          <w:szCs w:val="20"/>
          <w:lang w:eastAsia="en-AU"/>
        </w:rPr>
      </w:pPr>
    </w:p>
    <w:p w14:paraId="2E852795" w14:textId="77777777" w:rsidR="0016036B" w:rsidRDefault="0016036B" w:rsidP="00307761">
      <w:pPr>
        <w:rPr>
          <w:rFonts w:ascii="Arial" w:eastAsia="Times New Roman" w:hAnsi="Arial" w:cs="Arial"/>
          <w:szCs w:val="20"/>
          <w:lang w:eastAsia="en-AU"/>
        </w:rPr>
      </w:pPr>
    </w:p>
    <w:p w14:paraId="722AD28B" w14:textId="77777777" w:rsidR="0016036B" w:rsidRDefault="0016036B" w:rsidP="00307761">
      <w:pPr>
        <w:rPr>
          <w:rFonts w:ascii="Arial" w:eastAsia="Times New Roman" w:hAnsi="Arial" w:cs="Arial"/>
          <w:szCs w:val="20"/>
          <w:lang w:eastAsia="en-AU"/>
        </w:rPr>
      </w:pPr>
    </w:p>
    <w:p w14:paraId="5122D060" w14:textId="77777777" w:rsidR="0016036B" w:rsidRDefault="0016036B" w:rsidP="00307761">
      <w:pPr>
        <w:rPr>
          <w:rFonts w:ascii="Arial" w:eastAsia="Times New Roman" w:hAnsi="Arial" w:cs="Arial"/>
          <w:szCs w:val="20"/>
          <w:lang w:eastAsia="en-AU"/>
        </w:rPr>
      </w:pPr>
    </w:p>
    <w:p w14:paraId="4ADCBD36" w14:textId="77777777" w:rsidR="0016036B" w:rsidRDefault="0016036B" w:rsidP="00307761">
      <w:pPr>
        <w:rPr>
          <w:rFonts w:ascii="Arial" w:eastAsia="Times New Roman" w:hAnsi="Arial" w:cs="Arial"/>
          <w:szCs w:val="20"/>
          <w:lang w:eastAsia="en-AU"/>
        </w:rPr>
      </w:pPr>
    </w:p>
    <w:p w14:paraId="09FCD0B1" w14:textId="77777777" w:rsidR="0016036B" w:rsidRDefault="0016036B" w:rsidP="00307761">
      <w:pPr>
        <w:rPr>
          <w:rFonts w:ascii="Arial" w:eastAsia="Times New Roman" w:hAnsi="Arial" w:cs="Arial"/>
          <w:szCs w:val="20"/>
          <w:lang w:eastAsia="en-AU"/>
        </w:rPr>
      </w:pPr>
    </w:p>
    <w:p w14:paraId="69ED1708" w14:textId="77777777" w:rsidR="0016036B" w:rsidRDefault="0016036B" w:rsidP="00307761">
      <w:pPr>
        <w:rPr>
          <w:rFonts w:ascii="Arial" w:eastAsia="Times New Roman" w:hAnsi="Arial" w:cs="Arial"/>
          <w:szCs w:val="20"/>
          <w:lang w:eastAsia="en-AU"/>
        </w:rPr>
      </w:pPr>
    </w:p>
    <w:p w14:paraId="252D138B" w14:textId="77777777" w:rsidR="0016036B" w:rsidRDefault="0016036B" w:rsidP="00307761">
      <w:pPr>
        <w:rPr>
          <w:rFonts w:ascii="Arial" w:eastAsia="Times New Roman" w:hAnsi="Arial" w:cs="Arial"/>
          <w:szCs w:val="20"/>
          <w:lang w:eastAsia="en-AU"/>
        </w:rPr>
      </w:pPr>
    </w:p>
    <w:p w14:paraId="3667287E" w14:textId="77777777" w:rsidR="0016036B" w:rsidRDefault="0016036B" w:rsidP="00307761">
      <w:pPr>
        <w:rPr>
          <w:rFonts w:ascii="Arial" w:eastAsia="Times New Roman" w:hAnsi="Arial" w:cs="Arial"/>
          <w:szCs w:val="20"/>
          <w:lang w:eastAsia="en-AU"/>
        </w:rPr>
      </w:pPr>
    </w:p>
    <w:p w14:paraId="27773F8C" w14:textId="77777777" w:rsidR="0016036B" w:rsidRDefault="0016036B" w:rsidP="00307761">
      <w:pPr>
        <w:rPr>
          <w:rFonts w:ascii="Arial" w:eastAsia="Times New Roman" w:hAnsi="Arial" w:cs="Arial"/>
          <w:szCs w:val="20"/>
          <w:lang w:eastAsia="en-AU"/>
        </w:rPr>
      </w:pPr>
    </w:p>
    <w:p w14:paraId="3FDC994C" w14:textId="77777777" w:rsidR="0016036B" w:rsidRDefault="0016036B" w:rsidP="00307761">
      <w:pPr>
        <w:rPr>
          <w:rFonts w:ascii="Arial" w:eastAsia="Times New Roman" w:hAnsi="Arial" w:cs="Arial"/>
          <w:szCs w:val="20"/>
          <w:lang w:eastAsia="en-AU"/>
        </w:rPr>
      </w:pPr>
    </w:p>
    <w:p w14:paraId="13428D5F" w14:textId="77777777" w:rsidR="0016036B" w:rsidRDefault="0016036B" w:rsidP="00307761">
      <w:pPr>
        <w:rPr>
          <w:rFonts w:ascii="Arial" w:eastAsia="Times New Roman" w:hAnsi="Arial" w:cs="Arial"/>
          <w:szCs w:val="20"/>
          <w:lang w:eastAsia="en-AU"/>
        </w:rPr>
      </w:pPr>
    </w:p>
    <w:p w14:paraId="1C762AF7" w14:textId="77777777" w:rsidR="0016036B" w:rsidRDefault="0016036B" w:rsidP="00307761">
      <w:pPr>
        <w:rPr>
          <w:rFonts w:ascii="Arial" w:eastAsia="Times New Roman" w:hAnsi="Arial" w:cs="Arial"/>
          <w:szCs w:val="20"/>
          <w:lang w:eastAsia="en-AU"/>
        </w:rPr>
      </w:pPr>
    </w:p>
    <w:p w14:paraId="031EBE44" w14:textId="77777777" w:rsidR="0016036B" w:rsidRPr="00307761" w:rsidRDefault="0016036B" w:rsidP="00307761">
      <w:pPr>
        <w:rPr>
          <w:rFonts w:ascii="Arial" w:eastAsia="Times New Roman" w:hAnsi="Arial" w:cs="Arial"/>
          <w:szCs w:val="20"/>
          <w:lang w:eastAsia="en-AU"/>
        </w:rPr>
      </w:pPr>
    </w:p>
    <w:p w14:paraId="494D2667" w14:textId="7DF5BF43" w:rsidR="0052682F" w:rsidRPr="008E5D18" w:rsidRDefault="00290005" w:rsidP="0052682F">
      <w:pPr>
        <w:pStyle w:val="Caption"/>
        <w:rPr>
          <w:rFonts w:ascii="Calibri" w:eastAsia="Times New Roman" w:hAnsi="Calibri" w:cs="Calibri"/>
          <w:b w:val="0"/>
          <w:sz w:val="20"/>
          <w:szCs w:val="20"/>
        </w:rPr>
      </w:pPr>
      <w:r w:rsidRPr="00307761">
        <w:rPr>
          <w:rFonts w:ascii="Calibri" w:hAnsi="Calibri" w:cs="Calibri"/>
          <w:bCs/>
        </w:rPr>
        <w:t xml:space="preserve">Table </w:t>
      </w:r>
      <w:r w:rsidRPr="00307761">
        <w:rPr>
          <w:rFonts w:ascii="Calibri" w:hAnsi="Calibri" w:cs="Calibri"/>
          <w:bCs/>
          <w:color w:val="2B579A"/>
          <w:shd w:val="clear" w:color="auto" w:fill="E6E6E6"/>
        </w:rPr>
        <w:fldChar w:fldCharType="begin"/>
      </w:r>
      <w:r w:rsidRPr="00307761">
        <w:rPr>
          <w:rFonts w:ascii="Calibri" w:hAnsi="Calibri" w:cs="Calibri"/>
          <w:bCs/>
        </w:rPr>
        <w:instrText xml:space="preserve"> SEQ Table \* ARABIC </w:instrText>
      </w:r>
      <w:r w:rsidRPr="00307761">
        <w:rPr>
          <w:rFonts w:ascii="Calibri" w:hAnsi="Calibri" w:cs="Calibri"/>
          <w:bCs/>
          <w:color w:val="2B579A"/>
          <w:shd w:val="clear" w:color="auto" w:fill="E6E6E6"/>
        </w:rPr>
        <w:fldChar w:fldCharType="separate"/>
      </w:r>
      <w:r w:rsidR="00E8506B">
        <w:rPr>
          <w:rFonts w:ascii="Calibri" w:hAnsi="Calibri" w:cs="Calibri"/>
          <w:bCs/>
          <w:noProof/>
        </w:rPr>
        <w:t>42</w:t>
      </w:r>
      <w:r w:rsidRPr="00307761">
        <w:rPr>
          <w:rFonts w:ascii="Calibri" w:hAnsi="Calibri" w:cs="Calibri"/>
          <w:bCs/>
          <w:color w:val="2B579A"/>
          <w:shd w:val="clear" w:color="auto" w:fill="E6E6E6"/>
        </w:rPr>
        <w:fldChar w:fldCharType="end"/>
      </w:r>
      <w:r w:rsidR="003A0B5E">
        <w:rPr>
          <w:rFonts w:ascii="Calibri" w:hAnsi="Calibri" w:cs="Calibri"/>
          <w:b w:val="0"/>
        </w:rPr>
        <w:t xml:space="preserve"> A</w:t>
      </w:r>
      <w:r w:rsidR="0052682F" w:rsidRPr="005D7760">
        <w:rPr>
          <w:rFonts w:ascii="Calibri" w:hAnsi="Calibri" w:cs="Calibri"/>
          <w:b w:val="0"/>
        </w:rPr>
        <w:t xml:space="preserve">lignment </w:t>
      </w:r>
      <w:r w:rsidR="0052682F" w:rsidRPr="008E5D18">
        <w:rPr>
          <w:rFonts w:ascii="Calibri" w:hAnsi="Calibri" w:cs="Calibri"/>
          <w:b w:val="0"/>
        </w:rPr>
        <w:t>between Government objectives and outcomes</w:t>
      </w:r>
    </w:p>
    <w:tbl>
      <w:tblPr>
        <w:tblStyle w:val="TableGridLight"/>
        <w:tblW w:w="97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46"/>
        <w:gridCol w:w="2351"/>
        <w:gridCol w:w="4704"/>
      </w:tblGrid>
      <w:tr w:rsidR="0052682F" w:rsidRPr="00940D7E" w14:paraId="6A6E458C" w14:textId="77777777" w:rsidTr="009763A8">
        <w:trPr>
          <w:trHeight w:val="324"/>
        </w:trPr>
        <w:tc>
          <w:tcPr>
            <w:tcW w:w="2646" w:type="dxa"/>
            <w:shd w:val="clear" w:color="auto" w:fill="284B98"/>
            <w:vAlign w:val="center"/>
          </w:tcPr>
          <w:p w14:paraId="2FC71370" w14:textId="77777777" w:rsidR="0052682F" w:rsidRPr="00F1701F" w:rsidRDefault="0052682F" w:rsidP="004A163C">
            <w:pPr>
              <w:rPr>
                <w:rFonts w:ascii="Arial" w:hAnsi="Arial" w:cs="Arial"/>
                <w:b/>
                <w:bCs/>
                <w:color w:val="FFFFFF" w:themeColor="background1"/>
                <w:szCs w:val="20"/>
              </w:rPr>
            </w:pPr>
            <w:r>
              <w:rPr>
                <w:rFonts w:ascii="Arial" w:hAnsi="Arial" w:cs="Arial"/>
                <w:b/>
                <w:bCs/>
                <w:color w:val="FFFFFF" w:themeColor="background1"/>
                <w:szCs w:val="20"/>
              </w:rPr>
              <w:t>Government objectives</w:t>
            </w:r>
          </w:p>
        </w:tc>
        <w:tc>
          <w:tcPr>
            <w:tcW w:w="2351" w:type="dxa"/>
            <w:shd w:val="clear" w:color="auto" w:fill="284B98"/>
            <w:vAlign w:val="center"/>
          </w:tcPr>
          <w:p w14:paraId="03417740" w14:textId="77777777" w:rsidR="0052682F" w:rsidRDefault="0052682F" w:rsidP="004A163C">
            <w:pPr>
              <w:rPr>
                <w:rFonts w:ascii="Arial" w:hAnsi="Arial" w:cs="Arial"/>
                <w:b/>
                <w:bCs/>
                <w:color w:val="FFFFFF" w:themeColor="background1"/>
                <w:szCs w:val="20"/>
              </w:rPr>
            </w:pPr>
            <w:r>
              <w:rPr>
                <w:rFonts w:ascii="Arial" w:hAnsi="Arial" w:cs="Arial"/>
                <w:b/>
                <w:bCs/>
                <w:color w:val="FFFFFF" w:themeColor="background1"/>
                <w:szCs w:val="20"/>
              </w:rPr>
              <w:t>Indicator of success</w:t>
            </w:r>
          </w:p>
        </w:tc>
        <w:tc>
          <w:tcPr>
            <w:tcW w:w="4704" w:type="dxa"/>
            <w:shd w:val="clear" w:color="auto" w:fill="284B98"/>
            <w:vAlign w:val="center"/>
          </w:tcPr>
          <w:p w14:paraId="01887146" w14:textId="77777777" w:rsidR="0052682F" w:rsidRDefault="0052682F" w:rsidP="004A163C">
            <w:pPr>
              <w:rPr>
                <w:rFonts w:ascii="Arial" w:hAnsi="Arial" w:cs="Arial"/>
                <w:b/>
                <w:bCs/>
                <w:color w:val="FFFFFF" w:themeColor="background1"/>
                <w:szCs w:val="20"/>
              </w:rPr>
            </w:pPr>
            <w:r>
              <w:rPr>
                <w:rFonts w:ascii="Arial" w:hAnsi="Arial" w:cs="Arial"/>
                <w:b/>
                <w:bCs/>
                <w:color w:val="FFFFFF" w:themeColor="background1"/>
                <w:szCs w:val="20"/>
              </w:rPr>
              <w:t>Evidence of Success</w:t>
            </w:r>
          </w:p>
        </w:tc>
      </w:tr>
      <w:tr w:rsidR="0052682F" w:rsidRPr="00940D7E" w14:paraId="09FCCF92" w14:textId="77777777" w:rsidTr="009763A8">
        <w:trPr>
          <w:trHeight w:val="324"/>
        </w:trPr>
        <w:tc>
          <w:tcPr>
            <w:tcW w:w="2646" w:type="dxa"/>
            <w:shd w:val="clear" w:color="auto" w:fill="F2F2F2" w:themeFill="background1" w:themeFillShade="F2"/>
            <w:vAlign w:val="center"/>
          </w:tcPr>
          <w:p w14:paraId="236F08C3" w14:textId="77777777" w:rsidR="0052682F" w:rsidRPr="00400CBA" w:rsidRDefault="0052682F" w:rsidP="004A163C">
            <w:pPr>
              <w:spacing w:after="120"/>
              <w:rPr>
                <w:rFonts w:ascii="Arial" w:hAnsi="Arial" w:cs="Arial"/>
                <w:szCs w:val="20"/>
              </w:rPr>
            </w:pPr>
            <w:r w:rsidRPr="591A7590">
              <w:rPr>
                <w:rFonts w:ascii="Arial" w:hAnsi="Arial" w:cs="Arial"/>
                <w:szCs w:val="20"/>
              </w:rPr>
              <w:t xml:space="preserve">Ensure </w:t>
            </w:r>
            <w:r w:rsidRPr="591A7590">
              <w:rPr>
                <w:rFonts w:ascii="Arial" w:hAnsi="Arial" w:cs="Arial"/>
                <w:b/>
                <w:bCs/>
                <w:szCs w:val="20"/>
              </w:rPr>
              <w:t>consistent</w:t>
            </w:r>
            <w:r w:rsidRPr="591A7590">
              <w:rPr>
                <w:rFonts w:ascii="Arial" w:hAnsi="Arial" w:cs="Arial"/>
                <w:szCs w:val="20"/>
              </w:rPr>
              <w:t xml:space="preserve"> capture of secondary systems where vulnerabilities could have a relevant impact on critical infrastructure.</w:t>
            </w:r>
          </w:p>
        </w:tc>
        <w:tc>
          <w:tcPr>
            <w:tcW w:w="2351" w:type="dxa"/>
            <w:vAlign w:val="center"/>
          </w:tcPr>
          <w:p w14:paraId="75AFDFB4" w14:textId="77777777" w:rsidR="0052682F" w:rsidRPr="00005B69" w:rsidRDefault="0052682F" w:rsidP="004A163C">
            <w:pPr>
              <w:spacing w:after="120"/>
              <w:rPr>
                <w:rFonts w:ascii="Arial" w:hAnsi="Arial" w:cs="Arial"/>
                <w:szCs w:val="20"/>
              </w:rPr>
            </w:pPr>
            <w:r>
              <w:rPr>
                <w:rFonts w:ascii="Arial" w:hAnsi="Arial" w:cs="Arial"/>
                <w:szCs w:val="20"/>
              </w:rPr>
              <w:t xml:space="preserve">All relevant secondary systems are captured by regulation, reducing the risk of adverse impacts on critical infrastructure. </w:t>
            </w:r>
          </w:p>
        </w:tc>
        <w:tc>
          <w:tcPr>
            <w:tcW w:w="4704" w:type="dxa"/>
          </w:tcPr>
          <w:p w14:paraId="7725E570" w14:textId="77777777" w:rsidR="0052682F" w:rsidRDefault="0052682F" w:rsidP="004A163C">
            <w:pPr>
              <w:spacing w:after="120"/>
              <w:rPr>
                <w:rFonts w:ascii="Arial" w:hAnsi="Arial" w:cs="Arial"/>
                <w:szCs w:val="20"/>
              </w:rPr>
            </w:pPr>
            <w:r w:rsidRPr="00005B69">
              <w:rPr>
                <w:rFonts w:ascii="Arial" w:hAnsi="Arial" w:cs="Arial"/>
                <w:szCs w:val="20"/>
              </w:rPr>
              <w:t xml:space="preserve">Industry reporting on approaches to risk management for secondary systems. Specifically: </w:t>
            </w:r>
          </w:p>
          <w:p w14:paraId="03DFED02" w14:textId="77777777" w:rsidR="0052682F" w:rsidRDefault="0052682F" w:rsidP="00510557">
            <w:pPr>
              <w:pStyle w:val="ListParagraph"/>
              <w:numPr>
                <w:ilvl w:val="0"/>
                <w:numId w:val="30"/>
              </w:numPr>
              <w:spacing w:before="0" w:line="240" w:lineRule="auto"/>
              <w:rPr>
                <w:rFonts w:ascii="Arial" w:hAnsi="Arial" w:cs="Arial"/>
                <w:szCs w:val="20"/>
              </w:rPr>
            </w:pPr>
            <w:r>
              <w:rPr>
                <w:rFonts w:ascii="Arial" w:hAnsi="Arial" w:cs="Arial"/>
                <w:szCs w:val="20"/>
              </w:rPr>
              <w:t xml:space="preserve">A stronger understanding of the need to capture secondary systems and the indicators of malicious attacks; and </w:t>
            </w:r>
          </w:p>
          <w:p w14:paraId="409407D2" w14:textId="77777777" w:rsidR="0052682F" w:rsidRPr="00005B69" w:rsidRDefault="0052682F" w:rsidP="00510557">
            <w:pPr>
              <w:pStyle w:val="ListParagraph"/>
              <w:numPr>
                <w:ilvl w:val="0"/>
                <w:numId w:val="30"/>
              </w:numPr>
              <w:spacing w:before="0" w:line="240" w:lineRule="auto"/>
              <w:rPr>
                <w:rFonts w:ascii="Arial" w:hAnsi="Arial" w:cs="Arial"/>
                <w:szCs w:val="20"/>
              </w:rPr>
            </w:pPr>
            <w:r>
              <w:rPr>
                <w:rFonts w:ascii="Arial" w:hAnsi="Arial" w:cs="Arial"/>
                <w:szCs w:val="20"/>
              </w:rPr>
              <w:t xml:space="preserve">A reduction in the number of (or severity of) critical infrastructure attacks arising through secondary systems. </w:t>
            </w:r>
          </w:p>
        </w:tc>
      </w:tr>
      <w:tr w:rsidR="0052682F" w:rsidRPr="00940D7E" w14:paraId="41A89483" w14:textId="77777777" w:rsidTr="009763A8">
        <w:trPr>
          <w:trHeight w:val="324"/>
        </w:trPr>
        <w:tc>
          <w:tcPr>
            <w:tcW w:w="2646" w:type="dxa"/>
            <w:shd w:val="clear" w:color="auto" w:fill="F2F2F2" w:themeFill="background1" w:themeFillShade="F2"/>
            <w:vAlign w:val="center"/>
          </w:tcPr>
          <w:p w14:paraId="42B3C411" w14:textId="77777777" w:rsidR="0052682F" w:rsidRPr="00400CBA" w:rsidRDefault="0052682F" w:rsidP="004A163C">
            <w:pPr>
              <w:spacing w:after="120"/>
              <w:rPr>
                <w:rFonts w:ascii="Arial" w:hAnsi="Arial" w:cs="Arial"/>
                <w:szCs w:val="20"/>
              </w:rPr>
            </w:pPr>
            <w:r w:rsidRPr="591A7590">
              <w:rPr>
                <w:rFonts w:ascii="Arial" w:hAnsi="Arial" w:cs="Arial"/>
                <w:szCs w:val="20"/>
              </w:rPr>
              <w:t xml:space="preserve">Enable a </w:t>
            </w:r>
            <w:r w:rsidRPr="591A7590">
              <w:rPr>
                <w:rFonts w:ascii="Arial" w:hAnsi="Arial" w:cs="Arial"/>
                <w:b/>
                <w:bCs/>
                <w:szCs w:val="20"/>
              </w:rPr>
              <w:t>coordinated,</w:t>
            </w:r>
            <w:r w:rsidRPr="591A7590">
              <w:rPr>
                <w:rFonts w:ascii="Arial" w:hAnsi="Arial" w:cs="Arial"/>
                <w:szCs w:val="20"/>
              </w:rPr>
              <w:t xml:space="preserve"> </w:t>
            </w:r>
            <w:r w:rsidRPr="591A7590">
              <w:rPr>
                <w:rFonts w:ascii="Arial" w:hAnsi="Arial" w:cs="Arial"/>
                <w:b/>
                <w:bCs/>
                <w:szCs w:val="20"/>
              </w:rPr>
              <w:t>agile, industry-led response</w:t>
            </w:r>
            <w:r w:rsidRPr="591A7590">
              <w:rPr>
                <w:rFonts w:ascii="Arial" w:hAnsi="Arial" w:cs="Arial"/>
                <w:szCs w:val="20"/>
              </w:rPr>
              <w:t xml:space="preserve"> to incidents with appropriate support from government where necessary.</w:t>
            </w:r>
          </w:p>
        </w:tc>
        <w:tc>
          <w:tcPr>
            <w:tcW w:w="2351" w:type="dxa"/>
            <w:vAlign w:val="center"/>
          </w:tcPr>
          <w:p w14:paraId="0575AA94" w14:textId="77777777" w:rsidR="0052682F" w:rsidRPr="00005B69" w:rsidRDefault="0052682F" w:rsidP="004A163C">
            <w:pPr>
              <w:spacing w:after="120"/>
              <w:rPr>
                <w:rFonts w:ascii="Arial" w:hAnsi="Arial" w:cs="Arial"/>
                <w:szCs w:val="20"/>
              </w:rPr>
            </w:pPr>
            <w:r>
              <w:rPr>
                <w:rFonts w:ascii="Arial" w:hAnsi="Arial" w:cs="Arial"/>
                <w:szCs w:val="20"/>
              </w:rPr>
              <w:t xml:space="preserve">Industry are equipped and informed to deal with incidents, including when to seek Government support. </w:t>
            </w:r>
          </w:p>
        </w:tc>
        <w:tc>
          <w:tcPr>
            <w:tcW w:w="4704" w:type="dxa"/>
          </w:tcPr>
          <w:p w14:paraId="0E1DA08C" w14:textId="77777777" w:rsidR="0052682F" w:rsidRDefault="0052682F" w:rsidP="004A163C">
            <w:pPr>
              <w:spacing w:after="120"/>
              <w:rPr>
                <w:rFonts w:ascii="Arial" w:hAnsi="Arial" w:cs="Arial"/>
                <w:szCs w:val="20"/>
              </w:rPr>
            </w:pPr>
            <w:r w:rsidRPr="009F5B9F">
              <w:rPr>
                <w:rFonts w:ascii="Arial" w:hAnsi="Arial" w:cs="Arial"/>
                <w:szCs w:val="20"/>
              </w:rPr>
              <w:t xml:space="preserve">Industry reporting on approaches to </w:t>
            </w:r>
            <w:r>
              <w:rPr>
                <w:rFonts w:ascii="Arial" w:hAnsi="Arial" w:cs="Arial"/>
                <w:szCs w:val="20"/>
              </w:rPr>
              <w:t>incident response management</w:t>
            </w:r>
            <w:r w:rsidRPr="009F5B9F">
              <w:rPr>
                <w:rFonts w:ascii="Arial" w:hAnsi="Arial" w:cs="Arial"/>
                <w:szCs w:val="20"/>
              </w:rPr>
              <w:t xml:space="preserve">. Specifically: </w:t>
            </w:r>
          </w:p>
          <w:p w14:paraId="21A4D7DA" w14:textId="77777777" w:rsidR="0052682F" w:rsidRDefault="0052682F" w:rsidP="00510557">
            <w:pPr>
              <w:pStyle w:val="ListParagraph"/>
              <w:numPr>
                <w:ilvl w:val="0"/>
                <w:numId w:val="31"/>
              </w:numPr>
              <w:spacing w:before="0" w:line="240" w:lineRule="auto"/>
              <w:rPr>
                <w:rFonts w:ascii="Arial" w:hAnsi="Arial" w:cs="Arial"/>
                <w:szCs w:val="20"/>
              </w:rPr>
            </w:pPr>
            <w:r>
              <w:rPr>
                <w:rFonts w:ascii="Arial" w:hAnsi="Arial" w:cs="Arial"/>
                <w:szCs w:val="20"/>
              </w:rPr>
              <w:t xml:space="preserve">A stronger understanding of the ways in which industry can best respond; and </w:t>
            </w:r>
          </w:p>
          <w:p w14:paraId="4BF99A7D" w14:textId="77777777" w:rsidR="0052682F" w:rsidRPr="00005B69" w:rsidRDefault="0052682F" w:rsidP="00510557">
            <w:pPr>
              <w:pStyle w:val="ListParagraph"/>
              <w:numPr>
                <w:ilvl w:val="0"/>
                <w:numId w:val="31"/>
              </w:numPr>
              <w:spacing w:before="0" w:line="240" w:lineRule="auto"/>
              <w:rPr>
                <w:rFonts w:ascii="Arial" w:hAnsi="Arial" w:cs="Arial"/>
                <w:szCs w:val="20"/>
              </w:rPr>
            </w:pPr>
            <w:r>
              <w:rPr>
                <w:rFonts w:ascii="Arial" w:hAnsi="Arial" w:cs="Arial"/>
                <w:szCs w:val="20"/>
              </w:rPr>
              <w:t xml:space="preserve">A flexible and transparent approach to interactions with Government, including leveraging Government support at appropriate points. </w:t>
            </w:r>
          </w:p>
        </w:tc>
      </w:tr>
      <w:tr w:rsidR="0052682F" w:rsidRPr="00940D7E" w14:paraId="0275417B" w14:textId="77777777" w:rsidTr="009763A8">
        <w:trPr>
          <w:trHeight w:val="324"/>
        </w:trPr>
        <w:tc>
          <w:tcPr>
            <w:tcW w:w="2646" w:type="dxa"/>
            <w:shd w:val="clear" w:color="auto" w:fill="F2F2F2" w:themeFill="background1" w:themeFillShade="F2"/>
            <w:vAlign w:val="center"/>
          </w:tcPr>
          <w:p w14:paraId="7B563D07" w14:textId="77777777" w:rsidR="0052682F" w:rsidRPr="00400CBA" w:rsidRDefault="0052682F" w:rsidP="004A163C">
            <w:pPr>
              <w:spacing w:after="120"/>
              <w:rPr>
                <w:rFonts w:ascii="Arial" w:hAnsi="Arial" w:cs="Arial"/>
                <w:szCs w:val="20"/>
              </w:rPr>
            </w:pPr>
            <w:r w:rsidRPr="00005B69">
              <w:rPr>
                <w:rFonts w:ascii="Arial" w:hAnsi="Arial" w:cs="Arial"/>
                <w:b/>
                <w:bCs/>
                <w:szCs w:val="20"/>
              </w:rPr>
              <w:t>Clarify and enhance</w:t>
            </w:r>
            <w:r w:rsidRPr="00005B69">
              <w:rPr>
                <w:rFonts w:ascii="Arial" w:hAnsi="Arial" w:cs="Arial"/>
                <w:szCs w:val="20"/>
              </w:rPr>
              <w:t xml:space="preserve"> the security standards applicable to critical infrastructure. </w:t>
            </w:r>
          </w:p>
        </w:tc>
        <w:tc>
          <w:tcPr>
            <w:tcW w:w="2351" w:type="dxa"/>
            <w:vAlign w:val="center"/>
          </w:tcPr>
          <w:p w14:paraId="367034C6" w14:textId="77777777" w:rsidR="0052682F" w:rsidRPr="000D0D7F" w:rsidRDefault="0052682F" w:rsidP="004A163C">
            <w:pPr>
              <w:spacing w:after="120"/>
            </w:pPr>
            <w:r w:rsidRPr="00005B69">
              <w:rPr>
                <w:rFonts w:ascii="Arial" w:hAnsi="Arial" w:cs="Arial"/>
                <w:szCs w:val="20"/>
              </w:rPr>
              <w:t xml:space="preserve">Industry have a clear view on applicable standards. </w:t>
            </w:r>
          </w:p>
        </w:tc>
        <w:tc>
          <w:tcPr>
            <w:tcW w:w="4704" w:type="dxa"/>
          </w:tcPr>
          <w:p w14:paraId="09A553E5" w14:textId="77777777" w:rsidR="0052682F" w:rsidRPr="000D0D7F" w:rsidRDefault="0052682F" w:rsidP="004A163C">
            <w:pPr>
              <w:spacing w:after="120"/>
              <w:rPr>
                <w:rFonts w:ascii="Arial" w:hAnsi="Arial" w:cs="Arial"/>
                <w:szCs w:val="20"/>
              </w:rPr>
            </w:pPr>
            <w:r w:rsidRPr="000D0D7F">
              <w:rPr>
                <w:rFonts w:ascii="Arial" w:hAnsi="Arial" w:cs="Arial"/>
                <w:szCs w:val="20"/>
              </w:rPr>
              <w:t xml:space="preserve">Industry reporting on applicable standards. Specifically: </w:t>
            </w:r>
          </w:p>
          <w:p w14:paraId="26902201" w14:textId="77777777" w:rsidR="0052682F" w:rsidRPr="00005B69" w:rsidRDefault="0052682F" w:rsidP="00510557">
            <w:pPr>
              <w:pStyle w:val="ListParagraph"/>
              <w:numPr>
                <w:ilvl w:val="0"/>
                <w:numId w:val="20"/>
              </w:numPr>
              <w:spacing w:before="0" w:line="240" w:lineRule="auto"/>
              <w:rPr>
                <w:rFonts w:ascii="Arial" w:hAnsi="Arial" w:cs="Arial"/>
                <w:szCs w:val="20"/>
              </w:rPr>
            </w:pPr>
            <w:r w:rsidRPr="00005B69">
              <w:rPr>
                <w:rFonts w:ascii="Arial" w:hAnsi="Arial" w:cs="Arial"/>
                <w:szCs w:val="20"/>
              </w:rPr>
              <w:t xml:space="preserve">An ability to clearly identify, implement and comply with standards applicable to their relevant asset. </w:t>
            </w:r>
          </w:p>
        </w:tc>
      </w:tr>
    </w:tbl>
    <w:p w14:paraId="675DB93D" w14:textId="77777777" w:rsidR="0052682F" w:rsidRPr="00631F6B" w:rsidRDefault="0052682F" w:rsidP="0052682F">
      <w:pPr>
        <w:rPr>
          <w:rFonts w:ascii="Arial" w:hAnsi="Arial" w:cs="Arial"/>
        </w:rPr>
      </w:pPr>
    </w:p>
    <w:p w14:paraId="119843CA" w14:textId="77777777" w:rsidR="0052682F" w:rsidRDefault="0052682F" w:rsidP="0052682F">
      <w:pPr>
        <w:rPr>
          <w:rFonts w:ascii="Arial" w:hAnsi="Arial" w:cs="Arial"/>
          <w:szCs w:val="20"/>
        </w:rPr>
      </w:pPr>
      <w:r w:rsidRPr="591A7590">
        <w:rPr>
          <w:rFonts w:ascii="Arial" w:hAnsi="Arial" w:cs="Arial"/>
          <w:szCs w:val="20"/>
        </w:rPr>
        <w:br w:type="page"/>
      </w:r>
    </w:p>
    <w:p w14:paraId="196D52B5" w14:textId="77777777" w:rsidR="0052682F" w:rsidRPr="008E5D18" w:rsidRDefault="0052682F" w:rsidP="0052682F">
      <w:pPr>
        <w:pStyle w:val="Heading1"/>
        <w:rPr>
          <w:rFonts w:ascii="Arial" w:hAnsi="Arial"/>
          <w:sz w:val="32"/>
          <w:szCs w:val="32"/>
        </w:rPr>
      </w:pPr>
      <w:bookmarkStart w:id="122" w:name="_Toc164683849"/>
      <w:bookmarkStart w:id="123" w:name="_Toc176183951"/>
      <w:r w:rsidRPr="008E5D18">
        <w:rPr>
          <w:rFonts w:ascii="Arial" w:hAnsi="Arial"/>
          <w:sz w:val="32"/>
          <w:szCs w:val="32"/>
        </w:rPr>
        <w:t>Appendix A: References to the 2022 RIS</w:t>
      </w:r>
      <w:bookmarkEnd w:id="122"/>
      <w:bookmarkEnd w:id="123"/>
    </w:p>
    <w:p w14:paraId="120AB7AF" w14:textId="77777777" w:rsidR="0052682F" w:rsidRPr="00A80E57" w:rsidRDefault="0052682F" w:rsidP="00A64B46">
      <w:pPr>
        <w:pStyle w:val="Subheading2"/>
      </w:pPr>
      <w:bookmarkStart w:id="124" w:name="_Toc159591823"/>
      <w:bookmarkStart w:id="125" w:name="_Toc176182578"/>
      <w:r w:rsidRPr="00A80E57">
        <w:t>Approach to 2022 RIS</w:t>
      </w:r>
      <w:bookmarkEnd w:id="124"/>
      <w:bookmarkEnd w:id="125"/>
    </w:p>
    <w:p w14:paraId="40356474" w14:textId="77777777" w:rsidR="0052682F" w:rsidRDefault="0052682F" w:rsidP="0052682F">
      <w:pPr>
        <w:spacing w:after="120"/>
        <w:rPr>
          <w:rFonts w:ascii="Arial" w:hAnsi="Arial" w:cs="Arial"/>
          <w:szCs w:val="20"/>
        </w:rPr>
      </w:pPr>
      <w:r w:rsidRPr="591A7590">
        <w:rPr>
          <w:rFonts w:ascii="Arial" w:hAnsi="Arial" w:cs="Arial"/>
          <w:szCs w:val="20"/>
        </w:rPr>
        <w:t xml:space="preserve">The 2022 RIS related to the introduction of a framework for risk management for a selection of asset classes. This framework, now contained in Part 2A of the SOCI Act, requires responsible entities to have and adhere to a critical infrastructure RMP. </w:t>
      </w:r>
    </w:p>
    <w:p w14:paraId="5B5B929A" w14:textId="77777777" w:rsidR="0052682F" w:rsidRDefault="0052682F" w:rsidP="0052682F">
      <w:pPr>
        <w:spacing w:after="120"/>
        <w:rPr>
          <w:rFonts w:ascii="Arial" w:hAnsi="Arial" w:cs="Arial"/>
          <w:szCs w:val="20"/>
        </w:rPr>
      </w:pPr>
      <w:r w:rsidRPr="591A7590">
        <w:rPr>
          <w:rFonts w:ascii="Arial" w:hAnsi="Arial" w:cs="Arial"/>
          <w:szCs w:val="20"/>
        </w:rPr>
        <w:t xml:space="preserve">The asset classes captured by the 2022 RIS (and required to comply with Part 2A of the Act) are: </w:t>
      </w:r>
    </w:p>
    <w:p w14:paraId="6313FD54"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broadcasting assets; </w:t>
      </w:r>
    </w:p>
    <w:p w14:paraId="10EA6220"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domain name systems’ </w:t>
      </w:r>
    </w:p>
    <w:p w14:paraId="0AC31A9A"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data storage or processing assets; </w:t>
      </w:r>
    </w:p>
    <w:p w14:paraId="79E04987"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electricity assets; </w:t>
      </w:r>
    </w:p>
    <w:p w14:paraId="2C71BA1A"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energy market operator assets; </w:t>
      </w:r>
    </w:p>
    <w:p w14:paraId="21FD4D3E"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gas assets; </w:t>
      </w:r>
    </w:p>
    <w:p w14:paraId="0D88F62E"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Designated hospitals (a subset of ‘critical hospitals’); </w:t>
      </w:r>
    </w:p>
    <w:p w14:paraId="5A58EE18"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Critical food and grocery assets;</w:t>
      </w:r>
    </w:p>
    <w:p w14:paraId="20B2EF14"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Critical freight infrastructure assets;</w:t>
      </w:r>
    </w:p>
    <w:p w14:paraId="0B8A9C60"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Critical freight services assets;</w:t>
      </w:r>
    </w:p>
    <w:p w14:paraId="5F9DB4A3"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liquid fuel assets; </w:t>
      </w:r>
    </w:p>
    <w:p w14:paraId="4027C009"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 xml:space="preserve">Critical financial market assets that are used in connection with the operation of a payment system (as per s 12D(1)(i) of the SOCI Act); and </w:t>
      </w:r>
    </w:p>
    <w:p w14:paraId="4FFEE58C" w14:textId="77777777" w:rsidR="0052682F" w:rsidRDefault="0052682F" w:rsidP="00510557">
      <w:pPr>
        <w:pStyle w:val="ListParagraph"/>
        <w:numPr>
          <w:ilvl w:val="0"/>
          <w:numId w:val="21"/>
        </w:numPr>
        <w:contextualSpacing/>
        <w:rPr>
          <w:rFonts w:ascii="Arial" w:hAnsi="Arial" w:cs="Arial"/>
          <w:szCs w:val="20"/>
        </w:rPr>
      </w:pPr>
      <w:r w:rsidRPr="591A7590">
        <w:rPr>
          <w:rFonts w:ascii="Arial" w:hAnsi="Arial" w:cs="Arial"/>
          <w:szCs w:val="20"/>
        </w:rPr>
        <w:t>Critical water assets.</w:t>
      </w:r>
    </w:p>
    <w:p w14:paraId="00B90242" w14:textId="77777777" w:rsidR="0052682F" w:rsidRDefault="0052682F" w:rsidP="0052682F">
      <w:pPr>
        <w:spacing w:before="120" w:after="120"/>
        <w:rPr>
          <w:rFonts w:ascii="Arial" w:hAnsi="Arial" w:cs="Arial"/>
          <w:szCs w:val="20"/>
        </w:rPr>
      </w:pPr>
      <w:r>
        <w:rPr>
          <w:rFonts w:ascii="Arial" w:hAnsi="Arial" w:cs="Arial"/>
          <w:szCs w:val="20"/>
        </w:rPr>
        <w:t>T</w:t>
      </w:r>
      <w:r w:rsidRPr="591A7590">
        <w:rPr>
          <w:rFonts w:ascii="Arial" w:hAnsi="Arial" w:cs="Arial"/>
          <w:szCs w:val="20"/>
        </w:rPr>
        <w:t xml:space="preserve">he cost benefit analysis contained in the 2022 RIS examined the implementation of the RMP framework, based on the requirements now contained in Part 2A of the SOCI Act and the CIRMP rules. The cost benefit analysis also considered the required uplift in risk management practices across Australia’s critical infrastructure assets, and resultant improvement in the security and resilience of interconnected critical infrastructure across Australia. However, this analysis only considered (and quantified the costs attached to) the uplift for the asset classes where the CIRMP rules would be ‘switched on’. </w:t>
      </w:r>
    </w:p>
    <w:p w14:paraId="54983BA6" w14:textId="77777777" w:rsidR="0052682F" w:rsidRPr="00DB1E72" w:rsidRDefault="0052682F" w:rsidP="005E6D08">
      <w:pPr>
        <w:pStyle w:val="Subheading4"/>
      </w:pPr>
      <w:bookmarkStart w:id="126" w:name="_Toc159591824"/>
      <w:bookmarkStart w:id="127" w:name="_Toc176182579"/>
      <w:r w:rsidRPr="00A80E57">
        <w:t>Approach to 2022 RIS cost benefit analysis</w:t>
      </w:r>
      <w:bookmarkEnd w:id="126"/>
      <w:bookmarkEnd w:id="127"/>
    </w:p>
    <w:p w14:paraId="6F352672" w14:textId="77777777" w:rsidR="0052682F" w:rsidRDefault="0052682F" w:rsidP="0052682F">
      <w:pPr>
        <w:spacing w:before="240" w:after="120"/>
        <w:rPr>
          <w:rFonts w:ascii="Arial" w:eastAsiaTheme="majorEastAsia" w:hAnsi="Arial" w:cs="Arial"/>
          <w:szCs w:val="20"/>
        </w:rPr>
      </w:pPr>
      <w:r w:rsidRPr="591A7590">
        <w:rPr>
          <w:rFonts w:ascii="Arial" w:hAnsi="Arial" w:cs="Arial"/>
          <w:szCs w:val="20"/>
        </w:rPr>
        <w:t xml:space="preserve">To quantify the regulatory proposal set out in the 2022 RIS, </w:t>
      </w:r>
      <w:r w:rsidRPr="591A7590">
        <w:rPr>
          <w:rFonts w:ascii="Arial" w:eastAsiaTheme="majorEastAsia" w:hAnsi="Arial" w:cs="Arial"/>
          <w:szCs w:val="20"/>
        </w:rPr>
        <w:t xml:space="preserve">each responsible entity was asked to complete a template to estimate costs of compliance with the RMP obligations, using the following basis for estimate: </w:t>
      </w:r>
    </w:p>
    <w:p w14:paraId="6510D23B" w14:textId="77777777" w:rsidR="0052682F" w:rsidRPr="009C3D79" w:rsidRDefault="0052682F" w:rsidP="00510557">
      <w:pPr>
        <w:pStyle w:val="ListParagraph"/>
        <w:numPr>
          <w:ilvl w:val="0"/>
          <w:numId w:val="21"/>
        </w:numPr>
        <w:contextualSpacing/>
        <w:rPr>
          <w:rFonts w:ascii="Arial" w:eastAsiaTheme="majorEastAsia" w:hAnsi="Arial" w:cs="Arial"/>
          <w:szCs w:val="20"/>
        </w:rPr>
      </w:pPr>
      <w:r w:rsidRPr="591A7590">
        <w:rPr>
          <w:rFonts w:ascii="Arial" w:eastAsiaTheme="majorEastAsia" w:hAnsi="Arial" w:cs="Arial"/>
          <w:b/>
          <w:bCs/>
          <w:szCs w:val="20"/>
        </w:rPr>
        <w:t>Rough order of magnitude estimates</w:t>
      </w:r>
      <w:r w:rsidRPr="591A7590">
        <w:rPr>
          <w:rFonts w:ascii="Arial" w:eastAsiaTheme="majorEastAsia" w:hAnsi="Arial" w:cs="Arial"/>
          <w:szCs w:val="20"/>
        </w:rPr>
        <w:t xml:space="preserve"> to reflect the inherent uncertainty of the cost impacts on responsible entities prior to the legislation being switched on. </w:t>
      </w:r>
    </w:p>
    <w:p w14:paraId="515E1426" w14:textId="77777777" w:rsidR="0052682F" w:rsidRPr="009C3D79" w:rsidRDefault="0052682F" w:rsidP="00510557">
      <w:pPr>
        <w:pStyle w:val="ListParagraph"/>
        <w:numPr>
          <w:ilvl w:val="0"/>
          <w:numId w:val="21"/>
        </w:numPr>
        <w:contextualSpacing/>
        <w:rPr>
          <w:rFonts w:ascii="Arial" w:eastAsiaTheme="majorEastAsia" w:hAnsi="Arial" w:cs="Arial"/>
          <w:szCs w:val="20"/>
        </w:rPr>
      </w:pPr>
      <w:r w:rsidRPr="008E5D18">
        <w:rPr>
          <w:rFonts w:ascii="Arial" w:eastAsiaTheme="minorHAnsi" w:hAnsi="Arial" w:cs="Arial"/>
          <w:b/>
          <w:szCs w:val="20"/>
        </w:rPr>
        <w:t>Marginal impact on staff effort and/or capital/operating costs</w:t>
      </w:r>
      <w:r w:rsidRPr="008E5D18">
        <w:rPr>
          <w:rFonts w:ascii="Arial" w:eastAsiaTheme="minorHAnsi" w:hAnsi="Arial" w:cs="Arial"/>
          <w:szCs w:val="20"/>
        </w:rPr>
        <w:t xml:space="preserve"> as a result of the proposed Risk</w:t>
      </w:r>
      <w:r w:rsidRPr="591A7590">
        <w:rPr>
          <w:rFonts w:ascii="Arial" w:eastAsiaTheme="majorEastAsia" w:hAnsi="Arial" w:cs="Arial"/>
          <w:szCs w:val="20"/>
        </w:rPr>
        <w:t xml:space="preserve"> Management Program Framework. Staff effort or costs that are already incurred or planned to be incurred were excluded from estimates.</w:t>
      </w:r>
    </w:p>
    <w:p w14:paraId="2137D32B" w14:textId="77777777" w:rsidR="0052682F" w:rsidRPr="009C3D79" w:rsidRDefault="0052682F" w:rsidP="00510557">
      <w:pPr>
        <w:pStyle w:val="ListParagraph"/>
        <w:numPr>
          <w:ilvl w:val="0"/>
          <w:numId w:val="21"/>
        </w:numPr>
        <w:contextualSpacing/>
        <w:rPr>
          <w:rFonts w:ascii="Arial" w:eastAsiaTheme="majorEastAsia" w:hAnsi="Arial" w:cs="Arial"/>
          <w:szCs w:val="20"/>
        </w:rPr>
      </w:pPr>
      <w:r w:rsidRPr="591A7590">
        <w:rPr>
          <w:rFonts w:ascii="Arial" w:eastAsiaTheme="majorEastAsia" w:hAnsi="Arial" w:cs="Arial"/>
          <w:b/>
          <w:bCs/>
          <w:szCs w:val="20"/>
        </w:rPr>
        <w:t>Estimated range of impact against each obligation/rule</w:t>
      </w:r>
      <w:r w:rsidRPr="591A7590">
        <w:rPr>
          <w:rFonts w:ascii="Arial" w:eastAsiaTheme="majorEastAsia" w:hAnsi="Arial" w:cs="Arial"/>
          <w:szCs w:val="20"/>
        </w:rPr>
        <w:t>. The low-end range was the expected cost impact. The high-end range was an estimate of the ‘highest feasible’ cost impact.</w:t>
      </w:r>
    </w:p>
    <w:p w14:paraId="75ACD888" w14:textId="77777777" w:rsidR="008E5D18" w:rsidRDefault="0052682F" w:rsidP="00510557">
      <w:pPr>
        <w:pStyle w:val="ListParagraph"/>
        <w:numPr>
          <w:ilvl w:val="0"/>
          <w:numId w:val="21"/>
        </w:numPr>
        <w:contextualSpacing/>
        <w:rPr>
          <w:rFonts w:ascii="Arial" w:eastAsiaTheme="majorEastAsia" w:hAnsi="Arial" w:cs="Arial"/>
          <w:szCs w:val="20"/>
        </w:rPr>
      </w:pPr>
      <w:r w:rsidRPr="591A7590">
        <w:rPr>
          <w:rFonts w:ascii="Arial" w:eastAsiaTheme="majorEastAsia" w:hAnsi="Arial" w:cs="Arial"/>
          <w:b/>
          <w:bCs/>
          <w:szCs w:val="20"/>
        </w:rPr>
        <w:t>Cost estimates were provided in constant (‘today’) dollars</w:t>
      </w:r>
      <w:r w:rsidRPr="591A7590">
        <w:rPr>
          <w:rFonts w:ascii="Arial" w:eastAsiaTheme="majorEastAsia" w:hAnsi="Arial" w:cs="Arial"/>
          <w:szCs w:val="20"/>
        </w:rPr>
        <w:t>. The cost estimates were not escalated or indexed.</w:t>
      </w:r>
    </w:p>
    <w:p w14:paraId="02FBD74A" w14:textId="284D2DE0" w:rsidR="0052682F" w:rsidRPr="008E5D18" w:rsidRDefault="0052682F" w:rsidP="008E5D18">
      <w:pPr>
        <w:contextualSpacing/>
        <w:rPr>
          <w:rFonts w:ascii="Arial" w:eastAsiaTheme="majorEastAsia" w:hAnsi="Arial" w:cs="Arial"/>
          <w:szCs w:val="20"/>
        </w:rPr>
      </w:pPr>
      <w:r w:rsidRPr="008E5D18">
        <w:rPr>
          <w:rFonts w:ascii="Arial" w:eastAsiaTheme="majorEastAsia" w:hAnsi="Arial" w:cs="Arial"/>
          <w:szCs w:val="20"/>
        </w:rPr>
        <w:t>Following receipt of inputs from industry, the methodology outlined i</w:t>
      </w:r>
      <w:r w:rsidR="005B463B">
        <w:rPr>
          <w:rFonts w:ascii="Arial" w:eastAsiaTheme="majorEastAsia" w:hAnsi="Arial" w:cs="Arial"/>
          <w:szCs w:val="20"/>
        </w:rPr>
        <w:t xml:space="preserve">n Table </w:t>
      </w:r>
      <w:r w:rsidRPr="008E5D18">
        <w:rPr>
          <w:rFonts w:ascii="Arial" w:eastAsiaTheme="majorEastAsia" w:hAnsi="Arial" w:cs="Arial"/>
          <w:szCs w:val="20"/>
        </w:rPr>
        <w:t>4</w:t>
      </w:r>
      <w:r w:rsidR="00290005">
        <w:rPr>
          <w:rFonts w:ascii="Arial" w:eastAsiaTheme="majorEastAsia" w:hAnsi="Arial" w:cs="Arial"/>
          <w:szCs w:val="20"/>
        </w:rPr>
        <w:t>3</w:t>
      </w:r>
      <w:r w:rsidRPr="008E5D18">
        <w:rPr>
          <w:rFonts w:ascii="Arial" w:eastAsiaTheme="majorEastAsia" w:hAnsi="Arial" w:cs="Arial"/>
          <w:szCs w:val="20"/>
        </w:rPr>
        <w:t xml:space="preserve"> below was used to determine costs and benefits.</w:t>
      </w:r>
    </w:p>
    <w:p w14:paraId="127EEB5B" w14:textId="3F5021BE" w:rsidR="0052682F" w:rsidRPr="008E5D18" w:rsidRDefault="00290005" w:rsidP="00290005">
      <w:pPr>
        <w:pStyle w:val="Caption"/>
        <w:ind w:left="-284" w:firstLine="0"/>
        <w:rPr>
          <w:rFonts w:ascii="Calibri" w:hAnsi="Calibri" w:cs="Calibri"/>
          <w:b w:val="0"/>
        </w:rPr>
      </w:pPr>
      <w:r w:rsidRPr="00307761">
        <w:rPr>
          <w:rFonts w:ascii="Calibri" w:hAnsi="Calibri" w:cs="Calibri"/>
          <w:bCs/>
        </w:rPr>
        <w:t xml:space="preserve">Table </w:t>
      </w:r>
      <w:r w:rsidRPr="00290005">
        <w:rPr>
          <w:rFonts w:ascii="Calibri" w:hAnsi="Calibri" w:cs="Calibri"/>
          <w:b w:val="0"/>
        </w:rPr>
        <w:fldChar w:fldCharType="begin"/>
      </w:r>
      <w:r w:rsidRPr="00290005">
        <w:rPr>
          <w:rFonts w:ascii="Calibri" w:hAnsi="Calibri" w:cs="Calibri"/>
          <w:b w:val="0"/>
        </w:rPr>
        <w:instrText xml:space="preserve"> SEQ Table \* ARABIC </w:instrText>
      </w:r>
      <w:r w:rsidRPr="00290005">
        <w:rPr>
          <w:rFonts w:ascii="Calibri" w:hAnsi="Calibri" w:cs="Calibri"/>
          <w:b w:val="0"/>
        </w:rPr>
        <w:fldChar w:fldCharType="separate"/>
      </w:r>
      <w:r w:rsidR="00E8506B">
        <w:rPr>
          <w:rFonts w:ascii="Calibri" w:hAnsi="Calibri" w:cs="Calibri"/>
          <w:b w:val="0"/>
          <w:noProof/>
        </w:rPr>
        <w:t>43</w:t>
      </w:r>
      <w:r w:rsidRPr="00290005">
        <w:rPr>
          <w:rFonts w:ascii="Calibri" w:hAnsi="Calibri" w:cs="Calibri"/>
          <w:b w:val="0"/>
        </w:rPr>
        <w:fldChar w:fldCharType="end"/>
      </w:r>
      <w:r w:rsidRPr="00290005">
        <w:rPr>
          <w:rFonts w:ascii="Calibri" w:hAnsi="Calibri" w:cs="Calibri"/>
          <w:b w:val="0"/>
        </w:rPr>
        <w:t xml:space="preserve"> </w:t>
      </w:r>
      <w:r w:rsidR="0052682F" w:rsidRPr="005D7760">
        <w:rPr>
          <w:rFonts w:ascii="Calibri" w:hAnsi="Calibri" w:cs="Calibri"/>
          <w:b w:val="0"/>
        </w:rPr>
        <w:t>Methodology</w:t>
      </w:r>
      <w:r w:rsidR="0052682F" w:rsidRPr="008E5D18">
        <w:rPr>
          <w:rFonts w:ascii="Calibri" w:hAnsi="Calibri" w:cs="Calibri"/>
          <w:b w:val="0"/>
        </w:rPr>
        <w:t xml:space="preserve"> of 2022 RIS for Cost Benefit Analysis</w:t>
      </w:r>
    </w:p>
    <w:tbl>
      <w:tblPr>
        <w:tblStyle w:val="TableGrid"/>
        <w:tblW w:w="9595" w:type="dxa"/>
        <w:jc w:val="cente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1"/>
        <w:gridCol w:w="7304"/>
      </w:tblGrid>
      <w:tr w:rsidR="0052682F" w:rsidRPr="00940D7E" w14:paraId="3BF71EEA" w14:textId="77777777" w:rsidTr="009763A8">
        <w:trPr>
          <w:trHeight w:val="476"/>
          <w:tblHeader/>
          <w:jc w:val="center"/>
        </w:trPr>
        <w:tc>
          <w:tcPr>
            <w:tcW w:w="2291" w:type="dxa"/>
            <w:shd w:val="clear" w:color="auto" w:fill="284B98"/>
          </w:tcPr>
          <w:p w14:paraId="2A17C1C0" w14:textId="77777777" w:rsidR="0052682F" w:rsidRPr="009C3D79" w:rsidRDefault="0052682F" w:rsidP="004A163C">
            <w:pPr>
              <w:spacing w:before="120" w:after="120"/>
              <w:jc w:val="center"/>
              <w:rPr>
                <w:rFonts w:ascii="Arial" w:hAnsi="Arial" w:cs="Arial"/>
                <w:b/>
                <w:bCs/>
                <w:color w:val="FFFFFF" w:themeColor="background1"/>
                <w:szCs w:val="20"/>
              </w:rPr>
            </w:pPr>
            <w:r w:rsidRPr="591A7590">
              <w:rPr>
                <w:rFonts w:ascii="Arial" w:hAnsi="Arial" w:cs="Arial"/>
                <w:b/>
                <w:bCs/>
                <w:color w:val="FFFFFF" w:themeColor="background1"/>
                <w:szCs w:val="20"/>
              </w:rPr>
              <w:t>Step</w:t>
            </w:r>
          </w:p>
        </w:tc>
        <w:tc>
          <w:tcPr>
            <w:tcW w:w="7304" w:type="dxa"/>
            <w:shd w:val="clear" w:color="auto" w:fill="284B98"/>
          </w:tcPr>
          <w:p w14:paraId="6C70BC5D" w14:textId="77777777" w:rsidR="0052682F" w:rsidRPr="009C3D79" w:rsidRDefault="0052682F" w:rsidP="004A163C">
            <w:pPr>
              <w:spacing w:before="120" w:after="120"/>
              <w:jc w:val="center"/>
              <w:rPr>
                <w:rFonts w:ascii="Arial" w:hAnsi="Arial" w:cs="Arial"/>
                <w:b/>
                <w:bCs/>
                <w:color w:val="FFFFFF" w:themeColor="background1"/>
                <w:szCs w:val="20"/>
              </w:rPr>
            </w:pPr>
            <w:r w:rsidRPr="591A7590">
              <w:rPr>
                <w:rFonts w:ascii="Arial" w:hAnsi="Arial" w:cs="Arial"/>
                <w:b/>
                <w:bCs/>
                <w:color w:val="FFFFFF" w:themeColor="background1"/>
                <w:szCs w:val="20"/>
              </w:rPr>
              <w:t xml:space="preserve">Description </w:t>
            </w:r>
          </w:p>
        </w:tc>
      </w:tr>
      <w:tr w:rsidR="0052682F" w:rsidRPr="00940D7E" w14:paraId="6E8BF339" w14:textId="77777777" w:rsidTr="009763A8">
        <w:trPr>
          <w:trHeight w:val="325"/>
          <w:jc w:val="center"/>
        </w:trPr>
        <w:tc>
          <w:tcPr>
            <w:tcW w:w="2291" w:type="dxa"/>
            <w:shd w:val="clear" w:color="auto" w:fill="F2F2F2" w:themeFill="background1" w:themeFillShade="F2"/>
            <w:vAlign w:val="center"/>
          </w:tcPr>
          <w:p w14:paraId="1269DCD7" w14:textId="77777777" w:rsidR="0052682F" w:rsidRPr="00D31594" w:rsidRDefault="0052682F" w:rsidP="004A163C">
            <w:pPr>
              <w:rPr>
                <w:rFonts w:ascii="Arial" w:eastAsiaTheme="majorEastAsia" w:hAnsi="Arial" w:cs="Arial"/>
                <w:szCs w:val="20"/>
              </w:rPr>
            </w:pPr>
            <w:r w:rsidRPr="591A7590">
              <w:rPr>
                <w:rFonts w:ascii="Arial" w:eastAsiaTheme="majorEastAsia" w:hAnsi="Arial" w:cs="Arial"/>
                <w:szCs w:val="20"/>
              </w:rPr>
              <w:t xml:space="preserve">1. Calculate estimated cost of compliance for each responsible entity.   </w:t>
            </w:r>
          </w:p>
        </w:tc>
        <w:tc>
          <w:tcPr>
            <w:tcW w:w="7304" w:type="dxa"/>
            <w:shd w:val="clear" w:color="auto" w:fill="FFFFFF" w:themeFill="background1"/>
            <w:vAlign w:val="center"/>
          </w:tcPr>
          <w:p w14:paraId="0249D1D1" w14:textId="77777777" w:rsidR="0052682F" w:rsidRPr="009C3D79" w:rsidRDefault="0052682F" w:rsidP="00510557">
            <w:pPr>
              <w:pStyle w:val="ListParagraph"/>
              <w:numPr>
                <w:ilvl w:val="0"/>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Submissions from responsible entities were analysed to determine the estimated cost of compliance for each entity. </w:t>
            </w:r>
          </w:p>
          <w:p w14:paraId="6502EAC2" w14:textId="77777777" w:rsidR="0052682F" w:rsidRPr="009C3D79" w:rsidRDefault="0052682F" w:rsidP="00510557">
            <w:pPr>
              <w:pStyle w:val="ListParagraph"/>
              <w:numPr>
                <w:ilvl w:val="0"/>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To calculate the estimated cost of compliance for each </w:t>
            </w:r>
            <w:r w:rsidRPr="591A7590" w:rsidDel="00BE3DD7">
              <w:rPr>
                <w:rFonts w:ascii="Arial" w:eastAsiaTheme="majorEastAsia" w:hAnsi="Arial" w:cs="Arial"/>
                <w:szCs w:val="20"/>
              </w:rPr>
              <w:t xml:space="preserve">entity, </w:t>
            </w:r>
            <w:r w:rsidRPr="591A7590">
              <w:rPr>
                <w:rFonts w:ascii="Arial" w:eastAsiaTheme="majorEastAsia" w:hAnsi="Arial" w:cs="Arial"/>
                <w:szCs w:val="20"/>
              </w:rPr>
              <w:t xml:space="preserve">the following formulas were used: </w:t>
            </w:r>
          </w:p>
          <w:p w14:paraId="3BF4F849" w14:textId="77777777" w:rsidR="0052682F" w:rsidRPr="009C3D79" w:rsidRDefault="0052682F" w:rsidP="00510557">
            <w:pPr>
              <w:pStyle w:val="ListParagraph"/>
              <w:numPr>
                <w:ilvl w:val="1"/>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Total labour cost = marginal staff effort x standard unit labour price</w:t>
            </w:r>
          </w:p>
          <w:p w14:paraId="3FE5D0E7" w14:textId="77777777" w:rsidR="0052682F" w:rsidRPr="009C3D79" w:rsidRDefault="0052682F" w:rsidP="00510557">
            <w:pPr>
              <w:pStyle w:val="ListParagraph"/>
              <w:numPr>
                <w:ilvl w:val="1"/>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Total cost of compliance = total labour cost + marginal capital costs + marginal operating costs</w:t>
            </w:r>
          </w:p>
        </w:tc>
      </w:tr>
      <w:tr w:rsidR="0052682F" w:rsidRPr="00940D7E" w14:paraId="3E0A9964" w14:textId="77777777" w:rsidTr="009763A8">
        <w:trPr>
          <w:trHeight w:val="2848"/>
          <w:jc w:val="center"/>
        </w:trPr>
        <w:tc>
          <w:tcPr>
            <w:tcW w:w="2291" w:type="dxa"/>
            <w:shd w:val="clear" w:color="auto" w:fill="F2F2F2" w:themeFill="background1" w:themeFillShade="F2"/>
            <w:vAlign w:val="center"/>
          </w:tcPr>
          <w:p w14:paraId="09FED296" w14:textId="77777777" w:rsidR="0052682F" w:rsidRPr="009C3D79" w:rsidRDefault="0052682F" w:rsidP="004A163C">
            <w:pPr>
              <w:rPr>
                <w:rFonts w:ascii="Arial" w:eastAsiaTheme="majorEastAsia" w:hAnsi="Arial" w:cs="Arial"/>
                <w:szCs w:val="20"/>
              </w:rPr>
            </w:pPr>
            <w:r w:rsidRPr="591A7590">
              <w:rPr>
                <w:rFonts w:ascii="Arial" w:eastAsiaTheme="majorEastAsia" w:hAnsi="Arial" w:cs="Arial"/>
                <w:szCs w:val="20"/>
              </w:rPr>
              <w:t>2. Extrapolate sector wide costs of compliance</w:t>
            </w:r>
          </w:p>
        </w:tc>
        <w:tc>
          <w:tcPr>
            <w:tcW w:w="7304" w:type="dxa"/>
            <w:shd w:val="clear" w:color="auto" w:fill="FFFFFF" w:themeFill="background1"/>
          </w:tcPr>
          <w:p w14:paraId="0FE18828" w14:textId="77777777" w:rsidR="0052682F" w:rsidRPr="009C3D79" w:rsidRDefault="0052682F" w:rsidP="00510557">
            <w:pPr>
              <w:pStyle w:val="ListParagraph"/>
              <w:numPr>
                <w:ilvl w:val="0"/>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Sector wide costs were extrapolated from the estimated costs for individual responsible entities. Costs were broken down by sub-sector (where relevant) and size (large and small entities). </w:t>
            </w:r>
          </w:p>
          <w:p w14:paraId="5A311AD4" w14:textId="77777777" w:rsidR="0052682F" w:rsidRPr="009C3D79" w:rsidRDefault="0052682F" w:rsidP="00510557">
            <w:pPr>
              <w:pStyle w:val="ListParagraph"/>
              <w:numPr>
                <w:ilvl w:val="0"/>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Throughout the costing process:</w:t>
            </w:r>
          </w:p>
          <w:p w14:paraId="28DF2EFA" w14:textId="77777777" w:rsidR="0052682F" w:rsidRPr="009C3D79" w:rsidRDefault="0052682F" w:rsidP="00510557">
            <w:pPr>
              <w:pStyle w:val="ListParagraph"/>
              <w:numPr>
                <w:ilvl w:val="1"/>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An analysis of the average cost per obligation/rule (expressed as cost per entity, cost per rule per employee, cost per rule per critical site, etc) was undertaken. This analysis assisted in validation of the cost estimates provided. </w:t>
            </w:r>
          </w:p>
          <w:p w14:paraId="1519FF3F" w14:textId="77777777" w:rsidR="0052682F" w:rsidRPr="009C3D79" w:rsidRDefault="0052682F" w:rsidP="00510557">
            <w:pPr>
              <w:pStyle w:val="ListParagraph"/>
              <w:numPr>
                <w:ilvl w:val="1"/>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The size of estimated ranges was reviewed to determine the confidence and certainty about the impact of each obligation/rule. </w:t>
            </w:r>
          </w:p>
          <w:p w14:paraId="2161BFDF" w14:textId="77777777" w:rsidR="0052682F" w:rsidRPr="009C3D79" w:rsidRDefault="0052682F" w:rsidP="00510557">
            <w:pPr>
              <w:pStyle w:val="ListParagraph"/>
              <w:numPr>
                <w:ilvl w:val="0"/>
                <w:numId w:val="70"/>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A total estimated cost for whole of sector compliance with the full RMP was calculated.</w:t>
            </w:r>
          </w:p>
        </w:tc>
      </w:tr>
      <w:tr w:rsidR="0052682F" w:rsidRPr="00940D7E" w14:paraId="5757AE0F" w14:textId="77777777" w:rsidTr="009763A8">
        <w:trPr>
          <w:trHeight w:val="3668"/>
          <w:jc w:val="center"/>
        </w:trPr>
        <w:tc>
          <w:tcPr>
            <w:tcW w:w="2291" w:type="dxa"/>
            <w:shd w:val="clear" w:color="auto" w:fill="F2F2F2" w:themeFill="background1" w:themeFillShade="F2"/>
            <w:vAlign w:val="center"/>
          </w:tcPr>
          <w:p w14:paraId="37AB60D4" w14:textId="77777777" w:rsidR="0052682F" w:rsidRPr="00D31594" w:rsidRDefault="0052682F" w:rsidP="004A163C">
            <w:pPr>
              <w:rPr>
                <w:rFonts w:ascii="Arial" w:eastAsiaTheme="majorEastAsia" w:hAnsi="Arial" w:cs="Arial"/>
                <w:b/>
                <w:bCs/>
                <w:szCs w:val="20"/>
              </w:rPr>
            </w:pPr>
            <w:r w:rsidRPr="591A7590">
              <w:rPr>
                <w:rFonts w:ascii="Arial" w:eastAsiaTheme="majorEastAsia" w:hAnsi="Arial" w:cs="Arial"/>
                <w:szCs w:val="20"/>
              </w:rPr>
              <w:t>3. Estimate benefits</w:t>
            </w:r>
          </w:p>
        </w:tc>
        <w:tc>
          <w:tcPr>
            <w:tcW w:w="7304" w:type="dxa"/>
            <w:shd w:val="clear" w:color="auto" w:fill="FFFFFF" w:themeFill="background1"/>
          </w:tcPr>
          <w:p w14:paraId="44AE7424" w14:textId="77777777" w:rsidR="0052682F" w:rsidRPr="009C3D79" w:rsidRDefault="0052682F" w:rsidP="00510557">
            <w:pPr>
              <w:pStyle w:val="ListParagraph"/>
              <w:numPr>
                <w:ilvl w:val="0"/>
                <w:numId w:val="67"/>
              </w:numPr>
              <w:spacing w:before="0" w:after="0" w:line="240" w:lineRule="auto"/>
              <w:ind w:left="360"/>
              <w:contextualSpacing/>
              <w:rPr>
                <w:rFonts w:ascii="Arial" w:eastAsiaTheme="majorEastAsia" w:hAnsi="Arial" w:cs="Arial"/>
                <w:szCs w:val="20"/>
              </w:rPr>
            </w:pPr>
            <w:r w:rsidRPr="591A7590">
              <w:rPr>
                <w:rFonts w:ascii="Arial" w:eastAsiaTheme="majorEastAsia" w:hAnsi="Arial" w:cs="Arial"/>
                <w:szCs w:val="20"/>
              </w:rPr>
              <w:t>Benefits were determined by identifying and quantifying the whole-of-economy impact of a range of scenarios, based on actual all-hazards incidents that have occurred in Australia. Benefits were then calculated on the basis of the avoided costs of these scenarios with the reasonableness of these assumptions based on actual historical impacts.</w:t>
            </w:r>
          </w:p>
          <w:p w14:paraId="73AA5BB9" w14:textId="77777777" w:rsidR="0052682F" w:rsidRPr="009C3D79" w:rsidRDefault="0052682F" w:rsidP="00510557">
            <w:pPr>
              <w:pStyle w:val="ListParagraph"/>
              <w:numPr>
                <w:ilvl w:val="0"/>
                <w:numId w:val="67"/>
              </w:numPr>
              <w:spacing w:before="0" w:after="0" w:line="240" w:lineRule="auto"/>
              <w:ind w:left="360"/>
              <w:contextualSpacing/>
              <w:rPr>
                <w:rFonts w:ascii="Arial" w:eastAsiaTheme="majorEastAsia" w:hAnsi="Arial" w:cs="Arial"/>
                <w:szCs w:val="20"/>
              </w:rPr>
            </w:pPr>
            <w:r w:rsidRPr="591A7590">
              <w:rPr>
                <w:rFonts w:ascii="Arial" w:eastAsiaTheme="majorEastAsia" w:hAnsi="Arial" w:cs="Arial"/>
                <w:szCs w:val="20"/>
              </w:rPr>
              <w:t>This approach was taken for the following reasons:</w:t>
            </w:r>
          </w:p>
          <w:p w14:paraId="698DAF75" w14:textId="77777777" w:rsidR="0052682F" w:rsidRPr="009C3D79" w:rsidRDefault="0052682F" w:rsidP="00510557">
            <w:pPr>
              <w:pStyle w:val="ListParagraph"/>
              <w:numPr>
                <w:ilvl w:val="0"/>
                <w:numId w:val="69"/>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Benefits will be accrued on a whole-of-economy level, rather than to specific organisations or individuals. </w:t>
            </w:r>
          </w:p>
          <w:p w14:paraId="7B910107" w14:textId="77777777" w:rsidR="0052682F" w:rsidRPr="009C3D79" w:rsidRDefault="0052682F" w:rsidP="00510557">
            <w:pPr>
              <w:pStyle w:val="ListParagraph"/>
              <w:numPr>
                <w:ilvl w:val="0"/>
                <w:numId w:val="69"/>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The total benefits of the RMP were unable to be estimated, as they largely consist of the costs of avoiding or mitigating future all-hazard incidents about which there is no data on the frequency and size. Consequently, any estimate of total benefits would be highly uncertain and assumptions based. </w:t>
            </w:r>
          </w:p>
          <w:p w14:paraId="04E16E78" w14:textId="77777777" w:rsidR="0052682F" w:rsidRPr="009C3D79" w:rsidRDefault="0052682F" w:rsidP="00510557">
            <w:pPr>
              <w:pStyle w:val="ListParagraph"/>
              <w:numPr>
                <w:ilvl w:val="0"/>
                <w:numId w:val="67"/>
              </w:numPr>
              <w:spacing w:before="0" w:after="0" w:line="240" w:lineRule="auto"/>
              <w:ind w:left="360"/>
              <w:contextualSpacing/>
              <w:rPr>
                <w:rFonts w:ascii="Arial" w:eastAsiaTheme="majorEastAsia" w:hAnsi="Arial" w:cs="Arial"/>
                <w:szCs w:val="20"/>
              </w:rPr>
            </w:pPr>
            <w:r w:rsidRPr="591A7590">
              <w:rPr>
                <w:rFonts w:ascii="Arial" w:eastAsiaTheme="majorEastAsia" w:hAnsi="Arial" w:cs="Arial"/>
                <w:szCs w:val="20"/>
              </w:rPr>
              <w:t>In addition to quantified benefits, qualitative benefits will also be documented and evaluated.</w:t>
            </w:r>
          </w:p>
        </w:tc>
      </w:tr>
      <w:tr w:rsidR="0052682F" w:rsidRPr="00940D7E" w14:paraId="28F144AD" w14:textId="77777777" w:rsidTr="009763A8">
        <w:trPr>
          <w:trHeight w:val="953"/>
          <w:jc w:val="center"/>
        </w:trPr>
        <w:tc>
          <w:tcPr>
            <w:tcW w:w="2291" w:type="dxa"/>
            <w:shd w:val="clear" w:color="auto" w:fill="F2F2F2" w:themeFill="background1" w:themeFillShade="F2"/>
            <w:vAlign w:val="center"/>
          </w:tcPr>
          <w:p w14:paraId="59BD65B1" w14:textId="77777777" w:rsidR="0052682F" w:rsidRPr="00D31594" w:rsidRDefault="0052682F" w:rsidP="004A163C">
            <w:pPr>
              <w:rPr>
                <w:rFonts w:ascii="Arial" w:eastAsiaTheme="majorEastAsia" w:hAnsi="Arial" w:cs="Arial"/>
                <w:b/>
                <w:bCs/>
                <w:szCs w:val="20"/>
              </w:rPr>
            </w:pPr>
            <w:r w:rsidRPr="591A7590">
              <w:rPr>
                <w:rFonts w:ascii="Arial" w:eastAsiaTheme="majorEastAsia" w:hAnsi="Arial" w:cs="Arial"/>
                <w:szCs w:val="20"/>
              </w:rPr>
              <w:t>4. Validate net benefits and validate with industry.</w:t>
            </w:r>
          </w:p>
        </w:tc>
        <w:tc>
          <w:tcPr>
            <w:tcW w:w="7304" w:type="dxa"/>
            <w:shd w:val="clear" w:color="auto" w:fill="FFFFFF" w:themeFill="background1"/>
          </w:tcPr>
          <w:p w14:paraId="51F314E3" w14:textId="77777777" w:rsidR="0052682F" w:rsidRPr="009C3D79" w:rsidRDefault="0052682F" w:rsidP="00510557">
            <w:pPr>
              <w:pStyle w:val="ListParagraph"/>
              <w:numPr>
                <w:ilvl w:val="0"/>
                <w:numId w:val="68"/>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A breakeven analysis was conducted to determine the number of scenarios required to occur to equal the costs of compliance with the RMP. </w:t>
            </w:r>
          </w:p>
          <w:p w14:paraId="75751D48" w14:textId="77777777" w:rsidR="0052682F" w:rsidRPr="009C3D79" w:rsidRDefault="0052682F" w:rsidP="00510557">
            <w:pPr>
              <w:pStyle w:val="ListParagraph"/>
              <w:numPr>
                <w:ilvl w:val="0"/>
                <w:numId w:val="68"/>
              </w:numPr>
              <w:spacing w:before="0" w:after="0" w:line="240" w:lineRule="auto"/>
              <w:contextualSpacing/>
              <w:rPr>
                <w:rFonts w:ascii="Arial" w:eastAsiaTheme="majorEastAsia" w:hAnsi="Arial" w:cs="Arial"/>
                <w:szCs w:val="20"/>
              </w:rPr>
            </w:pPr>
            <w:r w:rsidRPr="591A7590">
              <w:rPr>
                <w:rFonts w:ascii="Arial" w:eastAsiaTheme="majorEastAsia" w:hAnsi="Arial" w:cs="Arial"/>
                <w:szCs w:val="20"/>
              </w:rPr>
              <w:t xml:space="preserve">The full text of RIS Question 4 was shared and validated with industry, and feedback was incorporated. </w:t>
            </w:r>
          </w:p>
        </w:tc>
      </w:tr>
    </w:tbl>
    <w:p w14:paraId="4AE45B84" w14:textId="77777777" w:rsidR="0052682F" w:rsidRPr="00A80E57" w:rsidRDefault="0052682F" w:rsidP="005B463B">
      <w:pPr>
        <w:pStyle w:val="Subheading6"/>
        <w:spacing w:before="120"/>
      </w:pPr>
      <w:bookmarkStart w:id="128" w:name="_Toc176182580"/>
      <w:bookmarkStart w:id="129" w:name="_Toc159495595"/>
      <w:bookmarkStart w:id="130" w:name="_Toc159591825"/>
      <w:r w:rsidRPr="00A80E57">
        <w:t>Computable General Equilibrium (CGE) modelling approach</w:t>
      </w:r>
      <w:bookmarkEnd w:id="128"/>
      <w:r w:rsidRPr="00A80E57">
        <w:t xml:space="preserve"> </w:t>
      </w:r>
    </w:p>
    <w:p w14:paraId="3597B969" w14:textId="77777777" w:rsidR="0052682F" w:rsidRPr="00A80E57" w:rsidRDefault="0052682F" w:rsidP="0052682F">
      <w:pPr>
        <w:spacing w:before="240" w:after="120"/>
        <w:rPr>
          <w:rFonts w:ascii="Arial" w:hAnsi="Arial" w:cs="Arial"/>
          <w:szCs w:val="20"/>
        </w:rPr>
      </w:pPr>
      <w:r w:rsidRPr="00A80E57">
        <w:rPr>
          <w:rFonts w:ascii="Arial" w:hAnsi="Arial" w:cs="Arial"/>
          <w:szCs w:val="20"/>
        </w:rPr>
        <w:t xml:space="preserve">To analyse the direct and indirect economic contributions of a disruption to critical infrastructure on the Australian economy, a CGE approach modelled the economy as a system of interrelated economic agents operating in competitive markets. Economic theory is used to specify the behaviour and market interactions of economic agents, including consumers, investors, producers, and governments operating in domestic and foreign goods, capital, and labour markets. </w:t>
      </w:r>
    </w:p>
    <w:p w14:paraId="18B0BE8C" w14:textId="77777777" w:rsidR="0052682F" w:rsidRDefault="0052682F" w:rsidP="0052682F">
      <w:pPr>
        <w:spacing w:before="120" w:after="120"/>
        <w:rPr>
          <w:rFonts w:ascii="Arial" w:hAnsi="Arial" w:cs="Arial"/>
          <w:szCs w:val="20"/>
        </w:rPr>
      </w:pPr>
      <w:r w:rsidRPr="591A7590">
        <w:rPr>
          <w:rFonts w:ascii="Arial" w:hAnsi="Arial" w:cs="Arial"/>
          <w:szCs w:val="20"/>
        </w:rPr>
        <w:t xml:space="preserve">Defining features of the theoretical structure of the model are: </w:t>
      </w:r>
    </w:p>
    <w:p w14:paraId="4F8ACCB0" w14:textId="77777777" w:rsidR="0052682F" w:rsidRPr="00D52A4E" w:rsidRDefault="0052682F" w:rsidP="00510557">
      <w:pPr>
        <w:pStyle w:val="ListParagraph"/>
        <w:numPr>
          <w:ilvl w:val="0"/>
          <w:numId w:val="71"/>
        </w:numPr>
        <w:spacing w:before="0" w:line="240" w:lineRule="auto"/>
        <w:contextualSpacing/>
        <w:rPr>
          <w:rFonts w:ascii="Arial" w:hAnsi="Arial" w:cs="Arial"/>
          <w:szCs w:val="20"/>
        </w:rPr>
      </w:pPr>
      <w:r w:rsidRPr="591A7590">
        <w:rPr>
          <w:rFonts w:ascii="Arial" w:hAnsi="Arial" w:cs="Arial"/>
          <w:szCs w:val="20"/>
        </w:rPr>
        <w:t xml:space="preserve">Optimising behaviour by households and businesses in the context of competitive markets with explicit resource and budget constraints; </w:t>
      </w:r>
    </w:p>
    <w:p w14:paraId="1ADB4EE3" w14:textId="77777777" w:rsidR="0052682F" w:rsidRPr="00D52A4E" w:rsidRDefault="0052682F" w:rsidP="00510557">
      <w:pPr>
        <w:pStyle w:val="ListParagraph"/>
        <w:numPr>
          <w:ilvl w:val="0"/>
          <w:numId w:val="71"/>
        </w:numPr>
        <w:spacing w:before="0" w:line="240" w:lineRule="auto"/>
        <w:contextualSpacing/>
        <w:rPr>
          <w:rFonts w:ascii="Arial" w:hAnsi="Arial" w:cs="Arial"/>
          <w:szCs w:val="20"/>
        </w:rPr>
      </w:pPr>
      <w:r w:rsidRPr="591A7590">
        <w:rPr>
          <w:rFonts w:ascii="Arial" w:hAnsi="Arial" w:cs="Arial"/>
          <w:szCs w:val="20"/>
        </w:rPr>
        <w:t xml:space="preserve">The price mechanism operates to clear markets for goods and factors such as labour and capital (i.e. prices adjust so that supply equals demand); and </w:t>
      </w:r>
    </w:p>
    <w:p w14:paraId="6A6E10DC" w14:textId="77777777" w:rsidR="0052682F" w:rsidRPr="00D52A4E" w:rsidRDefault="0052682F" w:rsidP="00510557">
      <w:pPr>
        <w:pStyle w:val="ListParagraph"/>
        <w:numPr>
          <w:ilvl w:val="0"/>
          <w:numId w:val="71"/>
        </w:numPr>
        <w:spacing w:before="0" w:line="240" w:lineRule="auto"/>
        <w:contextualSpacing/>
        <w:rPr>
          <w:rFonts w:ascii="Arial" w:hAnsi="Arial" w:cs="Arial"/>
          <w:szCs w:val="20"/>
        </w:rPr>
      </w:pPr>
      <w:r w:rsidRPr="591A7590">
        <w:rPr>
          <w:rFonts w:ascii="Arial" w:hAnsi="Arial" w:cs="Arial"/>
          <w:szCs w:val="20"/>
        </w:rPr>
        <w:t xml:space="preserve">At the margin, costs are equal to revenues in all economic activities. </w:t>
      </w:r>
    </w:p>
    <w:p w14:paraId="1B89C32E" w14:textId="77777777" w:rsidR="0052682F" w:rsidRPr="00232D43" w:rsidRDefault="0052682F" w:rsidP="0052682F">
      <w:pPr>
        <w:spacing w:before="120" w:after="120"/>
        <w:rPr>
          <w:rFonts w:ascii="Arial" w:hAnsi="Arial" w:cs="Arial"/>
          <w:sz w:val="18"/>
          <w:szCs w:val="18"/>
        </w:rPr>
      </w:pPr>
      <w:r w:rsidRPr="591A7590">
        <w:rPr>
          <w:rFonts w:ascii="Arial" w:hAnsi="Arial" w:cs="Arial"/>
          <w:szCs w:val="20"/>
        </w:rPr>
        <w:t xml:space="preserve">The modelling framework </w:t>
      </w:r>
      <w:r>
        <w:rPr>
          <w:rFonts w:ascii="Arial" w:hAnsi="Arial" w:cs="Arial"/>
          <w:szCs w:val="20"/>
        </w:rPr>
        <w:t>is</w:t>
      </w:r>
      <w:r w:rsidRPr="591A7590">
        <w:rPr>
          <w:rFonts w:ascii="Arial" w:hAnsi="Arial" w:cs="Arial"/>
          <w:szCs w:val="20"/>
        </w:rPr>
        <w:t xml:space="preserve"> suited to analysing the economic impact of events impacting interconnected critical infrastructure assets as it explicitly captures supply-chain linkages as well as other flow-on effects and feedback responses by all economic agents. The strength of CGE models is that they capture the upstream and downstream linkages between the activities induced by the event and the rest of the economy in a framework that combines detailed historical data with fundamental economic theory.</w:t>
      </w:r>
    </w:p>
    <w:p w14:paraId="0F118DD6" w14:textId="77777777" w:rsidR="0052682F" w:rsidRPr="00A80E57" w:rsidRDefault="0052682F" w:rsidP="0052682F">
      <w:pPr>
        <w:spacing w:before="120" w:after="120"/>
        <w:rPr>
          <w:rFonts w:ascii="Arial" w:hAnsi="Arial" w:cs="Arial"/>
          <w:szCs w:val="20"/>
        </w:rPr>
      </w:pPr>
      <w:r w:rsidRPr="00A80E57">
        <w:rPr>
          <w:rFonts w:ascii="Arial" w:hAnsi="Arial" w:cs="Arial"/>
          <w:szCs w:val="20"/>
        </w:rPr>
        <w:t>The CGE modelling provided estimates on the Australian economy’s sensitivity to a shock. The method consisted of defining a hypothetical baseline scenario through researching real-world incidents and understanding the various costs and price impacts associated with the event.</w:t>
      </w:r>
    </w:p>
    <w:p w14:paraId="2F7B0137" w14:textId="77777777" w:rsidR="0052682F" w:rsidRPr="00A80E57" w:rsidRDefault="0052682F" w:rsidP="005B463B">
      <w:pPr>
        <w:pStyle w:val="Subheading6"/>
        <w:spacing w:before="120" w:after="120"/>
      </w:pPr>
      <w:bookmarkStart w:id="131" w:name="_Toc176182581"/>
      <w:r w:rsidRPr="00A80E57">
        <w:t>2022 RIS as a costing baseline</w:t>
      </w:r>
      <w:bookmarkEnd w:id="129"/>
      <w:bookmarkEnd w:id="130"/>
      <w:bookmarkEnd w:id="131"/>
    </w:p>
    <w:p w14:paraId="1CEA76D8" w14:textId="77777777" w:rsidR="0052682F" w:rsidRDefault="0052682F" w:rsidP="0052682F">
      <w:pPr>
        <w:rPr>
          <w:rFonts w:ascii="Arial" w:hAnsi="Arial" w:cs="Arial"/>
          <w:szCs w:val="20"/>
        </w:rPr>
      </w:pPr>
      <w:r>
        <w:rPr>
          <w:rFonts w:ascii="Arial" w:hAnsi="Arial" w:cs="Arial"/>
          <w:szCs w:val="20"/>
        </w:rPr>
        <w:t>In assessing Measures 1 and 3 under Option 2, this IA uses the</w:t>
      </w:r>
      <w:r w:rsidRPr="591A7590">
        <w:rPr>
          <w:rFonts w:ascii="Arial" w:hAnsi="Arial" w:cs="Arial"/>
          <w:szCs w:val="20"/>
        </w:rPr>
        <w:t xml:space="preserve"> quantified cost base calculated </w:t>
      </w:r>
      <w:r w:rsidRPr="004D2372">
        <w:rPr>
          <w:rFonts w:ascii="Arial" w:eastAsia="Times New Roman" w:hAnsi="Arial" w:cs="Arial"/>
          <w:szCs w:val="20"/>
        </w:rPr>
        <w:t>through the 2021-22 consultation period</w:t>
      </w:r>
      <w:r>
        <w:rPr>
          <w:rFonts w:ascii="Arial" w:hAnsi="Arial" w:cs="Arial"/>
          <w:szCs w:val="20"/>
        </w:rPr>
        <w:t xml:space="preserve"> </w:t>
      </w:r>
      <w:r w:rsidRPr="591A7590">
        <w:rPr>
          <w:rFonts w:ascii="Arial" w:hAnsi="Arial" w:cs="Arial"/>
          <w:szCs w:val="20"/>
        </w:rPr>
        <w:t xml:space="preserve">with industry, as the basis for quantified costs related to the current reform package. This is because: </w:t>
      </w:r>
    </w:p>
    <w:p w14:paraId="69DE0A78" w14:textId="77777777" w:rsidR="0052682F" w:rsidRPr="00534E6C" w:rsidRDefault="0052682F" w:rsidP="00510557">
      <w:pPr>
        <w:pStyle w:val="ListParagraph"/>
        <w:numPr>
          <w:ilvl w:val="0"/>
          <w:numId w:val="71"/>
        </w:numPr>
        <w:spacing w:before="0" w:line="240" w:lineRule="auto"/>
        <w:contextualSpacing/>
        <w:rPr>
          <w:rStyle w:val="CommentReference"/>
          <w:rFonts w:ascii="Arial" w:hAnsi="Arial" w:cs="Arial"/>
          <w:szCs w:val="20"/>
        </w:rPr>
      </w:pPr>
      <w:r w:rsidRPr="591A7590">
        <w:rPr>
          <w:rFonts w:ascii="Arial" w:hAnsi="Arial" w:cs="Arial"/>
          <w:szCs w:val="20"/>
        </w:rPr>
        <w:t xml:space="preserve">Costings were derived through detailed engagement with industry, across 13 of the 22 critical asset classes captured by the SOCI Act. This included industry’s completion of comprehensive costing templates, which captured marginal impacts on staff effort, capital and operating costs associated with the RMP frameworks and an estimated range of impacts against each rule. </w:t>
      </w:r>
    </w:p>
    <w:p w14:paraId="06447ACF" w14:textId="77777777" w:rsidR="0052682F" w:rsidRDefault="0052682F" w:rsidP="00510557">
      <w:pPr>
        <w:pStyle w:val="ListParagraph"/>
        <w:numPr>
          <w:ilvl w:val="0"/>
          <w:numId w:val="75"/>
        </w:numPr>
        <w:spacing w:before="0" w:line="240" w:lineRule="auto"/>
        <w:contextualSpacing/>
        <w:rPr>
          <w:rFonts w:ascii="Arial" w:hAnsi="Arial" w:cs="Arial"/>
          <w:szCs w:val="20"/>
        </w:rPr>
      </w:pPr>
      <w:r w:rsidRPr="3DCF9F1A">
        <w:rPr>
          <w:rFonts w:ascii="Arial" w:hAnsi="Arial" w:cs="Arial"/>
          <w:szCs w:val="20"/>
        </w:rPr>
        <w:t>An assessment of marginal costs arising from the proposed reforms can be undertaken to understand both (a) any cost increase for entities required to comply with the RMP framework, as well as (b) entities subject to equivalent risk management frameworks. Given these exempt entities are required to comply with a comparable regulatory framework, relevant costs for meeting baseline compliance with the SOCI Act are already incurred, creating an existing regulatory cost base which does not need to be separately considered by this IA. Instead, the IA will consider the marginal uplift arising from the proposed reforms.</w:t>
      </w:r>
    </w:p>
    <w:p w14:paraId="0C28092E" w14:textId="77777777" w:rsidR="0052682F" w:rsidRPr="00A80E57" w:rsidRDefault="0052682F" w:rsidP="005B463B">
      <w:pPr>
        <w:pStyle w:val="Subheading6"/>
        <w:spacing w:before="120" w:after="120"/>
      </w:pPr>
      <w:bookmarkStart w:id="132" w:name="_Toc176182582"/>
      <w:r w:rsidRPr="00A80E57">
        <w:t>Regulatory cost per entity</w:t>
      </w:r>
      <w:bookmarkEnd w:id="132"/>
    </w:p>
    <w:p w14:paraId="76F4E31A" w14:textId="488CCE25" w:rsidR="0052682F" w:rsidRDefault="0052682F" w:rsidP="0052682F">
      <w:pPr>
        <w:spacing w:after="120"/>
        <w:rPr>
          <w:rFonts w:ascii="Arial" w:hAnsi="Arial" w:cs="Arial"/>
          <w:szCs w:val="20"/>
        </w:rPr>
      </w:pPr>
      <w:r w:rsidRPr="001C4F41">
        <w:rPr>
          <w:rFonts w:ascii="Arial" w:hAnsi="Arial" w:cs="Arial"/>
          <w:szCs w:val="20"/>
        </w:rPr>
        <w:t xml:space="preserve">The total regulatory cost estimate </w:t>
      </w:r>
      <w:r>
        <w:rPr>
          <w:rFonts w:ascii="Arial" w:hAnsi="Arial" w:cs="Arial"/>
          <w:szCs w:val="20"/>
        </w:rPr>
        <w:t xml:space="preserve">in the 2022 RIS </w:t>
      </w:r>
      <w:r w:rsidRPr="001C4F41">
        <w:rPr>
          <w:rFonts w:ascii="Arial" w:hAnsi="Arial" w:cs="Arial"/>
          <w:szCs w:val="20"/>
        </w:rPr>
        <w:t xml:space="preserve">was based on submissions from industry. The average regulatory cost estimate per submission for each critical infrastructure asset type is provided in </w:t>
      </w:r>
      <w:r w:rsidRPr="00C60B2A">
        <w:rPr>
          <w:rFonts w:ascii="Arial" w:hAnsi="Arial" w:cs="Arial"/>
          <w:color w:val="2B579A"/>
          <w:szCs w:val="20"/>
          <w:shd w:val="clear" w:color="auto" w:fill="E6E6E6"/>
        </w:rPr>
        <w:fldChar w:fldCharType="begin"/>
      </w:r>
      <w:r w:rsidRPr="00C60B2A">
        <w:rPr>
          <w:rFonts w:ascii="Arial" w:hAnsi="Arial" w:cs="Arial"/>
          <w:szCs w:val="20"/>
        </w:rPr>
        <w:instrText xml:space="preserve"> REF _Ref163737407 \h  \* MERGEFORMAT </w:instrText>
      </w:r>
      <w:r w:rsidRPr="00C60B2A">
        <w:rPr>
          <w:rFonts w:ascii="Arial" w:hAnsi="Arial" w:cs="Arial"/>
          <w:color w:val="2B579A"/>
          <w:szCs w:val="20"/>
          <w:shd w:val="clear" w:color="auto" w:fill="E6E6E6"/>
        </w:rPr>
      </w:r>
      <w:r w:rsidRPr="00C60B2A">
        <w:rPr>
          <w:rFonts w:ascii="Arial" w:hAnsi="Arial" w:cs="Arial"/>
          <w:color w:val="2B579A"/>
          <w:szCs w:val="20"/>
          <w:shd w:val="clear" w:color="auto" w:fill="E6E6E6"/>
        </w:rPr>
        <w:fldChar w:fldCharType="separate"/>
      </w:r>
      <w:r w:rsidR="00E8506B" w:rsidRPr="00E8506B">
        <w:rPr>
          <w:rFonts w:ascii="Arial" w:hAnsi="Arial" w:cs="Arial"/>
          <w:szCs w:val="20"/>
        </w:rPr>
        <w:t xml:space="preserve">Table </w:t>
      </w:r>
      <w:r w:rsidR="00E8506B">
        <w:rPr>
          <w:rFonts w:ascii="Calibri" w:hAnsi="Calibri" w:cs="Calibri"/>
          <w:bCs/>
          <w:noProof/>
        </w:rPr>
        <w:t>44</w:t>
      </w:r>
      <w:r w:rsidRPr="00C60B2A">
        <w:rPr>
          <w:rFonts w:ascii="Arial" w:hAnsi="Arial" w:cs="Arial"/>
          <w:color w:val="2B579A"/>
          <w:szCs w:val="20"/>
          <w:shd w:val="clear" w:color="auto" w:fill="E6E6E6"/>
        </w:rPr>
        <w:fldChar w:fldCharType="end"/>
      </w:r>
      <w:r w:rsidRPr="001C4F41">
        <w:rPr>
          <w:rFonts w:ascii="Arial" w:hAnsi="Arial" w:cs="Arial"/>
          <w:szCs w:val="20"/>
        </w:rPr>
        <w:t>.</w:t>
      </w:r>
    </w:p>
    <w:p w14:paraId="2BB961E5" w14:textId="4D7F98C0" w:rsidR="0052682F" w:rsidRPr="008E5D18" w:rsidRDefault="0052682F" w:rsidP="0052682F">
      <w:pPr>
        <w:pStyle w:val="Caption"/>
        <w:rPr>
          <w:rFonts w:ascii="Calibri" w:hAnsi="Calibri" w:cs="Calibri"/>
          <w:b w:val="0"/>
        </w:rPr>
      </w:pPr>
      <w:bookmarkStart w:id="133" w:name="_Ref163737407"/>
      <w:r w:rsidRPr="008E5D18">
        <w:rPr>
          <w:rFonts w:ascii="Calibri" w:hAnsi="Calibri" w:cs="Calibri"/>
          <w:bCs/>
        </w:rPr>
        <w:t>Table</w:t>
      </w:r>
      <w:r w:rsidR="005D7760">
        <w:rPr>
          <w:rFonts w:ascii="Calibri" w:hAnsi="Calibri" w:cs="Calibri"/>
          <w:bCs/>
        </w:rPr>
        <w:t xml:space="preserve"> </w:t>
      </w:r>
      <w:r w:rsidRPr="008E5D18">
        <w:rPr>
          <w:rFonts w:ascii="Calibri" w:hAnsi="Calibri" w:cs="Calibri"/>
          <w:bCs/>
          <w:color w:val="2B579A"/>
          <w:shd w:val="clear" w:color="auto" w:fill="E6E6E6"/>
        </w:rPr>
        <w:fldChar w:fldCharType="begin"/>
      </w:r>
      <w:r w:rsidRPr="008E5D18">
        <w:rPr>
          <w:rFonts w:ascii="Calibri" w:hAnsi="Calibri" w:cs="Calibri"/>
          <w:bCs/>
        </w:rPr>
        <w:instrText xml:space="preserve"> SEQ Table \* ARABIC </w:instrText>
      </w:r>
      <w:r w:rsidRPr="008E5D18">
        <w:rPr>
          <w:rFonts w:ascii="Calibri" w:hAnsi="Calibri" w:cs="Calibri"/>
          <w:bCs/>
          <w:color w:val="2B579A"/>
          <w:shd w:val="clear" w:color="auto" w:fill="E6E6E6"/>
        </w:rPr>
        <w:fldChar w:fldCharType="separate"/>
      </w:r>
      <w:r w:rsidR="00E8506B">
        <w:rPr>
          <w:rFonts w:ascii="Calibri" w:hAnsi="Calibri" w:cs="Calibri"/>
          <w:bCs/>
          <w:noProof/>
        </w:rPr>
        <w:t>44</w:t>
      </w:r>
      <w:r w:rsidRPr="008E5D18">
        <w:rPr>
          <w:rFonts w:ascii="Calibri" w:hAnsi="Calibri" w:cs="Calibri"/>
          <w:bCs/>
          <w:color w:val="2B579A"/>
          <w:shd w:val="clear" w:color="auto" w:fill="E6E6E6"/>
        </w:rPr>
        <w:fldChar w:fldCharType="end"/>
      </w:r>
      <w:bookmarkEnd w:id="133"/>
      <w:r w:rsidRPr="008E5D18">
        <w:rPr>
          <w:rFonts w:ascii="Calibri" w:hAnsi="Calibri" w:cs="Calibri"/>
          <w:b w:val="0"/>
        </w:rPr>
        <w:t xml:space="preserve"> Regulatory cost per entity from 2021-22 consultation</w:t>
      </w:r>
      <w:r w:rsidR="00C619CD">
        <w:rPr>
          <w:rFonts w:ascii="Calibri" w:hAnsi="Calibri" w:cs="Calibri"/>
          <w:b w:val="0"/>
        </w:rPr>
        <w:t xml:space="preserve"> (</w:t>
      </w:r>
      <w:r w:rsidR="002E16FF">
        <w:rPr>
          <w:rFonts w:ascii="Calibri" w:hAnsi="Calibri" w:cs="Calibri"/>
          <w:b w:val="0"/>
        </w:rPr>
        <w:t>2022 base year)</w:t>
      </w:r>
      <w:r w:rsidR="002E16FF">
        <w:rPr>
          <w:rStyle w:val="FootnoteReference"/>
          <w:rFonts w:ascii="Calibri" w:hAnsi="Calibri" w:cs="Calibri"/>
          <w:b w:val="0"/>
        </w:rPr>
        <w:footnoteReference w:id="37"/>
      </w:r>
    </w:p>
    <w:tbl>
      <w:tblPr>
        <w:tblStyle w:val="TableGrid111"/>
        <w:tblW w:w="5331" w:type="pct"/>
        <w:tblInd w:w="0" w:type="dxa"/>
        <w:tblBorders>
          <w:top w:val="none" w:sz="0" w:space="0" w:color="auto"/>
          <w:left w:val="none" w:sz="0" w:space="0" w:color="auto"/>
          <w:bottom w:val="single" w:sz="4" w:space="0" w:color="BFBFBF" w:themeColor="background2" w:themeShade="BF"/>
          <w:right w:val="none" w:sz="0" w:space="0" w:color="auto"/>
          <w:insideH w:val="single" w:sz="4" w:space="0" w:color="BFBFBF" w:themeColor="background2" w:themeShade="BF"/>
          <w:insideV w:val="none" w:sz="0" w:space="0" w:color="auto"/>
        </w:tblBorders>
        <w:tblLook w:val="04A0" w:firstRow="1" w:lastRow="0" w:firstColumn="1" w:lastColumn="0" w:noHBand="0" w:noVBand="1"/>
      </w:tblPr>
      <w:tblGrid>
        <w:gridCol w:w="2612"/>
        <w:gridCol w:w="3507"/>
        <w:gridCol w:w="3505"/>
      </w:tblGrid>
      <w:tr w:rsidR="003D476C" w:rsidRPr="00940D7E" w14:paraId="7B2412ED" w14:textId="77777777" w:rsidTr="009763A8">
        <w:trPr>
          <w:cantSplit/>
          <w:trHeight w:val="438"/>
          <w:tblHeader/>
        </w:trPr>
        <w:tc>
          <w:tcPr>
            <w:tcW w:w="1357" w:type="pct"/>
            <w:shd w:val="clear" w:color="auto" w:fill="284B98"/>
            <w:vAlign w:val="center"/>
          </w:tcPr>
          <w:p w14:paraId="01ED5501" w14:textId="093FF117" w:rsidR="003D476C" w:rsidRPr="00A31D94" w:rsidRDefault="003D476C" w:rsidP="004A163C">
            <w:pPr>
              <w:pStyle w:val="TableHeading"/>
              <w:jc w:val="center"/>
              <w:rPr>
                <w:rFonts w:ascii="Arial" w:hAnsi="Arial" w:cs="Arial"/>
                <w:b/>
              </w:rPr>
            </w:pPr>
          </w:p>
        </w:tc>
        <w:tc>
          <w:tcPr>
            <w:tcW w:w="1822" w:type="pct"/>
            <w:shd w:val="clear" w:color="auto" w:fill="284B98"/>
            <w:vAlign w:val="center"/>
          </w:tcPr>
          <w:p w14:paraId="56CB6EEA" w14:textId="7510C257" w:rsidR="003D476C" w:rsidRPr="00A31D94" w:rsidRDefault="003D476C" w:rsidP="004A163C">
            <w:pPr>
              <w:pStyle w:val="TableHeading"/>
              <w:jc w:val="center"/>
              <w:rPr>
                <w:rFonts w:ascii="Arial" w:hAnsi="Arial" w:cs="Arial"/>
                <w:i/>
              </w:rPr>
            </w:pPr>
            <w:r w:rsidRPr="00846AD7">
              <w:rPr>
                <w:rFonts w:ascii="Arial" w:hAnsi="Arial" w:cs="Arial"/>
                <w:i/>
                <w:color w:val="FFFFFF" w:themeColor="background1"/>
              </w:rPr>
              <w:t>Cost ($ million)</w:t>
            </w:r>
          </w:p>
        </w:tc>
        <w:tc>
          <w:tcPr>
            <w:tcW w:w="1821" w:type="pct"/>
            <w:shd w:val="clear" w:color="auto" w:fill="284B98"/>
            <w:vAlign w:val="center"/>
          </w:tcPr>
          <w:p w14:paraId="08E2AD6E" w14:textId="12FADDEF" w:rsidR="003D476C" w:rsidRPr="00A31D94" w:rsidRDefault="003D476C" w:rsidP="004A163C">
            <w:pPr>
              <w:pStyle w:val="TableHeading"/>
              <w:jc w:val="center"/>
              <w:rPr>
                <w:rFonts w:ascii="Arial" w:hAnsi="Arial" w:cs="Arial"/>
                <w:i/>
              </w:rPr>
            </w:pPr>
            <w:r w:rsidRPr="00846AD7">
              <w:rPr>
                <w:rFonts w:ascii="Arial" w:hAnsi="Arial" w:cs="Arial"/>
                <w:i/>
                <w:color w:val="FFFFFF" w:themeColor="background1"/>
              </w:rPr>
              <w:t>Cost ($ million)</w:t>
            </w:r>
          </w:p>
        </w:tc>
      </w:tr>
      <w:tr w:rsidR="0052682F" w:rsidRPr="00940D7E" w14:paraId="7720B033" w14:textId="77777777" w:rsidTr="009763A8">
        <w:tblPrEx>
          <w:tblBorders>
            <w:bottom w:val="single" w:sz="4" w:space="0" w:color="BFBFBF" w:themeColor="background1" w:themeShade="BF"/>
            <w:insideH w:val="single" w:sz="4" w:space="0" w:color="BFBFBF" w:themeColor="background1" w:themeShade="BF"/>
          </w:tblBorders>
        </w:tblPrEx>
        <w:trPr>
          <w:cantSplit/>
          <w:trHeight w:val="762"/>
          <w:tblHeader/>
        </w:trPr>
        <w:tc>
          <w:tcPr>
            <w:tcW w:w="1357" w:type="pct"/>
            <w:shd w:val="clear" w:color="auto" w:fill="284B98"/>
            <w:vAlign w:val="center"/>
          </w:tcPr>
          <w:p w14:paraId="31F70740" w14:textId="2C31A90E" w:rsidR="0052682F" w:rsidRPr="005354DC" w:rsidRDefault="006038AE" w:rsidP="004A163C">
            <w:pPr>
              <w:jc w:val="center"/>
              <w:rPr>
                <w:rFonts w:ascii="Arial" w:hAnsi="Arial" w:cs="Arial"/>
                <w:color w:val="FFFFFF"/>
              </w:rPr>
            </w:pPr>
            <w:r w:rsidRPr="00846AD7">
              <w:rPr>
                <w:rFonts w:ascii="Arial" w:hAnsi="Arial" w:cs="Arial"/>
                <w:b/>
                <w:color w:val="FFFFFF" w:themeColor="background1"/>
              </w:rPr>
              <w:t>Critical infrastructure asset</w:t>
            </w:r>
          </w:p>
        </w:tc>
        <w:tc>
          <w:tcPr>
            <w:tcW w:w="1822" w:type="pct"/>
            <w:shd w:val="clear" w:color="auto" w:fill="D9E2F3"/>
            <w:vAlign w:val="center"/>
          </w:tcPr>
          <w:p w14:paraId="6CDDE1DD" w14:textId="77777777" w:rsidR="0052682F" w:rsidRPr="005354DC" w:rsidRDefault="0052682F" w:rsidP="004A163C">
            <w:pPr>
              <w:pStyle w:val="TableBody"/>
              <w:jc w:val="center"/>
              <w:rPr>
                <w:rFonts w:ascii="Arial" w:hAnsi="Arial" w:cs="Arial"/>
              </w:rPr>
            </w:pPr>
            <w:r w:rsidRPr="005354DC">
              <w:rPr>
                <w:rFonts w:ascii="Arial" w:hAnsi="Arial" w:cs="Arial"/>
              </w:rPr>
              <w:t>Average one-off cost per entity (submissions)</w:t>
            </w:r>
          </w:p>
        </w:tc>
        <w:tc>
          <w:tcPr>
            <w:tcW w:w="1821" w:type="pct"/>
            <w:shd w:val="clear" w:color="auto" w:fill="D9E2F3"/>
            <w:vAlign w:val="center"/>
          </w:tcPr>
          <w:p w14:paraId="172EBD4B" w14:textId="77777777" w:rsidR="0052682F" w:rsidRPr="005354DC" w:rsidRDefault="0052682F" w:rsidP="004A163C">
            <w:pPr>
              <w:pStyle w:val="TableBody"/>
              <w:jc w:val="center"/>
              <w:rPr>
                <w:rFonts w:ascii="Arial" w:hAnsi="Arial" w:cs="Arial"/>
              </w:rPr>
            </w:pPr>
            <w:r w:rsidRPr="005354DC">
              <w:rPr>
                <w:rFonts w:ascii="Arial" w:hAnsi="Arial" w:cs="Arial"/>
              </w:rPr>
              <w:t>Average annual ongoing cost per entity (submissions)</w:t>
            </w:r>
          </w:p>
        </w:tc>
      </w:tr>
      <w:tr w:rsidR="0052682F" w:rsidRPr="00940D7E" w14:paraId="0C74745E" w14:textId="77777777" w:rsidTr="009763A8">
        <w:trPr>
          <w:cantSplit/>
          <w:trHeight w:val="364"/>
        </w:trPr>
        <w:tc>
          <w:tcPr>
            <w:tcW w:w="1357" w:type="pct"/>
            <w:shd w:val="clear" w:color="auto" w:fill="F2F2F2" w:themeFill="background2" w:themeFillShade="F2"/>
            <w:vAlign w:val="center"/>
          </w:tcPr>
          <w:p w14:paraId="3C147915" w14:textId="77777777" w:rsidR="0052682F" w:rsidRPr="005354DC" w:rsidRDefault="0052682F" w:rsidP="004A163C">
            <w:pPr>
              <w:pStyle w:val="TableBody"/>
              <w:rPr>
                <w:rFonts w:ascii="Arial" w:hAnsi="Arial" w:cs="Arial"/>
              </w:rPr>
            </w:pPr>
            <w:r w:rsidRPr="005354DC">
              <w:rPr>
                <w:rFonts w:ascii="Arial" w:hAnsi="Arial" w:cs="Arial"/>
              </w:rPr>
              <w:t>Critical electricity assets</w:t>
            </w:r>
          </w:p>
        </w:tc>
        <w:tc>
          <w:tcPr>
            <w:tcW w:w="1822" w:type="pct"/>
            <w:shd w:val="clear" w:color="auto" w:fill="auto"/>
            <w:vAlign w:val="center"/>
          </w:tcPr>
          <w:p w14:paraId="7875EB79" w14:textId="77777777" w:rsidR="0052682F" w:rsidRPr="005354DC" w:rsidRDefault="0052682F" w:rsidP="004A163C">
            <w:pPr>
              <w:pStyle w:val="TableBody"/>
              <w:jc w:val="center"/>
              <w:rPr>
                <w:rFonts w:ascii="Arial" w:hAnsi="Arial" w:cs="Arial"/>
              </w:rPr>
            </w:pPr>
            <w:r w:rsidRPr="005354DC">
              <w:rPr>
                <w:rFonts w:ascii="Arial" w:hAnsi="Arial" w:cs="Arial"/>
              </w:rPr>
              <w:t>8.1</w:t>
            </w:r>
          </w:p>
        </w:tc>
        <w:tc>
          <w:tcPr>
            <w:tcW w:w="1821" w:type="pct"/>
            <w:shd w:val="clear" w:color="auto" w:fill="auto"/>
            <w:vAlign w:val="center"/>
          </w:tcPr>
          <w:p w14:paraId="5ED780C8" w14:textId="77777777" w:rsidR="0052682F" w:rsidRPr="005354DC" w:rsidRDefault="0052682F" w:rsidP="004A163C">
            <w:pPr>
              <w:pStyle w:val="TableBody"/>
              <w:jc w:val="center"/>
              <w:rPr>
                <w:rFonts w:ascii="Arial" w:hAnsi="Arial" w:cs="Arial"/>
              </w:rPr>
            </w:pPr>
            <w:r w:rsidRPr="005354DC">
              <w:rPr>
                <w:rFonts w:ascii="Arial" w:hAnsi="Arial" w:cs="Arial"/>
              </w:rPr>
              <w:t>3.8</w:t>
            </w:r>
          </w:p>
        </w:tc>
      </w:tr>
      <w:tr w:rsidR="0052682F" w:rsidRPr="00940D7E" w14:paraId="43D9042B" w14:textId="77777777" w:rsidTr="009763A8">
        <w:trPr>
          <w:cantSplit/>
          <w:trHeight w:val="364"/>
        </w:trPr>
        <w:tc>
          <w:tcPr>
            <w:tcW w:w="1357" w:type="pct"/>
            <w:shd w:val="clear" w:color="auto" w:fill="F2F2F2" w:themeFill="background2" w:themeFillShade="F2"/>
            <w:vAlign w:val="center"/>
          </w:tcPr>
          <w:p w14:paraId="6AA0E95A" w14:textId="77777777" w:rsidR="0052682F" w:rsidRPr="005354DC" w:rsidRDefault="0052682F" w:rsidP="004A163C">
            <w:pPr>
              <w:pStyle w:val="TableBody"/>
              <w:rPr>
                <w:rFonts w:ascii="Arial" w:hAnsi="Arial" w:cs="Arial"/>
              </w:rPr>
            </w:pPr>
            <w:r w:rsidRPr="005354DC">
              <w:rPr>
                <w:rFonts w:ascii="Arial" w:hAnsi="Arial" w:cs="Arial"/>
              </w:rPr>
              <w:t>Critical gas assets</w:t>
            </w:r>
          </w:p>
        </w:tc>
        <w:tc>
          <w:tcPr>
            <w:tcW w:w="1822" w:type="pct"/>
            <w:tcBorders>
              <w:top w:val="nil"/>
              <w:left w:val="nil"/>
              <w:bottom w:val="single" w:sz="8" w:space="0" w:color="BFBFBF" w:themeColor="background2" w:themeShade="BF"/>
              <w:right w:val="nil"/>
            </w:tcBorders>
            <w:shd w:val="clear" w:color="auto" w:fill="auto"/>
            <w:vAlign w:val="center"/>
          </w:tcPr>
          <w:p w14:paraId="3A250C2B" w14:textId="77777777" w:rsidR="0052682F" w:rsidRPr="005354DC" w:rsidRDefault="0052682F" w:rsidP="004A163C">
            <w:pPr>
              <w:pStyle w:val="TableBody"/>
              <w:jc w:val="center"/>
              <w:rPr>
                <w:rFonts w:ascii="Arial" w:hAnsi="Arial" w:cs="Arial"/>
                <w:highlight w:val="yellow"/>
              </w:rPr>
            </w:pPr>
            <w:r w:rsidRPr="005354DC">
              <w:rPr>
                <w:rFonts w:ascii="Arial" w:hAnsi="Arial" w:cs="Arial"/>
                <w:color w:val="000000"/>
              </w:rPr>
              <w:t>10.5</w:t>
            </w:r>
          </w:p>
        </w:tc>
        <w:tc>
          <w:tcPr>
            <w:tcW w:w="1821" w:type="pct"/>
            <w:tcBorders>
              <w:top w:val="nil"/>
              <w:left w:val="nil"/>
              <w:bottom w:val="single" w:sz="8" w:space="0" w:color="BFBFBF" w:themeColor="background2" w:themeShade="BF"/>
              <w:right w:val="nil"/>
            </w:tcBorders>
            <w:shd w:val="clear" w:color="auto" w:fill="auto"/>
            <w:vAlign w:val="center"/>
          </w:tcPr>
          <w:p w14:paraId="3A50ABBB" w14:textId="77777777" w:rsidR="0052682F" w:rsidRPr="005354DC" w:rsidRDefault="0052682F" w:rsidP="004A163C">
            <w:pPr>
              <w:pStyle w:val="TableBody"/>
              <w:jc w:val="center"/>
              <w:rPr>
                <w:rFonts w:ascii="Arial" w:hAnsi="Arial" w:cs="Arial"/>
                <w:highlight w:val="yellow"/>
              </w:rPr>
            </w:pPr>
            <w:r w:rsidRPr="005354DC">
              <w:rPr>
                <w:rFonts w:ascii="Arial" w:hAnsi="Arial" w:cs="Arial"/>
                <w:color w:val="000000"/>
              </w:rPr>
              <w:t>2.1</w:t>
            </w:r>
          </w:p>
        </w:tc>
      </w:tr>
      <w:tr w:rsidR="0052682F" w:rsidRPr="00940D7E" w14:paraId="7BFD6AC8" w14:textId="77777777" w:rsidTr="009763A8">
        <w:trPr>
          <w:cantSplit/>
          <w:trHeight w:val="364"/>
        </w:trPr>
        <w:tc>
          <w:tcPr>
            <w:tcW w:w="1357" w:type="pct"/>
            <w:shd w:val="clear" w:color="auto" w:fill="F2F2F2" w:themeFill="background2" w:themeFillShade="F2"/>
            <w:vAlign w:val="center"/>
          </w:tcPr>
          <w:p w14:paraId="7781BA49" w14:textId="77777777" w:rsidR="0052682F" w:rsidRPr="005354DC" w:rsidRDefault="0052682F" w:rsidP="004A163C">
            <w:pPr>
              <w:pStyle w:val="TableBody"/>
              <w:rPr>
                <w:rFonts w:ascii="Arial" w:hAnsi="Arial" w:cs="Arial"/>
              </w:rPr>
            </w:pPr>
            <w:r w:rsidRPr="005354DC">
              <w:rPr>
                <w:rFonts w:ascii="Arial" w:hAnsi="Arial" w:cs="Arial"/>
              </w:rPr>
              <w:t>Critical water assets</w:t>
            </w:r>
          </w:p>
        </w:tc>
        <w:tc>
          <w:tcPr>
            <w:tcW w:w="1822" w:type="pct"/>
            <w:tcBorders>
              <w:top w:val="nil"/>
              <w:left w:val="nil"/>
              <w:bottom w:val="single" w:sz="8" w:space="0" w:color="BFBFBF" w:themeColor="background2" w:themeShade="BF"/>
              <w:right w:val="nil"/>
            </w:tcBorders>
            <w:shd w:val="clear" w:color="auto" w:fill="auto"/>
            <w:vAlign w:val="center"/>
          </w:tcPr>
          <w:p w14:paraId="46D48C76" w14:textId="77777777" w:rsidR="0052682F" w:rsidRPr="005354DC" w:rsidRDefault="0052682F" w:rsidP="004A163C">
            <w:pPr>
              <w:pStyle w:val="TableBody"/>
              <w:jc w:val="center"/>
              <w:rPr>
                <w:rFonts w:ascii="Arial" w:hAnsi="Arial" w:cs="Arial"/>
                <w:highlight w:val="yellow"/>
              </w:rPr>
            </w:pPr>
            <w:r w:rsidRPr="005354DC">
              <w:rPr>
                <w:rFonts w:ascii="Arial" w:hAnsi="Arial" w:cs="Arial"/>
                <w:color w:val="000000"/>
              </w:rPr>
              <w:t>14.4</w:t>
            </w:r>
          </w:p>
        </w:tc>
        <w:tc>
          <w:tcPr>
            <w:tcW w:w="1821" w:type="pct"/>
            <w:tcBorders>
              <w:top w:val="nil"/>
              <w:left w:val="nil"/>
              <w:bottom w:val="single" w:sz="8" w:space="0" w:color="BFBFBF" w:themeColor="background2" w:themeShade="BF"/>
              <w:right w:val="nil"/>
            </w:tcBorders>
            <w:shd w:val="clear" w:color="auto" w:fill="auto"/>
            <w:vAlign w:val="center"/>
          </w:tcPr>
          <w:p w14:paraId="631D7424" w14:textId="77777777" w:rsidR="0052682F" w:rsidRPr="005354DC" w:rsidRDefault="0052682F" w:rsidP="004A163C">
            <w:pPr>
              <w:pStyle w:val="TableBody"/>
              <w:jc w:val="center"/>
              <w:rPr>
                <w:rFonts w:ascii="Arial" w:hAnsi="Arial" w:cs="Arial"/>
                <w:highlight w:val="yellow"/>
              </w:rPr>
            </w:pPr>
            <w:r w:rsidRPr="005354DC">
              <w:rPr>
                <w:rFonts w:ascii="Arial" w:hAnsi="Arial" w:cs="Arial"/>
                <w:color w:val="000000"/>
              </w:rPr>
              <w:t>6.1</w:t>
            </w:r>
          </w:p>
        </w:tc>
      </w:tr>
      <w:tr w:rsidR="0052682F" w:rsidRPr="00940D7E" w14:paraId="4E1D5D30" w14:textId="77777777" w:rsidTr="009763A8">
        <w:trPr>
          <w:cantSplit/>
          <w:trHeight w:val="375"/>
        </w:trPr>
        <w:tc>
          <w:tcPr>
            <w:tcW w:w="1357" w:type="pct"/>
            <w:shd w:val="clear" w:color="auto" w:fill="F2F2F2" w:themeFill="background2" w:themeFillShade="F2"/>
            <w:vAlign w:val="center"/>
          </w:tcPr>
          <w:p w14:paraId="43F67577" w14:textId="77777777" w:rsidR="0052682F" w:rsidRPr="005354DC" w:rsidRDefault="0052682F" w:rsidP="004A163C">
            <w:pPr>
              <w:pStyle w:val="TableBody"/>
              <w:rPr>
                <w:rFonts w:ascii="Arial" w:hAnsi="Arial" w:cs="Arial"/>
              </w:rPr>
            </w:pPr>
            <w:r w:rsidRPr="005354DC">
              <w:rPr>
                <w:rFonts w:ascii="Arial" w:hAnsi="Arial" w:cs="Arial"/>
              </w:rPr>
              <w:t>Critical data processing or storage assets</w:t>
            </w:r>
          </w:p>
        </w:tc>
        <w:tc>
          <w:tcPr>
            <w:tcW w:w="1822" w:type="pct"/>
            <w:tcBorders>
              <w:top w:val="nil"/>
              <w:left w:val="nil"/>
              <w:bottom w:val="single" w:sz="8" w:space="0" w:color="BFBFBF" w:themeColor="background2" w:themeShade="BF"/>
              <w:right w:val="nil"/>
            </w:tcBorders>
            <w:shd w:val="clear" w:color="auto" w:fill="auto"/>
            <w:vAlign w:val="center"/>
          </w:tcPr>
          <w:p w14:paraId="610524FA" w14:textId="77777777" w:rsidR="0052682F" w:rsidRPr="005354DC" w:rsidRDefault="0052682F" w:rsidP="004A163C">
            <w:pPr>
              <w:pStyle w:val="TableBody"/>
              <w:jc w:val="center"/>
              <w:rPr>
                <w:rFonts w:ascii="Arial" w:hAnsi="Arial" w:cs="Arial"/>
                <w:highlight w:val="yellow"/>
              </w:rPr>
            </w:pPr>
            <w:r w:rsidRPr="005354DC">
              <w:rPr>
                <w:rFonts w:ascii="Arial" w:hAnsi="Arial" w:cs="Arial"/>
                <w:color w:val="000000"/>
              </w:rPr>
              <w:t>1.7</w:t>
            </w:r>
          </w:p>
        </w:tc>
        <w:tc>
          <w:tcPr>
            <w:tcW w:w="1821" w:type="pct"/>
            <w:tcBorders>
              <w:top w:val="nil"/>
              <w:left w:val="nil"/>
              <w:bottom w:val="single" w:sz="8" w:space="0" w:color="BFBFBF" w:themeColor="background2" w:themeShade="BF"/>
              <w:right w:val="nil"/>
            </w:tcBorders>
            <w:shd w:val="clear" w:color="auto" w:fill="auto"/>
            <w:vAlign w:val="center"/>
          </w:tcPr>
          <w:p w14:paraId="1D68875B" w14:textId="77777777" w:rsidR="0052682F" w:rsidRPr="005354DC" w:rsidRDefault="0052682F" w:rsidP="004A163C">
            <w:pPr>
              <w:pStyle w:val="TableBody"/>
              <w:jc w:val="center"/>
              <w:rPr>
                <w:rFonts w:ascii="Arial" w:hAnsi="Arial" w:cs="Arial"/>
                <w:highlight w:val="yellow"/>
              </w:rPr>
            </w:pPr>
            <w:r w:rsidRPr="005354DC">
              <w:rPr>
                <w:rFonts w:ascii="Arial" w:hAnsi="Arial" w:cs="Arial"/>
                <w:color w:val="000000"/>
              </w:rPr>
              <w:t>1.9</w:t>
            </w:r>
          </w:p>
        </w:tc>
      </w:tr>
      <w:tr w:rsidR="0052682F" w:rsidRPr="00940D7E" w14:paraId="05BE4326" w14:textId="77777777" w:rsidTr="009763A8">
        <w:trPr>
          <w:cantSplit/>
          <w:trHeight w:val="364"/>
        </w:trPr>
        <w:tc>
          <w:tcPr>
            <w:tcW w:w="1357" w:type="pct"/>
            <w:shd w:val="clear" w:color="auto" w:fill="F2F2F2" w:themeFill="background2" w:themeFillShade="F2"/>
            <w:vAlign w:val="center"/>
          </w:tcPr>
          <w:p w14:paraId="578CDDF1" w14:textId="77777777" w:rsidR="0052682F" w:rsidRPr="005354DC" w:rsidRDefault="0052682F" w:rsidP="004A163C">
            <w:pPr>
              <w:pStyle w:val="TableBody"/>
              <w:rPr>
                <w:rFonts w:ascii="Arial" w:hAnsi="Arial" w:cs="Arial"/>
              </w:rPr>
            </w:pPr>
            <w:r w:rsidRPr="005354DC">
              <w:rPr>
                <w:rFonts w:ascii="Arial" w:hAnsi="Arial" w:cs="Arial"/>
              </w:rPr>
              <w:t>Critical broadcasting and domain name system assets</w:t>
            </w:r>
          </w:p>
        </w:tc>
        <w:tc>
          <w:tcPr>
            <w:tcW w:w="1822" w:type="pct"/>
            <w:shd w:val="clear" w:color="auto" w:fill="auto"/>
            <w:vAlign w:val="center"/>
          </w:tcPr>
          <w:p w14:paraId="522B48C8" w14:textId="77777777" w:rsidR="0052682F" w:rsidRPr="005354DC" w:rsidRDefault="0052682F" w:rsidP="004A163C">
            <w:pPr>
              <w:pStyle w:val="TableBody"/>
              <w:jc w:val="center"/>
              <w:rPr>
                <w:rFonts w:ascii="Arial" w:hAnsi="Arial" w:cs="Arial"/>
              </w:rPr>
            </w:pPr>
            <w:r w:rsidRPr="005354DC">
              <w:rPr>
                <w:rFonts w:ascii="Arial" w:hAnsi="Arial" w:cs="Arial"/>
              </w:rPr>
              <w:t>0.7</w:t>
            </w:r>
          </w:p>
        </w:tc>
        <w:tc>
          <w:tcPr>
            <w:tcW w:w="1821" w:type="pct"/>
            <w:shd w:val="clear" w:color="auto" w:fill="auto"/>
            <w:vAlign w:val="center"/>
          </w:tcPr>
          <w:p w14:paraId="6193FF84" w14:textId="77777777" w:rsidR="0052682F" w:rsidRPr="005354DC" w:rsidRDefault="0052682F" w:rsidP="004A163C">
            <w:pPr>
              <w:pStyle w:val="TableBody"/>
              <w:jc w:val="center"/>
              <w:rPr>
                <w:rFonts w:ascii="Arial" w:hAnsi="Arial" w:cs="Arial"/>
              </w:rPr>
            </w:pPr>
            <w:r w:rsidRPr="005354DC">
              <w:rPr>
                <w:rFonts w:ascii="Arial" w:hAnsi="Arial" w:cs="Arial"/>
              </w:rPr>
              <w:t>0.5</w:t>
            </w:r>
          </w:p>
        </w:tc>
      </w:tr>
      <w:tr w:rsidR="0052682F" w:rsidRPr="00940D7E" w14:paraId="5368832E" w14:textId="77777777" w:rsidTr="009763A8">
        <w:trPr>
          <w:cantSplit/>
          <w:trHeight w:val="364"/>
        </w:trPr>
        <w:tc>
          <w:tcPr>
            <w:tcW w:w="1357" w:type="pct"/>
            <w:shd w:val="clear" w:color="auto" w:fill="F2F2F2" w:themeFill="background2" w:themeFillShade="F2"/>
            <w:vAlign w:val="center"/>
          </w:tcPr>
          <w:p w14:paraId="6F22B443" w14:textId="77777777" w:rsidR="0052682F" w:rsidRPr="005354DC" w:rsidRDefault="0052682F" w:rsidP="004A163C">
            <w:pPr>
              <w:pStyle w:val="TableBody"/>
              <w:rPr>
                <w:rFonts w:ascii="Arial" w:hAnsi="Arial" w:cs="Arial"/>
              </w:rPr>
            </w:pPr>
            <w:r w:rsidRPr="005354DC">
              <w:rPr>
                <w:rFonts w:ascii="Arial" w:hAnsi="Arial" w:cs="Arial"/>
              </w:rPr>
              <w:t>Critical financial market infrastructure assets (payment systems)</w:t>
            </w:r>
          </w:p>
        </w:tc>
        <w:tc>
          <w:tcPr>
            <w:tcW w:w="1822" w:type="pct"/>
            <w:shd w:val="clear" w:color="auto" w:fill="auto"/>
            <w:vAlign w:val="center"/>
          </w:tcPr>
          <w:p w14:paraId="216A55AB" w14:textId="77777777" w:rsidR="0052682F" w:rsidRPr="005354DC" w:rsidRDefault="0052682F" w:rsidP="004A163C">
            <w:pPr>
              <w:pStyle w:val="TableBody"/>
              <w:jc w:val="center"/>
              <w:rPr>
                <w:rFonts w:ascii="Arial" w:hAnsi="Arial" w:cs="Arial"/>
              </w:rPr>
            </w:pPr>
            <w:r w:rsidRPr="005354DC">
              <w:rPr>
                <w:rFonts w:ascii="Arial" w:hAnsi="Arial" w:cs="Arial"/>
              </w:rPr>
              <w:t>0.1</w:t>
            </w:r>
          </w:p>
        </w:tc>
        <w:tc>
          <w:tcPr>
            <w:tcW w:w="1821" w:type="pct"/>
            <w:shd w:val="clear" w:color="auto" w:fill="auto"/>
            <w:vAlign w:val="center"/>
          </w:tcPr>
          <w:p w14:paraId="0765472F" w14:textId="77777777" w:rsidR="0052682F" w:rsidRPr="005354DC" w:rsidRDefault="0052682F" w:rsidP="004A163C">
            <w:pPr>
              <w:pStyle w:val="TableBody"/>
              <w:jc w:val="center"/>
              <w:rPr>
                <w:rFonts w:ascii="Arial" w:hAnsi="Arial" w:cs="Arial"/>
              </w:rPr>
            </w:pPr>
            <w:r w:rsidRPr="005354DC">
              <w:rPr>
                <w:rFonts w:ascii="Arial" w:hAnsi="Arial" w:cs="Arial"/>
              </w:rPr>
              <w:t>1.4</w:t>
            </w:r>
          </w:p>
        </w:tc>
      </w:tr>
      <w:tr w:rsidR="0052682F" w:rsidRPr="00940D7E" w14:paraId="44BCD372" w14:textId="77777777" w:rsidTr="009763A8">
        <w:trPr>
          <w:cantSplit/>
          <w:trHeight w:val="364"/>
        </w:trPr>
        <w:tc>
          <w:tcPr>
            <w:tcW w:w="1357" w:type="pct"/>
            <w:shd w:val="clear" w:color="auto" w:fill="F2F2F2" w:themeFill="background2" w:themeFillShade="F2"/>
            <w:vAlign w:val="center"/>
          </w:tcPr>
          <w:p w14:paraId="6B7D62E3" w14:textId="77777777" w:rsidR="0052682F" w:rsidRPr="005354DC" w:rsidRDefault="0052682F" w:rsidP="004A163C">
            <w:pPr>
              <w:pStyle w:val="TableBody"/>
              <w:rPr>
                <w:rFonts w:ascii="Arial" w:hAnsi="Arial" w:cs="Arial"/>
                <w:sz w:val="22"/>
              </w:rPr>
            </w:pPr>
            <w:r w:rsidRPr="005354DC">
              <w:rPr>
                <w:rFonts w:ascii="Arial" w:hAnsi="Arial" w:cs="Arial"/>
                <w:lang w:eastAsia="en-AU"/>
              </w:rPr>
              <w:t>Critical liquid fuels assets</w:t>
            </w:r>
          </w:p>
        </w:tc>
        <w:tc>
          <w:tcPr>
            <w:tcW w:w="1822" w:type="pct"/>
            <w:shd w:val="clear" w:color="auto" w:fill="auto"/>
            <w:vAlign w:val="center"/>
          </w:tcPr>
          <w:p w14:paraId="44477CE0" w14:textId="77777777" w:rsidR="0052682F" w:rsidRPr="005354DC" w:rsidRDefault="0052682F" w:rsidP="004A163C">
            <w:pPr>
              <w:pStyle w:val="TableBody"/>
              <w:jc w:val="center"/>
              <w:rPr>
                <w:rFonts w:ascii="Arial" w:hAnsi="Arial" w:cs="Arial"/>
              </w:rPr>
            </w:pPr>
            <w:r w:rsidRPr="005354DC">
              <w:rPr>
                <w:rFonts w:ascii="Arial" w:hAnsi="Arial" w:cs="Arial"/>
              </w:rPr>
              <w:t>8.9</w:t>
            </w:r>
          </w:p>
        </w:tc>
        <w:tc>
          <w:tcPr>
            <w:tcW w:w="1821" w:type="pct"/>
            <w:shd w:val="clear" w:color="auto" w:fill="auto"/>
            <w:vAlign w:val="center"/>
          </w:tcPr>
          <w:p w14:paraId="058E721F" w14:textId="77777777" w:rsidR="0052682F" w:rsidRPr="005354DC" w:rsidRDefault="0052682F" w:rsidP="004A163C">
            <w:pPr>
              <w:pStyle w:val="TableBody"/>
              <w:jc w:val="center"/>
              <w:rPr>
                <w:rFonts w:ascii="Arial" w:hAnsi="Arial" w:cs="Arial"/>
              </w:rPr>
            </w:pPr>
            <w:r w:rsidRPr="005354DC">
              <w:rPr>
                <w:rFonts w:ascii="Arial" w:hAnsi="Arial" w:cs="Arial"/>
              </w:rPr>
              <w:t>2.6</w:t>
            </w:r>
          </w:p>
        </w:tc>
      </w:tr>
      <w:tr w:rsidR="0052682F" w:rsidRPr="00940D7E" w14:paraId="6504F148" w14:textId="77777777" w:rsidTr="009763A8">
        <w:trPr>
          <w:cantSplit/>
          <w:trHeight w:val="375"/>
        </w:trPr>
        <w:tc>
          <w:tcPr>
            <w:tcW w:w="1357" w:type="pct"/>
            <w:shd w:val="clear" w:color="auto" w:fill="F2F2F2" w:themeFill="background2" w:themeFillShade="F2"/>
            <w:vAlign w:val="center"/>
          </w:tcPr>
          <w:p w14:paraId="1B08A17F" w14:textId="77777777" w:rsidR="0052682F" w:rsidRPr="005354DC" w:rsidRDefault="0052682F" w:rsidP="004A163C">
            <w:pPr>
              <w:pStyle w:val="TableBody"/>
              <w:rPr>
                <w:rFonts w:ascii="Arial" w:hAnsi="Arial" w:cs="Arial"/>
                <w:sz w:val="22"/>
              </w:rPr>
            </w:pPr>
            <w:r w:rsidRPr="005354DC">
              <w:rPr>
                <w:rFonts w:ascii="Arial" w:hAnsi="Arial" w:cs="Arial"/>
                <w:lang w:eastAsia="en-AU"/>
              </w:rPr>
              <w:t>Critical hospitals</w:t>
            </w:r>
          </w:p>
        </w:tc>
        <w:tc>
          <w:tcPr>
            <w:tcW w:w="1822" w:type="pct"/>
            <w:shd w:val="clear" w:color="auto" w:fill="auto"/>
            <w:vAlign w:val="center"/>
          </w:tcPr>
          <w:p w14:paraId="352839E3" w14:textId="77777777" w:rsidR="0052682F" w:rsidRPr="005354DC" w:rsidRDefault="0052682F" w:rsidP="004A163C">
            <w:pPr>
              <w:pStyle w:val="TableBody"/>
              <w:jc w:val="center"/>
              <w:rPr>
                <w:rFonts w:ascii="Arial" w:hAnsi="Arial" w:cs="Arial"/>
              </w:rPr>
            </w:pPr>
            <w:r w:rsidRPr="005354DC">
              <w:rPr>
                <w:rFonts w:ascii="Arial" w:hAnsi="Arial" w:cs="Arial"/>
              </w:rPr>
              <w:t>13.0</w:t>
            </w:r>
          </w:p>
        </w:tc>
        <w:tc>
          <w:tcPr>
            <w:tcW w:w="1821" w:type="pct"/>
            <w:shd w:val="clear" w:color="auto" w:fill="auto"/>
            <w:vAlign w:val="center"/>
          </w:tcPr>
          <w:p w14:paraId="63418E82" w14:textId="77777777" w:rsidR="0052682F" w:rsidRPr="005354DC" w:rsidRDefault="0052682F" w:rsidP="004A163C">
            <w:pPr>
              <w:pStyle w:val="TableBody"/>
              <w:jc w:val="center"/>
              <w:rPr>
                <w:rFonts w:ascii="Arial" w:hAnsi="Arial" w:cs="Arial"/>
              </w:rPr>
            </w:pPr>
            <w:r w:rsidRPr="005354DC">
              <w:rPr>
                <w:rFonts w:ascii="Arial" w:hAnsi="Arial" w:cs="Arial"/>
              </w:rPr>
              <w:t>10.1</w:t>
            </w:r>
          </w:p>
        </w:tc>
      </w:tr>
      <w:tr w:rsidR="0052682F" w:rsidRPr="00940D7E" w14:paraId="3CB1E234" w14:textId="77777777" w:rsidTr="009763A8">
        <w:trPr>
          <w:cantSplit/>
          <w:trHeight w:val="364"/>
        </w:trPr>
        <w:tc>
          <w:tcPr>
            <w:tcW w:w="1357" w:type="pct"/>
            <w:shd w:val="clear" w:color="auto" w:fill="F2F2F2" w:themeFill="background2" w:themeFillShade="F2"/>
            <w:vAlign w:val="center"/>
          </w:tcPr>
          <w:p w14:paraId="09A9521E" w14:textId="77777777" w:rsidR="0052682F" w:rsidRPr="005354DC" w:rsidRDefault="0052682F" w:rsidP="004A163C">
            <w:pPr>
              <w:pStyle w:val="TableBody"/>
              <w:rPr>
                <w:rFonts w:ascii="Arial" w:hAnsi="Arial" w:cs="Arial"/>
                <w:sz w:val="22"/>
              </w:rPr>
            </w:pPr>
            <w:r w:rsidRPr="005354DC">
              <w:rPr>
                <w:rFonts w:ascii="Arial" w:hAnsi="Arial" w:cs="Arial"/>
                <w:lang w:eastAsia="en-AU"/>
              </w:rPr>
              <w:t>Critical energy market operator assets</w:t>
            </w:r>
          </w:p>
        </w:tc>
        <w:tc>
          <w:tcPr>
            <w:tcW w:w="1822" w:type="pct"/>
            <w:vAlign w:val="center"/>
          </w:tcPr>
          <w:p w14:paraId="3FBFFF26" w14:textId="77777777" w:rsidR="0052682F" w:rsidRPr="005354DC" w:rsidRDefault="0052682F" w:rsidP="004A163C">
            <w:pPr>
              <w:pStyle w:val="TableBody"/>
              <w:jc w:val="center"/>
              <w:rPr>
                <w:rFonts w:ascii="Arial" w:hAnsi="Arial" w:cs="Arial"/>
              </w:rPr>
            </w:pPr>
            <w:r w:rsidRPr="005354DC">
              <w:rPr>
                <w:rFonts w:ascii="Arial" w:hAnsi="Arial" w:cs="Arial"/>
              </w:rPr>
              <w:t>22.1</w:t>
            </w:r>
          </w:p>
        </w:tc>
        <w:tc>
          <w:tcPr>
            <w:tcW w:w="1821" w:type="pct"/>
            <w:vAlign w:val="center"/>
          </w:tcPr>
          <w:p w14:paraId="43AC1BC3" w14:textId="77777777" w:rsidR="0052682F" w:rsidRPr="005354DC" w:rsidRDefault="0052682F" w:rsidP="004A163C">
            <w:pPr>
              <w:pStyle w:val="TableBody"/>
              <w:jc w:val="center"/>
              <w:rPr>
                <w:rFonts w:ascii="Arial" w:hAnsi="Arial" w:cs="Arial"/>
              </w:rPr>
            </w:pPr>
            <w:r w:rsidRPr="005354DC">
              <w:rPr>
                <w:rFonts w:ascii="Arial" w:hAnsi="Arial" w:cs="Arial"/>
              </w:rPr>
              <w:t>6.7</w:t>
            </w:r>
          </w:p>
        </w:tc>
      </w:tr>
      <w:tr w:rsidR="0052682F" w:rsidRPr="00940D7E" w14:paraId="4A807356" w14:textId="77777777" w:rsidTr="009763A8">
        <w:trPr>
          <w:cantSplit/>
          <w:trHeight w:val="364"/>
        </w:trPr>
        <w:tc>
          <w:tcPr>
            <w:tcW w:w="1357" w:type="pct"/>
            <w:shd w:val="clear" w:color="auto" w:fill="F2F2F2" w:themeFill="background2" w:themeFillShade="F2"/>
            <w:vAlign w:val="center"/>
          </w:tcPr>
          <w:p w14:paraId="0F3FC0FB" w14:textId="77777777" w:rsidR="0052682F" w:rsidRPr="005354DC" w:rsidRDefault="0052682F" w:rsidP="004A163C">
            <w:pPr>
              <w:pStyle w:val="TableBody"/>
              <w:rPr>
                <w:rFonts w:ascii="Arial" w:hAnsi="Arial" w:cs="Arial"/>
                <w:lang w:eastAsia="en-AU"/>
              </w:rPr>
            </w:pPr>
            <w:r w:rsidRPr="005354DC">
              <w:rPr>
                <w:rFonts w:ascii="Arial" w:hAnsi="Arial" w:cs="Arial"/>
                <w:lang w:eastAsia="en-AU"/>
              </w:rPr>
              <w:t xml:space="preserve">Critical freight infrastructure </w:t>
            </w:r>
            <w:r w:rsidRPr="005354DC">
              <w:rPr>
                <w:rFonts w:ascii="Arial" w:hAnsi="Arial" w:cs="Arial"/>
                <w:i/>
                <w:lang w:eastAsia="en-AU"/>
              </w:rPr>
              <w:t>and</w:t>
            </w:r>
            <w:r w:rsidRPr="005354DC">
              <w:rPr>
                <w:rFonts w:ascii="Arial" w:hAnsi="Arial" w:cs="Arial"/>
                <w:lang w:eastAsia="en-AU"/>
              </w:rPr>
              <w:t xml:space="preserve"> critical freight services assets</w:t>
            </w:r>
          </w:p>
        </w:tc>
        <w:tc>
          <w:tcPr>
            <w:tcW w:w="1822" w:type="pct"/>
            <w:vAlign w:val="center"/>
          </w:tcPr>
          <w:p w14:paraId="1BDB19BA" w14:textId="77777777" w:rsidR="0052682F" w:rsidRPr="005354DC" w:rsidRDefault="0052682F" w:rsidP="004A163C">
            <w:pPr>
              <w:pStyle w:val="TableBody"/>
              <w:jc w:val="center"/>
              <w:rPr>
                <w:rFonts w:ascii="Arial" w:hAnsi="Arial" w:cs="Arial"/>
              </w:rPr>
            </w:pPr>
            <w:r w:rsidRPr="005354DC">
              <w:rPr>
                <w:rFonts w:ascii="Arial" w:hAnsi="Arial" w:cs="Arial"/>
              </w:rPr>
              <w:t>3.9</w:t>
            </w:r>
          </w:p>
        </w:tc>
        <w:tc>
          <w:tcPr>
            <w:tcW w:w="1821" w:type="pct"/>
            <w:vAlign w:val="center"/>
          </w:tcPr>
          <w:p w14:paraId="3F76C56B" w14:textId="77777777" w:rsidR="0052682F" w:rsidRPr="005354DC" w:rsidRDefault="0052682F" w:rsidP="004A163C">
            <w:pPr>
              <w:pStyle w:val="TableBody"/>
              <w:jc w:val="center"/>
              <w:rPr>
                <w:rFonts w:ascii="Arial" w:hAnsi="Arial" w:cs="Arial"/>
              </w:rPr>
            </w:pPr>
            <w:r w:rsidRPr="005354DC">
              <w:rPr>
                <w:rFonts w:ascii="Arial" w:hAnsi="Arial" w:cs="Arial"/>
              </w:rPr>
              <w:t>2.3</w:t>
            </w:r>
          </w:p>
        </w:tc>
      </w:tr>
      <w:tr w:rsidR="0052682F" w:rsidRPr="00940D7E" w14:paraId="625CCB70" w14:textId="77777777" w:rsidTr="009763A8">
        <w:trPr>
          <w:cantSplit/>
          <w:trHeight w:val="364"/>
        </w:trPr>
        <w:tc>
          <w:tcPr>
            <w:tcW w:w="1357" w:type="pct"/>
            <w:shd w:val="clear" w:color="auto" w:fill="F2F2F2" w:themeFill="background2" w:themeFillShade="F2"/>
            <w:vAlign w:val="center"/>
          </w:tcPr>
          <w:p w14:paraId="3CD57F70" w14:textId="77777777" w:rsidR="0052682F" w:rsidRPr="005354DC" w:rsidRDefault="0052682F" w:rsidP="004A163C">
            <w:pPr>
              <w:pStyle w:val="TableBody"/>
              <w:rPr>
                <w:rFonts w:ascii="Arial" w:hAnsi="Arial" w:cs="Arial"/>
                <w:lang w:eastAsia="en-AU"/>
              </w:rPr>
            </w:pPr>
            <w:r w:rsidRPr="005354DC">
              <w:rPr>
                <w:rFonts w:ascii="Arial" w:hAnsi="Arial" w:cs="Arial"/>
                <w:lang w:eastAsia="en-AU"/>
              </w:rPr>
              <w:t>Critical food and grocery assets</w:t>
            </w:r>
          </w:p>
        </w:tc>
        <w:tc>
          <w:tcPr>
            <w:tcW w:w="1822" w:type="pct"/>
            <w:vAlign w:val="center"/>
          </w:tcPr>
          <w:p w14:paraId="6586B351" w14:textId="77777777" w:rsidR="0052682F" w:rsidRPr="005354DC" w:rsidRDefault="0052682F" w:rsidP="004A163C">
            <w:pPr>
              <w:pStyle w:val="TableBody"/>
              <w:jc w:val="center"/>
              <w:rPr>
                <w:rFonts w:ascii="Arial" w:hAnsi="Arial" w:cs="Arial"/>
              </w:rPr>
            </w:pPr>
            <w:r w:rsidRPr="005354DC">
              <w:rPr>
                <w:rFonts w:ascii="Arial" w:hAnsi="Arial" w:cs="Arial"/>
              </w:rPr>
              <w:t>3.1</w:t>
            </w:r>
          </w:p>
        </w:tc>
        <w:tc>
          <w:tcPr>
            <w:tcW w:w="1821" w:type="pct"/>
            <w:vAlign w:val="center"/>
          </w:tcPr>
          <w:p w14:paraId="7B9A1D23" w14:textId="77777777" w:rsidR="0052682F" w:rsidRPr="005354DC" w:rsidRDefault="0052682F" w:rsidP="004A163C">
            <w:pPr>
              <w:pStyle w:val="TableBody"/>
              <w:jc w:val="center"/>
              <w:rPr>
                <w:rFonts w:ascii="Arial" w:hAnsi="Arial" w:cs="Arial"/>
              </w:rPr>
            </w:pPr>
            <w:r w:rsidRPr="005354DC">
              <w:rPr>
                <w:rFonts w:ascii="Arial" w:hAnsi="Arial" w:cs="Arial"/>
              </w:rPr>
              <w:t>1.7</w:t>
            </w:r>
          </w:p>
        </w:tc>
      </w:tr>
      <w:tr w:rsidR="0052682F" w:rsidRPr="00846AD7" w14:paraId="7B833D4C" w14:textId="77777777" w:rsidTr="009763A8">
        <w:trPr>
          <w:cantSplit/>
          <w:trHeight w:val="364"/>
        </w:trPr>
        <w:tc>
          <w:tcPr>
            <w:tcW w:w="1357" w:type="pct"/>
            <w:shd w:val="clear" w:color="auto" w:fill="284B98"/>
            <w:vAlign w:val="center"/>
          </w:tcPr>
          <w:p w14:paraId="1CF56E1E" w14:textId="77777777" w:rsidR="0052682F" w:rsidRPr="00846AD7" w:rsidRDefault="0052682F" w:rsidP="004A163C">
            <w:pPr>
              <w:pStyle w:val="TableHeading"/>
              <w:rPr>
                <w:rFonts w:ascii="Arial" w:hAnsi="Arial" w:cs="Arial"/>
                <w:color w:val="FFFFFF" w:themeColor="background1"/>
                <w:lang w:eastAsia="en-AU"/>
              </w:rPr>
            </w:pPr>
            <w:r w:rsidRPr="00846AD7">
              <w:rPr>
                <w:rFonts w:ascii="Arial" w:hAnsi="Arial" w:cs="Arial"/>
                <w:color w:val="FFFFFF" w:themeColor="background1"/>
                <w:lang w:eastAsia="en-AU"/>
              </w:rPr>
              <w:t>Total average cost per entity</w:t>
            </w:r>
            <w:r w:rsidR="00843A5D">
              <w:rPr>
                <w:rStyle w:val="FootnoteReference"/>
                <w:rFonts w:ascii="Arial" w:hAnsi="Arial" w:cs="Arial"/>
                <w:color w:val="FFFFFF" w:themeColor="background1"/>
                <w:lang w:eastAsia="en-AU"/>
              </w:rPr>
              <w:footnoteReference w:id="38"/>
            </w:r>
          </w:p>
        </w:tc>
        <w:tc>
          <w:tcPr>
            <w:tcW w:w="1822" w:type="pct"/>
            <w:shd w:val="clear" w:color="auto" w:fill="284B98"/>
            <w:vAlign w:val="center"/>
          </w:tcPr>
          <w:p w14:paraId="0E8E33FE" w14:textId="77777777" w:rsidR="0052682F" w:rsidRPr="00846AD7" w:rsidRDefault="0052682F" w:rsidP="004A163C">
            <w:pPr>
              <w:pStyle w:val="TableHeading"/>
              <w:jc w:val="center"/>
              <w:rPr>
                <w:rFonts w:ascii="Arial" w:hAnsi="Arial" w:cs="Arial"/>
                <w:color w:val="FFFFFF" w:themeColor="background1"/>
                <w:lang w:eastAsia="en-AU"/>
              </w:rPr>
            </w:pPr>
            <w:r w:rsidRPr="00846AD7">
              <w:rPr>
                <w:rFonts w:ascii="Arial" w:hAnsi="Arial" w:cs="Arial"/>
                <w:color w:val="FFFFFF" w:themeColor="background1"/>
                <w:lang w:eastAsia="en-AU"/>
              </w:rPr>
              <w:t>7.9</w:t>
            </w:r>
          </w:p>
        </w:tc>
        <w:tc>
          <w:tcPr>
            <w:tcW w:w="1821" w:type="pct"/>
            <w:shd w:val="clear" w:color="auto" w:fill="284B98"/>
            <w:vAlign w:val="center"/>
          </w:tcPr>
          <w:p w14:paraId="006D4881" w14:textId="77777777" w:rsidR="0052682F" w:rsidRPr="00846AD7" w:rsidRDefault="0052682F" w:rsidP="004A163C">
            <w:pPr>
              <w:pStyle w:val="TableHeading"/>
              <w:jc w:val="center"/>
              <w:rPr>
                <w:rFonts w:ascii="Arial" w:hAnsi="Arial" w:cs="Arial"/>
                <w:color w:val="FFFFFF" w:themeColor="background1"/>
                <w:lang w:eastAsia="en-AU"/>
              </w:rPr>
            </w:pPr>
            <w:r w:rsidRPr="00846AD7">
              <w:rPr>
                <w:rFonts w:ascii="Arial" w:hAnsi="Arial" w:cs="Arial"/>
                <w:color w:val="FFFFFF" w:themeColor="background1"/>
                <w:lang w:eastAsia="en-AU"/>
              </w:rPr>
              <w:t>3.6</w:t>
            </w:r>
          </w:p>
        </w:tc>
      </w:tr>
    </w:tbl>
    <w:p w14:paraId="74D394E7" w14:textId="77777777" w:rsidR="006D5D18" w:rsidRDefault="006D5D18" w:rsidP="0052682F">
      <w:pPr>
        <w:pStyle w:val="Heading2"/>
        <w:rPr>
          <w:rFonts w:ascii="Arial" w:hAnsi="Arial"/>
        </w:rPr>
      </w:pPr>
      <w:bookmarkStart w:id="134" w:name="_Toc164683850"/>
    </w:p>
    <w:p w14:paraId="740456E1" w14:textId="77777777" w:rsidR="006D5D18" w:rsidRDefault="006D5D18" w:rsidP="0052682F">
      <w:pPr>
        <w:pStyle w:val="Heading2"/>
        <w:rPr>
          <w:rFonts w:ascii="Arial" w:hAnsi="Arial"/>
        </w:rPr>
      </w:pPr>
    </w:p>
    <w:p w14:paraId="6585E468" w14:textId="77777777" w:rsidR="006D5D18" w:rsidRDefault="006D5D18" w:rsidP="0052682F">
      <w:pPr>
        <w:pStyle w:val="Heading2"/>
        <w:rPr>
          <w:rFonts w:ascii="Arial" w:hAnsi="Arial"/>
        </w:rPr>
      </w:pPr>
    </w:p>
    <w:p w14:paraId="5C984E8F" w14:textId="77777777" w:rsidR="006D5D18" w:rsidRDefault="006D5D18" w:rsidP="0052682F">
      <w:pPr>
        <w:pStyle w:val="Heading2"/>
        <w:rPr>
          <w:rFonts w:ascii="Arial" w:hAnsi="Arial"/>
        </w:rPr>
      </w:pPr>
    </w:p>
    <w:p w14:paraId="5A0AA98D" w14:textId="77777777" w:rsidR="006D5D18" w:rsidRDefault="006D5D18" w:rsidP="0052682F">
      <w:pPr>
        <w:pStyle w:val="Heading2"/>
        <w:rPr>
          <w:rFonts w:ascii="Arial" w:hAnsi="Arial"/>
        </w:rPr>
      </w:pPr>
    </w:p>
    <w:p w14:paraId="66176BC0" w14:textId="77777777" w:rsidR="006D5D18" w:rsidRDefault="006D5D18">
      <w:pPr>
        <w:spacing w:before="80" w:after="80"/>
        <w:rPr>
          <w:rFonts w:ascii="Arial" w:eastAsia="Times New Roman" w:hAnsi="Arial" w:cs="Arial"/>
          <w:b/>
          <w:bCs/>
          <w:iCs/>
          <w:sz w:val="28"/>
          <w:szCs w:val="28"/>
          <w:lang w:eastAsia="en-AU"/>
        </w:rPr>
      </w:pPr>
      <w:r>
        <w:rPr>
          <w:rFonts w:ascii="Arial" w:hAnsi="Arial"/>
        </w:rPr>
        <w:br w:type="page"/>
      </w:r>
    </w:p>
    <w:p w14:paraId="2B8D8350" w14:textId="77777777" w:rsidR="0052682F" w:rsidRPr="00A80E57" w:rsidRDefault="0052682F" w:rsidP="00FB67CC">
      <w:pPr>
        <w:pStyle w:val="Heading1"/>
      </w:pPr>
      <w:bookmarkStart w:id="135" w:name="_Toc176183952"/>
      <w:r w:rsidRPr="2F6B7F1D">
        <w:t>Appendix B: Extract of Consultation Paper Questions</w:t>
      </w:r>
      <w:bookmarkEnd w:id="134"/>
      <w:bookmarkEnd w:id="135"/>
      <w:r w:rsidRPr="2F6B7F1D">
        <w:t xml:space="preserve"> </w:t>
      </w:r>
    </w:p>
    <w:p w14:paraId="6EF35061" w14:textId="77777777" w:rsidR="0052682F" w:rsidRDefault="0052682F" w:rsidP="0052682F">
      <w:pPr>
        <w:rPr>
          <w:rFonts w:ascii="Arial" w:hAnsi="Arial" w:cs="Arial"/>
          <w:szCs w:val="20"/>
        </w:rPr>
      </w:pPr>
      <w:r w:rsidRPr="591A7590">
        <w:rPr>
          <w:rFonts w:ascii="Arial" w:hAnsi="Arial" w:cs="Arial"/>
          <w:szCs w:val="20"/>
        </w:rPr>
        <w:t xml:space="preserve">Note: The questions extracted below relate to the reforms considered in this IA only, and </w:t>
      </w:r>
      <w:r>
        <w:rPr>
          <w:rFonts w:ascii="Arial" w:hAnsi="Arial" w:cs="Arial"/>
          <w:szCs w:val="20"/>
        </w:rPr>
        <w:t xml:space="preserve">includes only the </w:t>
      </w:r>
      <w:r w:rsidRPr="591A7590">
        <w:rPr>
          <w:rFonts w:ascii="Arial" w:hAnsi="Arial" w:cs="Arial"/>
          <w:szCs w:val="20"/>
        </w:rPr>
        <w:t xml:space="preserve">questions in the Consultation Paper which relate to the proposed reforms. </w:t>
      </w:r>
    </w:p>
    <w:p w14:paraId="075F7B8C" w14:textId="77777777" w:rsidR="008E5D18" w:rsidRPr="006C4349" w:rsidRDefault="008E5D18" w:rsidP="0052682F">
      <w:pPr>
        <w:rPr>
          <w:rFonts w:ascii="Arial" w:hAnsi="Arial" w:cs="Arial"/>
          <w:szCs w:val="20"/>
        </w:rPr>
      </w:pPr>
    </w:p>
    <w:p w14:paraId="75136952" w14:textId="77777777" w:rsidR="0052682F" w:rsidRPr="006C4349" w:rsidRDefault="0052682F" w:rsidP="0052682F">
      <w:pPr>
        <w:rPr>
          <w:rFonts w:ascii="Arial" w:hAnsi="Arial" w:cs="Arial"/>
          <w:b/>
          <w:bCs/>
          <w:szCs w:val="20"/>
        </w:rPr>
      </w:pPr>
      <w:r w:rsidRPr="591A7590">
        <w:rPr>
          <w:rFonts w:ascii="Arial" w:hAnsi="Arial" w:cs="Arial"/>
          <w:b/>
          <w:bCs/>
          <w:szCs w:val="20"/>
        </w:rPr>
        <w:t xml:space="preserve">[Measure 1] Protecting critical infrastructure – Data storage systems and business critical data </w:t>
      </w:r>
    </w:p>
    <w:p w14:paraId="04BC693A" w14:textId="77777777" w:rsidR="0052682F" w:rsidRPr="006C4349" w:rsidRDefault="0052682F" w:rsidP="00510557">
      <w:pPr>
        <w:pStyle w:val="ListParagraph"/>
        <w:numPr>
          <w:ilvl w:val="0"/>
          <w:numId w:val="72"/>
        </w:numPr>
        <w:spacing w:before="0" w:after="160" w:line="259" w:lineRule="auto"/>
        <w:contextualSpacing/>
        <w:rPr>
          <w:rFonts w:ascii="Arial" w:hAnsi="Arial" w:cs="Arial"/>
          <w:szCs w:val="20"/>
        </w:rPr>
      </w:pPr>
      <w:r w:rsidRPr="591A7590">
        <w:rPr>
          <w:rFonts w:ascii="Arial" w:hAnsi="Arial" w:cs="Arial"/>
          <w:szCs w:val="20"/>
        </w:rPr>
        <w:t xml:space="preserve">How are you currently managing risks to your corporate networks and systems holding business critical data? </w:t>
      </w:r>
    </w:p>
    <w:p w14:paraId="4B1D820E" w14:textId="77777777" w:rsidR="0052682F" w:rsidRPr="006C4349" w:rsidRDefault="0052682F" w:rsidP="00510557">
      <w:pPr>
        <w:pStyle w:val="ListParagraph"/>
        <w:numPr>
          <w:ilvl w:val="0"/>
          <w:numId w:val="72"/>
        </w:numPr>
        <w:spacing w:before="0" w:after="160" w:line="259" w:lineRule="auto"/>
        <w:contextualSpacing/>
        <w:rPr>
          <w:rFonts w:ascii="Arial" w:hAnsi="Arial" w:cs="Arial"/>
          <w:szCs w:val="20"/>
        </w:rPr>
      </w:pPr>
      <w:r w:rsidRPr="591A7590">
        <w:rPr>
          <w:rFonts w:ascii="Arial" w:hAnsi="Arial" w:cs="Arial"/>
          <w:szCs w:val="20"/>
        </w:rPr>
        <w:t xml:space="preserve">How can the proposed amendments to the SOCI Act address the risk to data storage systems held by critical infrastructure while balancing regulatory burden? </w:t>
      </w:r>
    </w:p>
    <w:p w14:paraId="46131E77" w14:textId="77777777" w:rsidR="0052682F" w:rsidRPr="006C4349" w:rsidRDefault="0052682F" w:rsidP="00510557">
      <w:pPr>
        <w:pStyle w:val="ListParagraph"/>
        <w:numPr>
          <w:ilvl w:val="0"/>
          <w:numId w:val="72"/>
        </w:numPr>
        <w:spacing w:before="0" w:after="160" w:line="259" w:lineRule="auto"/>
        <w:contextualSpacing/>
        <w:rPr>
          <w:rFonts w:ascii="Arial" w:hAnsi="Arial" w:cs="Arial"/>
          <w:szCs w:val="20"/>
        </w:rPr>
      </w:pPr>
      <w:r w:rsidRPr="591A7590">
        <w:rPr>
          <w:rFonts w:ascii="Arial" w:hAnsi="Arial" w:cs="Arial"/>
          <w:szCs w:val="20"/>
        </w:rPr>
        <w:t xml:space="preserve">What would be the financial and non-financial impacts of the proposed amendments? To what extent would the proposed obligations impact the ability to effectively use data for business purposes? </w:t>
      </w:r>
    </w:p>
    <w:p w14:paraId="66848ABA" w14:textId="77777777" w:rsidR="0052682F" w:rsidRPr="006C4349" w:rsidRDefault="0052682F" w:rsidP="0052682F">
      <w:pPr>
        <w:rPr>
          <w:rFonts w:ascii="Arial" w:hAnsi="Arial" w:cs="Arial"/>
          <w:b/>
          <w:bCs/>
          <w:szCs w:val="20"/>
        </w:rPr>
      </w:pPr>
      <w:r w:rsidRPr="591A7590">
        <w:rPr>
          <w:rFonts w:ascii="Arial" w:hAnsi="Arial" w:cs="Arial"/>
          <w:b/>
          <w:bCs/>
          <w:szCs w:val="20"/>
        </w:rPr>
        <w:t xml:space="preserve">[Measure 2] Improving our national response to the consequences of significant incidents – Consequence management powers </w:t>
      </w:r>
    </w:p>
    <w:p w14:paraId="05CAF710" w14:textId="77777777" w:rsidR="0052682F" w:rsidRPr="006C4349" w:rsidRDefault="0052682F" w:rsidP="00510557">
      <w:pPr>
        <w:pStyle w:val="ListParagraph"/>
        <w:numPr>
          <w:ilvl w:val="0"/>
          <w:numId w:val="73"/>
        </w:numPr>
        <w:spacing w:before="0" w:after="160" w:line="259" w:lineRule="auto"/>
        <w:contextualSpacing/>
        <w:rPr>
          <w:rFonts w:ascii="Arial" w:hAnsi="Arial" w:cs="Arial"/>
          <w:szCs w:val="20"/>
        </w:rPr>
      </w:pPr>
      <w:r w:rsidRPr="591A7590">
        <w:rPr>
          <w:rFonts w:ascii="Arial" w:hAnsi="Arial" w:cs="Arial"/>
          <w:szCs w:val="20"/>
        </w:rPr>
        <w:t xml:space="preserve">How would the proposed directions power assist you in taking action to address the consequences of an incident, such as a major cyber </w:t>
      </w:r>
      <w:r w:rsidR="00254AE0">
        <w:rPr>
          <w:rFonts w:ascii="Arial" w:hAnsi="Arial" w:cs="Arial"/>
          <w:szCs w:val="20"/>
        </w:rPr>
        <w:t>incident</w:t>
      </w:r>
      <w:r w:rsidRPr="591A7590">
        <w:rPr>
          <w:rFonts w:ascii="Arial" w:hAnsi="Arial" w:cs="Arial"/>
          <w:szCs w:val="20"/>
        </w:rPr>
        <w:t xml:space="preserve"> on your critical infrastructure asset? </w:t>
      </w:r>
    </w:p>
    <w:p w14:paraId="5674CD18" w14:textId="77777777" w:rsidR="0052682F" w:rsidRPr="006C4349" w:rsidRDefault="0052682F" w:rsidP="00510557">
      <w:pPr>
        <w:pStyle w:val="ListParagraph"/>
        <w:numPr>
          <w:ilvl w:val="0"/>
          <w:numId w:val="73"/>
        </w:numPr>
        <w:spacing w:before="0" w:after="160" w:line="259" w:lineRule="auto"/>
        <w:contextualSpacing/>
        <w:rPr>
          <w:rFonts w:ascii="Arial" w:hAnsi="Arial" w:cs="Arial"/>
          <w:szCs w:val="20"/>
        </w:rPr>
      </w:pPr>
      <w:r w:rsidRPr="591A7590">
        <w:rPr>
          <w:rFonts w:ascii="Arial" w:hAnsi="Arial" w:cs="Arial"/>
          <w:szCs w:val="20"/>
        </w:rPr>
        <w:t>What other legislation or policy frameworks (e.g., at a state and territory level) would interact with the proposed consequence management power and should be considered prior to its use?</w:t>
      </w:r>
    </w:p>
    <w:p w14:paraId="59ECF8F8" w14:textId="77777777" w:rsidR="0052682F" w:rsidRPr="006C4349" w:rsidRDefault="0052682F" w:rsidP="00510557">
      <w:pPr>
        <w:pStyle w:val="ListParagraph"/>
        <w:numPr>
          <w:ilvl w:val="0"/>
          <w:numId w:val="73"/>
        </w:numPr>
        <w:spacing w:before="0" w:after="160" w:line="259" w:lineRule="auto"/>
        <w:contextualSpacing/>
        <w:rPr>
          <w:rFonts w:ascii="Arial" w:hAnsi="Arial" w:cs="Arial"/>
          <w:szCs w:val="20"/>
        </w:rPr>
      </w:pPr>
      <w:r w:rsidRPr="591A7590">
        <w:rPr>
          <w:rFonts w:ascii="Arial" w:hAnsi="Arial" w:cs="Arial"/>
          <w:szCs w:val="20"/>
        </w:rPr>
        <w:t>What principles, safeguards and oversight mechanisms should Government establish to manage the use of a consequence management power?</w:t>
      </w:r>
    </w:p>
    <w:p w14:paraId="73182778" w14:textId="77777777" w:rsidR="0052682F" w:rsidRPr="006C4349" w:rsidRDefault="0052682F" w:rsidP="0052682F">
      <w:pPr>
        <w:rPr>
          <w:rFonts w:ascii="Arial" w:hAnsi="Arial" w:cs="Arial"/>
          <w:b/>
          <w:bCs/>
          <w:szCs w:val="20"/>
        </w:rPr>
      </w:pPr>
      <w:r w:rsidRPr="591A7590">
        <w:rPr>
          <w:rFonts w:ascii="Arial" w:hAnsi="Arial" w:cs="Arial"/>
          <w:b/>
          <w:bCs/>
          <w:szCs w:val="20"/>
        </w:rPr>
        <w:t xml:space="preserve">[Measure 3] Enforcing critical infrastructure risk management obligations – Review and remedy powers </w:t>
      </w:r>
    </w:p>
    <w:p w14:paraId="00AF1D96" w14:textId="77777777" w:rsidR="0052682F" w:rsidRPr="006C4349" w:rsidRDefault="0052682F" w:rsidP="00510557">
      <w:pPr>
        <w:pStyle w:val="ListParagraph"/>
        <w:numPr>
          <w:ilvl w:val="0"/>
          <w:numId w:val="74"/>
        </w:numPr>
        <w:spacing w:before="0" w:after="160" w:line="259" w:lineRule="auto"/>
        <w:contextualSpacing/>
        <w:rPr>
          <w:rFonts w:ascii="Arial" w:hAnsi="Arial" w:cs="Arial"/>
          <w:szCs w:val="20"/>
        </w:rPr>
      </w:pPr>
      <w:r w:rsidRPr="591A7590">
        <w:rPr>
          <w:rFonts w:ascii="Arial" w:hAnsi="Arial" w:cs="Arial"/>
          <w:szCs w:val="20"/>
        </w:rPr>
        <w:t>How would the proposed review and remedy power impact your approach to preventative risk?</w:t>
      </w:r>
    </w:p>
    <w:p w14:paraId="590EA1B0" w14:textId="77777777" w:rsidR="0052682F" w:rsidRDefault="0052682F" w:rsidP="0052682F">
      <w:pPr>
        <w:rPr>
          <w:rFonts w:ascii="Arial" w:hAnsi="Arial" w:cs="Arial"/>
          <w:szCs w:val="20"/>
        </w:rPr>
      </w:pPr>
      <w:r>
        <w:rPr>
          <w:rFonts w:ascii="Arial" w:hAnsi="Arial" w:cs="Arial"/>
          <w:szCs w:val="20"/>
        </w:rPr>
        <w:br w:type="page"/>
      </w:r>
    </w:p>
    <w:p w14:paraId="215DBE7F" w14:textId="77777777" w:rsidR="0052682F" w:rsidRPr="00940D7E" w:rsidRDefault="0052682F" w:rsidP="00FB67CC">
      <w:pPr>
        <w:pStyle w:val="Heading1"/>
      </w:pPr>
      <w:bookmarkStart w:id="136" w:name="_Toc164683851"/>
      <w:bookmarkStart w:id="137" w:name="_Toc176183953"/>
      <w:r w:rsidRPr="2F6B7F1D">
        <w:t xml:space="preserve">Appendix C: Consultation Questions &amp; Summary of Industry Views on </w:t>
      </w:r>
      <w:r w:rsidRPr="2F6B7F1D" w:rsidDel="0004359A">
        <w:t xml:space="preserve">Draft </w:t>
      </w:r>
      <w:bookmarkEnd w:id="136"/>
      <w:r w:rsidRPr="2F6B7F1D">
        <w:t>IA</w:t>
      </w:r>
      <w:bookmarkEnd w:id="137"/>
    </w:p>
    <w:p w14:paraId="2461E01C" w14:textId="77777777" w:rsidR="0052682F" w:rsidRPr="00FF569F" w:rsidRDefault="0052682F" w:rsidP="00483027">
      <w:pPr>
        <w:pStyle w:val="subheading3"/>
      </w:pPr>
      <w:bookmarkStart w:id="138" w:name="_Toc162527652"/>
      <w:bookmarkStart w:id="139" w:name="_Toc164683852"/>
      <w:r w:rsidRPr="2F6B7F1D">
        <w:t>Consultation questions</w:t>
      </w:r>
      <w:bookmarkEnd w:id="138"/>
      <w:bookmarkEnd w:id="139"/>
    </w:p>
    <w:p w14:paraId="59DF6112" w14:textId="77777777" w:rsidR="0052682F" w:rsidRPr="00631F6B" w:rsidRDefault="0052682F" w:rsidP="0052682F">
      <w:pPr>
        <w:pStyle w:val="paragraph"/>
        <w:spacing w:before="0" w:beforeAutospacing="0" w:after="0" w:afterAutospacing="0"/>
        <w:textAlignment w:val="baseline"/>
        <w:rPr>
          <w:rFonts w:ascii="Arial" w:hAnsi="Arial" w:cs="Arial"/>
          <w:sz w:val="18"/>
          <w:szCs w:val="18"/>
        </w:rPr>
      </w:pPr>
      <w:r>
        <w:rPr>
          <w:rStyle w:val="eop"/>
          <w:rFonts w:ascii="Arial" w:eastAsiaTheme="majorEastAsia" w:hAnsi="Arial" w:cs="Arial"/>
        </w:rPr>
        <w:t>​</w:t>
      </w:r>
    </w:p>
    <w:p w14:paraId="699BD3A4" w14:textId="77777777" w:rsidR="0052682F" w:rsidRPr="005A64E5" w:rsidRDefault="0052682F" w:rsidP="0052682F">
      <w:pPr>
        <w:rPr>
          <w:rFonts w:ascii="Arial" w:hAnsi="Arial" w:cs="Arial"/>
          <w:b/>
          <w:bCs/>
          <w:szCs w:val="20"/>
        </w:rPr>
      </w:pPr>
      <w:r>
        <w:rPr>
          <w:rFonts w:ascii="Arial" w:hAnsi="Arial" w:cs="Arial"/>
          <w:b/>
          <w:bCs/>
          <w:szCs w:val="20"/>
        </w:rPr>
        <w:t>[</w:t>
      </w:r>
      <w:r w:rsidRPr="005A64E5">
        <w:rPr>
          <w:rFonts w:ascii="Arial" w:hAnsi="Arial" w:cs="Arial"/>
          <w:b/>
          <w:bCs/>
          <w:szCs w:val="20"/>
        </w:rPr>
        <w:t>Question 1</w:t>
      </w:r>
      <w:r>
        <w:rPr>
          <w:rFonts w:ascii="Arial" w:hAnsi="Arial" w:cs="Arial"/>
          <w:b/>
          <w:bCs/>
          <w:szCs w:val="20"/>
        </w:rPr>
        <w:t>]</w:t>
      </w:r>
      <w:r w:rsidRPr="005A64E5">
        <w:rPr>
          <w:rFonts w:ascii="Arial" w:hAnsi="Arial" w:cs="Arial"/>
          <w:b/>
          <w:bCs/>
          <w:szCs w:val="20"/>
        </w:rPr>
        <w:t xml:space="preserve"> Problem​</w:t>
      </w:r>
    </w:p>
    <w:p w14:paraId="1A132E32" w14:textId="77777777" w:rsidR="0052682F" w:rsidRPr="005A64E5" w:rsidRDefault="0052682F" w:rsidP="00510557">
      <w:pPr>
        <w:pStyle w:val="ListParagraph"/>
        <w:numPr>
          <w:ilvl w:val="0"/>
          <w:numId w:val="76"/>
        </w:numPr>
        <w:spacing w:before="0" w:after="160" w:line="259" w:lineRule="auto"/>
        <w:contextualSpacing/>
        <w:rPr>
          <w:rFonts w:ascii="Arial" w:hAnsi="Arial" w:cs="Arial"/>
          <w:szCs w:val="20"/>
        </w:rPr>
      </w:pPr>
      <w:r w:rsidRPr="005A64E5">
        <w:rPr>
          <w:rFonts w:ascii="Arial" w:hAnsi="Arial" w:cs="Arial"/>
          <w:szCs w:val="20"/>
        </w:rPr>
        <w:t>Is the problem set out above accurately described in relation to your entity? Are there other elements of the problem which have not been mentioned above? ​</w:t>
      </w:r>
    </w:p>
    <w:p w14:paraId="6CDFF20D" w14:textId="77777777" w:rsidR="0052682F" w:rsidRPr="005A64E5" w:rsidRDefault="0052682F" w:rsidP="00510557">
      <w:pPr>
        <w:pStyle w:val="ListParagraph"/>
        <w:numPr>
          <w:ilvl w:val="0"/>
          <w:numId w:val="76"/>
        </w:numPr>
        <w:spacing w:before="0" w:after="160" w:line="259" w:lineRule="auto"/>
        <w:contextualSpacing/>
        <w:rPr>
          <w:rFonts w:ascii="Arial" w:hAnsi="Arial" w:cs="Arial"/>
          <w:szCs w:val="20"/>
        </w:rPr>
      </w:pPr>
      <w:r w:rsidRPr="005A64E5">
        <w:rPr>
          <w:rFonts w:ascii="Arial" w:hAnsi="Arial" w:cs="Arial"/>
          <w:szCs w:val="20"/>
        </w:rPr>
        <w:t>Do you have any key examples from your experience which demonstrate or mitigate the significance of the identified problem?</w:t>
      </w:r>
    </w:p>
    <w:p w14:paraId="6655DE46" w14:textId="77777777" w:rsidR="0052682F" w:rsidRPr="005A64E5" w:rsidRDefault="0052682F" w:rsidP="0052682F">
      <w:pPr>
        <w:rPr>
          <w:rFonts w:ascii="Arial" w:hAnsi="Arial" w:cs="Arial"/>
          <w:b/>
          <w:bCs/>
          <w:szCs w:val="20"/>
        </w:rPr>
      </w:pPr>
      <w:r>
        <w:rPr>
          <w:rFonts w:ascii="Arial" w:hAnsi="Arial" w:cs="Arial"/>
          <w:b/>
          <w:bCs/>
          <w:szCs w:val="20"/>
        </w:rPr>
        <w:t>[</w:t>
      </w:r>
      <w:r w:rsidRPr="005A64E5">
        <w:rPr>
          <w:rFonts w:ascii="Arial" w:hAnsi="Arial" w:cs="Arial"/>
          <w:b/>
          <w:bCs/>
          <w:szCs w:val="20"/>
        </w:rPr>
        <w:t>Option 1</w:t>
      </w:r>
      <w:r>
        <w:rPr>
          <w:rFonts w:ascii="Arial" w:hAnsi="Arial" w:cs="Arial"/>
          <w:b/>
          <w:bCs/>
          <w:szCs w:val="20"/>
        </w:rPr>
        <w:t>]</w:t>
      </w:r>
      <w:r w:rsidRPr="005A64E5">
        <w:rPr>
          <w:rFonts w:ascii="Arial" w:hAnsi="Arial" w:cs="Arial"/>
          <w:b/>
          <w:bCs/>
          <w:szCs w:val="20"/>
        </w:rPr>
        <w:t xml:space="preserve"> Status Quo</w:t>
      </w:r>
    </w:p>
    <w:p w14:paraId="073CFF85" w14:textId="77777777" w:rsidR="0052682F" w:rsidRPr="005A64E5" w:rsidRDefault="0052682F" w:rsidP="00510557">
      <w:pPr>
        <w:pStyle w:val="ListParagraph"/>
        <w:numPr>
          <w:ilvl w:val="0"/>
          <w:numId w:val="77"/>
        </w:numPr>
        <w:spacing w:before="0" w:after="160" w:line="259" w:lineRule="auto"/>
        <w:contextualSpacing/>
        <w:rPr>
          <w:rFonts w:ascii="Arial" w:hAnsi="Arial" w:cs="Arial"/>
          <w:szCs w:val="20"/>
        </w:rPr>
      </w:pPr>
      <w:r w:rsidRPr="005A64E5">
        <w:rPr>
          <w:rFonts w:ascii="Arial" w:hAnsi="Arial" w:cs="Arial"/>
          <w:szCs w:val="20"/>
        </w:rPr>
        <w:t>Are the impacts of Option 1 accurately described as related to your entity? ​</w:t>
      </w:r>
    </w:p>
    <w:p w14:paraId="4A234DDC" w14:textId="77777777" w:rsidR="0052682F" w:rsidRPr="005A64E5" w:rsidRDefault="0052682F" w:rsidP="00510557">
      <w:pPr>
        <w:pStyle w:val="ListParagraph"/>
        <w:numPr>
          <w:ilvl w:val="0"/>
          <w:numId w:val="77"/>
        </w:numPr>
        <w:spacing w:before="0" w:after="160" w:line="259" w:lineRule="auto"/>
        <w:contextualSpacing/>
        <w:rPr>
          <w:rFonts w:ascii="Arial" w:hAnsi="Arial" w:cs="Arial"/>
          <w:szCs w:val="20"/>
        </w:rPr>
      </w:pPr>
      <w:r w:rsidRPr="005A64E5">
        <w:rPr>
          <w:rFonts w:ascii="Arial" w:hAnsi="Arial" w:cs="Arial"/>
          <w:szCs w:val="20"/>
        </w:rPr>
        <w:t>What do you consider would be the most material costs to your entity of Option 1?​</w:t>
      </w:r>
    </w:p>
    <w:p w14:paraId="476EC1C5" w14:textId="77777777" w:rsidR="0052682F" w:rsidRPr="005A64E5" w:rsidRDefault="0052682F" w:rsidP="00510557">
      <w:pPr>
        <w:pStyle w:val="ListParagraph"/>
        <w:numPr>
          <w:ilvl w:val="0"/>
          <w:numId w:val="77"/>
        </w:numPr>
        <w:spacing w:before="0" w:after="160" w:line="259" w:lineRule="auto"/>
        <w:contextualSpacing/>
        <w:rPr>
          <w:rFonts w:ascii="Arial" w:hAnsi="Arial" w:cs="Arial"/>
          <w:szCs w:val="20"/>
        </w:rPr>
      </w:pPr>
      <w:r w:rsidRPr="005A64E5">
        <w:rPr>
          <w:rFonts w:ascii="Arial" w:hAnsi="Arial" w:cs="Arial"/>
          <w:szCs w:val="20"/>
        </w:rPr>
        <w:t xml:space="preserve">Are there any other impacts (negative, </w:t>
      </w:r>
      <w:r w:rsidRPr="005A64E5" w:rsidDel="00EC0545">
        <w:rPr>
          <w:rFonts w:ascii="Arial" w:hAnsi="Arial" w:cs="Arial"/>
          <w:szCs w:val="20"/>
        </w:rPr>
        <w:t>positive</w:t>
      </w:r>
      <w:r w:rsidRPr="005A64E5">
        <w:rPr>
          <w:rFonts w:ascii="Arial" w:hAnsi="Arial" w:cs="Arial"/>
          <w:szCs w:val="20"/>
        </w:rPr>
        <w:t>, or neutral) arising from the status quo which have not been mentioned above?​</w:t>
      </w:r>
    </w:p>
    <w:p w14:paraId="7F0C7C07" w14:textId="77777777" w:rsidR="0052682F" w:rsidRPr="005A64E5" w:rsidRDefault="0052682F" w:rsidP="0052682F">
      <w:pPr>
        <w:rPr>
          <w:rFonts w:ascii="Arial" w:hAnsi="Arial" w:cs="Arial"/>
          <w:b/>
          <w:bCs/>
          <w:szCs w:val="20"/>
        </w:rPr>
      </w:pPr>
      <w:r>
        <w:rPr>
          <w:rFonts w:ascii="Arial" w:hAnsi="Arial" w:cs="Arial"/>
          <w:b/>
          <w:bCs/>
          <w:szCs w:val="20"/>
        </w:rPr>
        <w:t>[</w:t>
      </w:r>
      <w:r w:rsidRPr="005A64E5">
        <w:rPr>
          <w:rFonts w:ascii="Arial" w:hAnsi="Arial" w:cs="Arial"/>
          <w:b/>
          <w:bCs/>
          <w:szCs w:val="20"/>
        </w:rPr>
        <w:t>Option 2</w:t>
      </w:r>
      <w:r>
        <w:rPr>
          <w:rFonts w:ascii="Arial" w:hAnsi="Arial" w:cs="Arial"/>
          <w:b/>
          <w:bCs/>
          <w:szCs w:val="20"/>
        </w:rPr>
        <w:t>]</w:t>
      </w:r>
      <w:r w:rsidRPr="005A64E5">
        <w:rPr>
          <w:rFonts w:ascii="Arial" w:hAnsi="Arial" w:cs="Arial"/>
          <w:b/>
          <w:bCs/>
          <w:szCs w:val="20"/>
        </w:rPr>
        <w:t xml:space="preserve"> Legislative Reform</w:t>
      </w:r>
    </w:p>
    <w:p w14:paraId="1CFF141A" w14:textId="77777777" w:rsidR="0052682F" w:rsidRPr="00E05D66" w:rsidRDefault="0052682F" w:rsidP="0052682F">
      <w:pPr>
        <w:rPr>
          <w:rFonts w:ascii="Arial" w:hAnsi="Arial" w:cs="Arial"/>
          <w:i/>
          <w:iCs/>
          <w:szCs w:val="20"/>
        </w:rPr>
      </w:pPr>
      <w:r w:rsidRPr="00E05D66">
        <w:rPr>
          <w:rFonts w:ascii="Arial" w:hAnsi="Arial" w:cs="Arial"/>
          <w:i/>
          <w:iCs/>
          <w:szCs w:val="20"/>
        </w:rPr>
        <w:t>Measure 1​: Protecting critical infrastructure – Data storage systems and business critical data</w:t>
      </w:r>
    </w:p>
    <w:p w14:paraId="00B2F128" w14:textId="77777777" w:rsidR="0052682F" w:rsidRPr="005A64E5" w:rsidRDefault="0052682F" w:rsidP="00510557">
      <w:pPr>
        <w:pStyle w:val="ListParagraph"/>
        <w:numPr>
          <w:ilvl w:val="0"/>
          <w:numId w:val="78"/>
        </w:numPr>
        <w:spacing w:before="0" w:after="160" w:line="259" w:lineRule="auto"/>
        <w:contextualSpacing/>
        <w:rPr>
          <w:rFonts w:ascii="Arial" w:hAnsi="Arial" w:cs="Arial"/>
          <w:szCs w:val="20"/>
        </w:rPr>
      </w:pPr>
      <w:r w:rsidRPr="005A64E5">
        <w:rPr>
          <w:rFonts w:ascii="Arial" w:hAnsi="Arial" w:cs="Arial"/>
          <w:szCs w:val="20"/>
        </w:rPr>
        <w:t>Are the costs of Measure 1 accurately described as related to your entity? ​</w:t>
      </w:r>
    </w:p>
    <w:p w14:paraId="6BDA387C" w14:textId="77777777" w:rsidR="0052682F" w:rsidRPr="005A64E5" w:rsidRDefault="0052682F" w:rsidP="00510557">
      <w:pPr>
        <w:pStyle w:val="ListParagraph"/>
        <w:numPr>
          <w:ilvl w:val="0"/>
          <w:numId w:val="78"/>
        </w:numPr>
        <w:spacing w:before="0" w:after="160" w:line="259" w:lineRule="auto"/>
        <w:contextualSpacing/>
        <w:rPr>
          <w:rFonts w:ascii="Arial" w:hAnsi="Arial" w:cs="Arial"/>
          <w:szCs w:val="20"/>
        </w:rPr>
      </w:pPr>
      <w:r w:rsidRPr="005A64E5">
        <w:rPr>
          <w:rFonts w:ascii="Arial" w:hAnsi="Arial" w:cs="Arial"/>
          <w:szCs w:val="20"/>
        </w:rPr>
        <w:t>Will a requirement to capture ‘business critical data’ in your risk management activities have a material impact on staff effort, capital expenditure or operating costs? If so, what do you estimate will be the marginal cost increase for your entity?​</w:t>
      </w:r>
    </w:p>
    <w:p w14:paraId="2DB5ECA7" w14:textId="77777777" w:rsidR="0052682F" w:rsidRPr="005A64E5" w:rsidRDefault="0052682F" w:rsidP="00510557">
      <w:pPr>
        <w:pStyle w:val="ListParagraph"/>
        <w:numPr>
          <w:ilvl w:val="0"/>
          <w:numId w:val="78"/>
        </w:numPr>
        <w:spacing w:before="0" w:after="160" w:line="259" w:lineRule="auto"/>
        <w:contextualSpacing/>
        <w:rPr>
          <w:rFonts w:ascii="Arial" w:hAnsi="Arial" w:cs="Arial"/>
          <w:szCs w:val="20"/>
        </w:rPr>
      </w:pPr>
      <w:r w:rsidRPr="005A64E5">
        <w:rPr>
          <w:rFonts w:ascii="Arial" w:hAnsi="Arial" w:cs="Arial"/>
          <w:szCs w:val="20"/>
        </w:rPr>
        <w:t>Are there any other impacts arising from Measure 1 which have not been mentioned above?​</w:t>
      </w:r>
    </w:p>
    <w:p w14:paraId="37448E92" w14:textId="77777777" w:rsidR="0052682F" w:rsidRPr="005A64E5" w:rsidRDefault="0052682F" w:rsidP="00510557">
      <w:pPr>
        <w:pStyle w:val="ListParagraph"/>
        <w:numPr>
          <w:ilvl w:val="0"/>
          <w:numId w:val="78"/>
        </w:numPr>
        <w:spacing w:before="0" w:after="160" w:line="259" w:lineRule="auto"/>
        <w:contextualSpacing/>
        <w:rPr>
          <w:rFonts w:ascii="Arial" w:hAnsi="Arial" w:cs="Arial"/>
          <w:szCs w:val="20"/>
        </w:rPr>
      </w:pPr>
      <w:r w:rsidRPr="005A64E5">
        <w:rPr>
          <w:rFonts w:ascii="Arial" w:hAnsi="Arial" w:cs="Arial"/>
          <w:szCs w:val="20"/>
        </w:rPr>
        <w:t>Are the categories of costs identified above an accurate representation of the impact of a direction/s? ​</w:t>
      </w:r>
    </w:p>
    <w:p w14:paraId="5C1E50F4" w14:textId="77777777" w:rsidR="0052682F" w:rsidRPr="005A64E5" w:rsidRDefault="0052682F" w:rsidP="00510557">
      <w:pPr>
        <w:pStyle w:val="ListParagraph"/>
        <w:numPr>
          <w:ilvl w:val="0"/>
          <w:numId w:val="78"/>
        </w:numPr>
        <w:spacing w:before="0" w:after="160" w:line="259" w:lineRule="auto"/>
        <w:contextualSpacing/>
        <w:rPr>
          <w:rFonts w:ascii="Arial" w:hAnsi="Arial" w:cs="Arial"/>
          <w:szCs w:val="20"/>
        </w:rPr>
      </w:pPr>
      <w:r w:rsidRPr="005A64E5">
        <w:rPr>
          <w:rFonts w:ascii="Arial" w:hAnsi="Arial" w:cs="Arial"/>
          <w:szCs w:val="20"/>
        </w:rPr>
        <w:t>Are there other scenarios which you foresee as arising under a consequence management power, and would like Government to consider in this IA?​</w:t>
      </w:r>
    </w:p>
    <w:p w14:paraId="12147949" w14:textId="77777777" w:rsidR="0052682F" w:rsidRPr="00E05D66" w:rsidRDefault="0052682F" w:rsidP="0052682F">
      <w:pPr>
        <w:rPr>
          <w:rFonts w:ascii="Arial" w:hAnsi="Arial" w:cs="Arial"/>
          <w:i/>
          <w:iCs/>
          <w:szCs w:val="20"/>
        </w:rPr>
      </w:pPr>
      <w:r w:rsidRPr="00E05D66">
        <w:rPr>
          <w:rFonts w:ascii="Arial" w:hAnsi="Arial" w:cs="Arial"/>
          <w:i/>
          <w:iCs/>
          <w:szCs w:val="20"/>
        </w:rPr>
        <w:t>Measure 2​: Improving our national response to the consequences of significant incidents – Consequence management powers</w:t>
      </w:r>
    </w:p>
    <w:p w14:paraId="367D946D" w14:textId="77777777" w:rsidR="0052682F" w:rsidRPr="005A64E5" w:rsidRDefault="0052682F" w:rsidP="00510557">
      <w:pPr>
        <w:pStyle w:val="ListParagraph"/>
        <w:numPr>
          <w:ilvl w:val="0"/>
          <w:numId w:val="79"/>
        </w:numPr>
        <w:spacing w:before="0" w:after="160" w:line="259" w:lineRule="auto"/>
        <w:contextualSpacing/>
        <w:rPr>
          <w:rFonts w:ascii="Arial" w:hAnsi="Arial" w:cs="Arial"/>
          <w:szCs w:val="20"/>
        </w:rPr>
      </w:pPr>
      <w:r w:rsidRPr="005A64E5">
        <w:rPr>
          <w:rFonts w:ascii="Arial" w:hAnsi="Arial" w:cs="Arial"/>
          <w:szCs w:val="20"/>
        </w:rPr>
        <w:t>Are the costs of Measure 2 accurately described as related to your entity?​</w:t>
      </w:r>
    </w:p>
    <w:p w14:paraId="0AB3E833" w14:textId="77777777" w:rsidR="0052682F" w:rsidRPr="005A64E5" w:rsidRDefault="0052682F" w:rsidP="00510557">
      <w:pPr>
        <w:pStyle w:val="ListParagraph"/>
        <w:numPr>
          <w:ilvl w:val="0"/>
          <w:numId w:val="79"/>
        </w:numPr>
        <w:spacing w:before="0" w:after="160" w:line="259" w:lineRule="auto"/>
        <w:contextualSpacing/>
        <w:rPr>
          <w:rFonts w:ascii="Arial" w:hAnsi="Arial" w:cs="Arial"/>
          <w:szCs w:val="20"/>
        </w:rPr>
      </w:pPr>
      <w:r w:rsidRPr="005A64E5">
        <w:rPr>
          <w:rFonts w:ascii="Arial" w:hAnsi="Arial" w:cs="Arial"/>
          <w:szCs w:val="20"/>
        </w:rPr>
        <w:t>What do you consider would be the most material costs to your entity of Option 2 (when considering any marginal impact on staff effort, capital expenditure or operating costs)?​</w:t>
      </w:r>
    </w:p>
    <w:p w14:paraId="32DFB4C2" w14:textId="77777777" w:rsidR="0052682F" w:rsidRPr="005A64E5" w:rsidRDefault="0052682F" w:rsidP="00510557">
      <w:pPr>
        <w:pStyle w:val="ListParagraph"/>
        <w:numPr>
          <w:ilvl w:val="0"/>
          <w:numId w:val="79"/>
        </w:numPr>
        <w:spacing w:before="0" w:after="160" w:line="259" w:lineRule="auto"/>
        <w:contextualSpacing/>
        <w:rPr>
          <w:rFonts w:ascii="Arial" w:hAnsi="Arial" w:cs="Arial"/>
          <w:szCs w:val="20"/>
        </w:rPr>
      </w:pPr>
      <w:r w:rsidRPr="005A64E5">
        <w:rPr>
          <w:rFonts w:ascii="Arial" w:hAnsi="Arial" w:cs="Arial"/>
          <w:szCs w:val="20"/>
        </w:rPr>
        <w:t>Are there any other impacts arising from Measure 2 which have not been mentioned above?​</w:t>
      </w:r>
    </w:p>
    <w:p w14:paraId="4B265436" w14:textId="77777777" w:rsidR="0052682F" w:rsidRPr="001436DC" w:rsidRDefault="0052682F" w:rsidP="0052682F">
      <w:pPr>
        <w:rPr>
          <w:rFonts w:ascii="Arial" w:hAnsi="Arial" w:cs="Arial"/>
          <w:i/>
          <w:iCs/>
          <w:szCs w:val="20"/>
        </w:rPr>
      </w:pPr>
      <w:r w:rsidRPr="001436DC">
        <w:rPr>
          <w:rFonts w:ascii="Arial" w:hAnsi="Arial" w:cs="Arial"/>
          <w:i/>
          <w:iCs/>
          <w:szCs w:val="20"/>
        </w:rPr>
        <w:t xml:space="preserve">Measure 3​: Enforcing critical infrastructure risk management obligations – Review and remedy powers </w:t>
      </w:r>
    </w:p>
    <w:p w14:paraId="18797E60"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Are the costs of Measure 3 accurately described as related to your entity? ​</w:t>
      </w:r>
    </w:p>
    <w:p w14:paraId="07F1EBCA"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If issued a direction to rectify a deficient RMP, will there be a material impact on staff efforts, capital expenditure or operating costs? If so, what do you estimate will be the marginal cost increase for your entity?​</w:t>
      </w:r>
    </w:p>
    <w:p w14:paraId="66EF5FB9"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Were the RMP costs described in the 2022 RIS consistent with your actual costs to ensure compliance with your obligations under the SOCI Act?​</w:t>
      </w:r>
    </w:p>
    <w:p w14:paraId="08383705"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Are there any other impacts arising from Measure 3 which have not been mentioned above?​</w:t>
      </w:r>
    </w:p>
    <w:p w14:paraId="6FA36320"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Are the benefits of Option 2 accurately described as related to your entity?​</w:t>
      </w:r>
    </w:p>
    <w:p w14:paraId="6A1EB82F"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What do you consider would be the most material costs to your entity of Option 2? ​</w:t>
      </w:r>
    </w:p>
    <w:p w14:paraId="378CE321" w14:textId="77777777" w:rsidR="0052682F" w:rsidRPr="005A64E5" w:rsidRDefault="0052682F" w:rsidP="00510557">
      <w:pPr>
        <w:pStyle w:val="ListParagraph"/>
        <w:numPr>
          <w:ilvl w:val="0"/>
          <w:numId w:val="80"/>
        </w:numPr>
        <w:spacing w:before="0" w:after="160" w:line="259" w:lineRule="auto"/>
        <w:contextualSpacing/>
        <w:rPr>
          <w:rFonts w:ascii="Arial" w:hAnsi="Arial" w:cs="Arial"/>
          <w:szCs w:val="20"/>
        </w:rPr>
      </w:pPr>
      <w:r w:rsidRPr="005A64E5">
        <w:rPr>
          <w:rFonts w:ascii="Arial" w:hAnsi="Arial" w:cs="Arial"/>
          <w:szCs w:val="20"/>
        </w:rPr>
        <w:t xml:space="preserve">Are there any other impacts (negative, </w:t>
      </w:r>
      <w:r w:rsidRPr="005A64E5" w:rsidDel="00EC0545">
        <w:rPr>
          <w:rFonts w:ascii="Arial" w:hAnsi="Arial" w:cs="Arial"/>
          <w:szCs w:val="20"/>
        </w:rPr>
        <w:t>positive</w:t>
      </w:r>
      <w:r w:rsidRPr="005A64E5">
        <w:rPr>
          <w:rFonts w:ascii="Arial" w:hAnsi="Arial" w:cs="Arial"/>
          <w:szCs w:val="20"/>
        </w:rPr>
        <w:t>, or neutral) arising from Option 2 which have not been mentioned above?</w:t>
      </w:r>
    </w:p>
    <w:p w14:paraId="0EC52F52" w14:textId="77777777" w:rsidR="000D4434" w:rsidRDefault="000D4434" w:rsidP="0052682F">
      <w:pPr>
        <w:rPr>
          <w:rFonts w:ascii="Arial" w:hAnsi="Arial" w:cs="Arial"/>
          <w:b/>
          <w:bCs/>
          <w:szCs w:val="20"/>
        </w:rPr>
      </w:pPr>
    </w:p>
    <w:p w14:paraId="32F22CB9" w14:textId="1D422D01" w:rsidR="0052682F" w:rsidRPr="005A64E5" w:rsidRDefault="0052682F" w:rsidP="0052682F">
      <w:pPr>
        <w:rPr>
          <w:rFonts w:ascii="Arial" w:hAnsi="Arial" w:cs="Arial"/>
          <w:b/>
          <w:bCs/>
          <w:szCs w:val="20"/>
        </w:rPr>
      </w:pPr>
      <w:r>
        <w:rPr>
          <w:rFonts w:ascii="Arial" w:hAnsi="Arial" w:cs="Arial"/>
          <w:b/>
          <w:bCs/>
          <w:szCs w:val="20"/>
        </w:rPr>
        <w:t>[</w:t>
      </w:r>
      <w:r w:rsidRPr="005A64E5">
        <w:rPr>
          <w:rFonts w:ascii="Arial" w:hAnsi="Arial" w:cs="Arial"/>
          <w:b/>
          <w:bCs/>
          <w:szCs w:val="20"/>
        </w:rPr>
        <w:t>Option 3</w:t>
      </w:r>
      <w:r>
        <w:rPr>
          <w:rFonts w:ascii="Arial" w:hAnsi="Arial" w:cs="Arial"/>
          <w:b/>
          <w:bCs/>
          <w:szCs w:val="20"/>
        </w:rPr>
        <w:t>]</w:t>
      </w:r>
      <w:r w:rsidRPr="005A64E5">
        <w:rPr>
          <w:rFonts w:ascii="Arial" w:hAnsi="Arial" w:cs="Arial"/>
          <w:b/>
          <w:bCs/>
          <w:szCs w:val="20"/>
        </w:rPr>
        <w:t xml:space="preserve"> Voluntary participation </w:t>
      </w:r>
    </w:p>
    <w:p w14:paraId="0FAA96D8" w14:textId="77777777" w:rsidR="0052682F" w:rsidRPr="005A64E5" w:rsidRDefault="0052682F" w:rsidP="00510557">
      <w:pPr>
        <w:pStyle w:val="ListParagraph"/>
        <w:numPr>
          <w:ilvl w:val="0"/>
          <w:numId w:val="81"/>
        </w:numPr>
        <w:spacing w:before="0" w:after="160" w:line="259" w:lineRule="auto"/>
        <w:contextualSpacing/>
        <w:rPr>
          <w:rFonts w:ascii="Arial" w:hAnsi="Arial" w:cs="Arial"/>
          <w:szCs w:val="20"/>
        </w:rPr>
      </w:pPr>
      <w:r w:rsidRPr="005A64E5">
        <w:rPr>
          <w:rFonts w:ascii="Arial" w:hAnsi="Arial" w:cs="Arial"/>
          <w:szCs w:val="20"/>
        </w:rPr>
        <w:t>Are the impacts of Option 3 accurately described as related to your entity? ​</w:t>
      </w:r>
    </w:p>
    <w:p w14:paraId="1E698395" w14:textId="77777777" w:rsidR="0052682F" w:rsidRPr="005A64E5" w:rsidRDefault="0052682F" w:rsidP="00510557">
      <w:pPr>
        <w:pStyle w:val="ListParagraph"/>
        <w:numPr>
          <w:ilvl w:val="0"/>
          <w:numId w:val="81"/>
        </w:numPr>
        <w:spacing w:before="0" w:after="160" w:line="259" w:lineRule="auto"/>
        <w:contextualSpacing/>
        <w:rPr>
          <w:rFonts w:ascii="Arial" w:hAnsi="Arial" w:cs="Arial"/>
          <w:szCs w:val="20"/>
        </w:rPr>
      </w:pPr>
      <w:r w:rsidRPr="005A64E5">
        <w:rPr>
          <w:rFonts w:ascii="Arial" w:hAnsi="Arial" w:cs="Arial"/>
          <w:szCs w:val="20"/>
        </w:rPr>
        <w:t>What do you consider would be the most material costs to your entity of Option 3?​</w:t>
      </w:r>
    </w:p>
    <w:p w14:paraId="50E9BDED" w14:textId="77777777" w:rsidR="0052682F" w:rsidRDefault="0052682F" w:rsidP="00510557">
      <w:pPr>
        <w:pStyle w:val="ListParagraph"/>
        <w:numPr>
          <w:ilvl w:val="0"/>
          <w:numId w:val="81"/>
        </w:numPr>
        <w:spacing w:before="0" w:after="160" w:line="259" w:lineRule="auto"/>
        <w:contextualSpacing/>
        <w:rPr>
          <w:rFonts w:ascii="Arial" w:hAnsi="Arial" w:cs="Arial"/>
          <w:szCs w:val="20"/>
        </w:rPr>
      </w:pPr>
      <w:r w:rsidRPr="005A64E5">
        <w:rPr>
          <w:rFonts w:ascii="Arial" w:hAnsi="Arial" w:cs="Arial"/>
          <w:szCs w:val="20"/>
        </w:rPr>
        <w:t xml:space="preserve">Are there any other impacts (negative, </w:t>
      </w:r>
      <w:r w:rsidRPr="005A64E5" w:rsidDel="00EC0545">
        <w:rPr>
          <w:rFonts w:ascii="Arial" w:hAnsi="Arial" w:cs="Arial"/>
          <w:szCs w:val="20"/>
        </w:rPr>
        <w:t>positive</w:t>
      </w:r>
      <w:r w:rsidRPr="005A64E5">
        <w:rPr>
          <w:rFonts w:ascii="Arial" w:hAnsi="Arial" w:cs="Arial"/>
          <w:szCs w:val="20"/>
        </w:rPr>
        <w:t>, or neutral) arising from the Option 3 which have not been mentioned above?​</w:t>
      </w:r>
    </w:p>
    <w:p w14:paraId="3227FBEC" w14:textId="1C477098" w:rsidR="0052682F" w:rsidRDefault="0052682F" w:rsidP="00622D68">
      <w:pPr>
        <w:pStyle w:val="Subheading5"/>
      </w:pPr>
      <w:bookmarkStart w:id="140" w:name="_Toc162527653"/>
      <w:bookmarkStart w:id="141" w:name="_Toc164683853"/>
      <w:r w:rsidRPr="2F6B7F1D">
        <w:t>Summary of industry views</w:t>
      </w:r>
      <w:bookmarkEnd w:id="140"/>
      <w:bookmarkEnd w:id="141"/>
      <w:r w:rsidRPr="2F6B7F1D">
        <w:t xml:space="preserve"> </w:t>
      </w:r>
    </w:p>
    <w:p w14:paraId="7BB72AEA" w14:textId="11BFEA95" w:rsidR="005D7760" w:rsidRPr="005D7760" w:rsidRDefault="005D7760" w:rsidP="005D7760">
      <w:pPr>
        <w:pStyle w:val="Caption"/>
        <w:rPr>
          <w:rFonts w:ascii="Calibri" w:hAnsi="Calibri" w:cs="Calibri"/>
          <w:b w:val="0"/>
        </w:rPr>
      </w:pPr>
      <w:r w:rsidRPr="008E5D18">
        <w:rPr>
          <w:rFonts w:ascii="Calibri" w:hAnsi="Calibri" w:cs="Calibri"/>
          <w:bCs/>
        </w:rPr>
        <w:t>Table</w:t>
      </w:r>
      <w:r>
        <w:rPr>
          <w:rFonts w:ascii="Calibri" w:hAnsi="Calibri" w:cs="Calibri"/>
          <w:bCs/>
        </w:rPr>
        <w:t xml:space="preserve"> 4</w:t>
      </w:r>
      <w:r w:rsidR="00CE6C19">
        <w:rPr>
          <w:rFonts w:ascii="Calibri" w:hAnsi="Calibri" w:cs="Calibri"/>
          <w:bCs/>
        </w:rPr>
        <w:t>5</w:t>
      </w:r>
      <w:r w:rsidRPr="008E5D18">
        <w:rPr>
          <w:rFonts w:ascii="Calibri" w:hAnsi="Calibri" w:cs="Calibri"/>
          <w:b w:val="0"/>
        </w:rPr>
        <w:t xml:space="preserve"> </w:t>
      </w:r>
      <w:r>
        <w:rPr>
          <w:rFonts w:ascii="Calibri" w:hAnsi="Calibri" w:cs="Calibri"/>
          <w:b w:val="0"/>
        </w:rPr>
        <w:t>Summary of industry views</w:t>
      </w:r>
    </w:p>
    <w:tbl>
      <w:tblPr>
        <w:tblW w:w="9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5"/>
        <w:gridCol w:w="7520"/>
      </w:tblGrid>
      <w:tr w:rsidR="0052682F" w:rsidRPr="00940D7E" w14:paraId="295ED07C" w14:textId="77777777" w:rsidTr="009763A8">
        <w:trPr>
          <w:trHeight w:val="305"/>
        </w:trPr>
        <w:tc>
          <w:tcPr>
            <w:tcW w:w="1955" w:type="dxa"/>
            <w:tcBorders>
              <w:top w:val="nil"/>
              <w:left w:val="nil"/>
              <w:bottom w:val="single" w:sz="6" w:space="0" w:color="D9D9D9" w:themeColor="background2" w:themeShade="D9"/>
              <w:right w:val="single" w:sz="6" w:space="0" w:color="D9D9D9" w:themeColor="background2" w:themeShade="D9"/>
            </w:tcBorders>
            <w:shd w:val="clear" w:color="auto" w:fill="284B98"/>
            <w:vAlign w:val="center"/>
            <w:hideMark/>
          </w:tcPr>
          <w:p w14:paraId="42F869DF" w14:textId="77777777" w:rsidR="0052682F" w:rsidRPr="00651125" w:rsidRDefault="0052682F" w:rsidP="004A163C">
            <w:pPr>
              <w:spacing w:before="120" w:after="120"/>
              <w:rPr>
                <w:rFonts w:ascii="Arial" w:hAnsi="Arial" w:cs="Arial"/>
                <w:b/>
                <w:bCs/>
                <w:color w:val="FFFFFF" w:themeColor="background1"/>
                <w:szCs w:val="20"/>
                <w:lang w:eastAsia="en-AU"/>
              </w:rPr>
            </w:pPr>
            <w:r w:rsidRPr="00651125">
              <w:rPr>
                <w:rFonts w:ascii="Arial" w:hAnsi="Arial" w:cs="Arial"/>
                <w:b/>
                <w:bCs/>
                <w:color w:val="FFFFFF" w:themeColor="background1"/>
                <w:szCs w:val="20"/>
                <w:lang w:eastAsia="en-AU"/>
              </w:rPr>
              <w:t>Proposal  </w:t>
            </w:r>
          </w:p>
        </w:tc>
        <w:tc>
          <w:tcPr>
            <w:tcW w:w="7520" w:type="dxa"/>
            <w:tcBorders>
              <w:top w:val="nil"/>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284B98"/>
            <w:vAlign w:val="center"/>
            <w:hideMark/>
          </w:tcPr>
          <w:p w14:paraId="4F026162" w14:textId="77777777" w:rsidR="0052682F" w:rsidRPr="00651125" w:rsidRDefault="0052682F" w:rsidP="004A163C">
            <w:pPr>
              <w:spacing w:before="120" w:after="120"/>
              <w:rPr>
                <w:rFonts w:ascii="Arial" w:hAnsi="Arial" w:cs="Arial"/>
                <w:b/>
                <w:bCs/>
                <w:color w:val="FFFFFF" w:themeColor="background1"/>
                <w:szCs w:val="20"/>
                <w:lang w:eastAsia="en-AU"/>
              </w:rPr>
            </w:pPr>
            <w:r w:rsidRPr="00651125">
              <w:rPr>
                <w:rFonts w:ascii="Arial" w:hAnsi="Arial" w:cs="Arial"/>
                <w:b/>
                <w:bCs/>
                <w:color w:val="FFFFFF" w:themeColor="background1"/>
                <w:szCs w:val="20"/>
                <w:lang w:eastAsia="en-AU"/>
              </w:rPr>
              <w:t>Summary of industry views </w:t>
            </w:r>
          </w:p>
        </w:tc>
      </w:tr>
      <w:tr w:rsidR="0052682F" w:rsidRPr="00940D7E" w14:paraId="48E1CDFA" w14:textId="77777777" w:rsidTr="009763A8">
        <w:trPr>
          <w:trHeight w:val="305"/>
        </w:trPr>
        <w:tc>
          <w:tcPr>
            <w:tcW w:w="1955"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hideMark/>
          </w:tcPr>
          <w:p w14:paraId="3570DD65" w14:textId="77777777" w:rsidR="0052682F" w:rsidRPr="001F7573" w:rsidRDefault="0052682F" w:rsidP="004A163C">
            <w:pPr>
              <w:spacing w:after="120"/>
              <w:rPr>
                <w:rFonts w:ascii="Arial" w:hAnsi="Arial" w:cs="Arial"/>
                <w:szCs w:val="24"/>
                <w:lang w:eastAsia="en-AU"/>
              </w:rPr>
            </w:pPr>
            <w:r w:rsidRPr="004F3BBA">
              <w:rPr>
                <w:rFonts w:ascii="Arial" w:hAnsi="Arial" w:cs="Arial"/>
                <w:b/>
                <w:bCs/>
                <w:szCs w:val="24"/>
                <w:lang w:eastAsia="en-AU"/>
              </w:rPr>
              <w:t xml:space="preserve">Measure </w:t>
            </w:r>
            <w:r>
              <w:rPr>
                <w:rFonts w:ascii="Arial" w:hAnsi="Arial" w:cs="Arial"/>
                <w:b/>
                <w:bCs/>
                <w:szCs w:val="24"/>
                <w:lang w:eastAsia="en-AU"/>
              </w:rPr>
              <w:t>1</w:t>
            </w:r>
            <w:r w:rsidRPr="004F3BBA">
              <w:rPr>
                <w:rFonts w:ascii="Arial" w:hAnsi="Arial" w:cs="Arial"/>
                <w:b/>
                <w:bCs/>
                <w:szCs w:val="24"/>
                <w:lang w:eastAsia="en-AU"/>
              </w:rPr>
              <w:t>:</w:t>
            </w:r>
            <w:r>
              <w:rPr>
                <w:rFonts w:ascii="Arial" w:hAnsi="Arial" w:cs="Arial"/>
                <w:szCs w:val="24"/>
                <w:lang w:eastAsia="en-AU"/>
              </w:rPr>
              <w:t xml:space="preserve"> Protecting Critical Infrastructure – Data systems and business critical data</w:t>
            </w:r>
          </w:p>
        </w:tc>
        <w:tc>
          <w:tcPr>
            <w:tcW w:w="7520"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hideMark/>
          </w:tcPr>
          <w:p w14:paraId="45EA35F2" w14:textId="77777777" w:rsidR="0052682F" w:rsidRPr="00947E10" w:rsidRDefault="0052682F" w:rsidP="0BBA59E1">
            <w:pPr>
              <w:pStyle w:val="ListParagraph"/>
              <w:spacing w:before="0" w:line="240" w:lineRule="auto"/>
              <w:contextualSpacing/>
              <w:rPr>
                <w:rFonts w:ascii="Arial" w:hAnsi="Arial" w:cs="Arial"/>
              </w:rPr>
            </w:pPr>
            <w:r w:rsidRPr="0BBA59E1">
              <w:rPr>
                <w:rFonts w:ascii="Arial" w:hAnsi="Arial" w:cs="Arial"/>
              </w:rPr>
              <w:t xml:space="preserve">Enhancing regulatory oversight could lead to a </w:t>
            </w:r>
            <w:r w:rsidRPr="0BBA59E1">
              <w:rPr>
                <w:rFonts w:ascii="Arial" w:hAnsi="Arial" w:cs="Arial"/>
                <w:b/>
                <w:bCs/>
              </w:rPr>
              <w:t>more standardised approach to cybersecurity across critical infrastructure sectors</w:t>
            </w:r>
            <w:r w:rsidRPr="0BBA59E1">
              <w:rPr>
                <w:rFonts w:ascii="Arial" w:hAnsi="Arial" w:cs="Arial"/>
              </w:rPr>
              <w:t xml:space="preserve"> and may provide </w:t>
            </w:r>
            <w:r w:rsidRPr="0BBA59E1">
              <w:rPr>
                <w:rFonts w:ascii="Arial" w:hAnsi="Arial" w:cs="Arial"/>
                <w:b/>
                <w:bCs/>
              </w:rPr>
              <w:t>clearer expectations</w:t>
            </w:r>
            <w:r w:rsidRPr="0BBA59E1">
              <w:rPr>
                <w:rFonts w:ascii="Arial" w:hAnsi="Arial" w:cs="Arial"/>
              </w:rPr>
              <w:t xml:space="preserve"> for entities.</w:t>
            </w:r>
          </w:p>
          <w:p w14:paraId="45245EFA" w14:textId="77777777" w:rsidR="0052682F" w:rsidRPr="005C3811" w:rsidRDefault="0052682F" w:rsidP="0BBA59E1">
            <w:pPr>
              <w:pStyle w:val="ListParagraph"/>
              <w:spacing w:before="0" w:line="240" w:lineRule="auto"/>
              <w:contextualSpacing/>
              <w:rPr>
                <w:rFonts w:ascii="Arial" w:hAnsi="Arial" w:cs="Arial"/>
              </w:rPr>
            </w:pPr>
            <w:r w:rsidRPr="0BBA59E1">
              <w:rPr>
                <w:rFonts w:ascii="Arial" w:hAnsi="Arial" w:cs="Arial"/>
                <w:b/>
                <w:bCs/>
              </w:rPr>
              <w:t>Should not be required to register data storage systems</w:t>
            </w:r>
            <w:r w:rsidRPr="0BBA59E1">
              <w:rPr>
                <w:rFonts w:ascii="Arial" w:hAnsi="Arial" w:cs="Arial"/>
              </w:rPr>
              <w:t xml:space="preserve"> that hold business critical data as standalone critical infrastructure assets. </w:t>
            </w:r>
          </w:p>
          <w:p w14:paraId="1F5C8366" w14:textId="77777777" w:rsidR="0052682F" w:rsidRPr="005C3811" w:rsidRDefault="0052682F" w:rsidP="0BBA59E1">
            <w:pPr>
              <w:pStyle w:val="ListParagraph"/>
              <w:spacing w:before="0" w:line="240" w:lineRule="auto"/>
              <w:contextualSpacing/>
              <w:rPr>
                <w:rFonts w:ascii="Arial" w:hAnsi="Arial" w:cs="Arial"/>
              </w:rPr>
            </w:pPr>
            <w:r w:rsidRPr="0BBA59E1">
              <w:rPr>
                <w:rFonts w:ascii="Arial" w:hAnsi="Arial" w:cs="Arial"/>
              </w:rPr>
              <w:t xml:space="preserve">Recommends that </w:t>
            </w:r>
            <w:r w:rsidRPr="0BBA59E1">
              <w:rPr>
                <w:rFonts w:ascii="Arial" w:hAnsi="Arial" w:cs="Arial"/>
                <w:b/>
                <w:bCs/>
              </w:rPr>
              <w:t>ministerial rules be implemented</w:t>
            </w:r>
            <w:r w:rsidRPr="0BBA59E1">
              <w:rPr>
                <w:rFonts w:ascii="Arial" w:hAnsi="Arial" w:cs="Arial"/>
              </w:rPr>
              <w:t xml:space="preserve"> to require that all operators of critical infrastructure consider and implement </w:t>
            </w:r>
            <w:r w:rsidRPr="0BBA59E1">
              <w:rPr>
                <w:rFonts w:ascii="Arial" w:hAnsi="Arial" w:cs="Arial"/>
                <w:b/>
                <w:bCs/>
              </w:rPr>
              <w:t xml:space="preserve">appropriate safeguards against the material risks to their business critical data </w:t>
            </w:r>
            <w:r w:rsidRPr="0BBA59E1">
              <w:rPr>
                <w:rFonts w:ascii="Arial" w:hAnsi="Arial" w:cs="Arial"/>
              </w:rPr>
              <w:t xml:space="preserve">and associated hazards. </w:t>
            </w:r>
          </w:p>
          <w:p w14:paraId="3B29AD15" w14:textId="77777777" w:rsidR="0052682F" w:rsidRPr="007104CB" w:rsidRDefault="0052682F" w:rsidP="0BBA59E1">
            <w:pPr>
              <w:pStyle w:val="ListParagraph"/>
              <w:spacing w:before="0" w:line="240" w:lineRule="auto"/>
              <w:contextualSpacing/>
              <w:rPr>
                <w:rFonts w:ascii="Arial" w:hAnsi="Arial" w:cs="Arial"/>
              </w:rPr>
            </w:pPr>
            <w:r w:rsidRPr="0BBA59E1">
              <w:rPr>
                <w:rFonts w:ascii="Arial" w:hAnsi="Arial" w:cs="Arial"/>
              </w:rPr>
              <w:t xml:space="preserve">Responsibility for </w:t>
            </w:r>
            <w:r w:rsidRPr="0BBA59E1">
              <w:rPr>
                <w:rFonts w:ascii="Arial" w:hAnsi="Arial" w:cs="Arial"/>
                <w:b/>
                <w:bCs/>
              </w:rPr>
              <w:t>business critical data systems should be explicitly defined and sit with the entity</w:t>
            </w:r>
            <w:r w:rsidRPr="0BBA59E1">
              <w:rPr>
                <w:rFonts w:ascii="Arial" w:hAnsi="Arial" w:cs="Arial"/>
              </w:rPr>
              <w:t xml:space="preserve"> that has primary operational control over the systems </w:t>
            </w:r>
          </w:p>
        </w:tc>
      </w:tr>
      <w:tr w:rsidR="0052682F" w:rsidRPr="00940D7E" w14:paraId="26814C15" w14:textId="77777777" w:rsidTr="009763A8">
        <w:trPr>
          <w:trHeight w:val="305"/>
        </w:trPr>
        <w:tc>
          <w:tcPr>
            <w:tcW w:w="1955"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19A7D760" w14:textId="77777777" w:rsidR="0052682F" w:rsidRDefault="0052682F" w:rsidP="004A163C">
            <w:pPr>
              <w:rPr>
                <w:rFonts w:ascii="Arial" w:hAnsi="Arial" w:cs="Arial"/>
                <w:b/>
                <w:bCs/>
                <w:szCs w:val="24"/>
                <w:lang w:eastAsia="en-AU"/>
              </w:rPr>
            </w:pPr>
            <w:r>
              <w:rPr>
                <w:rFonts w:ascii="Arial" w:hAnsi="Arial" w:cs="Arial"/>
                <w:b/>
                <w:bCs/>
                <w:szCs w:val="24"/>
                <w:lang w:eastAsia="en-AU"/>
              </w:rPr>
              <w:t xml:space="preserve">Measure 2: </w:t>
            </w:r>
          </w:p>
          <w:p w14:paraId="56FE3266" w14:textId="77777777" w:rsidR="0052682F" w:rsidRPr="004F3BBA" w:rsidRDefault="0052682F" w:rsidP="004A163C">
            <w:pPr>
              <w:spacing w:after="120"/>
              <w:rPr>
                <w:rFonts w:ascii="Arial" w:hAnsi="Arial" w:cs="Arial"/>
                <w:b/>
                <w:bCs/>
                <w:szCs w:val="24"/>
                <w:lang w:eastAsia="en-AU"/>
              </w:rPr>
            </w:pPr>
            <w:r>
              <w:rPr>
                <w:rFonts w:ascii="Arial" w:eastAsia="Times New Roman" w:hAnsi="Arial" w:cs="Arial"/>
                <w:szCs w:val="20"/>
                <w:lang w:eastAsia="en-AU"/>
              </w:rPr>
              <w:t>Improving our national response to the consequences of significant incidents – Consequent management powers</w:t>
            </w:r>
          </w:p>
        </w:tc>
        <w:tc>
          <w:tcPr>
            <w:tcW w:w="7520"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70E0598E" w14:textId="77777777" w:rsidR="0052682F" w:rsidRPr="00975BF6" w:rsidRDefault="0052682F" w:rsidP="00510557">
            <w:pPr>
              <w:pStyle w:val="ListParagraph"/>
              <w:numPr>
                <w:ilvl w:val="0"/>
                <w:numId w:val="37"/>
              </w:numPr>
              <w:spacing w:before="0" w:after="160" w:line="240" w:lineRule="auto"/>
              <w:contextualSpacing/>
              <w:rPr>
                <w:rFonts w:ascii="Arial" w:hAnsi="Arial" w:cs="Arial"/>
                <w:szCs w:val="20"/>
              </w:rPr>
            </w:pPr>
            <w:r w:rsidRPr="1217DA25">
              <w:rPr>
                <w:rFonts w:ascii="Arial" w:hAnsi="Arial" w:cs="Arial"/>
                <w:szCs w:val="20"/>
              </w:rPr>
              <w:t xml:space="preserve">Concerns about how the reforms will </w:t>
            </w:r>
            <w:r w:rsidRPr="1217DA25">
              <w:rPr>
                <w:rFonts w:ascii="Arial" w:hAnsi="Arial" w:cs="Arial"/>
                <w:b/>
                <w:bCs/>
                <w:szCs w:val="20"/>
              </w:rPr>
              <w:t>interact with existing frameworks.</w:t>
            </w:r>
          </w:p>
          <w:p w14:paraId="69D88901" w14:textId="77777777" w:rsidR="0052682F" w:rsidRDefault="0052682F" w:rsidP="00510557">
            <w:pPr>
              <w:pStyle w:val="ListParagraph"/>
              <w:numPr>
                <w:ilvl w:val="0"/>
                <w:numId w:val="37"/>
              </w:numPr>
              <w:spacing w:before="0" w:after="160" w:line="240" w:lineRule="auto"/>
              <w:contextualSpacing/>
              <w:rPr>
                <w:rFonts w:ascii="Arial" w:hAnsi="Arial" w:cs="Arial"/>
                <w:szCs w:val="20"/>
              </w:rPr>
            </w:pPr>
            <w:r w:rsidRPr="1217DA25">
              <w:rPr>
                <w:rFonts w:ascii="Arial" w:hAnsi="Arial" w:cs="Arial"/>
                <w:szCs w:val="20"/>
              </w:rPr>
              <w:t xml:space="preserve">Support exercising powers to better </w:t>
            </w:r>
            <w:r w:rsidRPr="1217DA25">
              <w:rPr>
                <w:rFonts w:ascii="Arial" w:hAnsi="Arial" w:cs="Arial"/>
                <w:b/>
                <w:bCs/>
                <w:szCs w:val="20"/>
              </w:rPr>
              <w:t>coordinate a national response</w:t>
            </w:r>
            <w:r w:rsidRPr="1217DA25">
              <w:rPr>
                <w:rFonts w:ascii="Arial" w:hAnsi="Arial" w:cs="Arial"/>
                <w:szCs w:val="20"/>
              </w:rPr>
              <w:t xml:space="preserve"> to a threat or incident. </w:t>
            </w:r>
          </w:p>
          <w:p w14:paraId="330CE546" w14:textId="77777777" w:rsidR="0052682F" w:rsidRPr="00631F6B" w:rsidRDefault="0052682F" w:rsidP="00510557">
            <w:pPr>
              <w:pStyle w:val="ListParagraph"/>
              <w:numPr>
                <w:ilvl w:val="0"/>
                <w:numId w:val="37"/>
              </w:numPr>
              <w:spacing w:before="0" w:after="160" w:line="240" w:lineRule="auto"/>
              <w:contextualSpacing/>
              <w:rPr>
                <w:rFonts w:ascii="Arial" w:hAnsi="Arial" w:cs="Arial"/>
                <w:sz w:val="23"/>
                <w:szCs w:val="23"/>
              </w:rPr>
            </w:pPr>
            <w:r w:rsidRPr="1217DA25">
              <w:rPr>
                <w:rFonts w:ascii="Arial" w:hAnsi="Arial" w:cs="Arial"/>
                <w:szCs w:val="20"/>
              </w:rPr>
              <w:t xml:space="preserve">Concerns in relation to </w:t>
            </w:r>
            <w:r w:rsidRPr="1217DA25">
              <w:rPr>
                <w:rFonts w:ascii="Arial" w:hAnsi="Arial" w:cs="Arial"/>
                <w:b/>
                <w:bCs/>
                <w:szCs w:val="20"/>
              </w:rPr>
              <w:t>specific direction</w:t>
            </w:r>
            <w:r w:rsidRPr="1217DA25">
              <w:rPr>
                <w:rFonts w:ascii="Arial" w:hAnsi="Arial" w:cs="Arial"/>
                <w:szCs w:val="20"/>
              </w:rPr>
              <w:t xml:space="preserve"> on how to mitigate a threat in the context of individual businesses.</w:t>
            </w:r>
          </w:p>
          <w:p w14:paraId="10C47637" w14:textId="77777777" w:rsidR="0052682F" w:rsidRPr="00806F6B" w:rsidRDefault="0052682F" w:rsidP="00510557">
            <w:pPr>
              <w:pStyle w:val="ListParagraph"/>
              <w:numPr>
                <w:ilvl w:val="0"/>
                <w:numId w:val="37"/>
              </w:numPr>
              <w:spacing w:before="0" w:after="160" w:line="240" w:lineRule="auto"/>
              <w:contextualSpacing/>
              <w:rPr>
                <w:rFonts w:ascii="Arial" w:hAnsi="Arial" w:cs="Arial"/>
                <w:szCs w:val="20"/>
              </w:rPr>
            </w:pPr>
            <w:r w:rsidRPr="1217DA25">
              <w:rPr>
                <w:rFonts w:ascii="Arial" w:hAnsi="Arial" w:cs="Arial"/>
                <w:szCs w:val="20"/>
              </w:rPr>
              <w:t xml:space="preserve">Measure needs to be </w:t>
            </w:r>
            <w:r w:rsidRPr="1217DA25">
              <w:rPr>
                <w:rFonts w:ascii="Arial" w:hAnsi="Arial" w:cs="Arial"/>
                <w:b/>
                <w:bCs/>
                <w:szCs w:val="20"/>
              </w:rPr>
              <w:t>carefully worded to extend the time period allowable</w:t>
            </w:r>
            <w:r w:rsidRPr="1217DA25">
              <w:rPr>
                <w:rFonts w:ascii="Arial" w:hAnsi="Arial" w:cs="Arial"/>
                <w:szCs w:val="20"/>
              </w:rPr>
              <w:t xml:space="preserve"> for government to use existing intervention measures. </w:t>
            </w:r>
          </w:p>
          <w:p w14:paraId="5BF7CFE8" w14:textId="77777777" w:rsidR="0052682F" w:rsidRDefault="0052682F" w:rsidP="00510557">
            <w:pPr>
              <w:pStyle w:val="ListParagraph"/>
              <w:numPr>
                <w:ilvl w:val="0"/>
                <w:numId w:val="37"/>
              </w:numPr>
              <w:spacing w:before="0" w:after="160" w:line="240" w:lineRule="auto"/>
              <w:contextualSpacing/>
              <w:rPr>
                <w:rFonts w:ascii="Arial" w:hAnsi="Arial" w:cs="Arial"/>
                <w:szCs w:val="20"/>
              </w:rPr>
            </w:pPr>
            <w:r w:rsidRPr="1217DA25">
              <w:rPr>
                <w:rFonts w:ascii="Arial" w:hAnsi="Arial" w:cs="Arial"/>
                <w:szCs w:val="20"/>
              </w:rPr>
              <w:t xml:space="preserve">Department should </w:t>
            </w:r>
            <w:r w:rsidRPr="1217DA25">
              <w:rPr>
                <w:rFonts w:ascii="Arial" w:hAnsi="Arial" w:cs="Arial"/>
                <w:b/>
                <w:bCs/>
                <w:szCs w:val="20"/>
              </w:rPr>
              <w:t>consider the complexity and bespoke nature of the unique operating environment</w:t>
            </w:r>
            <w:r w:rsidRPr="1217DA25">
              <w:rPr>
                <w:rFonts w:ascii="Arial" w:hAnsi="Arial" w:cs="Arial"/>
                <w:szCs w:val="20"/>
              </w:rPr>
              <w:t xml:space="preserve"> of entities when considering the practical application of step-in powers. </w:t>
            </w:r>
          </w:p>
          <w:p w14:paraId="4CEFCC66" w14:textId="77777777" w:rsidR="0052682F" w:rsidRPr="00806F6B" w:rsidRDefault="0052682F" w:rsidP="00510557">
            <w:pPr>
              <w:pStyle w:val="ListParagraph"/>
              <w:numPr>
                <w:ilvl w:val="0"/>
                <w:numId w:val="37"/>
              </w:numPr>
              <w:spacing w:before="0" w:after="160" w:line="240" w:lineRule="auto"/>
              <w:contextualSpacing/>
              <w:rPr>
                <w:rFonts w:ascii="Arial" w:hAnsi="Arial" w:cs="Arial"/>
                <w:szCs w:val="20"/>
              </w:rPr>
            </w:pPr>
            <w:r w:rsidRPr="1217DA25">
              <w:rPr>
                <w:rFonts w:ascii="Arial" w:hAnsi="Arial" w:cs="Arial"/>
                <w:szCs w:val="20"/>
              </w:rPr>
              <w:t xml:space="preserve">The implications of this measure must be considered to ensure a step-in process is </w:t>
            </w:r>
            <w:r w:rsidRPr="1217DA25">
              <w:rPr>
                <w:rFonts w:ascii="Arial" w:hAnsi="Arial" w:cs="Arial"/>
                <w:b/>
                <w:bCs/>
                <w:szCs w:val="20"/>
              </w:rPr>
              <w:t>valuable and not disruptive</w:t>
            </w:r>
            <w:r w:rsidRPr="1217DA25">
              <w:rPr>
                <w:rFonts w:ascii="Arial" w:hAnsi="Arial" w:cs="Arial"/>
                <w:szCs w:val="20"/>
              </w:rPr>
              <w:t xml:space="preserve">. </w:t>
            </w:r>
          </w:p>
        </w:tc>
      </w:tr>
      <w:tr w:rsidR="0052682F" w:rsidRPr="00940D7E" w14:paraId="1F39E3A9" w14:textId="77777777" w:rsidTr="009763A8">
        <w:trPr>
          <w:trHeight w:val="305"/>
        </w:trPr>
        <w:tc>
          <w:tcPr>
            <w:tcW w:w="1955" w:type="dxa"/>
            <w:tcBorders>
              <w:top w:val="single" w:sz="6" w:space="0" w:color="D9D9D9" w:themeColor="background2" w:themeShade="D9"/>
              <w:left w:val="nil"/>
              <w:bottom w:val="single" w:sz="6" w:space="0" w:color="D9D9D9" w:themeColor="background2" w:themeShade="D9"/>
              <w:right w:val="single" w:sz="6" w:space="0" w:color="D9D9D9" w:themeColor="background2" w:themeShade="D9"/>
            </w:tcBorders>
            <w:shd w:val="clear" w:color="auto" w:fill="F2F2F2" w:themeFill="background2" w:themeFillShade="F2"/>
            <w:vAlign w:val="center"/>
          </w:tcPr>
          <w:p w14:paraId="4950921A" w14:textId="77777777" w:rsidR="0052682F" w:rsidRDefault="0052682F" w:rsidP="004A163C">
            <w:pPr>
              <w:spacing w:after="120"/>
              <w:rPr>
                <w:rFonts w:ascii="Arial" w:hAnsi="Arial" w:cs="Arial"/>
                <w:b/>
                <w:bCs/>
                <w:szCs w:val="24"/>
                <w:lang w:eastAsia="en-AU"/>
              </w:rPr>
            </w:pPr>
            <w:r>
              <w:rPr>
                <w:rFonts w:ascii="Arial" w:hAnsi="Arial" w:cs="Arial"/>
                <w:b/>
                <w:bCs/>
                <w:szCs w:val="24"/>
                <w:lang w:eastAsia="en-AU"/>
              </w:rPr>
              <w:t>Measure 3:</w:t>
            </w:r>
          </w:p>
          <w:p w14:paraId="3301CC6F" w14:textId="77777777" w:rsidR="0052682F" w:rsidRPr="006D3042" w:rsidRDefault="0052682F" w:rsidP="004A163C">
            <w:pPr>
              <w:spacing w:after="120"/>
              <w:rPr>
                <w:rFonts w:ascii="Arial" w:eastAsia="Times New Roman" w:hAnsi="Arial" w:cs="Arial"/>
                <w:szCs w:val="20"/>
                <w:lang w:eastAsia="en-AU"/>
              </w:rPr>
            </w:pPr>
            <w:r>
              <w:rPr>
                <w:rFonts w:ascii="Arial" w:eastAsia="Times New Roman" w:hAnsi="Arial" w:cs="Arial"/>
                <w:szCs w:val="20"/>
                <w:lang w:eastAsia="en-AU"/>
              </w:rPr>
              <w:t>Enforcing Critical infrastructure risk management obligations – review and remedy powers</w:t>
            </w:r>
          </w:p>
        </w:tc>
        <w:tc>
          <w:tcPr>
            <w:tcW w:w="7520" w:type="dxa"/>
            <w:tcBorders>
              <w:top w:val="single" w:sz="6" w:space="0" w:color="D9D9D9" w:themeColor="background2" w:themeShade="D9"/>
              <w:left w:val="single" w:sz="6" w:space="0" w:color="D9D9D9" w:themeColor="background2" w:themeShade="D9"/>
              <w:bottom w:val="single" w:sz="6" w:space="0" w:color="D9D9D9" w:themeColor="background2" w:themeShade="D9"/>
              <w:right w:val="single" w:sz="6" w:space="0" w:color="D9D9D9" w:themeColor="background2" w:themeShade="D9"/>
            </w:tcBorders>
            <w:shd w:val="clear" w:color="auto" w:fill="auto"/>
            <w:vAlign w:val="center"/>
          </w:tcPr>
          <w:p w14:paraId="670C81C2" w14:textId="77777777" w:rsidR="0052682F" w:rsidRPr="00B0714B" w:rsidRDefault="0052682F" w:rsidP="00510557">
            <w:pPr>
              <w:pStyle w:val="ListParagraph"/>
              <w:numPr>
                <w:ilvl w:val="0"/>
                <w:numId w:val="47"/>
              </w:numPr>
              <w:spacing w:before="0" w:line="240" w:lineRule="auto"/>
              <w:contextualSpacing/>
              <w:rPr>
                <w:rFonts w:ascii="Arial" w:hAnsi="Arial" w:cs="Arial"/>
                <w:b/>
                <w:szCs w:val="20"/>
              </w:rPr>
            </w:pPr>
            <w:r w:rsidRPr="11649716">
              <w:rPr>
                <w:rFonts w:ascii="Arial" w:hAnsi="Arial" w:cs="Arial"/>
                <w:szCs w:val="20"/>
              </w:rPr>
              <w:t xml:space="preserve">Could also impose </w:t>
            </w:r>
            <w:r w:rsidRPr="11649716">
              <w:rPr>
                <w:rFonts w:ascii="Arial" w:hAnsi="Arial" w:cs="Arial"/>
                <w:b/>
                <w:bCs/>
                <w:szCs w:val="20"/>
              </w:rPr>
              <w:t>significant compliance costs</w:t>
            </w:r>
            <w:r w:rsidRPr="11649716">
              <w:rPr>
                <w:rFonts w:ascii="Arial" w:hAnsi="Arial" w:cs="Arial"/>
                <w:szCs w:val="20"/>
              </w:rPr>
              <w:t xml:space="preserve">, reduce flexibility for entities to manage risks according to their specific circumstances, and potentially </w:t>
            </w:r>
            <w:r w:rsidRPr="11649716">
              <w:rPr>
                <w:rFonts w:ascii="Arial" w:hAnsi="Arial" w:cs="Arial"/>
                <w:b/>
                <w:bCs/>
                <w:szCs w:val="20"/>
              </w:rPr>
              <w:t>stifle innovation due to more prescriptive requirements.</w:t>
            </w:r>
          </w:p>
          <w:p w14:paraId="65DADB99" w14:textId="77777777" w:rsidR="0052682F" w:rsidRPr="00650685" w:rsidRDefault="0052682F" w:rsidP="00510557">
            <w:pPr>
              <w:pStyle w:val="ListParagraph"/>
              <w:numPr>
                <w:ilvl w:val="0"/>
                <w:numId w:val="47"/>
              </w:numPr>
              <w:spacing w:before="0" w:line="240" w:lineRule="auto"/>
              <w:contextualSpacing/>
              <w:rPr>
                <w:rFonts w:ascii="Arial" w:hAnsi="Arial" w:cs="Arial"/>
                <w:szCs w:val="20"/>
              </w:rPr>
            </w:pPr>
            <w:r w:rsidRPr="11649716">
              <w:rPr>
                <w:rFonts w:ascii="Arial" w:hAnsi="Arial" w:cs="Arial"/>
                <w:szCs w:val="20"/>
              </w:rPr>
              <w:t xml:space="preserve">Government should consider maintaining a </w:t>
            </w:r>
            <w:r w:rsidRPr="11649716">
              <w:rPr>
                <w:rFonts w:ascii="Arial" w:hAnsi="Arial" w:cs="Arial"/>
                <w:b/>
                <w:bCs/>
                <w:szCs w:val="20"/>
              </w:rPr>
              <w:t>sector-driven and contextualised approach</w:t>
            </w:r>
            <w:r w:rsidRPr="11649716">
              <w:rPr>
                <w:rFonts w:ascii="Arial" w:hAnsi="Arial" w:cs="Arial"/>
                <w:szCs w:val="20"/>
              </w:rPr>
              <w:t xml:space="preserve"> to review and remedy powers. </w:t>
            </w:r>
          </w:p>
          <w:p w14:paraId="18275A8B" w14:textId="36FFBE3A" w:rsidR="0052682F" w:rsidRPr="00650685" w:rsidRDefault="0052682F" w:rsidP="00510557">
            <w:pPr>
              <w:pStyle w:val="ListParagraph"/>
              <w:numPr>
                <w:ilvl w:val="0"/>
                <w:numId w:val="47"/>
              </w:numPr>
              <w:spacing w:before="0" w:line="240" w:lineRule="auto"/>
              <w:contextualSpacing/>
              <w:rPr>
                <w:rFonts w:ascii="Arial" w:hAnsi="Arial" w:cs="Arial"/>
                <w:szCs w:val="20"/>
              </w:rPr>
            </w:pPr>
            <w:r w:rsidRPr="11649716">
              <w:rPr>
                <w:rFonts w:ascii="Arial" w:hAnsi="Arial" w:cs="Arial"/>
                <w:szCs w:val="20"/>
              </w:rPr>
              <w:t xml:space="preserve">The Department should </w:t>
            </w:r>
            <w:r w:rsidRPr="11649716">
              <w:rPr>
                <w:rFonts w:ascii="Arial" w:hAnsi="Arial" w:cs="Arial"/>
                <w:b/>
                <w:bCs/>
                <w:szCs w:val="20"/>
              </w:rPr>
              <w:t>consider guidance materials on what may be considered ‘</w:t>
            </w:r>
            <w:r w:rsidR="00BF0818">
              <w:rPr>
                <w:rFonts w:ascii="Arial" w:hAnsi="Arial" w:cs="Arial"/>
                <w:b/>
                <w:bCs/>
                <w:szCs w:val="20"/>
              </w:rPr>
              <w:t>seriously</w:t>
            </w:r>
            <w:r w:rsidRPr="11649716">
              <w:rPr>
                <w:rFonts w:ascii="Arial" w:hAnsi="Arial" w:cs="Arial"/>
                <w:b/>
                <w:bCs/>
                <w:szCs w:val="20"/>
              </w:rPr>
              <w:t xml:space="preserve"> deficient’</w:t>
            </w:r>
            <w:r w:rsidRPr="11649716">
              <w:rPr>
                <w:rFonts w:ascii="Arial" w:hAnsi="Arial" w:cs="Arial"/>
                <w:szCs w:val="20"/>
              </w:rPr>
              <w:t xml:space="preserve"> in terms of triggering the proposed remedy powers. </w:t>
            </w:r>
          </w:p>
          <w:p w14:paraId="38C957CB" w14:textId="77777777" w:rsidR="0052682F" w:rsidRPr="00631F6B" w:rsidRDefault="0052682F" w:rsidP="00510557">
            <w:pPr>
              <w:pStyle w:val="ListParagraph"/>
              <w:numPr>
                <w:ilvl w:val="0"/>
                <w:numId w:val="47"/>
              </w:numPr>
              <w:spacing w:before="0" w:line="240" w:lineRule="auto"/>
              <w:contextualSpacing/>
              <w:rPr>
                <w:rFonts w:ascii="Arial" w:hAnsi="Arial" w:cs="Arial"/>
                <w:sz w:val="21"/>
                <w:szCs w:val="21"/>
              </w:rPr>
            </w:pPr>
            <w:r w:rsidRPr="11649716">
              <w:rPr>
                <w:rFonts w:ascii="Arial" w:hAnsi="Arial" w:cs="Arial"/>
                <w:b/>
                <w:bCs/>
                <w:szCs w:val="20"/>
              </w:rPr>
              <w:t>Collaboration</w:t>
            </w:r>
            <w:r w:rsidRPr="11649716">
              <w:rPr>
                <w:rFonts w:ascii="Arial" w:hAnsi="Arial" w:cs="Arial"/>
                <w:szCs w:val="20"/>
              </w:rPr>
              <w:t xml:space="preserve"> with industry is encouraged on </w:t>
            </w:r>
            <w:r w:rsidRPr="11649716">
              <w:rPr>
                <w:rFonts w:ascii="Arial" w:hAnsi="Arial" w:cs="Arial"/>
                <w:b/>
                <w:bCs/>
                <w:szCs w:val="20"/>
              </w:rPr>
              <w:t>developing guidance</w:t>
            </w:r>
            <w:r w:rsidRPr="11649716">
              <w:rPr>
                <w:rFonts w:ascii="Arial" w:hAnsi="Arial" w:cs="Arial"/>
                <w:szCs w:val="20"/>
              </w:rPr>
              <w:t xml:space="preserve"> and focus on addressing only those areas that have a significant and material impact.</w:t>
            </w:r>
            <w:r w:rsidRPr="11649716">
              <w:rPr>
                <w:rFonts w:ascii="Arial" w:hAnsi="Arial" w:cs="Arial"/>
                <w:sz w:val="21"/>
                <w:szCs w:val="21"/>
              </w:rPr>
              <w:t xml:space="preserve"> </w:t>
            </w:r>
          </w:p>
        </w:tc>
      </w:tr>
    </w:tbl>
    <w:p w14:paraId="0ADF86DE" w14:textId="77777777" w:rsidR="000B5219" w:rsidRPr="000B5219" w:rsidRDefault="000B5219" w:rsidP="000B5219">
      <w:pPr>
        <w:rPr>
          <w:lang w:eastAsia="en-AU"/>
        </w:rPr>
      </w:pPr>
    </w:p>
    <w:sectPr w:rsidR="000B5219" w:rsidRPr="000B5219" w:rsidSect="00282A1F">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077" w:left="144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CBF18" w14:textId="77777777" w:rsidR="00FF596B" w:rsidRDefault="00FF596B" w:rsidP="00185154">
      <w:r>
        <w:separator/>
      </w:r>
    </w:p>
    <w:p w14:paraId="6F8BF360" w14:textId="77777777" w:rsidR="00FF596B" w:rsidRDefault="00FF596B"/>
  </w:endnote>
  <w:endnote w:type="continuationSeparator" w:id="0">
    <w:p w14:paraId="39736DA3" w14:textId="77777777" w:rsidR="00FF596B" w:rsidRDefault="00FF596B" w:rsidP="00185154">
      <w:r>
        <w:continuationSeparator/>
      </w:r>
    </w:p>
    <w:p w14:paraId="1C41D019" w14:textId="77777777" w:rsidR="00FF596B" w:rsidRDefault="00FF596B"/>
  </w:endnote>
  <w:endnote w:type="continuationNotice" w:id="1">
    <w:p w14:paraId="57D3B327" w14:textId="77777777" w:rsidR="00FF596B" w:rsidRDefault="00FF5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2E60" w14:textId="747C5F7B" w:rsidR="00D1192F" w:rsidRDefault="00D1192F">
    <w:pPr>
      <w:pStyle w:val="Footer"/>
    </w:pPr>
    <w:r>
      <w:rPr>
        <w:noProof/>
        <w:color w:val="2B579A"/>
        <w:shd w:val="clear" w:color="auto" w:fill="E6E6E6"/>
        <w:lang w:eastAsia="en-AU"/>
      </w:rPr>
      <mc:AlternateContent>
        <mc:Choice Requires="wps">
          <w:drawing>
            <wp:anchor distT="0" distB="0" distL="0" distR="0" simplePos="0" relativeHeight="251658251" behindDoc="0" locked="0" layoutInCell="1" allowOverlap="1" wp14:anchorId="5C4DFA1C" wp14:editId="3680E98D">
              <wp:simplePos x="635" y="635"/>
              <wp:positionH relativeFrom="page">
                <wp:align>center</wp:align>
              </wp:positionH>
              <wp:positionV relativeFrom="page">
                <wp:align>bottom</wp:align>
              </wp:positionV>
              <wp:extent cx="552450" cy="371475"/>
              <wp:effectExtent l="0" t="0" r="0" b="0"/>
              <wp:wrapNone/>
              <wp:docPr id="1403017278" name="Text Box 1403017278"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E83C764" w14:textId="308528E3" w:rsidR="00D1192F" w:rsidRPr="0088760B" w:rsidRDefault="00D1192F">
                          <w:pPr>
                            <w:rPr>
                              <w:rFonts w:ascii="Calibri" w:eastAsia="Calibri" w:hAnsi="Calibri" w:cs="Calibri"/>
                              <w:noProof/>
                              <w:color w:val="FF0000"/>
                              <w:sz w:val="24"/>
                              <w:szCs w:val="24"/>
                            </w:rPr>
                          </w:pPr>
                          <w:r w:rsidRPr="009763A8">
                            <w:rPr>
                              <w:rFonts w:ascii="Calibri" w:eastAsia="Calibri" w:hAnsi="Calibri" w:cs="Calibri"/>
                              <w:noProof/>
                              <w:sz w:val="24"/>
                              <w:szCs w:val="24"/>
                              <w:shd w:val="clear" w:color="auto" w:fill="E6E6E6"/>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4DFA1C" id="_x0000_t202" coordsize="21600,21600" o:spt="202" path="m,l,21600r21600,l21600,xe">
              <v:stroke joinstyle="miter"/>
              <v:path gradientshapeok="t" o:connecttype="rect"/>
            </v:shapetype>
            <v:shape id="Text Box 1403017278" o:spid="_x0000_s1029" type="#_x0000_t202" alt="OFFICIAL" style="position:absolute;left:0;text-align:left;margin-left:0;margin-top:0;width:43.5pt;height:29.2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4E83C764" w14:textId="308528E3" w:rsidR="00D1192F" w:rsidRPr="0088760B" w:rsidRDefault="00D1192F">
                    <w:pPr>
                      <w:rPr>
                        <w:rFonts w:ascii="Calibri" w:eastAsia="Calibri" w:hAnsi="Calibri" w:cs="Calibri"/>
                        <w:noProof/>
                        <w:color w:val="FF0000"/>
                        <w:sz w:val="24"/>
                        <w:szCs w:val="24"/>
                      </w:rPr>
                    </w:pPr>
                    <w:r w:rsidRPr="009763A8">
                      <w:rPr>
                        <w:rFonts w:ascii="Calibri" w:eastAsia="Calibri" w:hAnsi="Calibri" w:cs="Calibri"/>
                        <w:noProof/>
                        <w:sz w:val="24"/>
                        <w:szCs w:val="24"/>
                        <w:shd w:val="clear" w:color="auto" w:fill="E6E6E6"/>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091403"/>
      <w:docPartObj>
        <w:docPartGallery w:val="Page Numbers (Bottom of Page)"/>
        <w:docPartUnique/>
      </w:docPartObj>
    </w:sdtPr>
    <w:sdtEndPr/>
    <w:sdtContent>
      <w:sdt>
        <w:sdtPr>
          <w:id w:val="-1705238520"/>
          <w:docPartObj>
            <w:docPartGallery w:val="Page Numbers (Top of Page)"/>
            <w:docPartUnique/>
          </w:docPartObj>
        </w:sdtPr>
        <w:sdtEndPr/>
        <w:sdtContent>
          <w:p w14:paraId="14780B0D" w14:textId="5D6D447E" w:rsidR="00D1192F" w:rsidRDefault="00D119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E3E5F">
              <w:rPr>
                <w:b/>
                <w:bCs/>
                <w:noProof/>
              </w:rPr>
              <w:t>41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3E5F">
              <w:rPr>
                <w:b/>
                <w:bCs/>
                <w:noProof/>
              </w:rPr>
              <w:t>79</w:t>
            </w:r>
            <w:r>
              <w:rPr>
                <w:b/>
                <w:bCs/>
                <w:sz w:val="24"/>
                <w:szCs w:val="24"/>
              </w:rPr>
              <w:fldChar w:fldCharType="end"/>
            </w:r>
          </w:p>
        </w:sdtContent>
      </w:sdt>
    </w:sdtContent>
  </w:sdt>
  <w:p w14:paraId="5F575BC0" w14:textId="2041B98D" w:rsidR="00D1192F" w:rsidRPr="00624D1B" w:rsidRDefault="00D1192F" w:rsidP="00257F50">
    <w:pPr>
      <w:pStyle w:val="Protection"/>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8B92" w14:textId="4CD3B6F7" w:rsidR="00D1192F" w:rsidRPr="00E66A44" w:rsidRDefault="00D1192F" w:rsidP="001E2EFC">
    <w:pPr>
      <w:jc w:val="center"/>
      <w:rPr>
        <w:rFonts w:ascii="Arial" w:hAnsi="Arial" w:cs="Arial"/>
        <w:b/>
        <w:color w:val="C00000"/>
        <w:sz w:val="28"/>
        <w:szCs w:val="28"/>
      </w:rPr>
    </w:pPr>
    <w:r>
      <w:rPr>
        <w:rFonts w:ascii="Arial" w:hAnsi="Arial" w:cs="Arial"/>
        <w:b/>
        <w:noProof/>
        <w:color w:val="C00000"/>
        <w:sz w:val="28"/>
        <w:szCs w:val="28"/>
        <w:shd w:val="clear" w:color="auto" w:fill="E6E6E6"/>
        <w:lang w:eastAsia="en-AU"/>
      </w:rPr>
      <mc:AlternateContent>
        <mc:Choice Requires="wps">
          <w:drawing>
            <wp:anchor distT="0" distB="0" distL="0" distR="0" simplePos="0" relativeHeight="251658250" behindDoc="0" locked="0" layoutInCell="1" allowOverlap="1" wp14:anchorId="4E798FE2" wp14:editId="2891BA87">
              <wp:simplePos x="635" y="635"/>
              <wp:positionH relativeFrom="page">
                <wp:align>center</wp:align>
              </wp:positionH>
              <wp:positionV relativeFrom="page">
                <wp:align>bottom</wp:align>
              </wp:positionV>
              <wp:extent cx="552450" cy="371475"/>
              <wp:effectExtent l="0" t="0" r="0" b="0"/>
              <wp:wrapNone/>
              <wp:docPr id="1077947619" name="Text Box 1077947619"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36CBA5C" w14:textId="7D794900" w:rsidR="00D1192F" w:rsidRPr="00257F50" w:rsidRDefault="00D1192F">
                          <w:pPr>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798FE2" id="_x0000_t202" coordsize="21600,21600" o:spt="202" path="m,l,21600r21600,l21600,xe">
              <v:stroke joinstyle="miter"/>
              <v:path gradientshapeok="t" o:connecttype="rect"/>
            </v:shapetype>
            <v:shape id="Text Box 1077947619" o:spid="_x0000_s1030" type="#_x0000_t202" alt="OFFICIAL" style="position:absolute;left:0;text-align:left;margin-left:0;margin-top:0;width:43.5pt;height:29.2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136CBA5C" w14:textId="7D794900" w:rsidR="00D1192F" w:rsidRPr="00257F50" w:rsidRDefault="00D1192F">
                    <w:pPr>
                      <w:rPr>
                        <w:rFonts w:ascii="Calibri" w:eastAsia="Calibri" w:hAnsi="Calibri" w:cs="Calibri"/>
                        <w:noProof/>
                        <w:color w:val="FF0000"/>
                        <w:sz w:val="24"/>
                        <w:szCs w:val="24"/>
                      </w:rPr>
                    </w:pPr>
                  </w:p>
                </w:txbxContent>
              </v:textbox>
              <w10:wrap anchorx="page" anchory="page"/>
            </v:shape>
          </w:pict>
        </mc:Fallback>
      </mc:AlternateContent>
    </w:r>
    <w:sdt>
      <w:sdtPr>
        <w:rPr>
          <w:rFonts w:ascii="Arial" w:hAnsi="Arial" w:cs="Arial"/>
          <w:b/>
          <w:color w:val="C00000"/>
          <w:sz w:val="28"/>
          <w:szCs w:val="28"/>
          <w:shd w:val="clear" w:color="auto" w:fill="E6E6E6"/>
        </w:rPr>
        <w:alias w:val="IMM"/>
        <w:tag w:val="DLM"/>
        <w:id w:val="-62642478"/>
        <w:dataBinding w:xpath="/ns0:Minute_Root[1]/ns0:dlm[1]" w:storeItemID="{00000000-0000-0000-0000-000000000000}"/>
        <w:text/>
      </w:sdtPr>
      <w:sdtEndPr/>
      <w:sdtContent>
        <w:r>
          <w:rPr>
            <w:rFonts w:ascii="Arial" w:hAnsi="Arial" w:cs="Arial"/>
            <w:b/>
            <w:color w:val="C00000"/>
            <w:sz w:val="28"/>
            <w:szCs w:val="28"/>
          </w:rPr>
          <w:t xml:space="preserve">  </w:t>
        </w:r>
      </w:sdtContent>
    </w:sdt>
  </w:p>
  <w:p w14:paraId="2DB95082" w14:textId="77777777" w:rsidR="00D1192F" w:rsidRDefault="00DE3E5F" w:rsidP="0042661D">
    <w:pPr>
      <w:jc w:val="center"/>
      <w:rPr>
        <w:rFonts w:ascii="Arial" w:hAnsi="Arial" w:cs="Arial"/>
        <w:b/>
        <w:color w:val="C00000"/>
        <w:sz w:val="28"/>
        <w:szCs w:val="28"/>
      </w:rPr>
    </w:pPr>
    <w:sdt>
      <w:sdtPr>
        <w:rPr>
          <w:rFonts w:ascii="Arial" w:hAnsi="Arial" w:cs="Arial"/>
          <w:b/>
          <w:color w:val="C00000"/>
          <w:sz w:val="28"/>
          <w:szCs w:val="28"/>
          <w:shd w:val="clear" w:color="auto" w:fill="E6E6E6"/>
        </w:rPr>
        <w:alias w:val="Protective Marking"/>
        <w:tag w:val="Protective Marking"/>
        <w:id w:val="-1781407556"/>
        <w:dataBinding w:xpath="/ns0:Minute_Root[1]/ns0:pm[1]" w:storeItemID="{00000000-0000-0000-0000-000000000000}"/>
        <w:text/>
      </w:sdtPr>
      <w:sdtEndPr/>
      <w:sdtContent>
        <w:r w:rsidR="00D1192F">
          <w:rPr>
            <w:rFonts w:ascii="Arial" w:hAnsi="Arial" w:cs="Arial"/>
            <w:b/>
            <w:color w:val="C00000"/>
            <w:sz w:val="28"/>
            <w:szCs w:val="28"/>
          </w:rPr>
          <w:t xml:space="preserve">  </w:t>
        </w:r>
      </w:sdtContent>
    </w:sdt>
  </w:p>
  <w:p w14:paraId="3952575B" w14:textId="77777777" w:rsidR="00D1192F" w:rsidRPr="00526448" w:rsidRDefault="00D1192F" w:rsidP="0042661D">
    <w:pPr>
      <w:jc w:val="center"/>
      <w:rPr>
        <w:sz w:val="2"/>
        <w:szCs w:val="2"/>
      </w:rPr>
    </w:pPr>
    <w:r>
      <w:rPr>
        <w:sz w:val="2"/>
        <w:szCs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9926A" w14:textId="77777777" w:rsidR="00FF596B" w:rsidRDefault="00FF596B" w:rsidP="00185154">
      <w:r>
        <w:separator/>
      </w:r>
    </w:p>
    <w:p w14:paraId="04D2A070" w14:textId="77777777" w:rsidR="00FF596B" w:rsidRDefault="00FF596B"/>
  </w:footnote>
  <w:footnote w:type="continuationSeparator" w:id="0">
    <w:p w14:paraId="7DFBB113" w14:textId="77777777" w:rsidR="00FF596B" w:rsidRDefault="00FF596B" w:rsidP="00185154">
      <w:r>
        <w:continuationSeparator/>
      </w:r>
    </w:p>
    <w:p w14:paraId="3BC51CBD" w14:textId="77777777" w:rsidR="00FF596B" w:rsidRDefault="00FF596B"/>
  </w:footnote>
  <w:footnote w:type="continuationNotice" w:id="1">
    <w:p w14:paraId="6D8A727B" w14:textId="77777777" w:rsidR="00FF596B" w:rsidRDefault="00FF596B"/>
  </w:footnote>
  <w:footnote w:id="2">
    <w:p w14:paraId="790805AF" w14:textId="77777777" w:rsidR="00D1192F" w:rsidRPr="00F80537" w:rsidRDefault="00D1192F" w:rsidP="00FD52CC">
      <w:pPr>
        <w:pStyle w:val="FootnoteText"/>
        <w:rPr>
          <w:rFonts w:ascii="Arial" w:hAnsi="Arial" w:cs="Arial"/>
          <w:sz w:val="18"/>
          <w:szCs w:val="18"/>
        </w:rPr>
      </w:pPr>
      <w:r w:rsidRPr="00F56B22">
        <w:rPr>
          <w:rStyle w:val="FootnoteReference"/>
          <w:rFonts w:ascii="Arial" w:hAnsi="Arial" w:cs="Arial"/>
          <w:sz w:val="16"/>
          <w:szCs w:val="16"/>
        </w:rPr>
        <w:footnoteRef/>
      </w:r>
      <w:r w:rsidRPr="00F56B22">
        <w:rPr>
          <w:rFonts w:ascii="Arial" w:hAnsi="Arial" w:cs="Arial"/>
          <w:sz w:val="16"/>
          <w:szCs w:val="16"/>
        </w:rPr>
        <w:t xml:space="preserve"> </w:t>
      </w:r>
      <w:r>
        <w:rPr>
          <w:rFonts w:ascii="Arial" w:hAnsi="Arial" w:cs="Arial"/>
          <w:sz w:val="16"/>
          <w:szCs w:val="16"/>
        </w:rPr>
        <w:t>Cyber and Infrastructure Security</w:t>
      </w:r>
      <w:r w:rsidRPr="00F56B22">
        <w:rPr>
          <w:rFonts w:ascii="Arial" w:hAnsi="Arial" w:cs="Arial"/>
          <w:sz w:val="16"/>
          <w:szCs w:val="16"/>
        </w:rPr>
        <w:t xml:space="preserve"> Centre – </w:t>
      </w:r>
      <w:r>
        <w:rPr>
          <w:rFonts w:ascii="Arial" w:hAnsi="Arial" w:cs="Arial"/>
          <w:sz w:val="16"/>
          <w:szCs w:val="16"/>
        </w:rPr>
        <w:t xml:space="preserve">Critical Infrastructure </w:t>
      </w:r>
      <w:r w:rsidRPr="00F56B22">
        <w:rPr>
          <w:rFonts w:ascii="Arial" w:hAnsi="Arial" w:cs="Arial"/>
          <w:sz w:val="16"/>
          <w:szCs w:val="16"/>
        </w:rPr>
        <w:t>Resilience Strategy (pg. 4)</w:t>
      </w:r>
    </w:p>
  </w:footnote>
  <w:footnote w:id="3">
    <w:p w14:paraId="43CF0BE7" w14:textId="77777777" w:rsidR="00D1192F" w:rsidRPr="00894DF9" w:rsidRDefault="00D1192F" w:rsidP="006C65D4">
      <w:pPr>
        <w:pStyle w:val="FootnoteText"/>
        <w:rPr>
          <w:rFonts w:ascii="Arial" w:hAnsi="Arial" w:cs="Arial"/>
          <w:sz w:val="16"/>
          <w:szCs w:val="16"/>
        </w:rPr>
      </w:pPr>
      <w:r w:rsidRPr="00894DF9">
        <w:rPr>
          <w:rStyle w:val="FootnoteReference"/>
          <w:rFonts w:ascii="Arial" w:hAnsi="Arial" w:cs="Arial"/>
          <w:sz w:val="16"/>
          <w:szCs w:val="16"/>
        </w:rPr>
        <w:footnoteRef/>
      </w:r>
      <w:r w:rsidRPr="00894DF9">
        <w:rPr>
          <w:rFonts w:ascii="Arial" w:hAnsi="Arial" w:cs="Arial"/>
          <w:sz w:val="16"/>
          <w:szCs w:val="16"/>
        </w:rPr>
        <w:t xml:space="preserve"> </w:t>
      </w:r>
      <w:hyperlink r:id="rId1" w:history="1">
        <w:r w:rsidRPr="00894DF9">
          <w:rPr>
            <w:rStyle w:val="Hyperlink"/>
            <w:rFonts w:ascii="Arial" w:hAnsi="Arial" w:cs="Arial"/>
            <w:sz w:val="16"/>
            <w:szCs w:val="16"/>
          </w:rPr>
          <w:t>https://www.abs.gov.au/media-centre/media-releases/cyber-security-incidents-double-between-2019-20-and-2021-22</w:t>
        </w:r>
      </w:hyperlink>
      <w:r w:rsidRPr="00894DF9">
        <w:rPr>
          <w:rFonts w:ascii="Arial" w:hAnsi="Arial" w:cs="Arial"/>
          <w:sz w:val="16"/>
          <w:szCs w:val="16"/>
        </w:rPr>
        <w:t xml:space="preserve"> </w:t>
      </w:r>
    </w:p>
  </w:footnote>
  <w:footnote w:id="4">
    <w:p w14:paraId="7908642C" w14:textId="77777777" w:rsidR="00D1192F" w:rsidRPr="00365D6D" w:rsidRDefault="00D1192F" w:rsidP="006C65D4">
      <w:pPr>
        <w:pStyle w:val="FootnoteText"/>
        <w:rPr>
          <w:rFonts w:ascii="Arial" w:hAnsi="Arial" w:cs="Arial"/>
          <w:sz w:val="16"/>
          <w:szCs w:val="16"/>
        </w:rPr>
      </w:pPr>
      <w:r w:rsidRPr="00894DF9">
        <w:rPr>
          <w:rStyle w:val="FootnoteReference"/>
          <w:rFonts w:ascii="Arial" w:hAnsi="Arial" w:cs="Arial"/>
          <w:sz w:val="16"/>
          <w:szCs w:val="16"/>
        </w:rPr>
        <w:footnoteRef/>
      </w:r>
      <w:r w:rsidRPr="00894DF9">
        <w:rPr>
          <w:rFonts w:ascii="Arial" w:hAnsi="Arial" w:cs="Arial"/>
          <w:sz w:val="16"/>
          <w:szCs w:val="16"/>
        </w:rPr>
        <w:t xml:space="preserve"> </w:t>
      </w:r>
      <w:hyperlink r:id="rId2" w:anchor=":~:text=Australian%20critical%20infrastructure%20networks%20regularly,incidents%20reported%20in%202021%E2%80%9322" w:history="1">
        <w:r w:rsidRPr="00365D6D">
          <w:rPr>
            <w:rStyle w:val="Hyperlink"/>
            <w:rFonts w:ascii="Arial" w:hAnsi="Arial" w:cs="Arial"/>
            <w:sz w:val="16"/>
            <w:szCs w:val="16"/>
          </w:rPr>
          <w:t>https://www.cyber.gov.au/about-us/reports-and-statistics/asd-cyber-threat-report-july-2022-june-2023#:~:text=Australian%20critical%20infrastructure%20networks%20regularly,incidents%20reported%20in%202021%E2%80%9322</w:t>
        </w:r>
      </w:hyperlink>
      <w:r w:rsidRPr="00365D6D">
        <w:rPr>
          <w:rFonts w:ascii="Arial" w:hAnsi="Arial" w:cs="Arial"/>
          <w:sz w:val="16"/>
          <w:szCs w:val="16"/>
        </w:rPr>
        <w:t xml:space="preserve">. </w:t>
      </w:r>
    </w:p>
  </w:footnote>
  <w:footnote w:id="5">
    <w:p w14:paraId="51F7E238" w14:textId="77777777" w:rsidR="00D1192F" w:rsidRPr="00EC7D5D" w:rsidRDefault="00D1192F">
      <w:pPr>
        <w:pStyle w:val="FootnoteText"/>
        <w:rPr>
          <w:rFonts w:asciiTheme="majorHAnsi" w:hAnsiTheme="majorHAnsi" w:cstheme="majorHAnsi"/>
          <w:sz w:val="16"/>
          <w:szCs w:val="16"/>
          <w:lang w:val="nl-NL"/>
        </w:rPr>
      </w:pPr>
      <w:r w:rsidRPr="00D8675B">
        <w:rPr>
          <w:rStyle w:val="FootnoteReference"/>
          <w:rFonts w:asciiTheme="majorHAnsi" w:hAnsiTheme="majorHAnsi" w:cstheme="majorHAnsi"/>
          <w:sz w:val="16"/>
          <w:szCs w:val="16"/>
        </w:rPr>
        <w:footnoteRef/>
      </w:r>
      <w:r w:rsidRPr="00EC7D5D">
        <w:rPr>
          <w:rFonts w:asciiTheme="majorHAnsi" w:hAnsiTheme="majorHAnsi" w:cstheme="majorHAnsi"/>
          <w:sz w:val="16"/>
          <w:szCs w:val="16"/>
          <w:lang w:val="nl-NL"/>
        </w:rPr>
        <w:t xml:space="preserve"> </w:t>
      </w:r>
      <w:hyperlink r:id="rId3" w:history="1">
        <w:r w:rsidRPr="00EC7D5D">
          <w:rPr>
            <w:rStyle w:val="Hyperlink"/>
            <w:rFonts w:asciiTheme="majorHAnsi" w:hAnsiTheme="majorHAnsi" w:cstheme="majorHAnsi"/>
            <w:sz w:val="16"/>
            <w:szCs w:val="16"/>
            <w:lang w:val="nl-NL"/>
          </w:rPr>
          <w:t>https://www.homeaffairs.gov.au/reports-and-pubs/Annualreports/home-affairs-annual-report-2022-23.pdf</w:t>
        </w:r>
      </w:hyperlink>
      <w:r w:rsidRPr="00EC7D5D">
        <w:rPr>
          <w:rFonts w:asciiTheme="majorHAnsi" w:hAnsiTheme="majorHAnsi" w:cstheme="majorHAnsi"/>
          <w:sz w:val="16"/>
          <w:szCs w:val="16"/>
          <w:lang w:val="nl-NL"/>
        </w:rPr>
        <w:t xml:space="preserve"> PG. 264</w:t>
      </w:r>
    </w:p>
  </w:footnote>
  <w:footnote w:id="6">
    <w:p w14:paraId="2DAE7076" w14:textId="7952236A" w:rsidR="00D1192F" w:rsidRDefault="00D1192F" w:rsidP="006C65D4">
      <w:pPr>
        <w:pStyle w:val="FootnoteText"/>
      </w:pPr>
      <w:r w:rsidRPr="00302A0C">
        <w:rPr>
          <w:rStyle w:val="FootnoteReference"/>
          <w:rFonts w:ascii="Arial" w:hAnsi="Arial" w:cs="Arial"/>
          <w:sz w:val="16"/>
          <w:szCs w:val="16"/>
        </w:rPr>
        <w:footnoteRef/>
      </w:r>
      <w:r w:rsidRPr="00302A0C">
        <w:rPr>
          <w:rFonts w:ascii="Arial" w:hAnsi="Arial" w:cs="Arial"/>
          <w:sz w:val="16"/>
          <w:szCs w:val="16"/>
        </w:rPr>
        <w:t xml:space="preserve"> </w:t>
      </w:r>
      <w:hyperlink r:id="rId4" w:history="1">
        <w:r w:rsidRPr="00C32A9F">
          <w:rPr>
            <w:rStyle w:val="Hyperlink"/>
            <w:rFonts w:ascii="Arial" w:hAnsi="Arial" w:cs="Arial"/>
            <w:sz w:val="16"/>
            <w:szCs w:val="16"/>
          </w:rPr>
          <w:t>https://www.theguardian.com/australia-news/2022/oct/04/guardian-essential-poll-one-in-two-australians-want-stronger-privacy-laws-after-optus-</w:t>
        </w:r>
      </w:hyperlink>
      <w:r>
        <w:rPr>
          <w:rFonts w:ascii="Arial" w:hAnsi="Arial" w:cs="Arial"/>
          <w:sz w:val="16"/>
          <w:szCs w:val="16"/>
        </w:rPr>
        <w:t xml:space="preserve"> </w:t>
      </w:r>
      <w:r w:rsidRPr="00302A0C">
        <w:rPr>
          <w:rFonts w:ascii="Arial" w:hAnsi="Arial" w:cs="Arial"/>
          <w:sz w:val="16"/>
          <w:szCs w:val="16"/>
        </w:rPr>
        <w:t>breach#:~:text=The%20new%20Guardian%20Essential%20poll,worried%20about%20their%20privacy%20online</w:t>
      </w:r>
      <w:r>
        <w:rPr>
          <w:rFonts w:ascii="Arial" w:hAnsi="Arial" w:cs="Arial"/>
          <w:sz w:val="16"/>
          <w:szCs w:val="16"/>
        </w:rPr>
        <w:t xml:space="preserve"> </w:t>
      </w:r>
    </w:p>
  </w:footnote>
  <w:footnote w:id="7">
    <w:p w14:paraId="181D2AD9" w14:textId="77777777" w:rsidR="00D1192F" w:rsidRPr="00302A0C" w:rsidRDefault="00D1192F" w:rsidP="006C65D4">
      <w:pPr>
        <w:pStyle w:val="FootnoteText"/>
        <w:rPr>
          <w:lang w:val="nl-NL"/>
        </w:rPr>
      </w:pPr>
      <w:r w:rsidRPr="00302A0C">
        <w:rPr>
          <w:rStyle w:val="FootnoteReference"/>
          <w:rFonts w:ascii="Arial" w:hAnsi="Arial" w:cs="Arial"/>
          <w:color w:val="000000" w:themeColor="text1"/>
          <w:sz w:val="16"/>
          <w:szCs w:val="16"/>
        </w:rPr>
        <w:footnoteRef/>
      </w:r>
      <w:r w:rsidRPr="00302A0C">
        <w:rPr>
          <w:rFonts w:ascii="Arial" w:hAnsi="Arial" w:cs="Arial"/>
          <w:color w:val="000000" w:themeColor="text1"/>
          <w:sz w:val="16"/>
          <w:szCs w:val="16"/>
          <w:lang w:val="nl-NL"/>
        </w:rPr>
        <w:t xml:space="preserve"> </w:t>
      </w:r>
      <w:hyperlink r:id="rId5" w:history="1">
        <w:r w:rsidRPr="00302A0C">
          <w:rPr>
            <w:rStyle w:val="Hyperlink"/>
            <w:rFonts w:ascii="Arial" w:hAnsi="Arial" w:cs="Arial"/>
            <w:sz w:val="16"/>
            <w:szCs w:val="16"/>
            <w:lang w:val="nl-NL"/>
          </w:rPr>
          <w:t>https://www.cisc.gov.au/resources-subsite/Documents/overview-cyber-security-obligations-corporate-leaders.pdf</w:t>
        </w:r>
      </w:hyperlink>
      <w:r w:rsidRPr="00302A0C">
        <w:rPr>
          <w:rFonts w:ascii="Arial" w:hAnsi="Arial" w:cs="Arial"/>
          <w:color w:val="000000" w:themeColor="text1"/>
          <w:sz w:val="16"/>
          <w:szCs w:val="16"/>
          <w:lang w:val="nl-NL"/>
        </w:rPr>
        <w:t xml:space="preserve"> PG. 4</w:t>
      </w:r>
    </w:p>
  </w:footnote>
  <w:footnote w:id="8">
    <w:p w14:paraId="3201815A" w14:textId="77777777" w:rsidR="00D1192F" w:rsidRPr="00D97658" w:rsidRDefault="00D1192F" w:rsidP="00490823">
      <w:pPr>
        <w:pStyle w:val="FootnoteText"/>
        <w:rPr>
          <w:rFonts w:ascii="Arial" w:hAnsi="Arial" w:cs="Arial"/>
          <w:sz w:val="16"/>
          <w:szCs w:val="16"/>
        </w:rPr>
      </w:pPr>
      <w:r w:rsidRPr="00F56B22">
        <w:rPr>
          <w:rStyle w:val="FootnoteReference"/>
          <w:rFonts w:ascii="Arial" w:hAnsi="Arial" w:cs="Arial"/>
          <w:sz w:val="16"/>
          <w:szCs w:val="16"/>
        </w:rPr>
        <w:footnoteRef/>
      </w:r>
      <w:r w:rsidRPr="00F56B22">
        <w:rPr>
          <w:rFonts w:ascii="Arial" w:hAnsi="Arial" w:cs="Arial"/>
          <w:sz w:val="16"/>
          <w:szCs w:val="16"/>
        </w:rPr>
        <w:t xml:space="preserve"> ‘All-hazards’ refers to the primary objective of Australia’s critical infrastructure regulation, to improve critical infrastructure resilience and mitigate the potential impacts of natural and physical hazards (for example, fires, floods and cyclones, health hazards) and hazards related to cyber, personnel and supply chains (for example, unlawful interference, cyber incidents, espionage, chemical or oil spills, and trusted insiders). ‘All-hazards’ and the corresponding hazard domains were analysed in further detail in the  </w:t>
      </w:r>
      <w:hyperlink r:id="rId6" w:history="1">
        <w:r w:rsidRPr="00F56B22">
          <w:rPr>
            <w:rStyle w:val="Hyperlink"/>
            <w:rFonts w:ascii="Arial" w:hAnsi="Arial" w:cs="Arial"/>
            <w:sz w:val="16"/>
            <w:szCs w:val="16"/>
          </w:rPr>
          <w:t>Regulation impact statement: a risk management program framework for critical infrastructure assets</w:t>
        </w:r>
      </w:hyperlink>
      <w:r w:rsidRPr="00F56B22">
        <w:rPr>
          <w:rFonts w:ascii="Arial" w:hAnsi="Arial" w:cs="Arial"/>
          <w:sz w:val="16"/>
          <w:szCs w:val="16"/>
        </w:rPr>
        <w:t xml:space="preserve"> (pp. 18 – 19).</w:t>
      </w:r>
      <w:r w:rsidRPr="00F56B22">
        <w:rPr>
          <w:rFonts w:ascii="Arial" w:hAnsi="Arial" w:cs="Arial"/>
          <w:sz w:val="14"/>
          <w:szCs w:val="14"/>
        </w:rPr>
        <w:t xml:space="preserve"> </w:t>
      </w:r>
    </w:p>
  </w:footnote>
  <w:footnote w:id="9">
    <w:p w14:paraId="7ECC2E36" w14:textId="77777777" w:rsidR="00D1192F" w:rsidRPr="00F56B22" w:rsidRDefault="00D1192F" w:rsidP="006C65D4">
      <w:pPr>
        <w:pStyle w:val="FootnoteText"/>
        <w:rPr>
          <w:rFonts w:ascii="Arial" w:hAnsi="Arial" w:cs="Arial"/>
          <w:sz w:val="16"/>
          <w:szCs w:val="16"/>
        </w:rPr>
      </w:pPr>
      <w:r w:rsidRPr="00F56B22">
        <w:rPr>
          <w:rStyle w:val="FootnoteReference"/>
          <w:rFonts w:ascii="Arial" w:hAnsi="Arial" w:cs="Arial"/>
          <w:sz w:val="16"/>
          <w:szCs w:val="16"/>
        </w:rPr>
        <w:footnoteRef/>
      </w:r>
      <w:r w:rsidRPr="00F56B22">
        <w:rPr>
          <w:rFonts w:ascii="Arial" w:hAnsi="Arial" w:cs="Arial"/>
          <w:sz w:val="16"/>
          <w:szCs w:val="16"/>
        </w:rPr>
        <w:t xml:space="preserve"> ASD, </w:t>
      </w:r>
      <w:hyperlink r:id="rId7" w:history="1">
        <w:r w:rsidRPr="00F56B22">
          <w:rPr>
            <w:rStyle w:val="Hyperlink"/>
            <w:rFonts w:ascii="Arial" w:hAnsi="Arial" w:cs="Arial"/>
            <w:sz w:val="16"/>
            <w:szCs w:val="16"/>
          </w:rPr>
          <w:t>https://www.cyber.gov.au/sites/default/files/2023-11/asd-cyber-threat-report-2023.pdf</w:t>
        </w:r>
      </w:hyperlink>
      <w:r w:rsidRPr="00F56B22">
        <w:rPr>
          <w:rFonts w:ascii="Arial" w:hAnsi="Arial" w:cs="Arial"/>
          <w:sz w:val="16"/>
          <w:szCs w:val="16"/>
        </w:rPr>
        <w:t xml:space="preserve"> pg. 1</w:t>
      </w:r>
    </w:p>
  </w:footnote>
  <w:footnote w:id="10">
    <w:p w14:paraId="7A15C99F" w14:textId="77777777" w:rsidR="00D1192F" w:rsidRPr="00A7791E" w:rsidRDefault="00D1192F" w:rsidP="006C65D4">
      <w:pPr>
        <w:pStyle w:val="FootnoteText"/>
        <w:rPr>
          <w:rFonts w:ascii="Arial" w:hAnsi="Arial" w:cs="Arial"/>
          <w:sz w:val="18"/>
          <w:szCs w:val="18"/>
        </w:rPr>
      </w:pPr>
      <w:r w:rsidRPr="00F56B22">
        <w:rPr>
          <w:rStyle w:val="FootnoteReference"/>
          <w:rFonts w:ascii="Arial" w:hAnsi="Arial" w:cs="Arial"/>
          <w:sz w:val="16"/>
          <w:szCs w:val="16"/>
        </w:rPr>
        <w:footnoteRef/>
      </w:r>
      <w:r w:rsidRPr="00F56B22">
        <w:rPr>
          <w:rFonts w:ascii="Arial" w:hAnsi="Arial" w:cs="Arial"/>
          <w:sz w:val="16"/>
          <w:szCs w:val="16"/>
        </w:rPr>
        <w:t xml:space="preserve"> </w:t>
      </w:r>
      <w:hyperlink r:id="rId8" w:history="1">
        <w:r w:rsidRPr="00F56B22">
          <w:rPr>
            <w:rStyle w:val="Hyperlink"/>
            <w:rFonts w:ascii="Arial" w:hAnsi="Arial" w:cs="Arial"/>
            <w:sz w:val="16"/>
            <w:szCs w:val="16"/>
          </w:rPr>
          <w:t>https://www.homeaffairs.gov.au/cyber-security-subsite/files/2023-cyber-security-strategy.pdf</w:t>
        </w:r>
      </w:hyperlink>
      <w:r w:rsidRPr="00F56B22">
        <w:rPr>
          <w:rFonts w:ascii="Arial" w:hAnsi="Arial" w:cs="Arial"/>
          <w:sz w:val="16"/>
          <w:szCs w:val="16"/>
        </w:rPr>
        <w:t xml:space="preserve"> pg. 41</w:t>
      </w:r>
    </w:p>
  </w:footnote>
  <w:footnote w:id="11">
    <w:p w14:paraId="30E4CA48" w14:textId="77777777" w:rsidR="00D1192F" w:rsidRPr="00735047" w:rsidRDefault="00D1192F" w:rsidP="006C65D4">
      <w:pPr>
        <w:pStyle w:val="FootnoteText"/>
        <w:rPr>
          <w:rFonts w:ascii="Arial" w:hAnsi="Arial" w:cs="Arial"/>
          <w:sz w:val="16"/>
          <w:szCs w:val="16"/>
        </w:rPr>
      </w:pPr>
      <w:r w:rsidRPr="00927C17">
        <w:rPr>
          <w:rStyle w:val="FootnoteReference"/>
          <w:rFonts w:asciiTheme="majorHAnsi" w:hAnsiTheme="majorHAnsi" w:cstheme="majorHAnsi"/>
          <w:sz w:val="16"/>
          <w:szCs w:val="16"/>
        </w:rPr>
        <w:footnoteRef/>
      </w:r>
      <w:r w:rsidRPr="00927C17">
        <w:rPr>
          <w:rFonts w:asciiTheme="majorHAnsi" w:hAnsiTheme="majorHAnsi" w:cstheme="majorHAnsi"/>
          <w:sz w:val="16"/>
          <w:szCs w:val="16"/>
        </w:rPr>
        <w:t xml:space="preserve"> </w:t>
      </w:r>
      <w:hyperlink r:id="rId9" w:history="1">
        <w:r w:rsidRPr="00735047">
          <w:rPr>
            <w:rStyle w:val="Hyperlink"/>
            <w:rFonts w:ascii="Arial" w:hAnsi="Arial" w:cs="Arial"/>
            <w:sz w:val="16"/>
            <w:szCs w:val="16"/>
          </w:rPr>
          <w:t>https://www.medibank.com.au/livebetter/newsroom/post/medibank-cybercrime-update%207%20November</w:t>
        </w:r>
      </w:hyperlink>
      <w:r w:rsidRPr="00735047">
        <w:rPr>
          <w:rFonts w:ascii="Arial" w:hAnsi="Arial" w:cs="Arial"/>
          <w:sz w:val="16"/>
          <w:szCs w:val="16"/>
        </w:rPr>
        <w:t xml:space="preserve"> </w:t>
      </w:r>
    </w:p>
  </w:footnote>
  <w:footnote w:id="12">
    <w:p w14:paraId="5430E6D3" w14:textId="77777777" w:rsidR="00D1192F" w:rsidRDefault="00D1192F">
      <w:pPr>
        <w:pStyle w:val="FootnoteText"/>
      </w:pPr>
      <w:r w:rsidRPr="00735047">
        <w:rPr>
          <w:rStyle w:val="FootnoteReference"/>
          <w:rFonts w:ascii="Arial" w:hAnsi="Arial" w:cs="Arial"/>
          <w:sz w:val="16"/>
          <w:szCs w:val="16"/>
        </w:rPr>
        <w:footnoteRef/>
      </w:r>
      <w:r w:rsidRPr="00735047">
        <w:rPr>
          <w:rFonts w:ascii="Arial" w:hAnsi="Arial" w:cs="Arial"/>
          <w:sz w:val="16"/>
          <w:szCs w:val="16"/>
        </w:rPr>
        <w:t xml:space="preserve"> </w:t>
      </w:r>
      <w:hyperlink r:id="rId10" w:history="1">
        <w:r w:rsidRPr="00735047">
          <w:rPr>
            <w:rStyle w:val="Hyperlink"/>
            <w:rFonts w:ascii="Arial" w:hAnsi="Arial" w:cs="Arial"/>
            <w:sz w:val="16"/>
            <w:szCs w:val="16"/>
          </w:rPr>
          <w:t>https://www.medibank.com.au/livebetter/newsroom/post/statement-by-afp-commissioner-reece-kershaw-on-medibank-private-data-breach</w:t>
        </w:r>
      </w:hyperlink>
      <w:r>
        <w:t xml:space="preserve">  </w:t>
      </w:r>
    </w:p>
  </w:footnote>
  <w:footnote w:id="13">
    <w:p w14:paraId="73140F1B" w14:textId="77777777" w:rsidR="00D1192F" w:rsidRPr="00EC7D5D" w:rsidRDefault="00D1192F">
      <w:pPr>
        <w:pStyle w:val="FootnoteText"/>
        <w:rPr>
          <w:lang w:val="nl-NL"/>
        </w:rPr>
      </w:pPr>
      <w:r>
        <w:rPr>
          <w:rStyle w:val="FootnoteReference"/>
        </w:rPr>
        <w:footnoteRef/>
      </w:r>
      <w:r w:rsidRPr="00EC7D5D">
        <w:rPr>
          <w:lang w:val="nl-NL"/>
        </w:rPr>
        <w:t xml:space="preserve"> </w:t>
      </w:r>
      <w:hyperlink r:id="rId11" w:history="1">
        <w:r w:rsidRPr="00EC7D5D">
          <w:rPr>
            <w:rStyle w:val="Hyperlink"/>
            <w:sz w:val="16"/>
            <w:szCs w:val="16"/>
            <w:lang w:val="nl-NL"/>
          </w:rPr>
          <w:t>https://www.medibank.com.au/content/dam/retail/about-assets/pdfs/investor-centre/results/HY23_Results_Media_Release.pdf</w:t>
        </w:r>
      </w:hyperlink>
      <w:r w:rsidRPr="00EC7D5D">
        <w:rPr>
          <w:sz w:val="16"/>
          <w:szCs w:val="16"/>
          <w:lang w:val="nl-NL"/>
        </w:rPr>
        <w:t xml:space="preserve"> PG. 5</w:t>
      </w:r>
    </w:p>
  </w:footnote>
  <w:footnote w:id="14">
    <w:p w14:paraId="63947292" w14:textId="77777777" w:rsidR="00D1192F" w:rsidRPr="00EC7D5D" w:rsidRDefault="00D1192F" w:rsidP="006C65D4">
      <w:pPr>
        <w:pStyle w:val="FootnoteText"/>
        <w:rPr>
          <w:rFonts w:asciiTheme="majorHAnsi" w:eastAsia="Times New Roman" w:hAnsiTheme="majorHAnsi" w:cstheme="majorHAnsi"/>
          <w:sz w:val="16"/>
          <w:szCs w:val="16"/>
          <w:lang w:val="nl-NL"/>
        </w:rPr>
      </w:pPr>
      <w:r w:rsidRPr="00927C17">
        <w:rPr>
          <w:rStyle w:val="FootnoteReference"/>
          <w:rFonts w:asciiTheme="majorHAnsi" w:hAnsiTheme="majorHAnsi" w:cstheme="majorHAnsi"/>
          <w:sz w:val="16"/>
          <w:szCs w:val="16"/>
        </w:rPr>
        <w:footnoteRef/>
      </w:r>
      <w:r w:rsidRPr="00EC7D5D">
        <w:rPr>
          <w:rFonts w:asciiTheme="majorHAnsi" w:hAnsiTheme="majorHAnsi" w:cstheme="majorHAnsi"/>
          <w:sz w:val="16"/>
          <w:szCs w:val="16"/>
          <w:lang w:val="nl-NL"/>
        </w:rPr>
        <w:t xml:space="preserve"> </w:t>
      </w:r>
      <w:hyperlink r:id="rId12" w:history="1">
        <w:r w:rsidRPr="00EC7D5D">
          <w:rPr>
            <w:rStyle w:val="Hyperlink"/>
            <w:sz w:val="16"/>
            <w:szCs w:val="16"/>
            <w:lang w:val="nl-NL"/>
          </w:rPr>
          <w:t>https://www.medibank.com.au/content/dam/retail/about-assets/pdfs/investor-centre/results/HY23_Results_Media_Release.pdf</w:t>
        </w:r>
      </w:hyperlink>
      <w:r w:rsidRPr="00EC7D5D">
        <w:rPr>
          <w:sz w:val="16"/>
          <w:szCs w:val="16"/>
          <w:lang w:val="nl-NL"/>
        </w:rPr>
        <w:t xml:space="preserve"> PG. 5</w:t>
      </w:r>
    </w:p>
  </w:footnote>
  <w:footnote w:id="15">
    <w:p w14:paraId="50FC3D4E" w14:textId="77777777" w:rsidR="00D1192F" w:rsidRPr="00EC7D5D" w:rsidRDefault="00D1192F" w:rsidP="006C65D4">
      <w:pPr>
        <w:pStyle w:val="FootnoteText"/>
        <w:rPr>
          <w:rFonts w:asciiTheme="majorHAnsi" w:hAnsiTheme="majorHAnsi" w:cstheme="majorHAnsi"/>
          <w:sz w:val="16"/>
          <w:szCs w:val="16"/>
          <w:lang w:val="nl-NL"/>
        </w:rPr>
      </w:pPr>
      <w:r w:rsidRPr="00927C17">
        <w:rPr>
          <w:rStyle w:val="FootnoteReference"/>
          <w:rFonts w:asciiTheme="majorHAnsi" w:hAnsiTheme="majorHAnsi" w:cstheme="majorHAnsi"/>
          <w:sz w:val="16"/>
          <w:szCs w:val="16"/>
        </w:rPr>
        <w:footnoteRef/>
      </w:r>
      <w:r w:rsidRPr="00EC7D5D">
        <w:rPr>
          <w:rFonts w:asciiTheme="majorHAnsi" w:hAnsiTheme="majorHAnsi" w:cstheme="majorHAnsi"/>
          <w:sz w:val="16"/>
          <w:szCs w:val="16"/>
          <w:lang w:val="nl-NL"/>
        </w:rPr>
        <w:t xml:space="preserve"> </w:t>
      </w:r>
      <w:hyperlink r:id="rId13" w:history="1">
        <w:r w:rsidRPr="00EC7D5D">
          <w:rPr>
            <w:rStyle w:val="Hyperlink"/>
            <w:rFonts w:asciiTheme="majorHAnsi" w:hAnsiTheme="majorHAnsi" w:cstheme="majorHAnsi"/>
            <w:sz w:val="16"/>
            <w:szCs w:val="16"/>
            <w:lang w:val="nl-NL"/>
          </w:rPr>
          <w:t>https://www.foreignminister.gov.au/minister/penny-wong/media-release/cyber-sanctions-response-medibank-private-cyber-attack</w:t>
        </w:r>
      </w:hyperlink>
      <w:r w:rsidRPr="00EC7D5D">
        <w:rPr>
          <w:rFonts w:asciiTheme="majorHAnsi" w:hAnsiTheme="majorHAnsi" w:cstheme="majorHAnsi"/>
          <w:sz w:val="16"/>
          <w:szCs w:val="16"/>
          <w:lang w:val="nl-NL"/>
        </w:rPr>
        <w:t xml:space="preserve">; </w:t>
      </w:r>
      <w:hyperlink r:id="rId14" w:history="1">
        <w:r w:rsidRPr="00EC7D5D">
          <w:rPr>
            <w:rStyle w:val="Hyperlink"/>
            <w:rFonts w:asciiTheme="majorHAnsi" w:hAnsiTheme="majorHAnsi" w:cstheme="majorHAnsi"/>
            <w:sz w:val="16"/>
            <w:szCs w:val="16"/>
            <w:lang w:val="nl-NL"/>
          </w:rPr>
          <w:t>https://www.medibank.com.au/livebetter/newsroom/post/medibank-cybercrime-update%207%20November</w:t>
        </w:r>
      </w:hyperlink>
      <w:r w:rsidRPr="00EC7D5D">
        <w:rPr>
          <w:rFonts w:asciiTheme="majorHAnsi" w:hAnsiTheme="majorHAnsi" w:cstheme="majorHAnsi"/>
          <w:sz w:val="16"/>
          <w:szCs w:val="16"/>
          <w:lang w:val="nl-NL"/>
        </w:rPr>
        <w:t xml:space="preserve"> </w:t>
      </w:r>
    </w:p>
  </w:footnote>
  <w:footnote w:id="16">
    <w:p w14:paraId="77C8B33F" w14:textId="77777777" w:rsidR="00D1192F" w:rsidRPr="00EC7D5D" w:rsidRDefault="00D1192F">
      <w:pPr>
        <w:pStyle w:val="FootnoteText"/>
        <w:rPr>
          <w:lang w:val="nl-NL"/>
        </w:rPr>
      </w:pPr>
      <w:r>
        <w:rPr>
          <w:rStyle w:val="FootnoteReference"/>
        </w:rPr>
        <w:footnoteRef/>
      </w:r>
      <w:r w:rsidRPr="00EC7D5D">
        <w:rPr>
          <w:lang w:val="nl-NL"/>
        </w:rPr>
        <w:t xml:space="preserve"> </w:t>
      </w:r>
      <w:hyperlink r:id="rId15" w:history="1">
        <w:r w:rsidRPr="00EC7D5D">
          <w:rPr>
            <w:rStyle w:val="Hyperlink"/>
            <w:sz w:val="16"/>
            <w:szCs w:val="16"/>
            <w:lang w:val="nl-NL"/>
          </w:rPr>
          <w:t>https://www.medibank.com.au/content/dam/retail/about-assets/pdfs/investor-centre/results/HY23_Results_Media_Release.pdf</w:t>
        </w:r>
      </w:hyperlink>
      <w:r w:rsidRPr="00EC7D5D">
        <w:rPr>
          <w:sz w:val="16"/>
          <w:szCs w:val="16"/>
          <w:lang w:val="nl-NL"/>
        </w:rPr>
        <w:t xml:space="preserve"> PG. 5</w:t>
      </w:r>
    </w:p>
  </w:footnote>
  <w:footnote w:id="17">
    <w:p w14:paraId="699176E3" w14:textId="77777777" w:rsidR="00D1192F" w:rsidRPr="00EC7D5D" w:rsidRDefault="00D1192F">
      <w:pPr>
        <w:pStyle w:val="FootnoteText"/>
        <w:rPr>
          <w:rFonts w:asciiTheme="majorHAnsi" w:hAnsiTheme="majorHAnsi" w:cstheme="majorHAnsi"/>
          <w:sz w:val="16"/>
          <w:szCs w:val="16"/>
          <w:lang w:val="nl-NL"/>
        </w:rPr>
      </w:pPr>
      <w:r w:rsidRPr="008A02EA">
        <w:rPr>
          <w:rStyle w:val="FootnoteReference"/>
          <w:rFonts w:asciiTheme="majorHAnsi" w:hAnsiTheme="majorHAnsi" w:cstheme="majorHAnsi"/>
          <w:sz w:val="16"/>
          <w:szCs w:val="16"/>
        </w:rPr>
        <w:footnoteRef/>
      </w:r>
      <w:r w:rsidRPr="00EC7D5D">
        <w:rPr>
          <w:rFonts w:asciiTheme="majorHAnsi" w:hAnsiTheme="majorHAnsi" w:cstheme="majorHAnsi"/>
          <w:sz w:val="16"/>
          <w:szCs w:val="16"/>
          <w:lang w:val="nl-NL"/>
        </w:rPr>
        <w:t xml:space="preserve"> </w:t>
      </w:r>
      <w:hyperlink r:id="rId16" w:history="1">
        <w:r w:rsidRPr="00EC7D5D">
          <w:rPr>
            <w:rStyle w:val="Hyperlink"/>
            <w:rFonts w:asciiTheme="majorHAnsi" w:hAnsiTheme="majorHAnsi" w:cstheme="majorHAnsi"/>
            <w:sz w:val="16"/>
            <w:szCs w:val="16"/>
            <w:lang w:val="nl-NL"/>
          </w:rPr>
          <w:t>https://www.medibank.com.au/livebetter/newsroom/post/2023-half-year-results-a-solid-result-with-business-momentum-returning</w:t>
        </w:r>
      </w:hyperlink>
      <w:r w:rsidRPr="00EC7D5D">
        <w:rPr>
          <w:rFonts w:asciiTheme="majorHAnsi" w:hAnsiTheme="majorHAnsi" w:cstheme="majorHAnsi"/>
          <w:sz w:val="16"/>
          <w:szCs w:val="16"/>
          <w:lang w:val="nl-NL"/>
        </w:rPr>
        <w:t xml:space="preserve"> </w:t>
      </w:r>
    </w:p>
  </w:footnote>
  <w:footnote w:id="18">
    <w:p w14:paraId="0C8ADE2D" w14:textId="77777777" w:rsidR="00D1192F" w:rsidRPr="00EC7D5D" w:rsidRDefault="00D1192F" w:rsidP="006C65D4">
      <w:pPr>
        <w:pStyle w:val="FootnoteText"/>
        <w:rPr>
          <w:rFonts w:asciiTheme="majorHAnsi" w:hAnsiTheme="majorHAnsi" w:cstheme="majorHAnsi"/>
          <w:sz w:val="16"/>
          <w:szCs w:val="16"/>
          <w:lang w:val="nl-NL"/>
        </w:rPr>
      </w:pPr>
      <w:r w:rsidRPr="008A02EA">
        <w:rPr>
          <w:rStyle w:val="FootnoteReference"/>
          <w:rFonts w:asciiTheme="majorHAnsi" w:hAnsiTheme="majorHAnsi" w:cstheme="majorHAnsi"/>
          <w:sz w:val="16"/>
          <w:szCs w:val="16"/>
        </w:rPr>
        <w:footnoteRef/>
      </w:r>
      <w:r w:rsidRPr="00EC7D5D">
        <w:rPr>
          <w:rFonts w:asciiTheme="majorHAnsi" w:hAnsiTheme="majorHAnsi" w:cstheme="majorHAnsi"/>
          <w:sz w:val="16"/>
          <w:szCs w:val="16"/>
          <w:lang w:val="nl-NL"/>
        </w:rPr>
        <w:t xml:space="preserve"> </w:t>
      </w:r>
      <w:hyperlink r:id="rId17" w:history="1">
        <w:r w:rsidRPr="00EC7D5D">
          <w:rPr>
            <w:rStyle w:val="Hyperlink"/>
            <w:rFonts w:asciiTheme="majorHAnsi" w:hAnsiTheme="majorHAnsi" w:cstheme="majorHAnsi"/>
            <w:sz w:val="16"/>
            <w:szCs w:val="16"/>
            <w:lang w:val="nl-NL"/>
          </w:rPr>
          <w:t>https://www.medibank.com.au/livebetter/newsroom/post/2023-half-year-results-a-solid-result-with-business-momentum-returning</w:t>
        </w:r>
      </w:hyperlink>
    </w:p>
  </w:footnote>
  <w:footnote w:id="19">
    <w:p w14:paraId="467A138D" w14:textId="77777777" w:rsidR="00D1192F" w:rsidRPr="00EC7D5D" w:rsidRDefault="00D1192F" w:rsidP="006C65D4">
      <w:pPr>
        <w:pStyle w:val="FootnoteText"/>
        <w:rPr>
          <w:rFonts w:ascii="Arial" w:hAnsi="Arial" w:cs="Arial"/>
          <w:sz w:val="16"/>
          <w:szCs w:val="16"/>
          <w:lang w:val="nl-NL"/>
        </w:rPr>
      </w:pPr>
      <w:r w:rsidRPr="00F56B22">
        <w:rPr>
          <w:rStyle w:val="FootnoteReference"/>
          <w:rFonts w:ascii="Arial" w:hAnsi="Arial" w:cs="Arial"/>
          <w:sz w:val="16"/>
          <w:szCs w:val="16"/>
        </w:rPr>
        <w:footnoteRef/>
      </w:r>
      <w:r w:rsidRPr="00EC7D5D">
        <w:rPr>
          <w:rFonts w:ascii="Arial" w:hAnsi="Arial" w:cs="Arial"/>
          <w:sz w:val="16"/>
          <w:szCs w:val="16"/>
          <w:lang w:val="nl-NL"/>
        </w:rPr>
        <w:t xml:space="preserve"> </w:t>
      </w:r>
      <w:hyperlink r:id="rId18" w:history="1">
        <w:r w:rsidRPr="00EC7D5D">
          <w:rPr>
            <w:rStyle w:val="Hyperlink"/>
            <w:rFonts w:ascii="Arial" w:hAnsi="Arial" w:cs="Arial"/>
            <w:sz w:val="16"/>
            <w:szCs w:val="16"/>
            <w:lang w:val="nl-NL"/>
          </w:rPr>
          <w:t>https://www.optus.com.au/content/dam/optus/documents/about-us/media-centre/financial-reports/2022/halfyear_optus.pdf</w:t>
        </w:r>
      </w:hyperlink>
      <w:r w:rsidRPr="00EC7D5D">
        <w:rPr>
          <w:rFonts w:ascii="Arial" w:hAnsi="Arial" w:cs="Arial"/>
          <w:sz w:val="16"/>
          <w:szCs w:val="16"/>
          <w:lang w:val="nl-NL"/>
        </w:rPr>
        <w:t xml:space="preserve"> PG. 2; </w:t>
      </w:r>
      <w:hyperlink r:id="rId19" w:history="1">
        <w:r w:rsidRPr="00EC7D5D">
          <w:rPr>
            <w:rStyle w:val="Hyperlink"/>
            <w:rFonts w:ascii="Arial" w:hAnsi="Arial" w:cs="Arial"/>
            <w:sz w:val="16"/>
            <w:szCs w:val="16"/>
            <w:lang w:val="nl-NL"/>
          </w:rPr>
          <w:t>https://www.optus.com.au/content/dam/optus/documents/for-you/support/cyberattack/cyber_incident_letter_251022.pdf</w:t>
        </w:r>
      </w:hyperlink>
      <w:r w:rsidRPr="00EC7D5D">
        <w:rPr>
          <w:rFonts w:ascii="Arial" w:hAnsi="Arial" w:cs="Arial"/>
          <w:sz w:val="16"/>
          <w:szCs w:val="16"/>
          <w:lang w:val="nl-NL"/>
        </w:rPr>
        <w:t xml:space="preserve"> PG. 2</w:t>
      </w:r>
    </w:p>
  </w:footnote>
  <w:footnote w:id="20">
    <w:p w14:paraId="6EA5D058" w14:textId="42FBE829" w:rsidR="00D1192F" w:rsidRPr="001F362F" w:rsidRDefault="00D1192F">
      <w:pPr>
        <w:pStyle w:val="FootnoteText"/>
        <w:rPr>
          <w:rFonts w:asciiTheme="majorHAnsi" w:hAnsiTheme="majorHAnsi" w:cstheme="majorHAnsi"/>
          <w:sz w:val="16"/>
          <w:szCs w:val="16"/>
        </w:rPr>
      </w:pPr>
      <w:r w:rsidRPr="001F362F">
        <w:rPr>
          <w:rStyle w:val="FootnoteReference"/>
          <w:rFonts w:asciiTheme="majorHAnsi" w:hAnsiTheme="majorHAnsi" w:cstheme="majorHAnsi"/>
          <w:sz w:val="16"/>
          <w:szCs w:val="16"/>
        </w:rPr>
        <w:footnoteRef/>
      </w:r>
      <w:r w:rsidRPr="001F362F">
        <w:rPr>
          <w:rFonts w:asciiTheme="majorHAnsi" w:hAnsiTheme="majorHAnsi" w:cstheme="majorHAnsi"/>
          <w:sz w:val="16"/>
          <w:szCs w:val="16"/>
        </w:rPr>
        <w:t xml:space="preserve"> The 2020 RIS, which can be accessed </w:t>
      </w:r>
      <w:hyperlink r:id="rId20" w:history="1">
        <w:r w:rsidRPr="001F362F">
          <w:rPr>
            <w:rStyle w:val="Hyperlink"/>
            <w:rFonts w:asciiTheme="majorHAnsi" w:hAnsiTheme="majorHAnsi" w:cstheme="majorHAnsi"/>
            <w:sz w:val="16"/>
            <w:szCs w:val="16"/>
          </w:rPr>
          <w:t>here</w:t>
        </w:r>
      </w:hyperlink>
      <w:r w:rsidRPr="001F362F">
        <w:rPr>
          <w:rFonts w:asciiTheme="majorHAnsi" w:hAnsiTheme="majorHAnsi" w:cstheme="majorHAnsi"/>
          <w:sz w:val="16"/>
          <w:szCs w:val="16"/>
        </w:rPr>
        <w:t xml:space="preserve">, considered enhancements to the SOCI Act including positive security obligations, enhanced cyber security obligations, government assistance and ministerial directions measures. Subsequently, the 2022 RIS, which can be accessed </w:t>
      </w:r>
      <w:hyperlink r:id="rId21" w:history="1">
        <w:r w:rsidRPr="001F362F">
          <w:rPr>
            <w:rStyle w:val="Hyperlink"/>
            <w:rFonts w:asciiTheme="majorHAnsi" w:hAnsiTheme="majorHAnsi" w:cstheme="majorHAnsi"/>
            <w:sz w:val="16"/>
            <w:szCs w:val="16"/>
          </w:rPr>
          <w:t>here</w:t>
        </w:r>
      </w:hyperlink>
      <w:r w:rsidRPr="001F362F">
        <w:rPr>
          <w:rFonts w:asciiTheme="majorHAnsi" w:hAnsiTheme="majorHAnsi" w:cstheme="majorHAnsi"/>
          <w:sz w:val="16"/>
          <w:szCs w:val="16"/>
        </w:rPr>
        <w:t xml:space="preserve">, introduced risk management program obligations for captured critical asset classes which is overseen by the Department.    </w:t>
      </w:r>
    </w:p>
  </w:footnote>
  <w:footnote w:id="21">
    <w:p w14:paraId="544CF2B2" w14:textId="77777777" w:rsidR="00D1192F" w:rsidRPr="007155C5" w:rsidRDefault="00D1192F" w:rsidP="00487C09">
      <w:pPr>
        <w:pStyle w:val="FootnoteText"/>
        <w:rPr>
          <w:rFonts w:ascii="Arial" w:hAnsi="Arial" w:cs="Arial"/>
          <w:sz w:val="18"/>
          <w:szCs w:val="18"/>
        </w:rPr>
      </w:pPr>
      <w:r w:rsidRPr="00F56B22">
        <w:rPr>
          <w:rStyle w:val="FootnoteReference"/>
          <w:rFonts w:ascii="Arial" w:hAnsi="Arial" w:cs="Arial"/>
          <w:sz w:val="16"/>
          <w:szCs w:val="16"/>
        </w:rPr>
        <w:footnoteRef/>
      </w:r>
      <w:r w:rsidRPr="00F56B22">
        <w:rPr>
          <w:rFonts w:ascii="Arial" w:hAnsi="Arial" w:cs="Arial"/>
          <w:sz w:val="16"/>
          <w:szCs w:val="16"/>
        </w:rPr>
        <w:t xml:space="preserve"> </w:t>
      </w:r>
      <w:hyperlink r:id="rId22" w:history="1">
        <w:r w:rsidRPr="00F56B22">
          <w:rPr>
            <w:rStyle w:val="Hyperlink"/>
            <w:rFonts w:ascii="Arial" w:hAnsi="Arial" w:cs="Arial"/>
            <w:sz w:val="16"/>
            <w:szCs w:val="16"/>
          </w:rPr>
          <w:t>*2023–2030 Australian Cyber Security Strategy: Legislative Reforms | CONSULTATION PAPER (homeaffairs.gov.au)</w:t>
        </w:r>
      </w:hyperlink>
      <w:r w:rsidRPr="00F56B22">
        <w:rPr>
          <w:rFonts w:ascii="Arial" w:hAnsi="Arial" w:cs="Arial"/>
          <w:sz w:val="16"/>
          <w:szCs w:val="16"/>
        </w:rPr>
        <w:t xml:space="preserve"> (pg. 34). </w:t>
      </w:r>
    </w:p>
  </w:footnote>
  <w:footnote w:id="22">
    <w:p w14:paraId="270774C7" w14:textId="77777777" w:rsidR="00D1192F" w:rsidRPr="00CD0301" w:rsidRDefault="00D1192F" w:rsidP="00487C09">
      <w:pPr>
        <w:pStyle w:val="FootnoteText"/>
        <w:rPr>
          <w:rFonts w:ascii="Arial" w:hAnsi="Arial" w:cs="Arial"/>
          <w:sz w:val="16"/>
          <w:szCs w:val="16"/>
        </w:rPr>
      </w:pPr>
      <w:r w:rsidRPr="00F56B22">
        <w:rPr>
          <w:rStyle w:val="FootnoteReference"/>
          <w:rFonts w:ascii="Arial" w:hAnsi="Arial" w:cs="Arial"/>
          <w:sz w:val="16"/>
          <w:szCs w:val="16"/>
        </w:rPr>
        <w:footnoteRef/>
      </w:r>
      <w:r w:rsidRPr="00CD0301">
        <w:rPr>
          <w:rFonts w:ascii="Arial" w:hAnsi="Arial" w:cs="Arial"/>
          <w:sz w:val="16"/>
          <w:szCs w:val="16"/>
        </w:rPr>
        <w:t xml:space="preserve"> </w:t>
      </w:r>
      <w:hyperlink r:id="rId23" w:history="1">
        <w:r w:rsidRPr="00CD0301">
          <w:rPr>
            <w:rStyle w:val="Hyperlink"/>
            <w:rFonts w:ascii="Arial" w:hAnsi="Arial" w:cs="Arial"/>
            <w:sz w:val="16"/>
            <w:szCs w:val="16"/>
          </w:rPr>
          <w:t>https://www.cisc.gov.au/how-we-support-industry/organisational-resilience/critical-infrastructure-resilience-strategy</w:t>
        </w:r>
      </w:hyperlink>
      <w:r w:rsidRPr="00CD0301">
        <w:rPr>
          <w:rFonts w:ascii="Arial" w:hAnsi="Arial" w:cs="Arial"/>
          <w:sz w:val="16"/>
          <w:szCs w:val="16"/>
        </w:rPr>
        <w:t xml:space="preserve"> </w:t>
      </w:r>
    </w:p>
  </w:footnote>
  <w:footnote w:id="23">
    <w:p w14:paraId="6417AF29" w14:textId="77777777" w:rsidR="00D1192F" w:rsidRPr="00CD0301" w:rsidRDefault="00D1192F" w:rsidP="00487C09">
      <w:pPr>
        <w:pStyle w:val="FootnoteText"/>
        <w:rPr>
          <w:rFonts w:ascii="Arial" w:hAnsi="Arial" w:cs="Arial"/>
          <w:sz w:val="16"/>
          <w:szCs w:val="16"/>
        </w:rPr>
      </w:pPr>
      <w:r w:rsidRPr="00F56B22">
        <w:rPr>
          <w:rStyle w:val="FootnoteReference"/>
          <w:rFonts w:ascii="Arial" w:hAnsi="Arial" w:cs="Arial"/>
          <w:sz w:val="16"/>
          <w:szCs w:val="16"/>
        </w:rPr>
        <w:footnoteRef/>
      </w:r>
      <w:r w:rsidRPr="00CD0301">
        <w:rPr>
          <w:rFonts w:ascii="Arial" w:hAnsi="Arial" w:cs="Arial"/>
          <w:sz w:val="16"/>
          <w:szCs w:val="16"/>
        </w:rPr>
        <w:t xml:space="preserve"> </w:t>
      </w:r>
      <w:hyperlink r:id="rId24" w:history="1">
        <w:r w:rsidRPr="00CD0301">
          <w:rPr>
            <w:rStyle w:val="Hyperlink"/>
            <w:rFonts w:ascii="Arial" w:hAnsi="Arial" w:cs="Arial"/>
            <w:sz w:val="16"/>
            <w:szCs w:val="16"/>
          </w:rPr>
          <w:t>https://www.cisc.gov.au/how-we-support-industry/partnership-and-collaboration/trusted-information-sharing-network</w:t>
        </w:r>
      </w:hyperlink>
      <w:r w:rsidRPr="00CD0301">
        <w:rPr>
          <w:rFonts w:ascii="Arial" w:hAnsi="Arial" w:cs="Arial"/>
          <w:sz w:val="16"/>
          <w:szCs w:val="16"/>
        </w:rPr>
        <w:t xml:space="preserve"> </w:t>
      </w:r>
    </w:p>
  </w:footnote>
  <w:footnote w:id="24">
    <w:p w14:paraId="7BA7B2EC" w14:textId="77777777" w:rsidR="00D1192F" w:rsidRPr="00CD0301" w:rsidRDefault="00D1192F" w:rsidP="00487C09">
      <w:pPr>
        <w:pStyle w:val="FootnoteText"/>
      </w:pPr>
      <w:r w:rsidRPr="00F56B22">
        <w:rPr>
          <w:rStyle w:val="FootnoteReference"/>
          <w:rFonts w:ascii="Arial" w:hAnsi="Arial" w:cs="Arial"/>
          <w:sz w:val="16"/>
          <w:szCs w:val="16"/>
        </w:rPr>
        <w:footnoteRef/>
      </w:r>
      <w:r w:rsidRPr="00CD0301">
        <w:rPr>
          <w:rFonts w:ascii="Arial" w:hAnsi="Arial" w:cs="Arial"/>
          <w:sz w:val="16"/>
          <w:szCs w:val="16"/>
        </w:rPr>
        <w:t xml:space="preserve"> </w:t>
      </w:r>
      <w:hyperlink r:id="rId25" w:history="1">
        <w:r w:rsidRPr="00CD0301">
          <w:rPr>
            <w:rStyle w:val="Hyperlink"/>
            <w:rFonts w:ascii="Arial" w:hAnsi="Arial" w:cs="Arial"/>
            <w:sz w:val="16"/>
            <w:szCs w:val="16"/>
          </w:rPr>
          <w:t>https://www.cisc.gov.au/about-us</w:t>
        </w:r>
      </w:hyperlink>
      <w:r w:rsidRPr="00CD0301">
        <w:rPr>
          <w:sz w:val="18"/>
          <w:szCs w:val="18"/>
        </w:rPr>
        <w:t xml:space="preserve"> </w:t>
      </w:r>
    </w:p>
  </w:footnote>
  <w:footnote w:id="25">
    <w:p w14:paraId="6B8811AD" w14:textId="77777777" w:rsidR="00D1192F" w:rsidRPr="00302A0C" w:rsidRDefault="00D1192F" w:rsidP="004C3259">
      <w:pPr>
        <w:pStyle w:val="FootnoteText"/>
        <w:rPr>
          <w:rFonts w:ascii="Arial" w:hAnsi="Arial" w:cs="Arial"/>
        </w:rPr>
      </w:pPr>
      <w:r w:rsidRPr="00302A0C">
        <w:rPr>
          <w:rStyle w:val="FootnoteReference"/>
          <w:rFonts w:ascii="Arial" w:hAnsi="Arial" w:cs="Arial"/>
          <w:sz w:val="18"/>
          <w:szCs w:val="18"/>
        </w:rPr>
        <w:footnoteRef/>
      </w:r>
      <w:r w:rsidRPr="00302A0C">
        <w:rPr>
          <w:rFonts w:ascii="Arial" w:hAnsi="Arial" w:cs="Arial"/>
          <w:sz w:val="18"/>
          <w:szCs w:val="18"/>
        </w:rPr>
        <w:t xml:space="preserve"> </w:t>
      </w:r>
      <w:hyperlink r:id="rId26" w:history="1">
        <w:r w:rsidRPr="00302A0C">
          <w:rPr>
            <w:rStyle w:val="Hyperlink"/>
            <w:rFonts w:ascii="Arial" w:hAnsi="Arial" w:cs="Arial"/>
            <w:sz w:val="18"/>
            <w:szCs w:val="18"/>
          </w:rPr>
          <w:t>https://www.ncsc.gov.uk/news/ncsc-warns-enduring-significant-threat-to-uks-critical-infrastructure</w:t>
        </w:r>
      </w:hyperlink>
      <w:r w:rsidRPr="00302A0C">
        <w:rPr>
          <w:rFonts w:ascii="Arial" w:hAnsi="Arial" w:cs="Arial"/>
          <w:sz w:val="18"/>
          <w:szCs w:val="18"/>
        </w:rPr>
        <w:t xml:space="preserve"> </w:t>
      </w:r>
    </w:p>
  </w:footnote>
  <w:footnote w:id="26">
    <w:p w14:paraId="3001BD7D" w14:textId="5C268217" w:rsidR="00D1192F" w:rsidRPr="002619A4" w:rsidRDefault="00D1192F">
      <w:pPr>
        <w:pStyle w:val="FootnoteText"/>
        <w:rPr>
          <w:sz w:val="16"/>
          <w:szCs w:val="16"/>
        </w:rPr>
      </w:pPr>
      <w:r w:rsidRPr="002619A4">
        <w:rPr>
          <w:rStyle w:val="FootnoteReference"/>
          <w:sz w:val="16"/>
          <w:szCs w:val="16"/>
        </w:rPr>
        <w:footnoteRef/>
      </w:r>
      <w:r w:rsidRPr="002619A4">
        <w:rPr>
          <w:sz w:val="16"/>
          <w:szCs w:val="16"/>
        </w:rPr>
        <w:t xml:space="preserve"> The Statement can be accessed </w:t>
      </w:r>
      <w:hyperlink r:id="rId27" w:anchor=":~:text=In%202024%2D25%2C%20our%20SOCI,uplift%20in%20regulated%20entity%20compliance" w:history="1">
        <w:r w:rsidRPr="002619A4">
          <w:rPr>
            <w:rStyle w:val="Hyperlink"/>
            <w:sz w:val="16"/>
            <w:szCs w:val="16"/>
          </w:rPr>
          <w:t>here</w:t>
        </w:r>
      </w:hyperlink>
      <w:r w:rsidRPr="002619A4">
        <w:rPr>
          <w:sz w:val="16"/>
          <w:szCs w:val="16"/>
        </w:rPr>
        <w:t xml:space="preserve">. </w:t>
      </w:r>
    </w:p>
  </w:footnote>
  <w:footnote w:id="27">
    <w:p w14:paraId="68820603" w14:textId="34EB5438" w:rsidR="00D1192F" w:rsidRPr="002619A4" w:rsidRDefault="00D1192F">
      <w:pPr>
        <w:pStyle w:val="FootnoteText"/>
        <w:rPr>
          <w:lang w:val="nl-NL"/>
        </w:rPr>
      </w:pPr>
      <w:r>
        <w:rPr>
          <w:rStyle w:val="FootnoteReference"/>
        </w:rPr>
        <w:footnoteRef/>
      </w:r>
      <w:hyperlink r:id="rId28" w:anchor="search=%22committees/commsen/27530/0000%22" w:history="1">
        <w:r w:rsidRPr="002619A4">
          <w:rPr>
            <w:rStyle w:val="Hyperlink"/>
            <w:sz w:val="16"/>
            <w:szCs w:val="16"/>
            <w:lang w:val="nl-NL"/>
          </w:rPr>
          <w:t>https://parlinfo.aph.gov.au/parlInfo/download/committees/commsen/27530/toc_pdf/Environment%20and%20Communications%20References%20Committee_2023_11_17_Official.pdf;fileType=application%2Fpdf#search=%22committees/commsen/27530/0000%22</w:t>
        </w:r>
      </w:hyperlink>
      <w:r w:rsidRPr="002619A4">
        <w:rPr>
          <w:sz w:val="16"/>
          <w:szCs w:val="16"/>
          <w:lang w:val="nl-NL"/>
        </w:rPr>
        <w:t xml:space="preserve"> PG. 12</w:t>
      </w:r>
    </w:p>
  </w:footnote>
  <w:footnote w:id="28">
    <w:p w14:paraId="40590A5B" w14:textId="44B43600" w:rsidR="00D1192F" w:rsidRPr="002619A4" w:rsidRDefault="00D1192F">
      <w:pPr>
        <w:pStyle w:val="FootnoteText"/>
        <w:rPr>
          <w:lang w:val="nl-NL"/>
        </w:rPr>
      </w:pPr>
      <w:r>
        <w:rPr>
          <w:rStyle w:val="FootnoteReference"/>
        </w:rPr>
        <w:footnoteRef/>
      </w:r>
      <w:r w:rsidRPr="002619A4">
        <w:rPr>
          <w:lang w:val="nl-NL"/>
        </w:rPr>
        <w:t xml:space="preserve"> </w:t>
      </w:r>
      <w:hyperlink r:id="rId29" w:history="1">
        <w:r w:rsidRPr="002619A4">
          <w:rPr>
            <w:rStyle w:val="Hyperlink"/>
            <w:rFonts w:asciiTheme="majorHAnsi" w:hAnsiTheme="majorHAnsi" w:cstheme="majorHAnsi"/>
            <w:sz w:val="16"/>
            <w:szCs w:val="16"/>
            <w:lang w:val="nl-NL"/>
          </w:rPr>
          <w:t>https://www.foreignminister.gov.au/minister/penny-wong/media-release/cyber-sanctions-response-medibank-private-cyber-attack</w:t>
        </w:r>
      </w:hyperlink>
      <w:r w:rsidRPr="002619A4">
        <w:rPr>
          <w:rFonts w:asciiTheme="majorHAnsi" w:hAnsiTheme="majorHAnsi" w:cstheme="majorHAnsi"/>
          <w:sz w:val="16"/>
          <w:szCs w:val="16"/>
          <w:lang w:val="nl-NL"/>
        </w:rPr>
        <w:t xml:space="preserve">; </w:t>
      </w:r>
      <w:hyperlink r:id="rId30" w:history="1">
        <w:r w:rsidRPr="002619A4">
          <w:rPr>
            <w:rStyle w:val="Hyperlink"/>
            <w:rFonts w:asciiTheme="majorHAnsi" w:hAnsiTheme="majorHAnsi" w:cstheme="majorHAnsi"/>
            <w:sz w:val="16"/>
            <w:szCs w:val="16"/>
            <w:lang w:val="nl-NL"/>
          </w:rPr>
          <w:t>https://www.medibank.com.au/livebetter/newsroom/post/medibank-cybercrime-update%207%20November</w:t>
        </w:r>
      </w:hyperlink>
    </w:p>
  </w:footnote>
  <w:footnote w:id="29">
    <w:p w14:paraId="0A0F78D6" w14:textId="25C66485" w:rsidR="00D1192F" w:rsidRPr="002619A4" w:rsidRDefault="00D1192F">
      <w:pPr>
        <w:pStyle w:val="FootnoteText"/>
        <w:rPr>
          <w:rStyle w:val="FootnoteReference"/>
          <w:sz w:val="16"/>
          <w:szCs w:val="16"/>
        </w:rPr>
      </w:pPr>
      <w:r w:rsidRPr="002619A4">
        <w:rPr>
          <w:rStyle w:val="FootnoteReference"/>
          <w:sz w:val="16"/>
          <w:szCs w:val="16"/>
        </w:rPr>
        <w:footnoteRef/>
      </w:r>
      <w:r w:rsidRPr="002619A4">
        <w:rPr>
          <w:rStyle w:val="FootnoteReference"/>
          <w:sz w:val="16"/>
          <w:szCs w:val="16"/>
        </w:rPr>
        <w:t xml:space="preserve"> </w:t>
      </w:r>
      <w:r>
        <w:rPr>
          <w:sz w:val="16"/>
          <w:szCs w:val="16"/>
        </w:rPr>
        <w:t xml:space="preserve">Information about the methodology for calculating the costs from 2021-22 consultation period is provided in Appendix A of this IA. Further details on methodology and the data on which cost was based can be found in the </w:t>
      </w:r>
      <w:r w:rsidRPr="000D2B78">
        <w:rPr>
          <w:sz w:val="16"/>
          <w:szCs w:val="16"/>
        </w:rPr>
        <w:t xml:space="preserve">2022 RIS </w:t>
      </w:r>
      <w:hyperlink r:id="rId31" w:history="1">
        <w:r w:rsidRPr="002619A4">
          <w:rPr>
            <w:rStyle w:val="Hyperlink"/>
            <w:rFonts w:ascii="Arial" w:hAnsi="Arial" w:cs="Arial"/>
            <w:sz w:val="16"/>
            <w:szCs w:val="16"/>
          </w:rPr>
          <w:t>here.</w:t>
        </w:r>
      </w:hyperlink>
    </w:p>
  </w:footnote>
  <w:footnote w:id="30">
    <w:p w14:paraId="00DE26B1" w14:textId="735F1166" w:rsidR="0016036B" w:rsidRDefault="0016036B">
      <w:pPr>
        <w:pStyle w:val="FootnoteText"/>
      </w:pPr>
      <w:r w:rsidRPr="002619A4">
        <w:rPr>
          <w:rStyle w:val="FootnoteReference"/>
          <w:sz w:val="16"/>
          <w:szCs w:val="16"/>
        </w:rPr>
        <w:footnoteRef/>
      </w:r>
      <w:r w:rsidRPr="002619A4">
        <w:rPr>
          <w:sz w:val="16"/>
          <w:szCs w:val="16"/>
        </w:rPr>
        <w:t xml:space="preserve"> References in this IA to ‘one-off’ refer to the costs incurred by an entity to establish systems</w:t>
      </w:r>
      <w:r>
        <w:rPr>
          <w:sz w:val="16"/>
          <w:szCs w:val="16"/>
        </w:rPr>
        <w:t>, processes</w:t>
      </w:r>
      <w:r w:rsidRPr="002619A4">
        <w:rPr>
          <w:sz w:val="16"/>
          <w:szCs w:val="16"/>
        </w:rPr>
        <w:t xml:space="preserve"> and controls which will allow for compliance with the obligations. </w:t>
      </w:r>
    </w:p>
  </w:footnote>
  <w:footnote w:id="31">
    <w:p w14:paraId="15D455EC" w14:textId="52723A60" w:rsidR="00D1192F" w:rsidRPr="005D22FF" w:rsidRDefault="00D1192F">
      <w:pPr>
        <w:pStyle w:val="FootnoteText"/>
        <w:rPr>
          <w:sz w:val="16"/>
          <w:szCs w:val="16"/>
        </w:rPr>
      </w:pPr>
      <w:r w:rsidRPr="005D22FF">
        <w:rPr>
          <w:rStyle w:val="FootnoteReference"/>
          <w:sz w:val="16"/>
          <w:szCs w:val="16"/>
        </w:rPr>
        <w:footnoteRef/>
      </w:r>
      <w:r w:rsidRPr="005D22FF">
        <w:rPr>
          <w:sz w:val="16"/>
          <w:szCs w:val="16"/>
        </w:rPr>
        <w:t xml:space="preserve"> Based on the Commonwealth Attorney General’s Engagement of Counsel rates: </w:t>
      </w:r>
      <w:hyperlink r:id="rId32" w:history="1">
        <w:r w:rsidRPr="005D22FF">
          <w:rPr>
            <w:rStyle w:val="Hyperlink"/>
            <w:sz w:val="16"/>
            <w:szCs w:val="16"/>
          </w:rPr>
          <w:t>https://www.ag.gov.au/legal-system/office-legal-services-coordination/engagement-counsel</w:t>
        </w:r>
      </w:hyperlink>
      <w:r w:rsidRPr="005D22FF">
        <w:rPr>
          <w:sz w:val="16"/>
          <w:szCs w:val="16"/>
        </w:rPr>
        <w:t xml:space="preserve"> </w:t>
      </w:r>
    </w:p>
  </w:footnote>
  <w:footnote w:id="32">
    <w:p w14:paraId="5747789A" w14:textId="77777777" w:rsidR="00D1192F" w:rsidRPr="001E22C2" w:rsidRDefault="00D1192F" w:rsidP="008D061B">
      <w:pPr>
        <w:pStyle w:val="FootnoteText"/>
        <w:rPr>
          <w:sz w:val="16"/>
          <w:szCs w:val="16"/>
        </w:rPr>
      </w:pPr>
      <w:r w:rsidRPr="001E22C2">
        <w:rPr>
          <w:rStyle w:val="FootnoteReference"/>
          <w:sz w:val="16"/>
          <w:szCs w:val="16"/>
        </w:rPr>
        <w:footnoteRef/>
      </w:r>
      <w:r w:rsidRPr="001E22C2">
        <w:rPr>
          <w:sz w:val="16"/>
          <w:szCs w:val="16"/>
        </w:rPr>
        <w:t xml:space="preserve"> Based on the Commonwealth Attorney General’s Engagement of Counsel rates: </w:t>
      </w:r>
      <w:hyperlink r:id="rId33" w:history="1">
        <w:r w:rsidRPr="001E22C2">
          <w:rPr>
            <w:rStyle w:val="Hyperlink"/>
            <w:sz w:val="16"/>
            <w:szCs w:val="16"/>
          </w:rPr>
          <w:t>https://www.ag.gov.au/legal-system/office-legal-services-coordination/engagement-counsel</w:t>
        </w:r>
      </w:hyperlink>
      <w:r w:rsidRPr="001E22C2">
        <w:rPr>
          <w:sz w:val="16"/>
          <w:szCs w:val="16"/>
        </w:rPr>
        <w:t xml:space="preserve"> </w:t>
      </w:r>
    </w:p>
  </w:footnote>
  <w:footnote w:id="33">
    <w:p w14:paraId="09CF65CD" w14:textId="16978715" w:rsidR="00D1192F" w:rsidRPr="00436D55" w:rsidRDefault="00D1192F">
      <w:pPr>
        <w:pStyle w:val="FootnoteText"/>
        <w:rPr>
          <w:sz w:val="16"/>
          <w:szCs w:val="16"/>
          <w:lang w:val="nl-NL"/>
        </w:rPr>
      </w:pPr>
      <w:r w:rsidRPr="00436D55">
        <w:rPr>
          <w:rStyle w:val="FootnoteReference"/>
          <w:sz w:val="16"/>
          <w:szCs w:val="16"/>
        </w:rPr>
        <w:footnoteRef/>
      </w:r>
      <w:r w:rsidRPr="00436D55">
        <w:rPr>
          <w:sz w:val="16"/>
          <w:szCs w:val="16"/>
          <w:lang w:val="nl-NL"/>
        </w:rPr>
        <w:t xml:space="preserve"> </w:t>
      </w:r>
      <w:hyperlink r:id="rId34" w:history="1">
        <w:r w:rsidRPr="00436D55">
          <w:rPr>
            <w:rStyle w:val="Hyperlink"/>
            <w:sz w:val="16"/>
            <w:szCs w:val="16"/>
            <w:lang w:val="nl-NL"/>
          </w:rPr>
          <w:t>https://oia.pmc.gov.au/sites/default/files/2024-02/regulatory-burden-measurement-framework.pdf</w:t>
        </w:r>
      </w:hyperlink>
      <w:r w:rsidRPr="00436D55">
        <w:rPr>
          <w:sz w:val="16"/>
          <w:szCs w:val="16"/>
          <w:lang w:val="nl-NL"/>
        </w:rPr>
        <w:t xml:space="preserve"> PG 3-4.</w:t>
      </w:r>
    </w:p>
  </w:footnote>
  <w:footnote w:id="34">
    <w:p w14:paraId="5E1B031F" w14:textId="77777777" w:rsidR="00D1192F" w:rsidRPr="006769BE" w:rsidRDefault="00D1192F" w:rsidP="0052682F">
      <w:pPr>
        <w:pStyle w:val="FootnoteText"/>
        <w:rPr>
          <w:rFonts w:ascii="Arial" w:hAnsi="Arial" w:cs="Arial"/>
          <w:sz w:val="18"/>
          <w:szCs w:val="18"/>
        </w:rPr>
      </w:pPr>
      <w:r w:rsidRPr="006769BE">
        <w:rPr>
          <w:rStyle w:val="FootnoteReference"/>
          <w:rFonts w:ascii="Arial" w:hAnsi="Arial" w:cs="Arial"/>
          <w:sz w:val="18"/>
          <w:szCs w:val="18"/>
        </w:rPr>
        <w:footnoteRef/>
      </w:r>
      <w:r w:rsidRPr="006769BE">
        <w:rPr>
          <w:rFonts w:ascii="Arial" w:hAnsi="Arial" w:cs="Arial"/>
          <w:sz w:val="18"/>
          <w:szCs w:val="18"/>
        </w:rPr>
        <w:t xml:space="preserve"> This is the case for all sectors, except critical payment systems where the Reserve Bank of Australia is the regulator. </w:t>
      </w:r>
    </w:p>
  </w:footnote>
  <w:footnote w:id="35">
    <w:p w14:paraId="4D539E0B" w14:textId="77777777" w:rsidR="00D1192F" w:rsidRDefault="00D1192F" w:rsidP="0052682F">
      <w:pPr>
        <w:pStyle w:val="FootnoteText"/>
      </w:pPr>
      <w:r w:rsidRPr="006769BE">
        <w:rPr>
          <w:rStyle w:val="FootnoteReference"/>
          <w:rFonts w:ascii="Arial" w:hAnsi="Arial" w:cs="Arial"/>
          <w:sz w:val="18"/>
          <w:szCs w:val="18"/>
        </w:rPr>
        <w:footnoteRef/>
      </w:r>
      <w:r w:rsidRPr="006769BE">
        <w:rPr>
          <w:rFonts w:ascii="Arial" w:hAnsi="Arial" w:cs="Arial"/>
          <w:sz w:val="18"/>
          <w:szCs w:val="18"/>
        </w:rPr>
        <w:t xml:space="preserve"> https://www.cisc.gov.au/legislation-regulation-and-compliance/our-regulatory-principles-and-approach</w:t>
      </w:r>
    </w:p>
  </w:footnote>
  <w:footnote w:id="36">
    <w:p w14:paraId="00AE2539" w14:textId="4A836B13" w:rsidR="00D1192F" w:rsidRPr="006A474D" w:rsidRDefault="00D1192F">
      <w:pPr>
        <w:pStyle w:val="FootnoteText"/>
        <w:rPr>
          <w:sz w:val="16"/>
          <w:szCs w:val="16"/>
        </w:rPr>
      </w:pPr>
      <w:r w:rsidRPr="006A474D">
        <w:rPr>
          <w:rStyle w:val="FootnoteReference"/>
          <w:sz w:val="16"/>
          <w:szCs w:val="16"/>
        </w:rPr>
        <w:footnoteRef/>
      </w:r>
      <w:r w:rsidRPr="006A474D">
        <w:rPr>
          <w:sz w:val="16"/>
          <w:szCs w:val="16"/>
        </w:rPr>
        <w:t xml:space="preserve"> Note: For security purposes, the process for RMP sampling and audit</w:t>
      </w:r>
      <w:r>
        <w:rPr>
          <w:sz w:val="16"/>
          <w:szCs w:val="16"/>
        </w:rPr>
        <w:t xml:space="preserve"> methodology</w:t>
      </w:r>
      <w:r w:rsidRPr="006A474D">
        <w:rPr>
          <w:sz w:val="16"/>
          <w:szCs w:val="16"/>
        </w:rPr>
        <w:t xml:space="preserve"> will not be made publicly available. </w:t>
      </w:r>
    </w:p>
  </w:footnote>
  <w:footnote w:id="37">
    <w:p w14:paraId="75344B37" w14:textId="006336F8" w:rsidR="00D1192F" w:rsidRDefault="00D1192F">
      <w:pPr>
        <w:pStyle w:val="FootnoteText"/>
      </w:pPr>
      <w:r w:rsidRPr="006A474D">
        <w:rPr>
          <w:rStyle w:val="FootnoteReference"/>
          <w:sz w:val="16"/>
          <w:szCs w:val="16"/>
        </w:rPr>
        <w:footnoteRef/>
      </w:r>
      <w:r w:rsidRPr="006A474D">
        <w:rPr>
          <w:sz w:val="16"/>
          <w:szCs w:val="16"/>
        </w:rPr>
        <w:t xml:space="preserve"> These costs are presented as they were in the RIS 2022. They have not been indexed </w:t>
      </w:r>
      <w:r>
        <w:rPr>
          <w:sz w:val="16"/>
          <w:szCs w:val="16"/>
        </w:rPr>
        <w:t>and are in 2022 base year dollars. H</w:t>
      </w:r>
      <w:r w:rsidRPr="006A474D">
        <w:rPr>
          <w:sz w:val="16"/>
          <w:szCs w:val="16"/>
        </w:rPr>
        <w:t xml:space="preserve">owever, these costs have been applied </w:t>
      </w:r>
      <w:r>
        <w:rPr>
          <w:sz w:val="16"/>
          <w:szCs w:val="16"/>
        </w:rPr>
        <w:t xml:space="preserve">in the analysis </w:t>
      </w:r>
      <w:r w:rsidRPr="006A474D">
        <w:rPr>
          <w:sz w:val="16"/>
          <w:szCs w:val="16"/>
        </w:rPr>
        <w:t>in this IA</w:t>
      </w:r>
      <w:r>
        <w:rPr>
          <w:sz w:val="16"/>
          <w:szCs w:val="16"/>
        </w:rPr>
        <w:t xml:space="preserve">. In considering the measures proposed in this IA, the regulatory costs presented here have been indexed to June 2024 based on the ABS CPI. </w:t>
      </w:r>
      <w:r w:rsidRPr="006A474D">
        <w:rPr>
          <w:sz w:val="16"/>
          <w:szCs w:val="16"/>
        </w:rPr>
        <w:t xml:space="preserve"> </w:t>
      </w:r>
    </w:p>
  </w:footnote>
  <w:footnote w:id="38">
    <w:p w14:paraId="1BE2E769" w14:textId="77777777" w:rsidR="00D1192F" w:rsidRPr="00F341C5" w:rsidRDefault="00D1192F">
      <w:pPr>
        <w:pStyle w:val="FootnoteText"/>
        <w:rPr>
          <w:sz w:val="16"/>
          <w:szCs w:val="16"/>
        </w:rPr>
      </w:pPr>
      <w:r w:rsidRPr="00F341C5">
        <w:rPr>
          <w:rStyle w:val="FootnoteReference"/>
          <w:sz w:val="16"/>
          <w:szCs w:val="16"/>
        </w:rPr>
        <w:footnoteRef/>
      </w:r>
      <w:r w:rsidRPr="00F341C5">
        <w:rPr>
          <w:sz w:val="16"/>
          <w:szCs w:val="16"/>
        </w:rPr>
        <w:t xml:space="preserve"> For the purposes of this IA (and as referred to in the body of this document), these costs have been indexed to </w:t>
      </w:r>
      <w:r>
        <w:rPr>
          <w:sz w:val="16"/>
          <w:szCs w:val="16"/>
        </w:rPr>
        <w:t xml:space="preserve">$8.8 million (average one-off cost per entity) and $4.0 million (average annual ongoing cost per entity).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9DF7" w14:textId="08A2DF09" w:rsidR="00D1192F" w:rsidRDefault="00D1192F">
    <w:pPr>
      <w:pStyle w:val="Header"/>
    </w:pPr>
    <w:r>
      <w:rPr>
        <w:noProof/>
        <w:color w:val="2B579A"/>
        <w:shd w:val="clear" w:color="auto" w:fill="E6E6E6"/>
        <w:lang w:eastAsia="en-AU"/>
      </w:rPr>
      <mc:AlternateContent>
        <mc:Choice Requires="wps">
          <w:drawing>
            <wp:anchor distT="0" distB="0" distL="0" distR="0" simplePos="0" relativeHeight="251658248" behindDoc="0" locked="0" layoutInCell="1" allowOverlap="1" wp14:anchorId="641A71CB" wp14:editId="6218C91E">
              <wp:simplePos x="635" y="635"/>
              <wp:positionH relativeFrom="page">
                <wp:align>center</wp:align>
              </wp:positionH>
              <wp:positionV relativeFrom="page">
                <wp:align>top</wp:align>
              </wp:positionV>
              <wp:extent cx="552450" cy="371475"/>
              <wp:effectExtent l="0" t="0" r="0" b="9525"/>
              <wp:wrapNone/>
              <wp:docPr id="272078040" name="Text Box 27207804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3DB6611" w14:textId="62E764F4" w:rsidR="00D1192F" w:rsidRPr="0088760B" w:rsidRDefault="00D1192F">
                          <w:pPr>
                            <w:rPr>
                              <w:rFonts w:ascii="Calibri" w:eastAsia="Calibri" w:hAnsi="Calibri" w:cs="Calibri"/>
                              <w:noProof/>
                              <w:color w:val="FF0000"/>
                              <w:sz w:val="24"/>
                              <w:szCs w:val="24"/>
                            </w:rPr>
                          </w:pPr>
                          <w:r w:rsidRPr="009763A8">
                            <w:rPr>
                              <w:rFonts w:ascii="Calibri" w:eastAsia="Calibri" w:hAnsi="Calibri" w:cs="Calibri"/>
                              <w:noProof/>
                              <w:sz w:val="24"/>
                              <w:szCs w:val="24"/>
                              <w:shd w:val="clear" w:color="auto" w:fill="E6E6E6"/>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1A71CB" id="_x0000_t202" coordsize="21600,21600" o:spt="202" path="m,l,21600r21600,l21600,xe">
              <v:stroke joinstyle="miter"/>
              <v:path gradientshapeok="t" o:connecttype="rect"/>
            </v:shapetype>
            <v:shape id="Text Box 272078040" o:spid="_x0000_s1027" type="#_x0000_t202" alt="OFFICIAL" style="position:absolute;left:0;text-align:left;margin-left:0;margin-top:0;width:43.5pt;height:29.2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13DB6611" w14:textId="62E764F4" w:rsidR="00D1192F" w:rsidRPr="0088760B" w:rsidRDefault="00D1192F">
                    <w:pPr>
                      <w:rPr>
                        <w:rFonts w:ascii="Calibri" w:eastAsia="Calibri" w:hAnsi="Calibri" w:cs="Calibri"/>
                        <w:noProof/>
                        <w:color w:val="FF0000"/>
                        <w:sz w:val="24"/>
                        <w:szCs w:val="24"/>
                      </w:rPr>
                    </w:pPr>
                    <w:r w:rsidRPr="009763A8">
                      <w:rPr>
                        <w:rFonts w:ascii="Calibri" w:eastAsia="Calibri" w:hAnsi="Calibri" w:cs="Calibri"/>
                        <w:noProof/>
                        <w:sz w:val="24"/>
                        <w:szCs w:val="24"/>
                        <w:shd w:val="clear" w:color="auto" w:fill="E6E6E6"/>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5CA5" w14:textId="70AEEEF6" w:rsidR="00D1192F" w:rsidRDefault="00D1192F" w:rsidP="00553A95">
    <w:pPr>
      <w:pStyle w:val="Protection"/>
      <w:spacing w:before="120"/>
    </w:pPr>
    <w:r>
      <w:rPr>
        <w:noProof/>
        <w:color w:val="2B579A"/>
        <w:shd w:val="clear" w:color="auto" w:fill="E6E6E6"/>
        <w:lang w:eastAsia="en-AU"/>
      </w:rPr>
      <mc:AlternateContent>
        <mc:Choice Requires="wps">
          <w:drawing>
            <wp:anchor distT="0" distB="0" distL="0" distR="0" simplePos="0" relativeHeight="251658249" behindDoc="0" locked="0" layoutInCell="1" allowOverlap="1" wp14:anchorId="2D2E88DF" wp14:editId="58497BDE">
              <wp:simplePos x="635" y="635"/>
              <wp:positionH relativeFrom="page">
                <wp:align>center</wp:align>
              </wp:positionH>
              <wp:positionV relativeFrom="page">
                <wp:align>top</wp:align>
              </wp:positionV>
              <wp:extent cx="552450" cy="371475"/>
              <wp:effectExtent l="0" t="0" r="0" b="9525"/>
              <wp:wrapNone/>
              <wp:docPr id="432275460" name="Text Box 432275460"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1DB77878" w14:textId="2C32A406" w:rsidR="00D1192F" w:rsidRPr="00E2284E" w:rsidRDefault="00D1192F">
                          <w:pPr>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2E88DF" id="_x0000_t202" coordsize="21600,21600" o:spt="202" path="m,l,21600r21600,l21600,xe">
              <v:stroke joinstyle="miter"/>
              <v:path gradientshapeok="t" o:connecttype="rect"/>
            </v:shapetype>
            <v:shape id="Text Box 432275460" o:spid="_x0000_s1028" type="#_x0000_t202" alt="OFFICIAL" style="position:absolute;left:0;text-align:left;margin-left:0;margin-top:0;width:43.5pt;height:29.2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1DB77878" w14:textId="2C32A406" w:rsidR="00D1192F" w:rsidRPr="00E2284E" w:rsidRDefault="00D1192F">
                    <w:pPr>
                      <w:rPr>
                        <w:rFonts w:ascii="Calibri" w:eastAsia="Calibri" w:hAnsi="Calibri" w:cs="Calibri"/>
                        <w:noProof/>
                        <w:color w:val="FF0000"/>
                        <w:sz w:val="24"/>
                        <w:szCs w:val="24"/>
                      </w:rPr>
                    </w:pPr>
                  </w:p>
                </w:txbxContent>
              </v:textbox>
              <w10:wrap anchorx="page" anchory="page"/>
            </v:shape>
          </w:pict>
        </mc:Fallback>
      </mc:AlternateContent>
    </w:r>
    <w:r>
      <w:rPr>
        <w:noProof/>
        <w:color w:val="2B579A"/>
        <w:shd w:val="clear" w:color="auto" w:fill="E6E6E6"/>
        <w:lang w:eastAsia="en-AU"/>
      </w:rPr>
      <w:drawing>
        <wp:anchor distT="0" distB="0" distL="114300" distR="114300" simplePos="0" relativeHeight="251658245" behindDoc="0" locked="0" layoutInCell="1" allowOverlap="1" wp14:anchorId="142E19E0" wp14:editId="69967CA4">
          <wp:simplePos x="0" y="0"/>
          <wp:positionH relativeFrom="column">
            <wp:posOffset>-899795</wp:posOffset>
          </wp:positionH>
          <wp:positionV relativeFrom="paragraph">
            <wp:posOffset>31262</wp:posOffset>
          </wp:positionV>
          <wp:extent cx="7559675" cy="535940"/>
          <wp:effectExtent l="0" t="0" r="3175" b="0"/>
          <wp:wrapThrough wrapText="bothSides">
            <wp:wrapPolygon edited="0">
              <wp:start x="0" y="0"/>
              <wp:lineTo x="0" y="20730"/>
              <wp:lineTo x="21555" y="20730"/>
              <wp:lineTo x="21555" y="0"/>
              <wp:lineTo x="0" y="0"/>
            </wp:wrapPolygon>
          </wp:wrapThrough>
          <wp:docPr id="1191103807" name="Picture 1191103807">
            <a:extLst xmlns:a="http://schemas.openxmlformats.org/drawingml/2006/main">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03807" name="Picture 1191103807">
                    <a:extLst>
                      <a:ext uri="{C183D7F6-B498-43B3-948B-1728B52AA6E4}">
                        <adec:decorative xmlns:adec="http://schemas.microsoft.com/office/drawing/2017/decorativ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anchor>
      </w:drawing>
    </w:r>
  </w:p>
  <w:p w14:paraId="28F80720" w14:textId="77777777" w:rsidR="00D1192F" w:rsidRDefault="00DE3E5F" w:rsidP="004A163C">
    <w:pPr>
      <w:pStyle w:val="Protection"/>
    </w:pPr>
    <w:sdt>
      <w:sdtPr>
        <w:rPr>
          <w:color w:val="2B579A"/>
          <w:shd w:val="clear" w:color="auto" w:fill="E6E6E6"/>
        </w:rPr>
        <w:alias w:val="IMM"/>
        <w:tag w:val="DLM"/>
        <w:id w:val="-1417079864"/>
        <w:placeholder>
          <w:docPart w:val="AB33DD0C5B4740F38EA932E0C2A66FF0"/>
        </w:placeholder>
        <w:dataBinding w:xpath="/ns0:Minute_Root[1]/ns0:dlm[1]" w:storeItemID="{00000000-0000-0000-0000-000000000000}"/>
        <w:text/>
      </w:sdtPr>
      <w:sdtEndPr>
        <w:rPr>
          <w:color w:val="C00000"/>
          <w:shd w:val="clear" w:color="auto" w:fill="auto"/>
        </w:rPr>
      </w:sdtEndPr>
      <w:sdtContent>
        <w:r w:rsidR="00D1192F">
          <w:t xml:space="preserve">  </w:t>
        </w:r>
      </w:sdtContent>
    </w:sdt>
  </w:p>
  <w:p w14:paraId="4E3620A7" w14:textId="77777777" w:rsidR="00D1192F" w:rsidRPr="00250BFB" w:rsidRDefault="00D1192F" w:rsidP="004A163C">
    <w:pPr>
      <w:pStyle w:val="Protectio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74BD" w14:textId="4D61F6D5" w:rsidR="00D1192F" w:rsidRDefault="00D1192F">
    <w:pPr>
      <w:pStyle w:val="Header"/>
    </w:pPr>
    <w:r>
      <w:rPr>
        <w:noProof/>
        <w:color w:val="2B579A"/>
        <w:shd w:val="clear" w:color="auto" w:fill="E6E6E6"/>
        <w:lang w:eastAsia="en-AU"/>
      </w:rPr>
      <w:drawing>
        <wp:anchor distT="0" distB="0" distL="114300" distR="114300" simplePos="0" relativeHeight="251658246" behindDoc="0" locked="0" layoutInCell="1" allowOverlap="1" wp14:anchorId="41CC1D5F" wp14:editId="4E8FA438">
          <wp:simplePos x="0" y="0"/>
          <wp:positionH relativeFrom="page">
            <wp:align>right</wp:align>
          </wp:positionH>
          <wp:positionV relativeFrom="paragraph">
            <wp:posOffset>-28624</wp:posOffset>
          </wp:positionV>
          <wp:extent cx="7559999" cy="1466274"/>
          <wp:effectExtent l="0" t="0" r="3175" b="635"/>
          <wp:wrapThrough wrapText="bothSides">
            <wp:wrapPolygon edited="0">
              <wp:start x="0" y="0"/>
              <wp:lineTo x="0" y="21329"/>
              <wp:lineTo x="21555" y="21329"/>
              <wp:lineTo x="21555" y="0"/>
              <wp:lineTo x="0" y="0"/>
            </wp:wrapPolygon>
          </wp:wrapThrough>
          <wp:docPr id="1" name="Picture 1" descr="Australian Government Department of Home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999" cy="14662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AB8DF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8813F6"/>
    <w:multiLevelType w:val="hybridMultilevel"/>
    <w:tmpl w:val="D2B611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FB28C5"/>
    <w:multiLevelType w:val="multilevel"/>
    <w:tmpl w:val="11C64328"/>
    <w:styleLink w:val="ListParagraph0"/>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3" w15:restartNumberingAfterBreak="0">
    <w:nsid w:val="044C10D8"/>
    <w:multiLevelType w:val="singleLevel"/>
    <w:tmpl w:val="F25413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06006114"/>
    <w:multiLevelType w:val="singleLevel"/>
    <w:tmpl w:val="515A78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06FA4D05"/>
    <w:multiLevelType w:val="multilevel"/>
    <w:tmpl w:val="BDFC207A"/>
    <w:numStyleLink w:val="ListTableNumber"/>
  </w:abstractNum>
  <w:abstractNum w:abstractNumId="6" w15:restartNumberingAfterBreak="0">
    <w:nsid w:val="07284AE9"/>
    <w:multiLevelType w:val="multilevel"/>
    <w:tmpl w:val="3F1EBC72"/>
    <w:styleLink w:val="ListAlpha"/>
    <w:lvl w:ilvl="0">
      <w:start w:val="1"/>
      <w:numFmt w:val="upperLetter"/>
      <w:lvlText w:val="%1."/>
      <w:lvlJc w:val="left"/>
      <w:pPr>
        <w:tabs>
          <w:tab w:val="num" w:pos="284"/>
        </w:tabs>
        <w:ind w:left="567" w:hanging="567"/>
      </w:pPr>
      <w:rPr>
        <w:rFonts w:asciiTheme="minorHAnsi" w:hAnsiTheme="minorHAnsi" w:hint="default"/>
        <w:color w:val="auto"/>
        <w:sz w:val="20"/>
      </w:rPr>
    </w:lvl>
    <w:lvl w:ilvl="1">
      <w:start w:val="1"/>
      <w:numFmt w:val="lowerRoman"/>
      <w:lvlText w:val="%2."/>
      <w:lvlJc w:val="left"/>
      <w:pPr>
        <w:tabs>
          <w:tab w:val="num" w:pos="1134"/>
        </w:tabs>
        <w:ind w:left="1134" w:hanging="567"/>
      </w:pPr>
      <w:rPr>
        <w:rFonts w:asciiTheme="minorHAnsi" w:hAnsiTheme="minorHAnsi" w:hint="default"/>
        <w:color w:val="auto"/>
        <w:sz w:val="22"/>
      </w:rPr>
    </w:lvl>
    <w:lvl w:ilvl="2">
      <w:start w:val="1"/>
      <w:numFmt w:val="lowerLetter"/>
      <w:lvlText w:val="%3."/>
      <w:lvlJc w:val="left"/>
      <w:pPr>
        <w:tabs>
          <w:tab w:val="num" w:pos="1701"/>
        </w:tabs>
        <w:ind w:left="1701" w:hanging="567"/>
      </w:pPr>
      <w:rPr>
        <w:rFonts w:asciiTheme="minorHAnsi" w:hAnsiTheme="minorHAnsi" w:hint="default"/>
        <w:color w:val="auto"/>
        <w:sz w:val="20"/>
      </w:rPr>
    </w:lvl>
    <w:lvl w:ilvl="3">
      <w:start w:val="1"/>
      <w:numFmt w:val="upperRoman"/>
      <w:lvlText w:val="%4."/>
      <w:lvlJc w:val="left"/>
      <w:pPr>
        <w:tabs>
          <w:tab w:val="num" w:pos="2268"/>
        </w:tabs>
        <w:ind w:left="2268" w:hanging="567"/>
      </w:pPr>
      <w:rPr>
        <w:rFonts w:asciiTheme="minorHAnsi" w:hAnsiTheme="minorHAnsi" w:hint="default"/>
        <w:color w:val="auto"/>
        <w:sz w:val="20"/>
      </w:rPr>
    </w:lvl>
    <w:lvl w:ilvl="4">
      <w:start w:val="1"/>
      <w:numFmt w:val="decimal"/>
      <w:lvlText w:val="%5."/>
      <w:lvlJc w:val="left"/>
      <w:pPr>
        <w:tabs>
          <w:tab w:val="num" w:pos="2835"/>
        </w:tabs>
        <w:ind w:left="2835" w:hanging="567"/>
      </w:pPr>
      <w:rPr>
        <w:rFonts w:asciiTheme="minorHAnsi" w:hAnsiTheme="minorHAnsi" w:hint="default"/>
        <w:color w:val="auto"/>
        <w:sz w:val="20"/>
      </w:rPr>
    </w:lvl>
    <w:lvl w:ilvl="5">
      <w:start w:val="1"/>
      <w:numFmt w:val="lowerLetter"/>
      <w:lvlText w:val="%6."/>
      <w:lvlJc w:val="left"/>
      <w:pPr>
        <w:tabs>
          <w:tab w:val="num" w:pos="3402"/>
        </w:tabs>
        <w:ind w:left="3402" w:hanging="567"/>
      </w:pPr>
      <w:rPr>
        <w:rFonts w:asciiTheme="minorHAnsi" w:hAnsiTheme="minorHAnsi" w:hint="default"/>
        <w:color w:val="auto"/>
        <w:sz w:val="20"/>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7" w15:restartNumberingAfterBreak="0">
    <w:nsid w:val="080B33AA"/>
    <w:multiLevelType w:val="singleLevel"/>
    <w:tmpl w:val="74E26F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15:restartNumberingAfterBreak="0">
    <w:nsid w:val="086F2BFC"/>
    <w:multiLevelType w:val="multilevel"/>
    <w:tmpl w:val="54CA3FCA"/>
    <w:lvl w:ilvl="0">
      <w:start w:val="5"/>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D457C5"/>
    <w:multiLevelType w:val="multilevel"/>
    <w:tmpl w:val="624681D2"/>
    <w:numStyleLink w:val="ListTableBullet"/>
  </w:abstractNum>
  <w:abstractNum w:abstractNumId="10" w15:restartNumberingAfterBreak="0">
    <w:nsid w:val="0CCD4DAA"/>
    <w:multiLevelType w:val="multilevel"/>
    <w:tmpl w:val="624681D2"/>
    <w:styleLink w:val="ListTableBullet"/>
    <w:lvl w:ilvl="0">
      <w:start w:val="1"/>
      <w:numFmt w:val="bullet"/>
      <w:pStyle w:val="TableBullet"/>
      <w:lvlText w:val=""/>
      <w:lvlJc w:val="left"/>
      <w:pPr>
        <w:tabs>
          <w:tab w:val="num" w:pos="284"/>
        </w:tabs>
        <w:ind w:left="284" w:hanging="284"/>
      </w:pPr>
      <w:rPr>
        <w:rFonts w:ascii="Symbol" w:hAnsi="Symbol" w:hint="default"/>
        <w:color w:val="auto"/>
        <w:sz w:val="20"/>
      </w:rPr>
    </w:lvl>
    <w:lvl w:ilvl="1">
      <w:start w:val="1"/>
      <w:numFmt w:val="bullet"/>
      <w:pStyle w:val="TableBullet2"/>
      <w:lvlText w:val="–"/>
      <w:lvlJc w:val="left"/>
      <w:pPr>
        <w:tabs>
          <w:tab w:val="num" w:pos="567"/>
        </w:tabs>
        <w:ind w:left="567" w:hanging="283"/>
      </w:pPr>
      <w:rPr>
        <w:rFonts w:ascii="Arial" w:hAnsi="Arial" w:cs="Times New Roman" w:hint="default"/>
        <w:color w:val="auto"/>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11" w15:restartNumberingAfterBreak="0">
    <w:nsid w:val="0D1A56E9"/>
    <w:multiLevelType w:val="singleLevel"/>
    <w:tmpl w:val="C3F296FC"/>
    <w:lvl w:ilvl="0">
      <w:start w:val="1"/>
      <w:numFmt w:val="bullet"/>
      <w:lvlText w:val="•"/>
      <w:lvlJc w:val="left"/>
      <w:pPr>
        <w:ind w:left="360" w:hanging="360"/>
      </w:pPr>
      <w:rPr>
        <w:rFonts w:ascii="Arial" w:hAnsi="Arial" w:cs="Arial" w:hint="default"/>
        <w:color w:val="auto"/>
        <w:sz w:val="24"/>
      </w:rPr>
    </w:lvl>
  </w:abstractNum>
  <w:abstractNum w:abstractNumId="12" w15:restartNumberingAfterBreak="0">
    <w:nsid w:val="0D87A861"/>
    <w:multiLevelType w:val="hybridMultilevel"/>
    <w:tmpl w:val="C7D26BFE"/>
    <w:lvl w:ilvl="0" w:tplc="6EBEC892">
      <w:start w:val="1"/>
      <w:numFmt w:val="bullet"/>
      <w:lvlText w:val=""/>
      <w:lvlJc w:val="left"/>
      <w:pPr>
        <w:ind w:left="720" w:hanging="360"/>
      </w:pPr>
      <w:rPr>
        <w:rFonts w:ascii="Symbol" w:hAnsi="Symbol" w:hint="default"/>
      </w:rPr>
    </w:lvl>
    <w:lvl w:ilvl="1" w:tplc="1E88A3F4">
      <w:start w:val="1"/>
      <w:numFmt w:val="bullet"/>
      <w:lvlText w:val="o"/>
      <w:lvlJc w:val="left"/>
      <w:pPr>
        <w:ind w:left="1440" w:hanging="360"/>
      </w:pPr>
      <w:rPr>
        <w:rFonts w:ascii="Courier New" w:hAnsi="Courier New" w:hint="default"/>
      </w:rPr>
    </w:lvl>
    <w:lvl w:ilvl="2" w:tplc="64EE97CC">
      <w:start w:val="1"/>
      <w:numFmt w:val="bullet"/>
      <w:lvlText w:val=""/>
      <w:lvlJc w:val="left"/>
      <w:pPr>
        <w:ind w:left="2160" w:hanging="360"/>
      </w:pPr>
      <w:rPr>
        <w:rFonts w:ascii="Wingdings" w:hAnsi="Wingdings" w:hint="default"/>
      </w:rPr>
    </w:lvl>
    <w:lvl w:ilvl="3" w:tplc="FE104998">
      <w:start w:val="1"/>
      <w:numFmt w:val="bullet"/>
      <w:lvlText w:val=""/>
      <w:lvlJc w:val="left"/>
      <w:pPr>
        <w:ind w:left="2880" w:hanging="360"/>
      </w:pPr>
      <w:rPr>
        <w:rFonts w:ascii="Symbol" w:hAnsi="Symbol" w:hint="default"/>
      </w:rPr>
    </w:lvl>
    <w:lvl w:ilvl="4" w:tplc="DCEA8118">
      <w:start w:val="1"/>
      <w:numFmt w:val="bullet"/>
      <w:lvlText w:val="o"/>
      <w:lvlJc w:val="left"/>
      <w:pPr>
        <w:ind w:left="3600" w:hanging="360"/>
      </w:pPr>
      <w:rPr>
        <w:rFonts w:ascii="Courier New" w:hAnsi="Courier New" w:hint="default"/>
      </w:rPr>
    </w:lvl>
    <w:lvl w:ilvl="5" w:tplc="092C2682">
      <w:start w:val="1"/>
      <w:numFmt w:val="bullet"/>
      <w:lvlText w:val=""/>
      <w:lvlJc w:val="left"/>
      <w:pPr>
        <w:ind w:left="4320" w:hanging="360"/>
      </w:pPr>
      <w:rPr>
        <w:rFonts w:ascii="Wingdings" w:hAnsi="Wingdings" w:hint="default"/>
      </w:rPr>
    </w:lvl>
    <w:lvl w:ilvl="6" w:tplc="B9769526">
      <w:start w:val="1"/>
      <w:numFmt w:val="bullet"/>
      <w:lvlText w:val=""/>
      <w:lvlJc w:val="left"/>
      <w:pPr>
        <w:ind w:left="5040" w:hanging="360"/>
      </w:pPr>
      <w:rPr>
        <w:rFonts w:ascii="Symbol" w:hAnsi="Symbol" w:hint="default"/>
      </w:rPr>
    </w:lvl>
    <w:lvl w:ilvl="7" w:tplc="529A6582">
      <w:start w:val="1"/>
      <w:numFmt w:val="bullet"/>
      <w:lvlText w:val="o"/>
      <w:lvlJc w:val="left"/>
      <w:pPr>
        <w:ind w:left="5760" w:hanging="360"/>
      </w:pPr>
      <w:rPr>
        <w:rFonts w:ascii="Courier New" w:hAnsi="Courier New" w:hint="default"/>
      </w:rPr>
    </w:lvl>
    <w:lvl w:ilvl="8" w:tplc="861C87CA">
      <w:start w:val="1"/>
      <w:numFmt w:val="bullet"/>
      <w:lvlText w:val=""/>
      <w:lvlJc w:val="left"/>
      <w:pPr>
        <w:ind w:left="6480" w:hanging="360"/>
      </w:pPr>
      <w:rPr>
        <w:rFonts w:ascii="Wingdings" w:hAnsi="Wingdings" w:hint="default"/>
      </w:rPr>
    </w:lvl>
  </w:abstractNum>
  <w:abstractNum w:abstractNumId="13" w15:restartNumberingAfterBreak="0">
    <w:nsid w:val="0E9643A9"/>
    <w:multiLevelType w:val="singleLevel"/>
    <w:tmpl w:val="866443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0F7C30B3"/>
    <w:multiLevelType w:val="singleLevel"/>
    <w:tmpl w:val="BE50954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0414FB5"/>
    <w:multiLevelType w:val="multilevel"/>
    <w:tmpl w:val="B1CC89EA"/>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34162E5"/>
    <w:multiLevelType w:val="singleLevel"/>
    <w:tmpl w:val="E046811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15:restartNumberingAfterBreak="0">
    <w:nsid w:val="14151340"/>
    <w:multiLevelType w:val="singleLevel"/>
    <w:tmpl w:val="C040CD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15C89E0C"/>
    <w:multiLevelType w:val="hybridMultilevel"/>
    <w:tmpl w:val="044AF7B6"/>
    <w:lvl w:ilvl="0" w:tplc="9CE6C178">
      <w:start w:val="1"/>
      <w:numFmt w:val="bullet"/>
      <w:lvlText w:val="•"/>
      <w:lvlJc w:val="left"/>
      <w:pPr>
        <w:ind w:left="720" w:hanging="360"/>
      </w:pPr>
      <w:rPr>
        <w:rFonts w:ascii="Arial" w:hAnsi="Arial" w:hint="default"/>
      </w:rPr>
    </w:lvl>
    <w:lvl w:ilvl="1" w:tplc="B186006A">
      <w:start w:val="1"/>
      <w:numFmt w:val="bullet"/>
      <w:lvlText w:val="o"/>
      <w:lvlJc w:val="left"/>
      <w:pPr>
        <w:ind w:left="1440" w:hanging="360"/>
      </w:pPr>
      <w:rPr>
        <w:rFonts w:ascii="Courier New" w:hAnsi="Courier New" w:hint="default"/>
      </w:rPr>
    </w:lvl>
    <w:lvl w:ilvl="2" w:tplc="1BEEFECA">
      <w:start w:val="1"/>
      <w:numFmt w:val="bullet"/>
      <w:lvlText w:val=""/>
      <w:lvlJc w:val="left"/>
      <w:pPr>
        <w:ind w:left="2160" w:hanging="360"/>
      </w:pPr>
      <w:rPr>
        <w:rFonts w:ascii="Wingdings" w:hAnsi="Wingdings" w:hint="default"/>
      </w:rPr>
    </w:lvl>
    <w:lvl w:ilvl="3" w:tplc="40A455A0">
      <w:start w:val="1"/>
      <w:numFmt w:val="bullet"/>
      <w:lvlText w:val=""/>
      <w:lvlJc w:val="left"/>
      <w:pPr>
        <w:ind w:left="2880" w:hanging="360"/>
      </w:pPr>
      <w:rPr>
        <w:rFonts w:ascii="Symbol" w:hAnsi="Symbol" w:hint="default"/>
      </w:rPr>
    </w:lvl>
    <w:lvl w:ilvl="4" w:tplc="5ECE5EC6">
      <w:start w:val="1"/>
      <w:numFmt w:val="bullet"/>
      <w:lvlText w:val="o"/>
      <w:lvlJc w:val="left"/>
      <w:pPr>
        <w:ind w:left="3600" w:hanging="360"/>
      </w:pPr>
      <w:rPr>
        <w:rFonts w:ascii="Courier New" w:hAnsi="Courier New" w:hint="default"/>
      </w:rPr>
    </w:lvl>
    <w:lvl w:ilvl="5" w:tplc="6B9E0DD6">
      <w:start w:val="1"/>
      <w:numFmt w:val="bullet"/>
      <w:lvlText w:val=""/>
      <w:lvlJc w:val="left"/>
      <w:pPr>
        <w:ind w:left="4320" w:hanging="360"/>
      </w:pPr>
      <w:rPr>
        <w:rFonts w:ascii="Wingdings" w:hAnsi="Wingdings" w:hint="default"/>
      </w:rPr>
    </w:lvl>
    <w:lvl w:ilvl="6" w:tplc="4FEC71E0">
      <w:start w:val="1"/>
      <w:numFmt w:val="bullet"/>
      <w:lvlText w:val=""/>
      <w:lvlJc w:val="left"/>
      <w:pPr>
        <w:ind w:left="5040" w:hanging="360"/>
      </w:pPr>
      <w:rPr>
        <w:rFonts w:ascii="Symbol" w:hAnsi="Symbol" w:hint="default"/>
      </w:rPr>
    </w:lvl>
    <w:lvl w:ilvl="7" w:tplc="33FEDD2C">
      <w:start w:val="1"/>
      <w:numFmt w:val="bullet"/>
      <w:lvlText w:val="o"/>
      <w:lvlJc w:val="left"/>
      <w:pPr>
        <w:ind w:left="5760" w:hanging="360"/>
      </w:pPr>
      <w:rPr>
        <w:rFonts w:ascii="Courier New" w:hAnsi="Courier New" w:hint="default"/>
      </w:rPr>
    </w:lvl>
    <w:lvl w:ilvl="8" w:tplc="6C86BEA6">
      <w:start w:val="1"/>
      <w:numFmt w:val="bullet"/>
      <w:lvlText w:val=""/>
      <w:lvlJc w:val="left"/>
      <w:pPr>
        <w:ind w:left="6480" w:hanging="360"/>
      </w:pPr>
      <w:rPr>
        <w:rFonts w:ascii="Wingdings" w:hAnsi="Wingdings" w:hint="default"/>
      </w:rPr>
    </w:lvl>
  </w:abstractNum>
  <w:abstractNum w:abstractNumId="19" w15:restartNumberingAfterBreak="0">
    <w:nsid w:val="179B3801"/>
    <w:multiLevelType w:val="multilevel"/>
    <w:tmpl w:val="E52A052A"/>
    <w:styleLink w:val="ListFeatureBullet"/>
    <w:lvl w:ilvl="0">
      <w:start w:val="1"/>
      <w:numFmt w:val="bullet"/>
      <w:lvlText w:val=""/>
      <w:lvlJc w:val="left"/>
      <w:pPr>
        <w:tabs>
          <w:tab w:val="num" w:pos="567"/>
        </w:tabs>
        <w:ind w:left="567" w:hanging="567"/>
      </w:pPr>
      <w:rPr>
        <w:rFonts w:ascii="Wingdings 3" w:hAnsi="Wingdings 3" w:hint="default"/>
        <w:color w:val="034EA2" w:themeColor="accent1"/>
        <w:sz w:val="18"/>
      </w:rPr>
    </w:lvl>
    <w:lvl w:ilvl="1">
      <w:start w:val="1"/>
      <w:numFmt w:val="bullet"/>
      <w:lvlText w:val="–"/>
      <w:lvlJc w:val="left"/>
      <w:pPr>
        <w:tabs>
          <w:tab w:val="num" w:pos="1134"/>
        </w:tabs>
        <w:ind w:left="1134" w:hanging="567"/>
      </w:pPr>
      <w:rPr>
        <w:rFonts w:ascii="Helvetica" w:hAnsi="Helvetica" w:hint="default"/>
        <w:color w:val="auto"/>
      </w:rPr>
    </w:lvl>
    <w:lvl w:ilvl="2">
      <w:start w:val="1"/>
      <w:numFmt w:val="bullet"/>
      <w:lvlText w:val=""/>
      <w:lvlJc w:val="left"/>
      <w:pPr>
        <w:tabs>
          <w:tab w:val="num" w:pos="1701"/>
        </w:tabs>
        <w:ind w:left="1701" w:hanging="567"/>
      </w:pPr>
      <w:rPr>
        <w:rFonts w:ascii="Wingdings 2" w:hAnsi="Wingdings 2" w:hint="default"/>
        <w:color w:val="auto"/>
      </w:rPr>
    </w:lvl>
    <w:lvl w:ilvl="3">
      <w:start w:val="1"/>
      <w:numFmt w:val="bullet"/>
      <w:lvlText w:val=""/>
      <w:lvlJc w:val="left"/>
      <w:pPr>
        <w:tabs>
          <w:tab w:val="num" w:pos="2268"/>
        </w:tabs>
        <w:ind w:left="2268" w:hanging="567"/>
      </w:pPr>
      <w:rPr>
        <w:rFonts w:ascii="Wingdings 3" w:hAnsi="Wingdings 3" w:hint="default"/>
        <w:color w:val="034EA2" w:themeColor="accent1"/>
        <w:sz w:val="18"/>
      </w:rPr>
    </w:lvl>
    <w:lvl w:ilvl="4">
      <w:start w:val="1"/>
      <w:numFmt w:val="bullet"/>
      <w:lvlText w:val="–"/>
      <w:lvlJc w:val="left"/>
      <w:pPr>
        <w:tabs>
          <w:tab w:val="num" w:pos="2835"/>
        </w:tabs>
        <w:ind w:left="2835" w:hanging="567"/>
      </w:pPr>
      <w:rPr>
        <w:rFonts w:ascii="Arial" w:hAnsi="Arial" w:hint="default"/>
        <w:color w:val="auto"/>
      </w:rPr>
    </w:lvl>
    <w:lvl w:ilvl="5">
      <w:start w:val="1"/>
      <w:numFmt w:val="bullet"/>
      <w:lvlText w:val=""/>
      <w:lvlJc w:val="left"/>
      <w:pPr>
        <w:tabs>
          <w:tab w:val="num" w:pos="3402"/>
        </w:tabs>
        <w:ind w:left="3402" w:hanging="567"/>
      </w:pPr>
      <w:rPr>
        <w:rFonts w:ascii="Wingdings 2" w:hAnsi="Wingdings 2"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0" w15:restartNumberingAfterBreak="0">
    <w:nsid w:val="18A66029"/>
    <w:multiLevelType w:val="singleLevel"/>
    <w:tmpl w:val="F9CEF2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18CC7FF7"/>
    <w:multiLevelType w:val="hybridMultilevel"/>
    <w:tmpl w:val="2982EE3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9B56170"/>
    <w:multiLevelType w:val="multilevel"/>
    <w:tmpl w:val="7FB6FAE2"/>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DE0516"/>
    <w:multiLevelType w:val="singleLevel"/>
    <w:tmpl w:val="33FC91B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1AA56851"/>
    <w:multiLevelType w:val="singleLevel"/>
    <w:tmpl w:val="CAC6B1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1B5A1378"/>
    <w:multiLevelType w:val="hybridMultilevel"/>
    <w:tmpl w:val="3660660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6" w15:restartNumberingAfterBreak="0">
    <w:nsid w:val="1B926BAF"/>
    <w:multiLevelType w:val="hybridMultilevel"/>
    <w:tmpl w:val="CE30C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F94A06"/>
    <w:multiLevelType w:val="hybridMultilevel"/>
    <w:tmpl w:val="7DC46F2E"/>
    <w:lvl w:ilvl="0" w:tplc="FFFFFFFF">
      <w:start w:val="1"/>
      <w:numFmt w:val="bullet"/>
      <w:lvlText w:val="•"/>
      <w:lvlJc w:val="left"/>
      <w:pPr>
        <w:ind w:left="360" w:hanging="360"/>
      </w:pPr>
      <w:rPr>
        <w:rFonts w:ascii="Arial" w:hAnsi="Arial" w:cs="Arial" w:hint="default"/>
        <w:color w:val="auto"/>
        <w:sz w:val="24"/>
      </w:rPr>
    </w:lvl>
    <w:lvl w:ilvl="1" w:tplc="0C090003">
      <w:start w:val="1"/>
      <w:numFmt w:val="bullet"/>
      <w:lvlText w:val="o"/>
      <w:lvlJc w:val="left"/>
      <w:pPr>
        <w:ind w:left="70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1CD30CB6"/>
    <w:multiLevelType w:val="singleLevel"/>
    <w:tmpl w:val="8E608E7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9" w15:restartNumberingAfterBreak="0">
    <w:nsid w:val="1D6C5EE2"/>
    <w:multiLevelType w:val="singleLevel"/>
    <w:tmpl w:val="B28C305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205048C6"/>
    <w:multiLevelType w:val="singleLevel"/>
    <w:tmpl w:val="370E9A6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1" w15:restartNumberingAfterBreak="0">
    <w:nsid w:val="20B272CE"/>
    <w:multiLevelType w:val="singleLevel"/>
    <w:tmpl w:val="EC5C24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20FA6070"/>
    <w:multiLevelType w:val="multilevel"/>
    <w:tmpl w:val="C604FF20"/>
    <w:lvl w:ilvl="0">
      <w:start w:val="1"/>
      <w:numFmt w:val="decimal"/>
      <w:lvlText w:val="%1."/>
      <w:lvlJc w:val="left"/>
      <w:pPr>
        <w:tabs>
          <w:tab w:val="num" w:pos="340"/>
        </w:tabs>
        <w:ind w:left="340" w:hanging="340"/>
      </w:p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3" w15:restartNumberingAfterBreak="0">
    <w:nsid w:val="23E96BF8"/>
    <w:multiLevelType w:val="multilevel"/>
    <w:tmpl w:val="4A4A7EFE"/>
    <w:numStyleLink w:val="ListNumberedHeadings"/>
  </w:abstractNum>
  <w:abstractNum w:abstractNumId="34" w15:restartNumberingAfterBreak="0">
    <w:nsid w:val="24741D40"/>
    <w:multiLevelType w:val="multilevel"/>
    <w:tmpl w:val="814A7C94"/>
    <w:styleLink w:val="ListNumber"/>
    <w:lvl w:ilvl="0">
      <w:start w:val="1"/>
      <w:numFmt w:val="decimal"/>
      <w:lvlText w:val="%1."/>
      <w:lvlJc w:val="left"/>
      <w:pPr>
        <w:tabs>
          <w:tab w:val="num" w:pos="567"/>
        </w:tabs>
        <w:ind w:left="567" w:hanging="567"/>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1134" w:hanging="567"/>
      </w:pPr>
      <w:rPr>
        <w:rFonts w:asciiTheme="minorHAnsi" w:hAnsiTheme="minorHAnsi" w:hint="default"/>
        <w:b w:val="0"/>
        <w:i w:val="0"/>
        <w:color w:val="auto"/>
        <w:sz w:val="20"/>
      </w:rPr>
    </w:lvl>
    <w:lvl w:ilvl="2">
      <w:start w:val="1"/>
      <w:numFmt w:val="lowerRoman"/>
      <w:lvlText w:val="%3."/>
      <w:lvlJc w:val="left"/>
      <w:pPr>
        <w:tabs>
          <w:tab w:val="num" w:pos="1701"/>
        </w:tabs>
        <w:ind w:left="1701" w:hanging="567"/>
      </w:pPr>
      <w:rPr>
        <w:rFonts w:asciiTheme="minorHAnsi" w:hAnsiTheme="minorHAnsi" w:hint="default"/>
        <w:b w:val="0"/>
        <w:i w:val="0"/>
        <w:color w:val="auto"/>
        <w:sz w:val="20"/>
      </w:rPr>
    </w:lvl>
    <w:lvl w:ilvl="3">
      <w:start w:val="1"/>
      <w:numFmt w:val="decimal"/>
      <w:lvlText w:val="%4."/>
      <w:lvlJc w:val="left"/>
      <w:pPr>
        <w:tabs>
          <w:tab w:val="num" w:pos="2268"/>
        </w:tabs>
        <w:ind w:left="2268" w:hanging="567"/>
      </w:pPr>
      <w:rPr>
        <w:rFonts w:asciiTheme="minorHAnsi" w:hAnsiTheme="minorHAnsi" w:hint="default"/>
        <w:b w:val="0"/>
        <w:i w:val="0"/>
        <w:color w:val="auto"/>
        <w:sz w:val="20"/>
      </w:rPr>
    </w:lvl>
    <w:lvl w:ilvl="4">
      <w:start w:val="1"/>
      <w:numFmt w:val="lowerLetter"/>
      <w:lvlText w:val="%5."/>
      <w:lvlJc w:val="left"/>
      <w:pPr>
        <w:tabs>
          <w:tab w:val="num" w:pos="2835"/>
        </w:tabs>
        <w:ind w:left="2835" w:hanging="567"/>
      </w:pPr>
      <w:rPr>
        <w:rFonts w:asciiTheme="minorHAnsi" w:hAnsiTheme="minorHAnsi" w:hint="default"/>
        <w:b w:val="0"/>
        <w:i w:val="0"/>
        <w:color w:val="auto"/>
        <w:sz w:val="20"/>
      </w:rPr>
    </w:lvl>
    <w:lvl w:ilvl="5">
      <w:start w:val="1"/>
      <w:numFmt w:val="lowerRoman"/>
      <w:lvlText w:val="%6."/>
      <w:lvlJc w:val="left"/>
      <w:pPr>
        <w:tabs>
          <w:tab w:val="num" w:pos="3402"/>
        </w:tabs>
        <w:ind w:left="3402" w:hanging="567"/>
      </w:pPr>
      <w:rPr>
        <w:rFonts w:asciiTheme="minorHAnsi" w:hAnsiTheme="minor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35" w15:restartNumberingAfterBreak="0">
    <w:nsid w:val="26026413"/>
    <w:multiLevelType w:val="multilevel"/>
    <w:tmpl w:val="0BB4736C"/>
    <w:lvl w:ilvl="0">
      <w:start w:val="1"/>
      <w:numFmt w:val="bullet"/>
      <w:pStyle w:val="ListBullet"/>
      <w:lvlText w:val=""/>
      <w:lvlJc w:val="left"/>
      <w:pPr>
        <w:ind w:left="1364" w:hanging="284"/>
      </w:pPr>
      <w:rPr>
        <w:rFonts w:ascii="Symbol" w:hAnsi="Symbol" w:hint="default"/>
      </w:rPr>
    </w:lvl>
    <w:lvl w:ilvl="1">
      <w:start w:val="1"/>
      <w:numFmt w:val="bullet"/>
      <w:pStyle w:val="ListBullet2"/>
      <w:lvlText w:val="‒"/>
      <w:lvlJc w:val="left"/>
      <w:pPr>
        <w:ind w:left="1648" w:hanging="284"/>
      </w:pPr>
      <w:rPr>
        <w:rFonts w:ascii="Calibri" w:hAnsi="Calibri" w:hint="default"/>
      </w:rPr>
    </w:lvl>
    <w:lvl w:ilvl="2">
      <w:start w:val="1"/>
      <w:numFmt w:val="bullet"/>
      <w:pStyle w:val="ListBullet3"/>
      <w:lvlText w:val="o"/>
      <w:lvlJc w:val="left"/>
      <w:pPr>
        <w:ind w:left="1932" w:hanging="284"/>
      </w:pPr>
      <w:rPr>
        <w:rFonts w:ascii="Courier New" w:hAnsi="Courier New" w:hint="default"/>
      </w:rPr>
    </w:lvl>
    <w:lvl w:ilvl="3">
      <w:start w:val="1"/>
      <w:numFmt w:val="bullet"/>
      <w:pStyle w:val="ListBullet4"/>
      <w:lvlText w:val=""/>
      <w:lvlJc w:val="left"/>
      <w:pPr>
        <w:ind w:left="2216" w:hanging="284"/>
      </w:pPr>
      <w:rPr>
        <w:rFonts w:ascii="Wingdings" w:hAnsi="Wingdings" w:hint="default"/>
      </w:rPr>
    </w:lvl>
    <w:lvl w:ilvl="4">
      <w:start w:val="1"/>
      <w:numFmt w:val="bullet"/>
      <w:lvlText w:val=""/>
      <w:lvlJc w:val="left"/>
      <w:pPr>
        <w:ind w:left="2500" w:hanging="284"/>
      </w:pPr>
      <w:rPr>
        <w:rFonts w:ascii="Symbol" w:hAnsi="Symbol" w:hint="default"/>
      </w:rPr>
    </w:lvl>
    <w:lvl w:ilvl="5">
      <w:start w:val="1"/>
      <w:numFmt w:val="lowerRoman"/>
      <w:lvlText w:val="(%6)"/>
      <w:lvlJc w:val="left"/>
      <w:pPr>
        <w:ind w:left="2784" w:hanging="284"/>
      </w:pPr>
    </w:lvl>
    <w:lvl w:ilvl="6">
      <w:start w:val="1"/>
      <w:numFmt w:val="decimal"/>
      <w:lvlText w:val="%7."/>
      <w:lvlJc w:val="left"/>
      <w:pPr>
        <w:ind w:left="3068" w:hanging="284"/>
      </w:pPr>
    </w:lvl>
    <w:lvl w:ilvl="7">
      <w:start w:val="1"/>
      <w:numFmt w:val="lowerLetter"/>
      <w:lvlText w:val="%8."/>
      <w:lvlJc w:val="left"/>
      <w:pPr>
        <w:ind w:left="3352" w:hanging="284"/>
      </w:pPr>
    </w:lvl>
    <w:lvl w:ilvl="8">
      <w:start w:val="1"/>
      <w:numFmt w:val="lowerRoman"/>
      <w:lvlText w:val="%9."/>
      <w:lvlJc w:val="left"/>
      <w:pPr>
        <w:ind w:left="3636" w:hanging="284"/>
      </w:pPr>
    </w:lvl>
  </w:abstractNum>
  <w:abstractNum w:abstractNumId="36" w15:restartNumberingAfterBreak="0">
    <w:nsid w:val="269D7E30"/>
    <w:multiLevelType w:val="hybridMultilevel"/>
    <w:tmpl w:val="902A266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37" w15:restartNumberingAfterBreak="0">
    <w:nsid w:val="26D4F9F2"/>
    <w:multiLevelType w:val="hybridMultilevel"/>
    <w:tmpl w:val="0A7A6C02"/>
    <w:lvl w:ilvl="0" w:tplc="10EEFE22">
      <w:start w:val="1"/>
      <w:numFmt w:val="bullet"/>
      <w:lvlText w:val="•"/>
      <w:lvlJc w:val="left"/>
      <w:pPr>
        <w:ind w:left="720" w:hanging="360"/>
      </w:pPr>
      <w:rPr>
        <w:rFonts w:ascii="Arial" w:hAnsi="Arial" w:hint="default"/>
      </w:rPr>
    </w:lvl>
    <w:lvl w:ilvl="1" w:tplc="F4F606D2">
      <w:start w:val="1"/>
      <w:numFmt w:val="bullet"/>
      <w:lvlText w:val="o"/>
      <w:lvlJc w:val="left"/>
      <w:pPr>
        <w:ind w:left="1440" w:hanging="360"/>
      </w:pPr>
      <w:rPr>
        <w:rFonts w:ascii="Courier New" w:hAnsi="Courier New" w:hint="default"/>
      </w:rPr>
    </w:lvl>
    <w:lvl w:ilvl="2" w:tplc="EE46B1CE">
      <w:start w:val="1"/>
      <w:numFmt w:val="bullet"/>
      <w:lvlText w:val=""/>
      <w:lvlJc w:val="left"/>
      <w:pPr>
        <w:ind w:left="2160" w:hanging="360"/>
      </w:pPr>
      <w:rPr>
        <w:rFonts w:ascii="Wingdings" w:hAnsi="Wingdings" w:hint="default"/>
      </w:rPr>
    </w:lvl>
    <w:lvl w:ilvl="3" w:tplc="9B023EA2">
      <w:start w:val="1"/>
      <w:numFmt w:val="bullet"/>
      <w:lvlText w:val=""/>
      <w:lvlJc w:val="left"/>
      <w:pPr>
        <w:ind w:left="2880" w:hanging="360"/>
      </w:pPr>
      <w:rPr>
        <w:rFonts w:ascii="Symbol" w:hAnsi="Symbol" w:hint="default"/>
      </w:rPr>
    </w:lvl>
    <w:lvl w:ilvl="4" w:tplc="17A0A500">
      <w:start w:val="1"/>
      <w:numFmt w:val="bullet"/>
      <w:lvlText w:val="o"/>
      <w:lvlJc w:val="left"/>
      <w:pPr>
        <w:ind w:left="3600" w:hanging="360"/>
      </w:pPr>
      <w:rPr>
        <w:rFonts w:ascii="Courier New" w:hAnsi="Courier New" w:hint="default"/>
      </w:rPr>
    </w:lvl>
    <w:lvl w:ilvl="5" w:tplc="8AC8ABCE">
      <w:start w:val="1"/>
      <w:numFmt w:val="bullet"/>
      <w:lvlText w:val=""/>
      <w:lvlJc w:val="left"/>
      <w:pPr>
        <w:ind w:left="4320" w:hanging="360"/>
      </w:pPr>
      <w:rPr>
        <w:rFonts w:ascii="Wingdings" w:hAnsi="Wingdings" w:hint="default"/>
      </w:rPr>
    </w:lvl>
    <w:lvl w:ilvl="6" w:tplc="ADF28C12">
      <w:start w:val="1"/>
      <w:numFmt w:val="bullet"/>
      <w:lvlText w:val=""/>
      <w:lvlJc w:val="left"/>
      <w:pPr>
        <w:ind w:left="5040" w:hanging="360"/>
      </w:pPr>
      <w:rPr>
        <w:rFonts w:ascii="Symbol" w:hAnsi="Symbol" w:hint="default"/>
      </w:rPr>
    </w:lvl>
    <w:lvl w:ilvl="7" w:tplc="2180AADE">
      <w:start w:val="1"/>
      <w:numFmt w:val="bullet"/>
      <w:lvlText w:val="o"/>
      <w:lvlJc w:val="left"/>
      <w:pPr>
        <w:ind w:left="5760" w:hanging="360"/>
      </w:pPr>
      <w:rPr>
        <w:rFonts w:ascii="Courier New" w:hAnsi="Courier New" w:hint="default"/>
      </w:rPr>
    </w:lvl>
    <w:lvl w:ilvl="8" w:tplc="9F46CDC8">
      <w:start w:val="1"/>
      <w:numFmt w:val="bullet"/>
      <w:lvlText w:val=""/>
      <w:lvlJc w:val="left"/>
      <w:pPr>
        <w:ind w:left="6480" w:hanging="360"/>
      </w:pPr>
      <w:rPr>
        <w:rFonts w:ascii="Wingdings" w:hAnsi="Wingdings" w:hint="default"/>
      </w:rPr>
    </w:lvl>
  </w:abstractNum>
  <w:abstractNum w:abstractNumId="38" w15:restartNumberingAfterBreak="0">
    <w:nsid w:val="273C523E"/>
    <w:multiLevelType w:val="hybridMultilevel"/>
    <w:tmpl w:val="DB84DB7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9" w15:restartNumberingAfterBreak="0">
    <w:nsid w:val="27FE67F5"/>
    <w:multiLevelType w:val="singleLevel"/>
    <w:tmpl w:val="33CA438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15:restartNumberingAfterBreak="0">
    <w:nsid w:val="29026626"/>
    <w:multiLevelType w:val="singleLevel"/>
    <w:tmpl w:val="5DE2FC8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1" w15:restartNumberingAfterBreak="0">
    <w:nsid w:val="2A7746D8"/>
    <w:multiLevelType w:val="hybridMultilevel"/>
    <w:tmpl w:val="9EDE1478"/>
    <w:lvl w:ilvl="0" w:tplc="0C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2E8976C3"/>
    <w:multiLevelType w:val="multilevel"/>
    <w:tmpl w:val="A7A87C56"/>
    <w:lvl w:ilvl="0">
      <w:start w:val="1"/>
      <w:numFmt w:val="decimal"/>
      <w:lvlText w:val="%1."/>
      <w:lvlJc w:val="left"/>
      <w:pPr>
        <w:ind w:left="72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2F3D682A"/>
    <w:multiLevelType w:val="hybridMultilevel"/>
    <w:tmpl w:val="E73A3DA6"/>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4" w15:restartNumberingAfterBreak="0">
    <w:nsid w:val="2F4945A8"/>
    <w:multiLevelType w:val="singleLevel"/>
    <w:tmpl w:val="A3AC693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15:restartNumberingAfterBreak="0">
    <w:nsid w:val="318D3A53"/>
    <w:multiLevelType w:val="hybridMultilevel"/>
    <w:tmpl w:val="791A5400"/>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46" w15:restartNumberingAfterBreak="0">
    <w:nsid w:val="324E1596"/>
    <w:multiLevelType w:val="singleLevel"/>
    <w:tmpl w:val="280819D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32C32CF4"/>
    <w:multiLevelType w:val="singleLevel"/>
    <w:tmpl w:val="CD8034B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8" w15:restartNumberingAfterBreak="0">
    <w:nsid w:val="339D4B3E"/>
    <w:multiLevelType w:val="hybridMultilevel"/>
    <w:tmpl w:val="87F06F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9" w15:restartNumberingAfterBreak="0">
    <w:nsid w:val="353912ED"/>
    <w:multiLevelType w:val="multilevel"/>
    <w:tmpl w:val="7228EA06"/>
    <w:styleLink w:val="ListBullet0"/>
    <w:lvl w:ilvl="0">
      <w:start w:val="1"/>
      <w:numFmt w:val="bullet"/>
      <w:lvlText w:val=""/>
      <w:lvlJc w:val="left"/>
      <w:pPr>
        <w:tabs>
          <w:tab w:val="num" w:pos="284"/>
        </w:tabs>
        <w:ind w:left="284" w:hanging="284"/>
      </w:pPr>
      <w:rPr>
        <w:rFonts w:ascii="Symbol" w:hAnsi="Symbol" w:hint="default"/>
        <w:b w:val="0"/>
        <w:i w:val="0"/>
        <w:color w:val="auto"/>
        <w:sz w:val="20"/>
        <w:szCs w:val="20"/>
      </w:rPr>
    </w:lvl>
    <w:lvl w:ilvl="1">
      <w:start w:val="1"/>
      <w:numFmt w:val="bullet"/>
      <w:lvlText w:val="○"/>
      <w:lvlJc w:val="left"/>
      <w:pPr>
        <w:tabs>
          <w:tab w:val="num" w:pos="567"/>
        </w:tabs>
        <w:ind w:left="567" w:hanging="283"/>
      </w:pPr>
      <w:rPr>
        <w:rFonts w:ascii="Courier New" w:hAnsi="Courier New" w:hint="default"/>
        <w:caps w:val="0"/>
        <w:strike w:val="0"/>
        <w:dstrike w:val="0"/>
        <w:vanish w:val="0"/>
        <w:color w:val="auto"/>
        <w:sz w:val="20"/>
        <w:u w:val="none"/>
        <w:vertAlign w:val="baseline"/>
      </w:rPr>
    </w:lvl>
    <w:lvl w:ilvl="2">
      <w:start w:val="1"/>
      <w:numFmt w:val="bullet"/>
      <w:lvlText w:val=""/>
      <w:lvlJc w:val="left"/>
      <w:pPr>
        <w:tabs>
          <w:tab w:val="num" w:pos="851"/>
        </w:tabs>
        <w:ind w:left="851" w:hanging="284"/>
      </w:pPr>
      <w:rPr>
        <w:rFonts w:ascii="Symbol" w:hAnsi="Symbol" w:hint="default"/>
        <w:color w:val="auto"/>
        <w:sz w:val="20"/>
      </w:rPr>
    </w:lvl>
    <w:lvl w:ilvl="3">
      <w:start w:val="1"/>
      <w:numFmt w:val="bullet"/>
      <w:lvlText w:val="○"/>
      <w:lvlJc w:val="left"/>
      <w:pPr>
        <w:tabs>
          <w:tab w:val="num" w:pos="1134"/>
        </w:tabs>
        <w:ind w:left="1134" w:hanging="283"/>
      </w:pPr>
      <w:rPr>
        <w:rFonts w:ascii="Courier New" w:hAnsi="Courier New" w:hint="default"/>
        <w:caps w:val="0"/>
        <w:strike w:val="0"/>
        <w:dstrike w:val="0"/>
        <w:vanish w:val="0"/>
        <w:color w:val="auto"/>
        <w:sz w:val="20"/>
        <w:u w:val="none"/>
        <w:vertAlign w:val="baseline"/>
      </w:rPr>
    </w:lvl>
    <w:lvl w:ilvl="4">
      <w:start w:val="1"/>
      <w:numFmt w:val="bullet"/>
      <w:lvlText w:val=""/>
      <w:lvlJc w:val="left"/>
      <w:pPr>
        <w:tabs>
          <w:tab w:val="num" w:pos="1418"/>
        </w:tabs>
        <w:ind w:left="1418" w:hanging="284"/>
      </w:pPr>
      <w:rPr>
        <w:rFonts w:ascii="Symbol" w:hAnsi="Symbol" w:hint="default"/>
        <w:color w:val="auto"/>
        <w:sz w:val="20"/>
      </w:rPr>
    </w:lvl>
    <w:lvl w:ilvl="5">
      <w:start w:val="1"/>
      <w:numFmt w:val="bullet"/>
      <w:lvlText w:val="○"/>
      <w:lvlJc w:val="left"/>
      <w:pPr>
        <w:tabs>
          <w:tab w:val="num" w:pos="1701"/>
        </w:tabs>
        <w:ind w:left="1701" w:hanging="283"/>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50" w15:restartNumberingAfterBreak="0">
    <w:nsid w:val="35AB1431"/>
    <w:multiLevelType w:val="singleLevel"/>
    <w:tmpl w:val="1B62EB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1" w15:restartNumberingAfterBreak="0">
    <w:nsid w:val="36DA0080"/>
    <w:multiLevelType w:val="singleLevel"/>
    <w:tmpl w:val="20D6F4E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2" w15:restartNumberingAfterBreak="0">
    <w:nsid w:val="371C615E"/>
    <w:multiLevelType w:val="singleLevel"/>
    <w:tmpl w:val="EC18F9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3" w15:restartNumberingAfterBreak="0">
    <w:nsid w:val="39CB5BB5"/>
    <w:multiLevelType w:val="singleLevel"/>
    <w:tmpl w:val="6AF0EE8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15:restartNumberingAfterBreak="0">
    <w:nsid w:val="3B5611C0"/>
    <w:multiLevelType w:val="singleLevel"/>
    <w:tmpl w:val="9D5672B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5" w15:restartNumberingAfterBreak="0">
    <w:nsid w:val="3E6856C1"/>
    <w:multiLevelType w:val="singleLevel"/>
    <w:tmpl w:val="C3F296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15:restartNumberingAfterBreak="0">
    <w:nsid w:val="3E6B622F"/>
    <w:multiLevelType w:val="hybridMultilevel"/>
    <w:tmpl w:val="D64A8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0071FAE"/>
    <w:multiLevelType w:val="multilevel"/>
    <w:tmpl w:val="4A4A7EFE"/>
    <w:styleLink w:val="ListNumberedHeadings"/>
    <w:lvl w:ilvl="0">
      <w:start w:val="1"/>
      <w:numFmt w:val="decimal"/>
      <w:pStyle w:val="AltHeading1"/>
      <w:lvlText w:val="%1"/>
      <w:lvlJc w:val="left"/>
      <w:pPr>
        <w:tabs>
          <w:tab w:val="num" w:pos="1134"/>
        </w:tabs>
        <w:ind w:left="1134" w:hanging="1134"/>
      </w:pPr>
      <w:rPr>
        <w:rFonts w:asciiTheme="majorHAnsi" w:hAnsiTheme="majorHAnsi" w:hint="default"/>
        <w:color w:val="034EA2" w:themeColor="accent1"/>
        <w:sz w:val="40"/>
      </w:rPr>
    </w:lvl>
    <w:lvl w:ilvl="1">
      <w:start w:val="1"/>
      <w:numFmt w:val="decimal"/>
      <w:pStyle w:val="AltHeading2"/>
      <w:lvlText w:val="%1.%2"/>
      <w:lvlJc w:val="left"/>
      <w:pPr>
        <w:tabs>
          <w:tab w:val="num" w:pos="1134"/>
        </w:tabs>
        <w:ind w:left="1134" w:hanging="1134"/>
      </w:pPr>
      <w:rPr>
        <w:rFonts w:asciiTheme="majorHAnsi" w:hAnsiTheme="majorHAnsi" w:hint="default"/>
        <w:color w:val="007BC3" w:themeColor="accent2"/>
        <w:sz w:val="32"/>
      </w:rPr>
    </w:lvl>
    <w:lvl w:ilvl="2">
      <w:start w:val="1"/>
      <w:numFmt w:val="decimal"/>
      <w:pStyle w:val="AltHeading3"/>
      <w:lvlText w:val="%1.%2.%3"/>
      <w:lvlJc w:val="left"/>
      <w:pPr>
        <w:tabs>
          <w:tab w:val="num" w:pos="1134"/>
        </w:tabs>
        <w:ind w:left="1134" w:hanging="1134"/>
      </w:pPr>
      <w:rPr>
        <w:rFonts w:asciiTheme="majorHAnsi" w:hAnsiTheme="majorHAnsi" w:hint="default"/>
        <w:color w:val="007BC3" w:themeColor="accent2"/>
        <w:sz w:val="28"/>
      </w:rPr>
    </w:lvl>
    <w:lvl w:ilvl="3">
      <w:start w:val="1"/>
      <w:numFmt w:val="decimal"/>
      <w:pStyle w:val="AltHeading4"/>
      <w:lvlText w:val="%1.%2.%3.%4"/>
      <w:lvlJc w:val="left"/>
      <w:pPr>
        <w:tabs>
          <w:tab w:val="num" w:pos="1134"/>
        </w:tabs>
        <w:ind w:left="1134" w:hanging="1134"/>
      </w:pPr>
      <w:rPr>
        <w:rFonts w:asciiTheme="majorHAnsi" w:hAnsiTheme="majorHAnsi" w:hint="default"/>
        <w:color w:val="007BC3" w:themeColor="accent2"/>
        <w:sz w:val="24"/>
      </w:rPr>
    </w:lvl>
    <w:lvl w:ilvl="4">
      <w:start w:val="1"/>
      <w:numFmt w:val="decimal"/>
      <w:pStyle w:val="AltHeading5"/>
      <w:lvlText w:val="%1.%2.%3.%4.%5."/>
      <w:lvlJc w:val="left"/>
      <w:pPr>
        <w:tabs>
          <w:tab w:val="num" w:pos="1134"/>
        </w:tabs>
        <w:ind w:left="1134" w:hanging="1134"/>
      </w:pPr>
      <w:rPr>
        <w:rFonts w:asciiTheme="majorHAnsi" w:hAnsiTheme="majorHAnsi" w:hint="default"/>
        <w:color w:val="007BC3"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58" w15:restartNumberingAfterBreak="0">
    <w:nsid w:val="40373010"/>
    <w:multiLevelType w:val="hybridMultilevel"/>
    <w:tmpl w:val="45D6B5EE"/>
    <w:lvl w:ilvl="0" w:tplc="EDEAE91E">
      <w:start w:val="1"/>
      <w:numFmt w:val="bullet"/>
      <w:lvlText w:val="o"/>
      <w:lvlJc w:val="left"/>
      <w:pPr>
        <w:ind w:left="720" w:hanging="360"/>
      </w:pPr>
      <w:rPr>
        <w:rFonts w:ascii="Courier New" w:hAnsi="Courier New" w:hint="default"/>
      </w:rPr>
    </w:lvl>
    <w:lvl w:ilvl="1" w:tplc="D6EEE36A">
      <w:start w:val="1"/>
      <w:numFmt w:val="bullet"/>
      <w:lvlText w:val="o"/>
      <w:lvlJc w:val="left"/>
      <w:pPr>
        <w:ind w:left="1440" w:hanging="360"/>
      </w:pPr>
      <w:rPr>
        <w:rFonts w:ascii="Courier New" w:hAnsi="Courier New" w:hint="default"/>
      </w:rPr>
    </w:lvl>
    <w:lvl w:ilvl="2" w:tplc="0FF6D568">
      <w:start w:val="1"/>
      <w:numFmt w:val="bullet"/>
      <w:lvlText w:val=""/>
      <w:lvlJc w:val="left"/>
      <w:pPr>
        <w:ind w:left="2160" w:hanging="360"/>
      </w:pPr>
      <w:rPr>
        <w:rFonts w:ascii="Wingdings" w:hAnsi="Wingdings" w:hint="default"/>
      </w:rPr>
    </w:lvl>
    <w:lvl w:ilvl="3" w:tplc="9CE8FD88">
      <w:start w:val="1"/>
      <w:numFmt w:val="bullet"/>
      <w:lvlText w:val=""/>
      <w:lvlJc w:val="left"/>
      <w:pPr>
        <w:ind w:left="2880" w:hanging="360"/>
      </w:pPr>
      <w:rPr>
        <w:rFonts w:ascii="Symbol" w:hAnsi="Symbol" w:hint="default"/>
      </w:rPr>
    </w:lvl>
    <w:lvl w:ilvl="4" w:tplc="05445662">
      <w:start w:val="1"/>
      <w:numFmt w:val="bullet"/>
      <w:lvlText w:val="o"/>
      <w:lvlJc w:val="left"/>
      <w:pPr>
        <w:ind w:left="3600" w:hanging="360"/>
      </w:pPr>
      <w:rPr>
        <w:rFonts w:ascii="Courier New" w:hAnsi="Courier New" w:hint="default"/>
      </w:rPr>
    </w:lvl>
    <w:lvl w:ilvl="5" w:tplc="6D76E9F8">
      <w:start w:val="1"/>
      <w:numFmt w:val="bullet"/>
      <w:lvlText w:val=""/>
      <w:lvlJc w:val="left"/>
      <w:pPr>
        <w:ind w:left="4320" w:hanging="360"/>
      </w:pPr>
      <w:rPr>
        <w:rFonts w:ascii="Wingdings" w:hAnsi="Wingdings" w:hint="default"/>
      </w:rPr>
    </w:lvl>
    <w:lvl w:ilvl="6" w:tplc="8D78A53A">
      <w:start w:val="1"/>
      <w:numFmt w:val="bullet"/>
      <w:lvlText w:val=""/>
      <w:lvlJc w:val="left"/>
      <w:pPr>
        <w:ind w:left="5040" w:hanging="360"/>
      </w:pPr>
      <w:rPr>
        <w:rFonts w:ascii="Symbol" w:hAnsi="Symbol" w:hint="default"/>
      </w:rPr>
    </w:lvl>
    <w:lvl w:ilvl="7" w:tplc="38D80226">
      <w:start w:val="1"/>
      <w:numFmt w:val="bullet"/>
      <w:lvlText w:val="o"/>
      <w:lvlJc w:val="left"/>
      <w:pPr>
        <w:ind w:left="5760" w:hanging="360"/>
      </w:pPr>
      <w:rPr>
        <w:rFonts w:ascii="Courier New" w:hAnsi="Courier New" w:hint="default"/>
      </w:rPr>
    </w:lvl>
    <w:lvl w:ilvl="8" w:tplc="B7DE75D6">
      <w:start w:val="1"/>
      <w:numFmt w:val="bullet"/>
      <w:lvlText w:val=""/>
      <w:lvlJc w:val="left"/>
      <w:pPr>
        <w:ind w:left="6480" w:hanging="360"/>
      </w:pPr>
      <w:rPr>
        <w:rFonts w:ascii="Wingdings" w:hAnsi="Wingdings" w:hint="default"/>
      </w:rPr>
    </w:lvl>
  </w:abstractNum>
  <w:abstractNum w:abstractNumId="59" w15:restartNumberingAfterBreak="0">
    <w:nsid w:val="404D1C79"/>
    <w:multiLevelType w:val="hybridMultilevel"/>
    <w:tmpl w:val="F1B07E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40D03C50"/>
    <w:multiLevelType w:val="hybridMultilevel"/>
    <w:tmpl w:val="36469E9A"/>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61" w15:restartNumberingAfterBreak="0">
    <w:nsid w:val="41785C23"/>
    <w:multiLevelType w:val="hybridMultilevel"/>
    <w:tmpl w:val="912EF434"/>
    <w:lvl w:ilvl="0" w:tplc="948E73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20461A3"/>
    <w:multiLevelType w:val="singleLevel"/>
    <w:tmpl w:val="397A7DC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3" w15:restartNumberingAfterBreak="0">
    <w:nsid w:val="428A75B6"/>
    <w:multiLevelType w:val="singleLevel"/>
    <w:tmpl w:val="ED38297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4" w15:restartNumberingAfterBreak="0">
    <w:nsid w:val="43235AD8"/>
    <w:multiLevelType w:val="singleLevel"/>
    <w:tmpl w:val="AF722DF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5" w15:restartNumberingAfterBreak="0">
    <w:nsid w:val="43A7331F"/>
    <w:multiLevelType w:val="multilevel"/>
    <w:tmpl w:val="B9602BCA"/>
    <w:lvl w:ilvl="0">
      <w:start w:val="1"/>
      <w:numFmt w:val="upperLetter"/>
      <w:pStyle w:val="ListAlpha0"/>
      <w:lvlText w:val="%1."/>
      <w:lvlJc w:val="left"/>
      <w:pPr>
        <w:tabs>
          <w:tab w:val="num" w:pos="284"/>
        </w:tabs>
        <w:ind w:left="284" w:hanging="284"/>
      </w:pPr>
      <w:rPr>
        <w:rFonts w:asciiTheme="minorHAnsi" w:hAnsiTheme="minorHAnsi" w:hint="default"/>
        <w:color w:val="auto"/>
        <w:sz w:val="20"/>
      </w:rPr>
    </w:lvl>
    <w:lvl w:ilvl="1">
      <w:start w:val="1"/>
      <w:numFmt w:val="lowerRoman"/>
      <w:lvlText w:val="%2."/>
      <w:lvlJc w:val="left"/>
      <w:pPr>
        <w:tabs>
          <w:tab w:val="num" w:pos="568"/>
        </w:tabs>
        <w:ind w:left="568" w:hanging="284"/>
      </w:pPr>
      <w:rPr>
        <w:rFonts w:asciiTheme="minorHAnsi" w:hAnsiTheme="minorHAnsi" w:hint="default"/>
        <w:color w:val="auto"/>
        <w:sz w:val="22"/>
      </w:rPr>
    </w:lvl>
    <w:lvl w:ilvl="2">
      <w:start w:val="1"/>
      <w:numFmt w:val="lowerLetter"/>
      <w:lvlText w:val="%3."/>
      <w:lvlJc w:val="left"/>
      <w:pPr>
        <w:tabs>
          <w:tab w:val="num" w:pos="852"/>
        </w:tabs>
        <w:ind w:left="852" w:hanging="284"/>
      </w:pPr>
      <w:rPr>
        <w:rFonts w:asciiTheme="minorHAnsi" w:hAnsiTheme="minorHAnsi" w:hint="default"/>
        <w:color w:val="auto"/>
        <w:sz w:val="20"/>
      </w:rPr>
    </w:lvl>
    <w:lvl w:ilvl="3">
      <w:start w:val="1"/>
      <w:numFmt w:val="upperRoman"/>
      <w:lvlText w:val="%4."/>
      <w:lvlJc w:val="left"/>
      <w:pPr>
        <w:tabs>
          <w:tab w:val="num" w:pos="1136"/>
        </w:tabs>
        <w:ind w:left="1136" w:hanging="284"/>
      </w:pPr>
      <w:rPr>
        <w:rFonts w:asciiTheme="minorHAnsi" w:hAnsiTheme="minorHAnsi" w:hint="default"/>
        <w:color w:val="auto"/>
        <w:sz w:val="20"/>
      </w:rPr>
    </w:lvl>
    <w:lvl w:ilvl="4">
      <w:start w:val="1"/>
      <w:numFmt w:val="decimal"/>
      <w:lvlText w:val="%5."/>
      <w:lvlJc w:val="left"/>
      <w:pPr>
        <w:tabs>
          <w:tab w:val="num" w:pos="1420"/>
        </w:tabs>
        <w:ind w:left="1420" w:hanging="284"/>
      </w:pPr>
      <w:rPr>
        <w:rFonts w:asciiTheme="minorHAnsi" w:hAnsiTheme="minorHAnsi" w:hint="default"/>
        <w:color w:val="auto"/>
        <w:sz w:val="20"/>
      </w:rPr>
    </w:lvl>
    <w:lvl w:ilvl="5">
      <w:start w:val="1"/>
      <w:numFmt w:val="lowerLetter"/>
      <w:lvlText w:val="%6."/>
      <w:lvlJc w:val="left"/>
      <w:pPr>
        <w:tabs>
          <w:tab w:val="num" w:pos="1704"/>
        </w:tabs>
        <w:ind w:left="1704" w:hanging="284"/>
      </w:pPr>
      <w:rPr>
        <w:rFonts w:asciiTheme="minorHAnsi" w:hAnsiTheme="minorHAnsi" w:hint="default"/>
        <w:color w:val="auto"/>
        <w:sz w:val="20"/>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66" w15:restartNumberingAfterBreak="0">
    <w:nsid w:val="44A245C2"/>
    <w:multiLevelType w:val="singleLevel"/>
    <w:tmpl w:val="1DA46E8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7" w15:restartNumberingAfterBreak="0">
    <w:nsid w:val="44E53E09"/>
    <w:multiLevelType w:val="singleLevel"/>
    <w:tmpl w:val="AF50000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8" w15:restartNumberingAfterBreak="0">
    <w:nsid w:val="459D5923"/>
    <w:multiLevelType w:val="singleLevel"/>
    <w:tmpl w:val="0E1E0CA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9" w15:restartNumberingAfterBreak="0">
    <w:nsid w:val="462656F3"/>
    <w:multiLevelType w:val="singleLevel"/>
    <w:tmpl w:val="0C090001"/>
    <w:lvl w:ilvl="0">
      <w:start w:val="1"/>
      <w:numFmt w:val="bullet"/>
      <w:lvlText w:val=""/>
      <w:lvlJc w:val="left"/>
      <w:pPr>
        <w:ind w:left="720" w:hanging="360"/>
      </w:pPr>
      <w:rPr>
        <w:rFonts w:ascii="Symbol" w:hAnsi="Symbol" w:hint="default"/>
        <w:color w:val="auto"/>
        <w:sz w:val="24"/>
      </w:rPr>
    </w:lvl>
  </w:abstractNum>
  <w:abstractNum w:abstractNumId="70" w15:restartNumberingAfterBreak="0">
    <w:nsid w:val="4814788C"/>
    <w:multiLevelType w:val="multilevel"/>
    <w:tmpl w:val="9CE6C29E"/>
    <w:lvl w:ilvl="0">
      <w:start w:val="1"/>
      <w:numFmt w:val="decimal"/>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1" w15:restartNumberingAfterBreak="0">
    <w:nsid w:val="48FC3B94"/>
    <w:multiLevelType w:val="singleLevel"/>
    <w:tmpl w:val="5CA6BC6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2" w15:restartNumberingAfterBreak="0">
    <w:nsid w:val="49421089"/>
    <w:multiLevelType w:val="hybridMultilevel"/>
    <w:tmpl w:val="39DAC5E0"/>
    <w:lvl w:ilvl="0" w:tplc="9912AB88">
      <w:start w:val="1"/>
      <w:numFmt w:val="bullet"/>
      <w:lvlText w:val="•"/>
      <w:lvlJc w:val="left"/>
      <w:pPr>
        <w:ind w:left="360" w:hanging="360"/>
      </w:pPr>
      <w:rPr>
        <w:rFonts w:ascii="Arial" w:hAnsi="Arial" w:hint="default"/>
      </w:rPr>
    </w:lvl>
    <w:lvl w:ilvl="1" w:tplc="23EC56BA">
      <w:start w:val="1"/>
      <w:numFmt w:val="bullet"/>
      <w:lvlText w:val="o"/>
      <w:lvlJc w:val="left"/>
      <w:pPr>
        <w:ind w:left="1080" w:hanging="360"/>
      </w:pPr>
      <w:rPr>
        <w:rFonts w:ascii="Courier New" w:hAnsi="Courier New" w:hint="default"/>
      </w:rPr>
    </w:lvl>
    <w:lvl w:ilvl="2" w:tplc="992A7CBE">
      <w:start w:val="1"/>
      <w:numFmt w:val="bullet"/>
      <w:lvlText w:val=""/>
      <w:lvlJc w:val="left"/>
      <w:pPr>
        <w:ind w:left="1800" w:hanging="360"/>
      </w:pPr>
      <w:rPr>
        <w:rFonts w:ascii="Wingdings" w:hAnsi="Wingdings" w:hint="default"/>
      </w:rPr>
    </w:lvl>
    <w:lvl w:ilvl="3" w:tplc="2AD81DFE">
      <w:start w:val="1"/>
      <w:numFmt w:val="bullet"/>
      <w:lvlText w:val=""/>
      <w:lvlJc w:val="left"/>
      <w:pPr>
        <w:ind w:left="2520" w:hanging="360"/>
      </w:pPr>
      <w:rPr>
        <w:rFonts w:ascii="Symbol" w:hAnsi="Symbol" w:hint="default"/>
      </w:rPr>
    </w:lvl>
    <w:lvl w:ilvl="4" w:tplc="1446321E">
      <w:start w:val="1"/>
      <w:numFmt w:val="bullet"/>
      <w:lvlText w:val="o"/>
      <w:lvlJc w:val="left"/>
      <w:pPr>
        <w:ind w:left="3240" w:hanging="360"/>
      </w:pPr>
      <w:rPr>
        <w:rFonts w:ascii="Courier New" w:hAnsi="Courier New" w:hint="default"/>
      </w:rPr>
    </w:lvl>
    <w:lvl w:ilvl="5" w:tplc="34B45C10">
      <w:start w:val="1"/>
      <w:numFmt w:val="bullet"/>
      <w:lvlText w:val=""/>
      <w:lvlJc w:val="left"/>
      <w:pPr>
        <w:ind w:left="3960" w:hanging="360"/>
      </w:pPr>
      <w:rPr>
        <w:rFonts w:ascii="Wingdings" w:hAnsi="Wingdings" w:hint="default"/>
      </w:rPr>
    </w:lvl>
    <w:lvl w:ilvl="6" w:tplc="4FC6B988">
      <w:start w:val="1"/>
      <w:numFmt w:val="bullet"/>
      <w:lvlText w:val=""/>
      <w:lvlJc w:val="left"/>
      <w:pPr>
        <w:ind w:left="4680" w:hanging="360"/>
      </w:pPr>
      <w:rPr>
        <w:rFonts w:ascii="Symbol" w:hAnsi="Symbol" w:hint="default"/>
      </w:rPr>
    </w:lvl>
    <w:lvl w:ilvl="7" w:tplc="164C9F98">
      <w:start w:val="1"/>
      <w:numFmt w:val="bullet"/>
      <w:lvlText w:val="o"/>
      <w:lvlJc w:val="left"/>
      <w:pPr>
        <w:ind w:left="5400" w:hanging="360"/>
      </w:pPr>
      <w:rPr>
        <w:rFonts w:ascii="Courier New" w:hAnsi="Courier New" w:hint="default"/>
      </w:rPr>
    </w:lvl>
    <w:lvl w:ilvl="8" w:tplc="0FB2A628">
      <w:start w:val="1"/>
      <w:numFmt w:val="bullet"/>
      <w:lvlText w:val=""/>
      <w:lvlJc w:val="left"/>
      <w:pPr>
        <w:ind w:left="6120" w:hanging="360"/>
      </w:pPr>
      <w:rPr>
        <w:rFonts w:ascii="Wingdings" w:hAnsi="Wingdings" w:hint="default"/>
      </w:rPr>
    </w:lvl>
  </w:abstractNum>
  <w:abstractNum w:abstractNumId="73" w15:restartNumberingAfterBreak="0">
    <w:nsid w:val="4BA70ED8"/>
    <w:multiLevelType w:val="multilevel"/>
    <w:tmpl w:val="440C066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HAnsi" w:hint="default"/>
        <w:color w:val="auto"/>
        <w:sz w:val="22"/>
      </w:rPr>
    </w:lvl>
    <w:lvl w:ilvl="2">
      <w:start w:val="1"/>
      <w:numFmt w:val="decimal"/>
      <w:isLgl/>
      <w:lvlText w:val="%1.%2.%3."/>
      <w:lvlJc w:val="left"/>
      <w:pPr>
        <w:ind w:left="1080" w:hanging="1080"/>
      </w:pPr>
      <w:rPr>
        <w:rFonts w:eastAsiaTheme="minorHAnsi" w:hint="default"/>
        <w:color w:val="auto"/>
        <w:sz w:val="22"/>
      </w:rPr>
    </w:lvl>
    <w:lvl w:ilvl="3">
      <w:start w:val="1"/>
      <w:numFmt w:val="decimal"/>
      <w:isLgl/>
      <w:lvlText w:val="%1.%2.%3.%4."/>
      <w:lvlJc w:val="left"/>
      <w:pPr>
        <w:ind w:left="1080" w:hanging="1080"/>
      </w:pPr>
      <w:rPr>
        <w:rFonts w:eastAsiaTheme="minorHAnsi" w:hint="default"/>
        <w:color w:val="auto"/>
        <w:sz w:val="22"/>
      </w:rPr>
    </w:lvl>
    <w:lvl w:ilvl="4">
      <w:start w:val="1"/>
      <w:numFmt w:val="decimal"/>
      <w:isLgl/>
      <w:lvlText w:val="%1.%2.%3.%4.%5."/>
      <w:lvlJc w:val="left"/>
      <w:pPr>
        <w:ind w:left="1440" w:hanging="1440"/>
      </w:pPr>
      <w:rPr>
        <w:rFonts w:eastAsiaTheme="minorHAnsi" w:hint="default"/>
        <w:color w:val="auto"/>
        <w:sz w:val="22"/>
      </w:rPr>
    </w:lvl>
    <w:lvl w:ilvl="5">
      <w:start w:val="1"/>
      <w:numFmt w:val="decimal"/>
      <w:isLgl/>
      <w:lvlText w:val="%1.%2.%3.%4.%5.%6."/>
      <w:lvlJc w:val="left"/>
      <w:pPr>
        <w:ind w:left="1800" w:hanging="1800"/>
      </w:pPr>
      <w:rPr>
        <w:rFonts w:eastAsiaTheme="minorHAnsi" w:hint="default"/>
        <w:color w:val="auto"/>
        <w:sz w:val="22"/>
      </w:rPr>
    </w:lvl>
    <w:lvl w:ilvl="6">
      <w:start w:val="1"/>
      <w:numFmt w:val="decimal"/>
      <w:isLgl/>
      <w:lvlText w:val="%1.%2.%3.%4.%5.%6.%7."/>
      <w:lvlJc w:val="left"/>
      <w:pPr>
        <w:ind w:left="2160" w:hanging="2160"/>
      </w:pPr>
      <w:rPr>
        <w:rFonts w:eastAsiaTheme="minorHAnsi" w:hint="default"/>
        <w:color w:val="auto"/>
        <w:sz w:val="22"/>
      </w:rPr>
    </w:lvl>
    <w:lvl w:ilvl="7">
      <w:start w:val="1"/>
      <w:numFmt w:val="decimal"/>
      <w:isLgl/>
      <w:lvlText w:val="%1.%2.%3.%4.%5.%6.%7.%8."/>
      <w:lvlJc w:val="left"/>
      <w:pPr>
        <w:ind w:left="2160" w:hanging="2160"/>
      </w:pPr>
      <w:rPr>
        <w:rFonts w:eastAsiaTheme="minorHAnsi" w:hint="default"/>
        <w:color w:val="auto"/>
        <w:sz w:val="22"/>
      </w:rPr>
    </w:lvl>
    <w:lvl w:ilvl="8">
      <w:start w:val="1"/>
      <w:numFmt w:val="decimal"/>
      <w:isLgl/>
      <w:lvlText w:val="%1.%2.%3.%4.%5.%6.%7.%8.%9."/>
      <w:lvlJc w:val="left"/>
      <w:pPr>
        <w:ind w:left="2520" w:hanging="2520"/>
      </w:pPr>
      <w:rPr>
        <w:rFonts w:eastAsiaTheme="minorHAnsi" w:hint="default"/>
        <w:color w:val="auto"/>
        <w:sz w:val="22"/>
      </w:rPr>
    </w:lvl>
  </w:abstractNum>
  <w:abstractNum w:abstractNumId="74" w15:restartNumberingAfterBreak="0">
    <w:nsid w:val="4CC43192"/>
    <w:multiLevelType w:val="singleLevel"/>
    <w:tmpl w:val="D32E20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5" w15:restartNumberingAfterBreak="0">
    <w:nsid w:val="4E15361B"/>
    <w:multiLevelType w:val="singleLevel"/>
    <w:tmpl w:val="10E693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6" w15:restartNumberingAfterBreak="0">
    <w:nsid w:val="4E682AD4"/>
    <w:multiLevelType w:val="singleLevel"/>
    <w:tmpl w:val="59F0C6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7" w15:restartNumberingAfterBreak="0">
    <w:nsid w:val="4F0A0939"/>
    <w:multiLevelType w:val="hybridMultilevel"/>
    <w:tmpl w:val="23887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FD03609"/>
    <w:multiLevelType w:val="singleLevel"/>
    <w:tmpl w:val="3092D5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9" w15:restartNumberingAfterBreak="0">
    <w:nsid w:val="501C0E34"/>
    <w:multiLevelType w:val="singleLevel"/>
    <w:tmpl w:val="DB027C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0" w15:restartNumberingAfterBreak="0">
    <w:nsid w:val="50E5395E"/>
    <w:multiLevelType w:val="singleLevel"/>
    <w:tmpl w:val="3F28566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1" w15:restartNumberingAfterBreak="0">
    <w:nsid w:val="51737781"/>
    <w:multiLevelType w:val="hybridMultilevel"/>
    <w:tmpl w:val="AEB8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5CE1ACA"/>
    <w:multiLevelType w:val="hybridMultilevel"/>
    <w:tmpl w:val="3AD8FAFA"/>
    <w:lvl w:ilvl="0" w:tplc="8D1ABF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6124ABB"/>
    <w:multiLevelType w:val="hybridMultilevel"/>
    <w:tmpl w:val="35A2E852"/>
    <w:lvl w:ilvl="0" w:tplc="74EE7438">
      <w:start w:val="1"/>
      <w:numFmt w:val="bullet"/>
      <w:lvlText w:val="o"/>
      <w:lvlJc w:val="left"/>
      <w:pPr>
        <w:ind w:left="1440" w:hanging="360"/>
      </w:pPr>
      <w:rPr>
        <w:rFonts w:ascii="Courier New" w:hAnsi="Courier New" w:hint="default"/>
      </w:rPr>
    </w:lvl>
    <w:lvl w:ilvl="1" w:tplc="F84C08E2" w:tentative="1">
      <w:start w:val="1"/>
      <w:numFmt w:val="bullet"/>
      <w:lvlText w:val="o"/>
      <w:lvlJc w:val="left"/>
      <w:pPr>
        <w:ind w:left="2160" w:hanging="360"/>
      </w:pPr>
      <w:rPr>
        <w:rFonts w:ascii="Courier New" w:hAnsi="Courier New" w:hint="default"/>
      </w:rPr>
    </w:lvl>
    <w:lvl w:ilvl="2" w:tplc="4B568C4C" w:tentative="1">
      <w:start w:val="1"/>
      <w:numFmt w:val="bullet"/>
      <w:lvlText w:val=""/>
      <w:lvlJc w:val="left"/>
      <w:pPr>
        <w:ind w:left="2880" w:hanging="360"/>
      </w:pPr>
      <w:rPr>
        <w:rFonts w:ascii="Wingdings" w:hAnsi="Wingdings" w:hint="default"/>
      </w:rPr>
    </w:lvl>
    <w:lvl w:ilvl="3" w:tplc="B5F61B54" w:tentative="1">
      <w:start w:val="1"/>
      <w:numFmt w:val="bullet"/>
      <w:lvlText w:val=""/>
      <w:lvlJc w:val="left"/>
      <w:pPr>
        <w:ind w:left="3600" w:hanging="360"/>
      </w:pPr>
      <w:rPr>
        <w:rFonts w:ascii="Symbol" w:hAnsi="Symbol" w:hint="default"/>
      </w:rPr>
    </w:lvl>
    <w:lvl w:ilvl="4" w:tplc="A9AEF2E2" w:tentative="1">
      <w:start w:val="1"/>
      <w:numFmt w:val="bullet"/>
      <w:lvlText w:val="o"/>
      <w:lvlJc w:val="left"/>
      <w:pPr>
        <w:ind w:left="4320" w:hanging="360"/>
      </w:pPr>
      <w:rPr>
        <w:rFonts w:ascii="Courier New" w:hAnsi="Courier New" w:hint="default"/>
      </w:rPr>
    </w:lvl>
    <w:lvl w:ilvl="5" w:tplc="86A83FBA" w:tentative="1">
      <w:start w:val="1"/>
      <w:numFmt w:val="bullet"/>
      <w:lvlText w:val=""/>
      <w:lvlJc w:val="left"/>
      <w:pPr>
        <w:ind w:left="5040" w:hanging="360"/>
      </w:pPr>
      <w:rPr>
        <w:rFonts w:ascii="Wingdings" w:hAnsi="Wingdings" w:hint="default"/>
      </w:rPr>
    </w:lvl>
    <w:lvl w:ilvl="6" w:tplc="253A8068" w:tentative="1">
      <w:start w:val="1"/>
      <w:numFmt w:val="bullet"/>
      <w:lvlText w:val=""/>
      <w:lvlJc w:val="left"/>
      <w:pPr>
        <w:ind w:left="5760" w:hanging="360"/>
      </w:pPr>
      <w:rPr>
        <w:rFonts w:ascii="Symbol" w:hAnsi="Symbol" w:hint="default"/>
      </w:rPr>
    </w:lvl>
    <w:lvl w:ilvl="7" w:tplc="83FE2826" w:tentative="1">
      <w:start w:val="1"/>
      <w:numFmt w:val="bullet"/>
      <w:lvlText w:val="o"/>
      <w:lvlJc w:val="left"/>
      <w:pPr>
        <w:ind w:left="6480" w:hanging="360"/>
      </w:pPr>
      <w:rPr>
        <w:rFonts w:ascii="Courier New" w:hAnsi="Courier New" w:hint="default"/>
      </w:rPr>
    </w:lvl>
    <w:lvl w:ilvl="8" w:tplc="B9581E3A" w:tentative="1">
      <w:start w:val="1"/>
      <w:numFmt w:val="bullet"/>
      <w:lvlText w:val=""/>
      <w:lvlJc w:val="left"/>
      <w:pPr>
        <w:ind w:left="7200" w:hanging="360"/>
      </w:pPr>
      <w:rPr>
        <w:rFonts w:ascii="Wingdings" w:hAnsi="Wingdings" w:hint="default"/>
      </w:rPr>
    </w:lvl>
  </w:abstractNum>
  <w:abstractNum w:abstractNumId="84" w15:restartNumberingAfterBreak="0">
    <w:nsid w:val="570D529B"/>
    <w:multiLevelType w:val="singleLevel"/>
    <w:tmpl w:val="DB10739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5" w15:restartNumberingAfterBreak="0">
    <w:nsid w:val="57744FEF"/>
    <w:multiLevelType w:val="singleLevel"/>
    <w:tmpl w:val="4EBE26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6" w15:restartNumberingAfterBreak="0">
    <w:nsid w:val="58A04D33"/>
    <w:multiLevelType w:val="multilevel"/>
    <w:tmpl w:val="7988D8CE"/>
    <w:lvl w:ilvl="0">
      <w:start w:val="1"/>
      <w:numFmt w:val="lowerLetter"/>
      <w:lvlText w:val="%1."/>
      <w:lvlJc w:val="left"/>
      <w:pPr>
        <w:ind w:left="284" w:hanging="284"/>
      </w:pPr>
      <w:rPr>
        <w:rFonts w:hint="default"/>
      </w:rPr>
    </w:lvl>
    <w:lvl w:ilvl="1">
      <w:start w:val="1"/>
      <w:numFmt w:val="lowerRoman"/>
      <w:pStyle w:val="ListAlpha2"/>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7" w15:restartNumberingAfterBreak="0">
    <w:nsid w:val="59124E29"/>
    <w:multiLevelType w:val="singleLevel"/>
    <w:tmpl w:val="1E7CC6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8" w15:restartNumberingAfterBreak="0">
    <w:nsid w:val="5B201D57"/>
    <w:multiLevelType w:val="hybridMultilevel"/>
    <w:tmpl w:val="8D94F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5B7F6F71"/>
    <w:multiLevelType w:val="singleLevel"/>
    <w:tmpl w:val="2BEED74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0" w15:restartNumberingAfterBreak="0">
    <w:nsid w:val="5CB60147"/>
    <w:multiLevelType w:val="singleLevel"/>
    <w:tmpl w:val="A342CA0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1" w15:restartNumberingAfterBreak="0">
    <w:nsid w:val="5D2818D6"/>
    <w:multiLevelType w:val="singleLevel"/>
    <w:tmpl w:val="B8E477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2" w15:restartNumberingAfterBreak="0">
    <w:nsid w:val="5ED13FD0"/>
    <w:multiLevelType w:val="hybridMultilevel"/>
    <w:tmpl w:val="99C8FE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3" w15:restartNumberingAfterBreak="0">
    <w:nsid w:val="5ED90131"/>
    <w:multiLevelType w:val="hybridMultilevel"/>
    <w:tmpl w:val="BFB044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4" w15:restartNumberingAfterBreak="0">
    <w:nsid w:val="604A4DD4"/>
    <w:multiLevelType w:val="hybridMultilevel"/>
    <w:tmpl w:val="EAFED0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16A7175"/>
    <w:multiLevelType w:val="singleLevel"/>
    <w:tmpl w:val="D388834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6" w15:restartNumberingAfterBreak="0">
    <w:nsid w:val="626E5373"/>
    <w:multiLevelType w:val="multilevel"/>
    <w:tmpl w:val="BDFC207A"/>
    <w:styleLink w:val="ListTableNumber"/>
    <w:lvl w:ilvl="0">
      <w:start w:val="1"/>
      <w:numFmt w:val="decimal"/>
      <w:pStyle w:val="TableNumber"/>
      <w:lvlText w:val="%1."/>
      <w:lvlJc w:val="left"/>
      <w:pPr>
        <w:tabs>
          <w:tab w:val="num" w:pos="284"/>
        </w:tabs>
        <w:ind w:left="284"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567"/>
        </w:tabs>
        <w:ind w:left="567"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7" w15:restartNumberingAfterBreak="0">
    <w:nsid w:val="631900D0"/>
    <w:multiLevelType w:val="singleLevel"/>
    <w:tmpl w:val="DE0CEB7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8" w15:restartNumberingAfterBreak="0">
    <w:nsid w:val="635F7C9E"/>
    <w:multiLevelType w:val="hybridMultilevel"/>
    <w:tmpl w:val="2DE047BA"/>
    <w:lvl w:ilvl="0" w:tplc="0C090003">
      <w:start w:val="1"/>
      <w:numFmt w:val="bullet"/>
      <w:lvlText w:val="o"/>
      <w:lvlJc w:val="left"/>
      <w:pPr>
        <w:ind w:left="700" w:hanging="360"/>
      </w:pPr>
      <w:rPr>
        <w:rFonts w:ascii="Courier New" w:hAnsi="Courier New" w:cs="Courier New"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99" w15:restartNumberingAfterBreak="0">
    <w:nsid w:val="638539D2"/>
    <w:multiLevelType w:val="multilevel"/>
    <w:tmpl w:val="2E9C841C"/>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00" w15:restartNumberingAfterBreak="0">
    <w:nsid w:val="67BC5186"/>
    <w:multiLevelType w:val="singleLevel"/>
    <w:tmpl w:val="4748EF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1" w15:restartNumberingAfterBreak="0">
    <w:nsid w:val="6A470183"/>
    <w:multiLevelType w:val="hybridMultilevel"/>
    <w:tmpl w:val="4DF4F266"/>
    <w:lvl w:ilvl="0" w:tplc="C3F296FC">
      <w:start w:val="1"/>
      <w:numFmt w:val="bullet"/>
      <w:lvlText w:val="•"/>
      <w:lvlJc w:val="left"/>
      <w:pPr>
        <w:ind w:left="360" w:hanging="360"/>
      </w:pPr>
      <w:rPr>
        <w:rFonts w:ascii="Arial" w:hAnsi="Arial" w:cs="Aria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B52065E"/>
    <w:multiLevelType w:val="singleLevel"/>
    <w:tmpl w:val="2526753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3" w15:restartNumberingAfterBreak="0">
    <w:nsid w:val="6C890EF0"/>
    <w:multiLevelType w:val="singleLevel"/>
    <w:tmpl w:val="A6E6350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4" w15:restartNumberingAfterBreak="0">
    <w:nsid w:val="6DBA3F82"/>
    <w:multiLevelType w:val="multilevel"/>
    <w:tmpl w:val="74B02582"/>
    <w:lvl w:ilvl="0">
      <w:start w:val="1"/>
      <w:numFmt w:val="decimal"/>
      <w:pStyle w:val="Heading1numbered"/>
      <w:lvlText w:val="%1."/>
      <w:lvlJc w:val="left"/>
      <w:pPr>
        <w:tabs>
          <w:tab w:val="num" w:pos="1134"/>
        </w:tabs>
        <w:ind w:left="1134" w:hanging="1134"/>
      </w:pPr>
      <w:rPr>
        <w:rFonts w:hint="default"/>
      </w:rPr>
    </w:lvl>
    <w:lvl w:ilvl="1">
      <w:start w:val="1"/>
      <w:numFmt w:val="decimal"/>
      <w:pStyle w:val="Heading2numbered"/>
      <w:lvlText w:val="%1.%2."/>
      <w:lvlJc w:val="left"/>
      <w:pPr>
        <w:tabs>
          <w:tab w:val="num" w:pos="1134"/>
        </w:tabs>
        <w:ind w:left="1134" w:hanging="1134"/>
      </w:pPr>
      <w:rPr>
        <w:rFonts w:hint="default"/>
      </w:rPr>
    </w:lvl>
    <w:lvl w:ilvl="2">
      <w:start w:val="1"/>
      <w:numFmt w:val="decimal"/>
      <w:pStyle w:val="Heading3numbered"/>
      <w:lvlText w:val="%1.%2.%3."/>
      <w:lvlJc w:val="left"/>
      <w:pPr>
        <w:tabs>
          <w:tab w:val="num" w:pos="1134"/>
        </w:tabs>
        <w:ind w:left="1134" w:hanging="1134"/>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105" w15:restartNumberingAfterBreak="0">
    <w:nsid w:val="6E6D22C5"/>
    <w:multiLevelType w:val="hybridMultilevel"/>
    <w:tmpl w:val="4948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E8B47AF"/>
    <w:multiLevelType w:val="hybridMultilevel"/>
    <w:tmpl w:val="76448216"/>
    <w:lvl w:ilvl="0" w:tplc="7C9E5C26">
      <w:start w:val="1"/>
      <w:numFmt w:val="bullet"/>
      <w:lvlText w:val="•"/>
      <w:lvlJc w:val="left"/>
      <w:pPr>
        <w:ind w:left="720" w:hanging="360"/>
      </w:pPr>
      <w:rPr>
        <w:rFonts w:ascii="Arial" w:hAnsi="Arial" w:hint="default"/>
      </w:rPr>
    </w:lvl>
    <w:lvl w:ilvl="1" w:tplc="89D431E2">
      <w:start w:val="1"/>
      <w:numFmt w:val="bullet"/>
      <w:lvlText w:val="o"/>
      <w:lvlJc w:val="left"/>
      <w:pPr>
        <w:ind w:left="1440" w:hanging="360"/>
      </w:pPr>
      <w:rPr>
        <w:rFonts w:ascii="Courier New" w:hAnsi="Courier New" w:hint="default"/>
      </w:rPr>
    </w:lvl>
    <w:lvl w:ilvl="2" w:tplc="FCBC521A">
      <w:start w:val="1"/>
      <w:numFmt w:val="bullet"/>
      <w:lvlText w:val=""/>
      <w:lvlJc w:val="left"/>
      <w:pPr>
        <w:ind w:left="2160" w:hanging="360"/>
      </w:pPr>
      <w:rPr>
        <w:rFonts w:ascii="Wingdings" w:hAnsi="Wingdings" w:hint="default"/>
      </w:rPr>
    </w:lvl>
    <w:lvl w:ilvl="3" w:tplc="25CA3A68">
      <w:start w:val="1"/>
      <w:numFmt w:val="bullet"/>
      <w:lvlText w:val=""/>
      <w:lvlJc w:val="left"/>
      <w:pPr>
        <w:ind w:left="2880" w:hanging="360"/>
      </w:pPr>
      <w:rPr>
        <w:rFonts w:ascii="Symbol" w:hAnsi="Symbol" w:hint="default"/>
      </w:rPr>
    </w:lvl>
    <w:lvl w:ilvl="4" w:tplc="044664AA">
      <w:start w:val="1"/>
      <w:numFmt w:val="bullet"/>
      <w:lvlText w:val="o"/>
      <w:lvlJc w:val="left"/>
      <w:pPr>
        <w:ind w:left="3600" w:hanging="360"/>
      </w:pPr>
      <w:rPr>
        <w:rFonts w:ascii="Courier New" w:hAnsi="Courier New" w:hint="default"/>
      </w:rPr>
    </w:lvl>
    <w:lvl w:ilvl="5" w:tplc="4C7A629A">
      <w:start w:val="1"/>
      <w:numFmt w:val="bullet"/>
      <w:lvlText w:val=""/>
      <w:lvlJc w:val="left"/>
      <w:pPr>
        <w:ind w:left="4320" w:hanging="360"/>
      </w:pPr>
      <w:rPr>
        <w:rFonts w:ascii="Wingdings" w:hAnsi="Wingdings" w:hint="default"/>
      </w:rPr>
    </w:lvl>
    <w:lvl w:ilvl="6" w:tplc="2D1E4768">
      <w:start w:val="1"/>
      <w:numFmt w:val="bullet"/>
      <w:lvlText w:val=""/>
      <w:lvlJc w:val="left"/>
      <w:pPr>
        <w:ind w:left="5040" w:hanging="360"/>
      </w:pPr>
      <w:rPr>
        <w:rFonts w:ascii="Symbol" w:hAnsi="Symbol" w:hint="default"/>
      </w:rPr>
    </w:lvl>
    <w:lvl w:ilvl="7" w:tplc="E0B2A978">
      <w:start w:val="1"/>
      <w:numFmt w:val="bullet"/>
      <w:lvlText w:val="o"/>
      <w:lvlJc w:val="left"/>
      <w:pPr>
        <w:ind w:left="5760" w:hanging="360"/>
      </w:pPr>
      <w:rPr>
        <w:rFonts w:ascii="Courier New" w:hAnsi="Courier New" w:hint="default"/>
      </w:rPr>
    </w:lvl>
    <w:lvl w:ilvl="8" w:tplc="CE367E3A">
      <w:start w:val="1"/>
      <w:numFmt w:val="bullet"/>
      <w:lvlText w:val=""/>
      <w:lvlJc w:val="left"/>
      <w:pPr>
        <w:ind w:left="6480" w:hanging="360"/>
      </w:pPr>
      <w:rPr>
        <w:rFonts w:ascii="Wingdings" w:hAnsi="Wingdings" w:hint="default"/>
      </w:rPr>
    </w:lvl>
  </w:abstractNum>
  <w:abstractNum w:abstractNumId="107" w15:restartNumberingAfterBreak="0">
    <w:nsid w:val="7216799A"/>
    <w:multiLevelType w:val="hybridMultilevel"/>
    <w:tmpl w:val="48DEC03C"/>
    <w:lvl w:ilvl="0" w:tplc="8DA2149A">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72A32586"/>
    <w:multiLevelType w:val="hybridMultilevel"/>
    <w:tmpl w:val="3F8E8746"/>
    <w:lvl w:ilvl="0" w:tplc="C78A776A">
      <w:start w:val="1"/>
      <w:numFmt w:val="decimal"/>
      <w:lvlText w:val="%1."/>
      <w:lvlJc w:val="left"/>
      <w:pPr>
        <w:tabs>
          <w:tab w:val="num" w:pos="340"/>
        </w:tabs>
        <w:ind w:left="340" w:hanging="340"/>
      </w:pPr>
      <w:rPr>
        <w:color w:val="auto"/>
        <w:sz w:val="20"/>
        <w:szCs w:val="20"/>
      </w:rPr>
    </w:lvl>
    <w:lvl w:ilvl="1" w:tplc="BC7A19AC">
      <w:start w:val="1"/>
      <w:numFmt w:val="lowerLetter"/>
      <w:lvlText w:val="•"/>
      <w:lvlJc w:val="left"/>
      <w:pPr>
        <w:tabs>
          <w:tab w:val="num" w:pos="680"/>
        </w:tabs>
        <w:ind w:left="680" w:hanging="340"/>
      </w:pPr>
      <w:rPr>
        <w:rFonts w:ascii="Arial" w:hAnsi="Arial" w:hint="default"/>
        <w:sz w:val="24"/>
      </w:rPr>
    </w:lvl>
    <w:lvl w:ilvl="2" w:tplc="44FAAA96">
      <w:start w:val="1"/>
      <w:numFmt w:val="lowerRoman"/>
      <w:lvlText w:val="-"/>
      <w:lvlJc w:val="left"/>
      <w:pPr>
        <w:tabs>
          <w:tab w:val="num" w:pos="1020"/>
        </w:tabs>
        <w:ind w:left="1020" w:hanging="340"/>
      </w:pPr>
      <w:rPr>
        <w:rFonts w:ascii="9999999" w:hAnsi="9999999" w:hint="default"/>
      </w:rPr>
    </w:lvl>
    <w:lvl w:ilvl="3" w:tplc="BE0A1C12">
      <w:start w:val="1"/>
      <w:numFmt w:val="decimal"/>
      <w:lvlText w:val="•"/>
      <w:lvlJc w:val="left"/>
      <w:pPr>
        <w:tabs>
          <w:tab w:val="num" w:pos="1361"/>
        </w:tabs>
        <w:ind w:left="1361" w:hanging="341"/>
      </w:pPr>
      <w:rPr>
        <w:rFonts w:ascii="Arial" w:hAnsi="Arial" w:hint="default"/>
      </w:rPr>
    </w:lvl>
    <w:lvl w:ilvl="4" w:tplc="5872AA40">
      <w:start w:val="1"/>
      <w:numFmt w:val="lowerLetter"/>
      <w:lvlText w:val="-"/>
      <w:lvlJc w:val="left"/>
      <w:pPr>
        <w:tabs>
          <w:tab w:val="num" w:pos="1701"/>
        </w:tabs>
        <w:ind w:left="1701" w:hanging="340"/>
      </w:pPr>
      <w:rPr>
        <w:rFonts w:ascii="9999999" w:hAnsi="9999999" w:hint="default"/>
      </w:rPr>
    </w:lvl>
    <w:lvl w:ilvl="5" w:tplc="0374CEE4">
      <w:start w:val="1"/>
      <w:numFmt w:val="lowerRoman"/>
      <w:lvlText w:val="•"/>
      <w:lvlJc w:val="left"/>
      <w:pPr>
        <w:tabs>
          <w:tab w:val="num" w:pos="2041"/>
        </w:tabs>
        <w:ind w:left="2041" w:hanging="340"/>
      </w:pPr>
      <w:rPr>
        <w:rFonts w:ascii="Arial" w:hAnsi="Arial" w:hint="default"/>
      </w:rPr>
    </w:lvl>
    <w:lvl w:ilvl="6" w:tplc="BDE6CF10">
      <w:start w:val="1"/>
      <w:numFmt w:val="decimal"/>
      <w:lvlText w:val="-"/>
      <w:lvlJc w:val="left"/>
      <w:pPr>
        <w:tabs>
          <w:tab w:val="num" w:pos="2381"/>
        </w:tabs>
        <w:ind w:left="2381" w:hanging="340"/>
      </w:pPr>
      <w:rPr>
        <w:rFonts w:ascii="9999999" w:hAnsi="9999999" w:hint="default"/>
      </w:rPr>
    </w:lvl>
    <w:lvl w:ilvl="7" w:tplc="347CE204">
      <w:start w:val="1"/>
      <w:numFmt w:val="lowerLetter"/>
      <w:lvlText w:val="•"/>
      <w:lvlJc w:val="left"/>
      <w:pPr>
        <w:tabs>
          <w:tab w:val="num" w:pos="2721"/>
        </w:tabs>
        <w:ind w:left="2721" w:hanging="340"/>
      </w:pPr>
      <w:rPr>
        <w:rFonts w:ascii="Arial" w:hAnsi="Arial" w:hint="default"/>
      </w:rPr>
    </w:lvl>
    <w:lvl w:ilvl="8" w:tplc="4D8C52D8">
      <w:start w:val="1"/>
      <w:numFmt w:val="lowerRoman"/>
      <w:lvlText w:val="-"/>
      <w:lvlJc w:val="left"/>
      <w:pPr>
        <w:tabs>
          <w:tab w:val="num" w:pos="3061"/>
        </w:tabs>
        <w:ind w:left="3061" w:hanging="340"/>
      </w:pPr>
      <w:rPr>
        <w:rFonts w:ascii="9999999" w:hAnsi="9999999" w:hint="default"/>
      </w:rPr>
    </w:lvl>
  </w:abstractNum>
  <w:abstractNum w:abstractNumId="109" w15:restartNumberingAfterBreak="0">
    <w:nsid w:val="72FB4CD5"/>
    <w:multiLevelType w:val="hybridMultilevel"/>
    <w:tmpl w:val="9436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8E2C3C0"/>
    <w:multiLevelType w:val="hybridMultilevel"/>
    <w:tmpl w:val="C012F3DA"/>
    <w:lvl w:ilvl="0" w:tplc="7D686800">
      <w:start w:val="1"/>
      <w:numFmt w:val="bullet"/>
      <w:lvlText w:val=""/>
      <w:lvlJc w:val="left"/>
      <w:pPr>
        <w:ind w:left="720" w:hanging="360"/>
      </w:pPr>
      <w:rPr>
        <w:rFonts w:ascii="Symbol" w:hAnsi="Symbol" w:hint="default"/>
      </w:rPr>
    </w:lvl>
    <w:lvl w:ilvl="1" w:tplc="355A3B56">
      <w:start w:val="1"/>
      <w:numFmt w:val="bullet"/>
      <w:lvlText w:val="o"/>
      <w:lvlJc w:val="left"/>
      <w:pPr>
        <w:ind w:left="1440" w:hanging="360"/>
      </w:pPr>
      <w:rPr>
        <w:rFonts w:ascii="Courier New" w:hAnsi="Courier New" w:hint="default"/>
      </w:rPr>
    </w:lvl>
    <w:lvl w:ilvl="2" w:tplc="DFC4F4E6">
      <w:start w:val="1"/>
      <w:numFmt w:val="bullet"/>
      <w:lvlText w:val=""/>
      <w:lvlJc w:val="left"/>
      <w:pPr>
        <w:ind w:left="2160" w:hanging="360"/>
      </w:pPr>
      <w:rPr>
        <w:rFonts w:ascii="Wingdings" w:hAnsi="Wingdings" w:hint="default"/>
      </w:rPr>
    </w:lvl>
    <w:lvl w:ilvl="3" w:tplc="D93A2132">
      <w:start w:val="1"/>
      <w:numFmt w:val="bullet"/>
      <w:lvlText w:val=""/>
      <w:lvlJc w:val="left"/>
      <w:pPr>
        <w:ind w:left="2880" w:hanging="360"/>
      </w:pPr>
      <w:rPr>
        <w:rFonts w:ascii="Symbol" w:hAnsi="Symbol" w:hint="default"/>
      </w:rPr>
    </w:lvl>
    <w:lvl w:ilvl="4" w:tplc="F5D46D4C">
      <w:start w:val="1"/>
      <w:numFmt w:val="bullet"/>
      <w:lvlText w:val="o"/>
      <w:lvlJc w:val="left"/>
      <w:pPr>
        <w:ind w:left="3600" w:hanging="360"/>
      </w:pPr>
      <w:rPr>
        <w:rFonts w:ascii="Courier New" w:hAnsi="Courier New" w:hint="default"/>
      </w:rPr>
    </w:lvl>
    <w:lvl w:ilvl="5" w:tplc="57AE171A">
      <w:start w:val="1"/>
      <w:numFmt w:val="bullet"/>
      <w:lvlText w:val=""/>
      <w:lvlJc w:val="left"/>
      <w:pPr>
        <w:ind w:left="4320" w:hanging="360"/>
      </w:pPr>
      <w:rPr>
        <w:rFonts w:ascii="Wingdings" w:hAnsi="Wingdings" w:hint="default"/>
      </w:rPr>
    </w:lvl>
    <w:lvl w:ilvl="6" w:tplc="A18AB3B6">
      <w:start w:val="1"/>
      <w:numFmt w:val="bullet"/>
      <w:lvlText w:val=""/>
      <w:lvlJc w:val="left"/>
      <w:pPr>
        <w:ind w:left="5040" w:hanging="360"/>
      </w:pPr>
      <w:rPr>
        <w:rFonts w:ascii="Symbol" w:hAnsi="Symbol" w:hint="default"/>
      </w:rPr>
    </w:lvl>
    <w:lvl w:ilvl="7" w:tplc="C4D2633C">
      <w:start w:val="1"/>
      <w:numFmt w:val="bullet"/>
      <w:lvlText w:val="o"/>
      <w:lvlJc w:val="left"/>
      <w:pPr>
        <w:ind w:left="5760" w:hanging="360"/>
      </w:pPr>
      <w:rPr>
        <w:rFonts w:ascii="Courier New" w:hAnsi="Courier New" w:hint="default"/>
      </w:rPr>
    </w:lvl>
    <w:lvl w:ilvl="8" w:tplc="53B01984">
      <w:start w:val="1"/>
      <w:numFmt w:val="bullet"/>
      <w:lvlText w:val=""/>
      <w:lvlJc w:val="left"/>
      <w:pPr>
        <w:ind w:left="6480" w:hanging="360"/>
      </w:pPr>
      <w:rPr>
        <w:rFonts w:ascii="Wingdings" w:hAnsi="Wingdings" w:hint="default"/>
      </w:rPr>
    </w:lvl>
  </w:abstractNum>
  <w:abstractNum w:abstractNumId="111" w15:restartNumberingAfterBreak="0">
    <w:nsid w:val="7A517F39"/>
    <w:multiLevelType w:val="hybridMultilevel"/>
    <w:tmpl w:val="551A413E"/>
    <w:lvl w:ilvl="0" w:tplc="6A92FF2C">
      <w:start w:val="1"/>
      <w:numFmt w:val="bullet"/>
      <w:lvlText w:val=""/>
      <w:lvlJc w:val="left"/>
      <w:pPr>
        <w:ind w:left="720" w:hanging="360"/>
      </w:pPr>
      <w:rPr>
        <w:rFonts w:ascii="Symbol" w:hAnsi="Symbol" w:hint="default"/>
      </w:rPr>
    </w:lvl>
    <w:lvl w:ilvl="1" w:tplc="D03038B8">
      <w:start w:val="1"/>
      <w:numFmt w:val="bullet"/>
      <w:lvlText w:val="o"/>
      <w:lvlJc w:val="left"/>
      <w:pPr>
        <w:ind w:left="1440" w:hanging="360"/>
      </w:pPr>
      <w:rPr>
        <w:rFonts w:ascii="Courier New" w:hAnsi="Courier New" w:hint="default"/>
      </w:rPr>
    </w:lvl>
    <w:lvl w:ilvl="2" w:tplc="4F6C6BD4">
      <w:start w:val="1"/>
      <w:numFmt w:val="bullet"/>
      <w:lvlText w:val=""/>
      <w:lvlJc w:val="left"/>
      <w:pPr>
        <w:ind w:left="2160" w:hanging="360"/>
      </w:pPr>
      <w:rPr>
        <w:rFonts w:ascii="Wingdings" w:hAnsi="Wingdings" w:hint="default"/>
      </w:rPr>
    </w:lvl>
    <w:lvl w:ilvl="3" w:tplc="20328054">
      <w:start w:val="1"/>
      <w:numFmt w:val="bullet"/>
      <w:lvlText w:val=""/>
      <w:lvlJc w:val="left"/>
      <w:pPr>
        <w:ind w:left="2880" w:hanging="360"/>
      </w:pPr>
      <w:rPr>
        <w:rFonts w:ascii="Symbol" w:hAnsi="Symbol" w:hint="default"/>
      </w:rPr>
    </w:lvl>
    <w:lvl w:ilvl="4" w:tplc="B1C6668C">
      <w:start w:val="1"/>
      <w:numFmt w:val="bullet"/>
      <w:lvlText w:val="o"/>
      <w:lvlJc w:val="left"/>
      <w:pPr>
        <w:ind w:left="3600" w:hanging="360"/>
      </w:pPr>
      <w:rPr>
        <w:rFonts w:ascii="Courier New" w:hAnsi="Courier New" w:hint="default"/>
      </w:rPr>
    </w:lvl>
    <w:lvl w:ilvl="5" w:tplc="7C74F54E">
      <w:start w:val="1"/>
      <w:numFmt w:val="bullet"/>
      <w:lvlText w:val=""/>
      <w:lvlJc w:val="left"/>
      <w:pPr>
        <w:ind w:left="4320" w:hanging="360"/>
      </w:pPr>
      <w:rPr>
        <w:rFonts w:ascii="Wingdings" w:hAnsi="Wingdings" w:hint="default"/>
      </w:rPr>
    </w:lvl>
    <w:lvl w:ilvl="6" w:tplc="75C0C856">
      <w:start w:val="1"/>
      <w:numFmt w:val="bullet"/>
      <w:lvlText w:val=""/>
      <w:lvlJc w:val="left"/>
      <w:pPr>
        <w:ind w:left="5040" w:hanging="360"/>
      </w:pPr>
      <w:rPr>
        <w:rFonts w:ascii="Symbol" w:hAnsi="Symbol" w:hint="default"/>
      </w:rPr>
    </w:lvl>
    <w:lvl w:ilvl="7" w:tplc="25D00EF6">
      <w:start w:val="1"/>
      <w:numFmt w:val="bullet"/>
      <w:lvlText w:val="o"/>
      <w:lvlJc w:val="left"/>
      <w:pPr>
        <w:ind w:left="5760" w:hanging="360"/>
      </w:pPr>
      <w:rPr>
        <w:rFonts w:ascii="Courier New" w:hAnsi="Courier New" w:hint="default"/>
      </w:rPr>
    </w:lvl>
    <w:lvl w:ilvl="8" w:tplc="56161692">
      <w:start w:val="1"/>
      <w:numFmt w:val="bullet"/>
      <w:lvlText w:val=""/>
      <w:lvlJc w:val="left"/>
      <w:pPr>
        <w:ind w:left="6480" w:hanging="360"/>
      </w:pPr>
      <w:rPr>
        <w:rFonts w:ascii="Wingdings" w:hAnsi="Wingdings" w:hint="default"/>
      </w:rPr>
    </w:lvl>
  </w:abstractNum>
  <w:abstractNum w:abstractNumId="112" w15:restartNumberingAfterBreak="0">
    <w:nsid w:val="7A56103B"/>
    <w:multiLevelType w:val="singleLevel"/>
    <w:tmpl w:val="11F0A4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3" w15:restartNumberingAfterBreak="0">
    <w:nsid w:val="7A781C76"/>
    <w:multiLevelType w:val="singleLevel"/>
    <w:tmpl w:val="431E4D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4" w15:restartNumberingAfterBreak="0">
    <w:nsid w:val="7D0D2ACA"/>
    <w:multiLevelType w:val="singleLevel"/>
    <w:tmpl w:val="D556EEE6"/>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37"/>
  </w:num>
  <w:num w:numId="2">
    <w:abstractNumId w:val="6"/>
  </w:num>
  <w:num w:numId="3">
    <w:abstractNumId w:val="49"/>
  </w:num>
  <w:num w:numId="4">
    <w:abstractNumId w:val="34"/>
  </w:num>
  <w:num w:numId="5">
    <w:abstractNumId w:val="57"/>
  </w:num>
  <w:num w:numId="6">
    <w:abstractNumId w:val="10"/>
  </w:num>
  <w:num w:numId="7">
    <w:abstractNumId w:val="96"/>
  </w:num>
  <w:num w:numId="8">
    <w:abstractNumId w:val="89"/>
  </w:num>
  <w:num w:numId="9">
    <w:abstractNumId w:val="19"/>
  </w:num>
  <w:num w:numId="10">
    <w:abstractNumId w:val="33"/>
  </w:num>
  <w:num w:numId="11">
    <w:abstractNumId w:val="5"/>
  </w:num>
  <w:num w:numId="12">
    <w:abstractNumId w:val="104"/>
  </w:num>
  <w:num w:numId="13">
    <w:abstractNumId w:val="86"/>
  </w:num>
  <w:num w:numId="14">
    <w:abstractNumId w:val="35"/>
  </w:num>
  <w:num w:numId="15">
    <w:abstractNumId w:val="70"/>
  </w:num>
  <w:num w:numId="16">
    <w:abstractNumId w:val="0"/>
  </w:num>
  <w:num w:numId="17">
    <w:abstractNumId w:val="65"/>
  </w:num>
  <w:num w:numId="18">
    <w:abstractNumId w:val="9"/>
    <w:lvlOverride w:ilvl="0">
      <w:lvl w:ilvl="0">
        <w:start w:val="1"/>
        <w:numFmt w:val="bullet"/>
        <w:pStyle w:val="TableBullet"/>
        <w:lvlText w:val=""/>
        <w:lvlJc w:val="left"/>
        <w:pPr>
          <w:tabs>
            <w:tab w:val="num" w:pos="284"/>
          </w:tabs>
          <w:ind w:left="170" w:hanging="170"/>
        </w:pPr>
        <w:rPr>
          <w:rFonts w:ascii="Symbol" w:hAnsi="Symbol" w:hint="default"/>
          <w:color w:val="auto"/>
          <w:sz w:val="20"/>
        </w:rPr>
      </w:lvl>
    </w:lvlOverride>
    <w:lvlOverride w:ilvl="1">
      <w:lvl w:ilvl="1">
        <w:start w:val="1"/>
        <w:numFmt w:val="bullet"/>
        <w:pStyle w:val="TableBullet2"/>
        <w:lvlText w:val="–"/>
        <w:lvlJc w:val="left"/>
        <w:pPr>
          <w:tabs>
            <w:tab w:val="num" w:pos="454"/>
          </w:tabs>
          <w:ind w:left="340" w:hanging="170"/>
        </w:pPr>
        <w:rPr>
          <w:rFonts w:ascii="Arial" w:hAnsi="Arial" w:cs="Times New Roman" w:hint="default"/>
          <w:color w:val="auto"/>
          <w:sz w:val="20"/>
        </w:rPr>
      </w:lvl>
    </w:lvlOverride>
    <w:lvlOverride w:ilvl="2">
      <w:lvl w:ilvl="2">
        <w:start w:val="1"/>
        <w:numFmt w:val="none"/>
        <w:lvlText w:val=""/>
        <w:lvlJc w:val="left"/>
        <w:pPr>
          <w:tabs>
            <w:tab w:val="num" w:pos="624"/>
          </w:tabs>
          <w:ind w:left="510" w:hanging="170"/>
        </w:pPr>
        <w:rPr>
          <w:rFonts w:hint="default"/>
          <w:color w:val="000000"/>
        </w:rPr>
      </w:lvl>
    </w:lvlOverride>
    <w:lvlOverride w:ilvl="3">
      <w:lvl w:ilvl="3">
        <w:start w:val="1"/>
        <w:numFmt w:val="none"/>
        <w:lvlText w:val="%4"/>
        <w:lvlJc w:val="left"/>
        <w:pPr>
          <w:tabs>
            <w:tab w:val="num" w:pos="794"/>
          </w:tabs>
          <w:ind w:left="680" w:hanging="170"/>
        </w:pPr>
        <w:rPr>
          <w:rFonts w:hint="default"/>
        </w:rPr>
      </w:lvl>
    </w:lvlOverride>
    <w:lvlOverride w:ilvl="4">
      <w:lvl w:ilvl="4">
        <w:start w:val="1"/>
        <w:numFmt w:val="none"/>
        <w:lvlText w:val=""/>
        <w:lvlJc w:val="left"/>
        <w:pPr>
          <w:tabs>
            <w:tab w:val="num" w:pos="964"/>
          </w:tabs>
          <w:ind w:left="850" w:hanging="170"/>
        </w:pPr>
        <w:rPr>
          <w:rFonts w:hint="default"/>
          <w:color w:val="000000"/>
        </w:rPr>
      </w:lvl>
    </w:lvlOverride>
    <w:lvlOverride w:ilvl="5">
      <w:lvl w:ilvl="5">
        <w:start w:val="1"/>
        <w:numFmt w:val="none"/>
        <w:lvlText w:val=""/>
        <w:lvlJc w:val="left"/>
        <w:pPr>
          <w:tabs>
            <w:tab w:val="num" w:pos="1134"/>
          </w:tabs>
          <w:ind w:left="1020" w:hanging="170"/>
        </w:pPr>
        <w:rPr>
          <w:rFonts w:hint="default"/>
        </w:rPr>
      </w:lvl>
    </w:lvlOverride>
    <w:lvlOverride w:ilvl="6">
      <w:lvl w:ilvl="6">
        <w:start w:val="1"/>
        <w:numFmt w:val="none"/>
        <w:lvlText w:val=""/>
        <w:lvlJc w:val="left"/>
        <w:pPr>
          <w:tabs>
            <w:tab w:val="num" w:pos="1304"/>
          </w:tabs>
          <w:ind w:left="1190" w:hanging="170"/>
        </w:pPr>
        <w:rPr>
          <w:rFonts w:hint="default"/>
          <w:color w:val="000000"/>
        </w:rPr>
      </w:lvl>
    </w:lvlOverride>
    <w:lvlOverride w:ilvl="7">
      <w:lvl w:ilvl="7">
        <w:start w:val="1"/>
        <w:numFmt w:val="none"/>
        <w:lvlText w:val="%8"/>
        <w:lvlJc w:val="left"/>
        <w:pPr>
          <w:tabs>
            <w:tab w:val="num" w:pos="1474"/>
          </w:tabs>
          <w:ind w:left="1360" w:hanging="170"/>
        </w:pPr>
        <w:rPr>
          <w:rFonts w:hint="default"/>
        </w:rPr>
      </w:lvl>
    </w:lvlOverride>
    <w:lvlOverride w:ilvl="8">
      <w:lvl w:ilvl="8">
        <w:start w:val="1"/>
        <w:numFmt w:val="none"/>
        <w:lvlText w:val=""/>
        <w:lvlJc w:val="left"/>
        <w:pPr>
          <w:tabs>
            <w:tab w:val="num" w:pos="1644"/>
          </w:tabs>
          <w:ind w:left="1530" w:hanging="170"/>
        </w:pPr>
        <w:rPr>
          <w:rFonts w:hint="default"/>
          <w:color w:val="000000"/>
        </w:rPr>
      </w:lvl>
    </w:lvlOverride>
  </w:num>
  <w:num w:numId="19">
    <w:abstractNumId w:val="15"/>
  </w:num>
  <w:num w:numId="20">
    <w:abstractNumId w:val="55"/>
  </w:num>
  <w:num w:numId="21">
    <w:abstractNumId w:val="11"/>
  </w:num>
  <w:num w:numId="22">
    <w:abstractNumId w:val="21"/>
  </w:num>
  <w:num w:numId="23">
    <w:abstractNumId w:val="59"/>
  </w:num>
  <w:num w:numId="24">
    <w:abstractNumId w:val="42"/>
  </w:num>
  <w:num w:numId="25">
    <w:abstractNumId w:val="41"/>
  </w:num>
  <w:num w:numId="26">
    <w:abstractNumId w:val="73"/>
  </w:num>
  <w:num w:numId="27">
    <w:abstractNumId w:val="25"/>
  </w:num>
  <w:num w:numId="28">
    <w:abstractNumId w:val="58"/>
  </w:num>
  <w:num w:numId="29">
    <w:abstractNumId w:val="108"/>
  </w:num>
  <w:num w:numId="30">
    <w:abstractNumId w:val="103"/>
  </w:num>
  <w:num w:numId="31">
    <w:abstractNumId w:val="102"/>
  </w:num>
  <w:num w:numId="32">
    <w:abstractNumId w:val="36"/>
  </w:num>
  <w:num w:numId="33">
    <w:abstractNumId w:val="60"/>
  </w:num>
  <w:num w:numId="34">
    <w:abstractNumId w:val="27"/>
  </w:num>
  <w:num w:numId="35">
    <w:abstractNumId w:val="8"/>
  </w:num>
  <w:num w:numId="36">
    <w:abstractNumId w:val="18"/>
  </w:num>
  <w:num w:numId="37">
    <w:abstractNumId w:val="106"/>
  </w:num>
  <w:num w:numId="38">
    <w:abstractNumId w:val="97"/>
  </w:num>
  <w:num w:numId="39">
    <w:abstractNumId w:val="85"/>
  </w:num>
  <w:num w:numId="40">
    <w:abstractNumId w:val="113"/>
  </w:num>
  <w:num w:numId="41">
    <w:abstractNumId w:val="50"/>
  </w:num>
  <w:num w:numId="42">
    <w:abstractNumId w:val="23"/>
  </w:num>
  <w:num w:numId="43">
    <w:abstractNumId w:val="112"/>
  </w:num>
  <w:num w:numId="44">
    <w:abstractNumId w:val="47"/>
  </w:num>
  <w:num w:numId="45">
    <w:abstractNumId w:val="78"/>
  </w:num>
  <w:num w:numId="46">
    <w:abstractNumId w:val="29"/>
  </w:num>
  <w:num w:numId="47">
    <w:abstractNumId w:val="40"/>
  </w:num>
  <w:num w:numId="48">
    <w:abstractNumId w:val="68"/>
  </w:num>
  <w:num w:numId="49">
    <w:abstractNumId w:val="66"/>
  </w:num>
  <w:num w:numId="50">
    <w:abstractNumId w:val="31"/>
  </w:num>
  <w:num w:numId="51">
    <w:abstractNumId w:val="3"/>
  </w:num>
  <w:num w:numId="52">
    <w:abstractNumId w:val="74"/>
  </w:num>
  <w:num w:numId="53">
    <w:abstractNumId w:val="54"/>
  </w:num>
  <w:num w:numId="54">
    <w:abstractNumId w:val="51"/>
  </w:num>
  <w:num w:numId="55">
    <w:abstractNumId w:val="39"/>
  </w:num>
  <w:num w:numId="56">
    <w:abstractNumId w:val="87"/>
  </w:num>
  <w:num w:numId="57">
    <w:abstractNumId w:val="71"/>
  </w:num>
  <w:num w:numId="58">
    <w:abstractNumId w:val="107"/>
  </w:num>
  <w:num w:numId="59">
    <w:abstractNumId w:val="13"/>
  </w:num>
  <w:num w:numId="60">
    <w:abstractNumId w:val="79"/>
  </w:num>
  <w:num w:numId="61">
    <w:abstractNumId w:val="83"/>
  </w:num>
  <w:num w:numId="62">
    <w:abstractNumId w:val="75"/>
  </w:num>
  <w:num w:numId="63">
    <w:abstractNumId w:val="45"/>
  </w:num>
  <w:num w:numId="64">
    <w:abstractNumId w:val="53"/>
  </w:num>
  <w:num w:numId="65">
    <w:abstractNumId w:val="20"/>
  </w:num>
  <w:num w:numId="66">
    <w:abstractNumId w:val="84"/>
  </w:num>
  <w:num w:numId="67">
    <w:abstractNumId w:val="69"/>
  </w:num>
  <w:num w:numId="68">
    <w:abstractNumId w:val="77"/>
  </w:num>
  <w:num w:numId="69">
    <w:abstractNumId w:val="94"/>
  </w:num>
  <w:num w:numId="70">
    <w:abstractNumId w:val="1"/>
  </w:num>
  <w:num w:numId="71">
    <w:abstractNumId w:val="28"/>
  </w:num>
  <w:num w:numId="72">
    <w:abstractNumId w:val="30"/>
  </w:num>
  <w:num w:numId="73">
    <w:abstractNumId w:val="114"/>
  </w:num>
  <w:num w:numId="74">
    <w:abstractNumId w:val="95"/>
  </w:num>
  <w:num w:numId="75">
    <w:abstractNumId w:val="91"/>
  </w:num>
  <w:num w:numId="76">
    <w:abstractNumId w:val="14"/>
  </w:num>
  <w:num w:numId="77">
    <w:abstractNumId w:val="16"/>
  </w:num>
  <w:num w:numId="78">
    <w:abstractNumId w:val="64"/>
  </w:num>
  <w:num w:numId="79">
    <w:abstractNumId w:val="100"/>
  </w:num>
  <w:num w:numId="80">
    <w:abstractNumId w:val="90"/>
  </w:num>
  <w:num w:numId="81">
    <w:abstractNumId w:val="46"/>
  </w:num>
  <w:num w:numId="82">
    <w:abstractNumId w:val="2"/>
  </w:num>
  <w:num w:numId="83">
    <w:abstractNumId w:val="22"/>
  </w:num>
  <w:num w:numId="84">
    <w:abstractNumId w:val="104"/>
  </w:num>
  <w:num w:numId="85">
    <w:abstractNumId w:val="38"/>
  </w:num>
  <w:num w:numId="86">
    <w:abstractNumId w:val="12"/>
  </w:num>
  <w:num w:numId="87">
    <w:abstractNumId w:val="110"/>
  </w:num>
  <w:num w:numId="88">
    <w:abstractNumId w:val="111"/>
  </w:num>
  <w:num w:numId="89">
    <w:abstractNumId w:val="105"/>
  </w:num>
  <w:num w:numId="90">
    <w:abstractNumId w:val="109"/>
  </w:num>
  <w:num w:numId="91">
    <w:abstractNumId w:val="56"/>
  </w:num>
  <w:num w:numId="92">
    <w:abstractNumId w:val="81"/>
  </w:num>
  <w:num w:numId="93">
    <w:abstractNumId w:val="93"/>
  </w:num>
  <w:num w:numId="94">
    <w:abstractNumId w:val="48"/>
  </w:num>
  <w:num w:numId="95">
    <w:abstractNumId w:val="26"/>
  </w:num>
  <w:num w:numId="96">
    <w:abstractNumId w:val="88"/>
  </w:num>
  <w:num w:numId="97">
    <w:abstractNumId w:val="35"/>
  </w:num>
  <w:num w:numId="98">
    <w:abstractNumId w:val="72"/>
  </w:num>
  <w:num w:numId="99">
    <w:abstractNumId w:val="99"/>
  </w:num>
  <w:num w:numId="100">
    <w:abstractNumId w:val="89"/>
  </w:num>
  <w:num w:numId="101">
    <w:abstractNumId w:val="52"/>
  </w:num>
  <w:num w:numId="102">
    <w:abstractNumId w:val="61"/>
  </w:num>
  <w:num w:numId="103">
    <w:abstractNumId w:val="82"/>
  </w:num>
  <w:num w:numId="1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num>
  <w:num w:numId="106">
    <w:abstractNumId w:val="80"/>
  </w:num>
  <w:num w:numId="107">
    <w:abstractNumId w:val="4"/>
  </w:num>
  <w:num w:numId="108">
    <w:abstractNumId w:val="44"/>
  </w:num>
  <w:num w:numId="109">
    <w:abstractNumId w:val="7"/>
  </w:num>
  <w:num w:numId="110">
    <w:abstractNumId w:val="17"/>
  </w:num>
  <w:num w:numId="111">
    <w:abstractNumId w:val="76"/>
  </w:num>
  <w:num w:numId="112">
    <w:abstractNumId w:val="63"/>
  </w:num>
  <w:num w:numId="113">
    <w:abstractNumId w:val="62"/>
  </w:num>
  <w:num w:numId="114">
    <w:abstractNumId w:val="32"/>
  </w:num>
  <w:num w:numId="115">
    <w:abstractNumId w:val="101"/>
  </w:num>
  <w:num w:numId="116">
    <w:abstractNumId w:val="67"/>
  </w:num>
  <w:num w:numId="117">
    <w:abstractNumId w:val="98"/>
  </w:num>
  <w:num w:numId="118">
    <w:abstractNumId w:val="4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CC"/>
    <w:rsid w:val="00000C54"/>
    <w:rsid w:val="00001617"/>
    <w:rsid w:val="00001FCE"/>
    <w:rsid w:val="00003D34"/>
    <w:rsid w:val="000058A7"/>
    <w:rsid w:val="00006100"/>
    <w:rsid w:val="00006ACD"/>
    <w:rsid w:val="00007B47"/>
    <w:rsid w:val="00011C24"/>
    <w:rsid w:val="00012E82"/>
    <w:rsid w:val="00013D26"/>
    <w:rsid w:val="00014D9C"/>
    <w:rsid w:val="00016B9B"/>
    <w:rsid w:val="00024209"/>
    <w:rsid w:val="00031976"/>
    <w:rsid w:val="00035103"/>
    <w:rsid w:val="00035B61"/>
    <w:rsid w:val="00035E2F"/>
    <w:rsid w:val="000361EB"/>
    <w:rsid w:val="000378B6"/>
    <w:rsid w:val="000424B8"/>
    <w:rsid w:val="000427B8"/>
    <w:rsid w:val="000437E0"/>
    <w:rsid w:val="00044984"/>
    <w:rsid w:val="00045C72"/>
    <w:rsid w:val="00046478"/>
    <w:rsid w:val="00052EB1"/>
    <w:rsid w:val="00054827"/>
    <w:rsid w:val="00054C36"/>
    <w:rsid w:val="00055E1A"/>
    <w:rsid w:val="000574C1"/>
    <w:rsid w:val="00057BA9"/>
    <w:rsid w:val="00061643"/>
    <w:rsid w:val="00062859"/>
    <w:rsid w:val="00062E3D"/>
    <w:rsid w:val="000648D5"/>
    <w:rsid w:val="00065154"/>
    <w:rsid w:val="0006554A"/>
    <w:rsid w:val="00066325"/>
    <w:rsid w:val="00066FEB"/>
    <w:rsid w:val="00071C7D"/>
    <w:rsid w:val="00072E69"/>
    <w:rsid w:val="00075F70"/>
    <w:rsid w:val="000760B3"/>
    <w:rsid w:val="00076F97"/>
    <w:rsid w:val="00077384"/>
    <w:rsid w:val="000815F1"/>
    <w:rsid w:val="00084A8A"/>
    <w:rsid w:val="00085793"/>
    <w:rsid w:val="000870BB"/>
    <w:rsid w:val="0008797A"/>
    <w:rsid w:val="00087D93"/>
    <w:rsid w:val="00090AE5"/>
    <w:rsid w:val="00090FD2"/>
    <w:rsid w:val="00092E84"/>
    <w:rsid w:val="0009426E"/>
    <w:rsid w:val="00094C0B"/>
    <w:rsid w:val="00096A3E"/>
    <w:rsid w:val="00097A23"/>
    <w:rsid w:val="00097F58"/>
    <w:rsid w:val="000A288E"/>
    <w:rsid w:val="000A50E1"/>
    <w:rsid w:val="000B1CBF"/>
    <w:rsid w:val="000B36B7"/>
    <w:rsid w:val="000B3EBE"/>
    <w:rsid w:val="000B4551"/>
    <w:rsid w:val="000B5219"/>
    <w:rsid w:val="000B5DE1"/>
    <w:rsid w:val="000B6FA1"/>
    <w:rsid w:val="000C0C22"/>
    <w:rsid w:val="000C1D1E"/>
    <w:rsid w:val="000C3DB1"/>
    <w:rsid w:val="000C43DD"/>
    <w:rsid w:val="000C7A15"/>
    <w:rsid w:val="000D0368"/>
    <w:rsid w:val="000D0971"/>
    <w:rsid w:val="000D0C3D"/>
    <w:rsid w:val="000D1000"/>
    <w:rsid w:val="000D174B"/>
    <w:rsid w:val="000D2B78"/>
    <w:rsid w:val="000D3213"/>
    <w:rsid w:val="000D4434"/>
    <w:rsid w:val="000D444B"/>
    <w:rsid w:val="000D6607"/>
    <w:rsid w:val="000E01D1"/>
    <w:rsid w:val="000E05EF"/>
    <w:rsid w:val="000E15E9"/>
    <w:rsid w:val="000E1825"/>
    <w:rsid w:val="000E196E"/>
    <w:rsid w:val="000E391F"/>
    <w:rsid w:val="000E78B0"/>
    <w:rsid w:val="000F0024"/>
    <w:rsid w:val="000F0173"/>
    <w:rsid w:val="000F126E"/>
    <w:rsid w:val="000F1C43"/>
    <w:rsid w:val="000F4A35"/>
    <w:rsid w:val="000F6556"/>
    <w:rsid w:val="000F7455"/>
    <w:rsid w:val="00100881"/>
    <w:rsid w:val="001063C6"/>
    <w:rsid w:val="00111682"/>
    <w:rsid w:val="0011174C"/>
    <w:rsid w:val="001133EC"/>
    <w:rsid w:val="00113D66"/>
    <w:rsid w:val="001144D1"/>
    <w:rsid w:val="0011533B"/>
    <w:rsid w:val="00117D6E"/>
    <w:rsid w:val="00120433"/>
    <w:rsid w:val="001215F4"/>
    <w:rsid w:val="001238E7"/>
    <w:rsid w:val="00123B5A"/>
    <w:rsid w:val="00123D6B"/>
    <w:rsid w:val="00124AC6"/>
    <w:rsid w:val="00125BFB"/>
    <w:rsid w:val="0013218E"/>
    <w:rsid w:val="00133808"/>
    <w:rsid w:val="001339C8"/>
    <w:rsid w:val="00134018"/>
    <w:rsid w:val="001366EB"/>
    <w:rsid w:val="00137E58"/>
    <w:rsid w:val="00137FA3"/>
    <w:rsid w:val="001420DE"/>
    <w:rsid w:val="001437D7"/>
    <w:rsid w:val="00143B7F"/>
    <w:rsid w:val="00144A31"/>
    <w:rsid w:val="001452AB"/>
    <w:rsid w:val="00145BFF"/>
    <w:rsid w:val="00145CCD"/>
    <w:rsid w:val="00147374"/>
    <w:rsid w:val="001505D8"/>
    <w:rsid w:val="001520B8"/>
    <w:rsid w:val="00152BCD"/>
    <w:rsid w:val="001533A2"/>
    <w:rsid w:val="00153BBE"/>
    <w:rsid w:val="0015411E"/>
    <w:rsid w:val="001545C1"/>
    <w:rsid w:val="00154790"/>
    <w:rsid w:val="00154861"/>
    <w:rsid w:val="0015550E"/>
    <w:rsid w:val="0015594C"/>
    <w:rsid w:val="00156423"/>
    <w:rsid w:val="0015702D"/>
    <w:rsid w:val="001600E5"/>
    <w:rsid w:val="0016036B"/>
    <w:rsid w:val="0016168B"/>
    <w:rsid w:val="001624A2"/>
    <w:rsid w:val="0016256F"/>
    <w:rsid w:val="00163DCC"/>
    <w:rsid w:val="00164376"/>
    <w:rsid w:val="001700B0"/>
    <w:rsid w:val="001707E4"/>
    <w:rsid w:val="0017170F"/>
    <w:rsid w:val="001720AF"/>
    <w:rsid w:val="00174095"/>
    <w:rsid w:val="00175F65"/>
    <w:rsid w:val="001764DD"/>
    <w:rsid w:val="00177AD4"/>
    <w:rsid w:val="0018004F"/>
    <w:rsid w:val="001829A7"/>
    <w:rsid w:val="001834EB"/>
    <w:rsid w:val="00185154"/>
    <w:rsid w:val="00190341"/>
    <w:rsid w:val="00190B61"/>
    <w:rsid w:val="0019105F"/>
    <w:rsid w:val="0019114D"/>
    <w:rsid w:val="0019163A"/>
    <w:rsid w:val="0019218A"/>
    <w:rsid w:val="00197A45"/>
    <w:rsid w:val="001A0373"/>
    <w:rsid w:val="001A081C"/>
    <w:rsid w:val="001A408D"/>
    <w:rsid w:val="001A5F22"/>
    <w:rsid w:val="001B1E18"/>
    <w:rsid w:val="001B2BCC"/>
    <w:rsid w:val="001B2C7D"/>
    <w:rsid w:val="001B308E"/>
    <w:rsid w:val="001B33D0"/>
    <w:rsid w:val="001B3DF3"/>
    <w:rsid w:val="001B43F0"/>
    <w:rsid w:val="001B44C0"/>
    <w:rsid w:val="001B4CE4"/>
    <w:rsid w:val="001B52C6"/>
    <w:rsid w:val="001B586F"/>
    <w:rsid w:val="001B7380"/>
    <w:rsid w:val="001C2753"/>
    <w:rsid w:val="001C2D8B"/>
    <w:rsid w:val="001C5ADF"/>
    <w:rsid w:val="001C66FB"/>
    <w:rsid w:val="001C74F3"/>
    <w:rsid w:val="001C76F1"/>
    <w:rsid w:val="001C7A2E"/>
    <w:rsid w:val="001D0B18"/>
    <w:rsid w:val="001D1F6D"/>
    <w:rsid w:val="001D2E71"/>
    <w:rsid w:val="001D2F26"/>
    <w:rsid w:val="001D466A"/>
    <w:rsid w:val="001D6AF8"/>
    <w:rsid w:val="001E2C91"/>
    <w:rsid w:val="001E2EFC"/>
    <w:rsid w:val="001E34AB"/>
    <w:rsid w:val="001F1318"/>
    <w:rsid w:val="001F16CA"/>
    <w:rsid w:val="001F33EF"/>
    <w:rsid w:val="001F362F"/>
    <w:rsid w:val="001F3C1F"/>
    <w:rsid w:val="001F40BC"/>
    <w:rsid w:val="001F553D"/>
    <w:rsid w:val="001F5E8F"/>
    <w:rsid w:val="00200853"/>
    <w:rsid w:val="002009A2"/>
    <w:rsid w:val="0020206A"/>
    <w:rsid w:val="00202162"/>
    <w:rsid w:val="002023AA"/>
    <w:rsid w:val="002060A4"/>
    <w:rsid w:val="002078C1"/>
    <w:rsid w:val="002106C4"/>
    <w:rsid w:val="00210DEF"/>
    <w:rsid w:val="00212522"/>
    <w:rsid w:val="00216A2D"/>
    <w:rsid w:val="00216BC2"/>
    <w:rsid w:val="00221760"/>
    <w:rsid w:val="00222215"/>
    <w:rsid w:val="002225FE"/>
    <w:rsid w:val="00224D62"/>
    <w:rsid w:val="00225B3F"/>
    <w:rsid w:val="00225DB6"/>
    <w:rsid w:val="00226333"/>
    <w:rsid w:val="002274DA"/>
    <w:rsid w:val="002319C7"/>
    <w:rsid w:val="002327C2"/>
    <w:rsid w:val="00236989"/>
    <w:rsid w:val="00237E08"/>
    <w:rsid w:val="002403EF"/>
    <w:rsid w:val="002409BA"/>
    <w:rsid w:val="00240AFB"/>
    <w:rsid w:val="00241D2C"/>
    <w:rsid w:val="00241DB7"/>
    <w:rsid w:val="00243188"/>
    <w:rsid w:val="002470BD"/>
    <w:rsid w:val="00247887"/>
    <w:rsid w:val="00247BEF"/>
    <w:rsid w:val="0025119D"/>
    <w:rsid w:val="00252201"/>
    <w:rsid w:val="00254AE0"/>
    <w:rsid w:val="00254DD8"/>
    <w:rsid w:val="00255159"/>
    <w:rsid w:val="002553E6"/>
    <w:rsid w:val="00257047"/>
    <w:rsid w:val="00257230"/>
    <w:rsid w:val="00257F50"/>
    <w:rsid w:val="00260986"/>
    <w:rsid w:val="00260D24"/>
    <w:rsid w:val="00260F33"/>
    <w:rsid w:val="00261632"/>
    <w:rsid w:val="002619A4"/>
    <w:rsid w:val="00261F12"/>
    <w:rsid w:val="002633B7"/>
    <w:rsid w:val="002668B7"/>
    <w:rsid w:val="00267D7D"/>
    <w:rsid w:val="00271574"/>
    <w:rsid w:val="00271FD2"/>
    <w:rsid w:val="002733CB"/>
    <w:rsid w:val="00273F34"/>
    <w:rsid w:val="002749C3"/>
    <w:rsid w:val="00275C0F"/>
    <w:rsid w:val="00275EB9"/>
    <w:rsid w:val="00276E08"/>
    <w:rsid w:val="00276F3D"/>
    <w:rsid w:val="00281B06"/>
    <w:rsid w:val="00282A1F"/>
    <w:rsid w:val="0028453B"/>
    <w:rsid w:val="00284795"/>
    <w:rsid w:val="00290005"/>
    <w:rsid w:val="002903A9"/>
    <w:rsid w:val="00292E64"/>
    <w:rsid w:val="002A05AA"/>
    <w:rsid w:val="002A3C3C"/>
    <w:rsid w:val="002A44E5"/>
    <w:rsid w:val="002A4764"/>
    <w:rsid w:val="002A4C1E"/>
    <w:rsid w:val="002A4D1E"/>
    <w:rsid w:val="002A5FDE"/>
    <w:rsid w:val="002A615E"/>
    <w:rsid w:val="002A6584"/>
    <w:rsid w:val="002A785C"/>
    <w:rsid w:val="002B2EBE"/>
    <w:rsid w:val="002B3E62"/>
    <w:rsid w:val="002B4003"/>
    <w:rsid w:val="002B4AE6"/>
    <w:rsid w:val="002B6D1D"/>
    <w:rsid w:val="002C28A8"/>
    <w:rsid w:val="002C2D87"/>
    <w:rsid w:val="002C2ED5"/>
    <w:rsid w:val="002C33D0"/>
    <w:rsid w:val="002C41B4"/>
    <w:rsid w:val="002C5B1C"/>
    <w:rsid w:val="002D0093"/>
    <w:rsid w:val="002D4254"/>
    <w:rsid w:val="002D4927"/>
    <w:rsid w:val="002D4E6E"/>
    <w:rsid w:val="002D7F2C"/>
    <w:rsid w:val="002E16FF"/>
    <w:rsid w:val="002E3413"/>
    <w:rsid w:val="002E44DC"/>
    <w:rsid w:val="002E6375"/>
    <w:rsid w:val="002F1863"/>
    <w:rsid w:val="002F4862"/>
    <w:rsid w:val="002F6496"/>
    <w:rsid w:val="002F65FC"/>
    <w:rsid w:val="002F6CB3"/>
    <w:rsid w:val="002FB8FA"/>
    <w:rsid w:val="00301893"/>
    <w:rsid w:val="003023CA"/>
    <w:rsid w:val="00303DF4"/>
    <w:rsid w:val="00304B58"/>
    <w:rsid w:val="00307761"/>
    <w:rsid w:val="00313178"/>
    <w:rsid w:val="0031369A"/>
    <w:rsid w:val="0031771E"/>
    <w:rsid w:val="003215B7"/>
    <w:rsid w:val="00321CB6"/>
    <w:rsid w:val="003312B2"/>
    <w:rsid w:val="0033250A"/>
    <w:rsid w:val="003327F0"/>
    <w:rsid w:val="00333488"/>
    <w:rsid w:val="0033590C"/>
    <w:rsid w:val="00335FDE"/>
    <w:rsid w:val="003411DD"/>
    <w:rsid w:val="003432CF"/>
    <w:rsid w:val="00343F50"/>
    <w:rsid w:val="003445BF"/>
    <w:rsid w:val="00344966"/>
    <w:rsid w:val="003470C8"/>
    <w:rsid w:val="00351870"/>
    <w:rsid w:val="00351C0D"/>
    <w:rsid w:val="00354869"/>
    <w:rsid w:val="00354ADC"/>
    <w:rsid w:val="003609BE"/>
    <w:rsid w:val="00361005"/>
    <w:rsid w:val="003624F0"/>
    <w:rsid w:val="0036252A"/>
    <w:rsid w:val="00363AEE"/>
    <w:rsid w:val="0036591C"/>
    <w:rsid w:val="0036790A"/>
    <w:rsid w:val="00370276"/>
    <w:rsid w:val="00370C8B"/>
    <w:rsid w:val="003717DD"/>
    <w:rsid w:val="0037398C"/>
    <w:rsid w:val="0037618F"/>
    <w:rsid w:val="00381321"/>
    <w:rsid w:val="00382DCB"/>
    <w:rsid w:val="00383782"/>
    <w:rsid w:val="00383D15"/>
    <w:rsid w:val="00384DB6"/>
    <w:rsid w:val="00385313"/>
    <w:rsid w:val="003853C1"/>
    <w:rsid w:val="003906C6"/>
    <w:rsid w:val="003909ED"/>
    <w:rsid w:val="00391A5D"/>
    <w:rsid w:val="00396A80"/>
    <w:rsid w:val="003A04C1"/>
    <w:rsid w:val="003A08A5"/>
    <w:rsid w:val="003A0B5E"/>
    <w:rsid w:val="003A1ACB"/>
    <w:rsid w:val="003A2202"/>
    <w:rsid w:val="003A3066"/>
    <w:rsid w:val="003A5933"/>
    <w:rsid w:val="003A647C"/>
    <w:rsid w:val="003A64FB"/>
    <w:rsid w:val="003B0945"/>
    <w:rsid w:val="003B097F"/>
    <w:rsid w:val="003B182E"/>
    <w:rsid w:val="003B3A29"/>
    <w:rsid w:val="003B4DCF"/>
    <w:rsid w:val="003B55E9"/>
    <w:rsid w:val="003B580E"/>
    <w:rsid w:val="003B7798"/>
    <w:rsid w:val="003C0051"/>
    <w:rsid w:val="003C00BB"/>
    <w:rsid w:val="003C01E0"/>
    <w:rsid w:val="003C0834"/>
    <w:rsid w:val="003C0B7B"/>
    <w:rsid w:val="003C11D9"/>
    <w:rsid w:val="003C3441"/>
    <w:rsid w:val="003C476A"/>
    <w:rsid w:val="003C4F33"/>
    <w:rsid w:val="003C53D0"/>
    <w:rsid w:val="003C627F"/>
    <w:rsid w:val="003C7110"/>
    <w:rsid w:val="003C7959"/>
    <w:rsid w:val="003D3029"/>
    <w:rsid w:val="003D3B71"/>
    <w:rsid w:val="003D476C"/>
    <w:rsid w:val="003D4895"/>
    <w:rsid w:val="003D56AF"/>
    <w:rsid w:val="003D619E"/>
    <w:rsid w:val="003D736C"/>
    <w:rsid w:val="003E1EF3"/>
    <w:rsid w:val="003E5282"/>
    <w:rsid w:val="003E5319"/>
    <w:rsid w:val="003E5408"/>
    <w:rsid w:val="003E55AD"/>
    <w:rsid w:val="003E6A5E"/>
    <w:rsid w:val="003E702E"/>
    <w:rsid w:val="003E72DB"/>
    <w:rsid w:val="003F08D6"/>
    <w:rsid w:val="003F1D76"/>
    <w:rsid w:val="003F2D2A"/>
    <w:rsid w:val="003F3545"/>
    <w:rsid w:val="003F3A1C"/>
    <w:rsid w:val="004026D3"/>
    <w:rsid w:val="00402A54"/>
    <w:rsid w:val="00402FEC"/>
    <w:rsid w:val="004041DA"/>
    <w:rsid w:val="00404473"/>
    <w:rsid w:val="00404615"/>
    <w:rsid w:val="0040497C"/>
    <w:rsid w:val="00406115"/>
    <w:rsid w:val="00407776"/>
    <w:rsid w:val="00413505"/>
    <w:rsid w:val="00414241"/>
    <w:rsid w:val="00414812"/>
    <w:rsid w:val="00414D86"/>
    <w:rsid w:val="0041608F"/>
    <w:rsid w:val="00417F3A"/>
    <w:rsid w:val="00421159"/>
    <w:rsid w:val="00421D80"/>
    <w:rsid w:val="00422051"/>
    <w:rsid w:val="00423F3D"/>
    <w:rsid w:val="004242B9"/>
    <w:rsid w:val="004249AE"/>
    <w:rsid w:val="0042661D"/>
    <w:rsid w:val="00427353"/>
    <w:rsid w:val="00431764"/>
    <w:rsid w:val="0043355B"/>
    <w:rsid w:val="0043490F"/>
    <w:rsid w:val="0043564D"/>
    <w:rsid w:val="004360A4"/>
    <w:rsid w:val="0043628A"/>
    <w:rsid w:val="00436D55"/>
    <w:rsid w:val="00442BEA"/>
    <w:rsid w:val="00444AE6"/>
    <w:rsid w:val="004450CB"/>
    <w:rsid w:val="004478FD"/>
    <w:rsid w:val="00447E0A"/>
    <w:rsid w:val="00450733"/>
    <w:rsid w:val="00453026"/>
    <w:rsid w:val="0045312D"/>
    <w:rsid w:val="00454390"/>
    <w:rsid w:val="00456869"/>
    <w:rsid w:val="00457546"/>
    <w:rsid w:val="00460062"/>
    <w:rsid w:val="004607C5"/>
    <w:rsid w:val="004614F4"/>
    <w:rsid w:val="00461AC4"/>
    <w:rsid w:val="00462A18"/>
    <w:rsid w:val="00464627"/>
    <w:rsid w:val="00465342"/>
    <w:rsid w:val="00465F66"/>
    <w:rsid w:val="004700B3"/>
    <w:rsid w:val="00472ECC"/>
    <w:rsid w:val="00473B54"/>
    <w:rsid w:val="00475FCF"/>
    <w:rsid w:val="00481299"/>
    <w:rsid w:val="004813E7"/>
    <w:rsid w:val="00482AFA"/>
    <w:rsid w:val="00483027"/>
    <w:rsid w:val="00484779"/>
    <w:rsid w:val="00487C09"/>
    <w:rsid w:val="00490823"/>
    <w:rsid w:val="00490E9C"/>
    <w:rsid w:val="004919D1"/>
    <w:rsid w:val="00491A0D"/>
    <w:rsid w:val="00491C59"/>
    <w:rsid w:val="004930E7"/>
    <w:rsid w:val="00494334"/>
    <w:rsid w:val="004946C3"/>
    <w:rsid w:val="00496362"/>
    <w:rsid w:val="004A163C"/>
    <w:rsid w:val="004A2402"/>
    <w:rsid w:val="004A256E"/>
    <w:rsid w:val="004A347D"/>
    <w:rsid w:val="004A4316"/>
    <w:rsid w:val="004A4356"/>
    <w:rsid w:val="004A48FD"/>
    <w:rsid w:val="004A5AC4"/>
    <w:rsid w:val="004B27E9"/>
    <w:rsid w:val="004B3102"/>
    <w:rsid w:val="004B7DAE"/>
    <w:rsid w:val="004C0889"/>
    <w:rsid w:val="004C3163"/>
    <w:rsid w:val="004C3259"/>
    <w:rsid w:val="004C4ACB"/>
    <w:rsid w:val="004C7EBD"/>
    <w:rsid w:val="004D0CB1"/>
    <w:rsid w:val="004D2942"/>
    <w:rsid w:val="004D2C44"/>
    <w:rsid w:val="004D2C82"/>
    <w:rsid w:val="004D35B8"/>
    <w:rsid w:val="004D39F4"/>
    <w:rsid w:val="004D3A0B"/>
    <w:rsid w:val="004E056A"/>
    <w:rsid w:val="004E09F3"/>
    <w:rsid w:val="004E0E3D"/>
    <w:rsid w:val="004E2F84"/>
    <w:rsid w:val="004E5D17"/>
    <w:rsid w:val="004E6BCF"/>
    <w:rsid w:val="004E7328"/>
    <w:rsid w:val="004E79A4"/>
    <w:rsid w:val="004F2A3C"/>
    <w:rsid w:val="004F2D13"/>
    <w:rsid w:val="004F3D6F"/>
    <w:rsid w:val="004F465D"/>
    <w:rsid w:val="004F57A0"/>
    <w:rsid w:val="004F5FCE"/>
    <w:rsid w:val="004F7EDF"/>
    <w:rsid w:val="00500F3E"/>
    <w:rsid w:val="00502913"/>
    <w:rsid w:val="00510557"/>
    <w:rsid w:val="0051056D"/>
    <w:rsid w:val="00515902"/>
    <w:rsid w:val="00515B15"/>
    <w:rsid w:val="00516A98"/>
    <w:rsid w:val="00522118"/>
    <w:rsid w:val="0052219F"/>
    <w:rsid w:val="005229CA"/>
    <w:rsid w:val="00522D54"/>
    <w:rsid w:val="00522F47"/>
    <w:rsid w:val="00524164"/>
    <w:rsid w:val="00525530"/>
    <w:rsid w:val="00526448"/>
    <w:rsid w:val="0052682F"/>
    <w:rsid w:val="00527DC2"/>
    <w:rsid w:val="00530C84"/>
    <w:rsid w:val="005317FB"/>
    <w:rsid w:val="00532085"/>
    <w:rsid w:val="005331C9"/>
    <w:rsid w:val="00534F51"/>
    <w:rsid w:val="00537A2E"/>
    <w:rsid w:val="00543796"/>
    <w:rsid w:val="0055088A"/>
    <w:rsid w:val="0055219D"/>
    <w:rsid w:val="005527F6"/>
    <w:rsid w:val="0055353F"/>
    <w:rsid w:val="00553A95"/>
    <w:rsid w:val="005563CA"/>
    <w:rsid w:val="005566C2"/>
    <w:rsid w:val="0055684C"/>
    <w:rsid w:val="0056026A"/>
    <w:rsid w:val="00560396"/>
    <w:rsid w:val="0056102D"/>
    <w:rsid w:val="00562770"/>
    <w:rsid w:val="00564452"/>
    <w:rsid w:val="00564500"/>
    <w:rsid w:val="00565A92"/>
    <w:rsid w:val="00565EF7"/>
    <w:rsid w:val="0056633F"/>
    <w:rsid w:val="0056660D"/>
    <w:rsid w:val="00567894"/>
    <w:rsid w:val="0057075A"/>
    <w:rsid w:val="005713E5"/>
    <w:rsid w:val="00572FF2"/>
    <w:rsid w:val="00573A6E"/>
    <w:rsid w:val="00573EDD"/>
    <w:rsid w:val="00574F05"/>
    <w:rsid w:val="00575128"/>
    <w:rsid w:val="0057516A"/>
    <w:rsid w:val="0057593E"/>
    <w:rsid w:val="00576700"/>
    <w:rsid w:val="00582D09"/>
    <w:rsid w:val="00583C9D"/>
    <w:rsid w:val="005850B9"/>
    <w:rsid w:val="005867DA"/>
    <w:rsid w:val="00590ECE"/>
    <w:rsid w:val="0059151D"/>
    <w:rsid w:val="00591BEA"/>
    <w:rsid w:val="00592DA6"/>
    <w:rsid w:val="00597B98"/>
    <w:rsid w:val="005A435A"/>
    <w:rsid w:val="005A513C"/>
    <w:rsid w:val="005A5A85"/>
    <w:rsid w:val="005A7CA3"/>
    <w:rsid w:val="005B00A1"/>
    <w:rsid w:val="005B03CC"/>
    <w:rsid w:val="005B0C40"/>
    <w:rsid w:val="005B2A75"/>
    <w:rsid w:val="005B3927"/>
    <w:rsid w:val="005B463B"/>
    <w:rsid w:val="005B5F20"/>
    <w:rsid w:val="005C009E"/>
    <w:rsid w:val="005C2B74"/>
    <w:rsid w:val="005C321D"/>
    <w:rsid w:val="005C394A"/>
    <w:rsid w:val="005C72AA"/>
    <w:rsid w:val="005D1B90"/>
    <w:rsid w:val="005D22FF"/>
    <w:rsid w:val="005D4226"/>
    <w:rsid w:val="005D4470"/>
    <w:rsid w:val="005D4C9E"/>
    <w:rsid w:val="005D620B"/>
    <w:rsid w:val="005D6289"/>
    <w:rsid w:val="005D6339"/>
    <w:rsid w:val="005D6D2A"/>
    <w:rsid w:val="005D7760"/>
    <w:rsid w:val="005E034B"/>
    <w:rsid w:val="005E0E71"/>
    <w:rsid w:val="005E1F11"/>
    <w:rsid w:val="005E259B"/>
    <w:rsid w:val="005E5202"/>
    <w:rsid w:val="005E6926"/>
    <w:rsid w:val="005E6D08"/>
    <w:rsid w:val="005F24D9"/>
    <w:rsid w:val="005F262D"/>
    <w:rsid w:val="005F266D"/>
    <w:rsid w:val="005F35BB"/>
    <w:rsid w:val="005F386C"/>
    <w:rsid w:val="005F3E92"/>
    <w:rsid w:val="005F405D"/>
    <w:rsid w:val="005F4DE0"/>
    <w:rsid w:val="005F7795"/>
    <w:rsid w:val="006025ED"/>
    <w:rsid w:val="00602CD2"/>
    <w:rsid w:val="00603612"/>
    <w:rsid w:val="006038AE"/>
    <w:rsid w:val="00604E5A"/>
    <w:rsid w:val="00605C7B"/>
    <w:rsid w:val="00607896"/>
    <w:rsid w:val="0061089F"/>
    <w:rsid w:val="006142D1"/>
    <w:rsid w:val="00615992"/>
    <w:rsid w:val="00616C8C"/>
    <w:rsid w:val="00620032"/>
    <w:rsid w:val="00620224"/>
    <w:rsid w:val="00621BF6"/>
    <w:rsid w:val="00621ECC"/>
    <w:rsid w:val="0062207F"/>
    <w:rsid w:val="00622D68"/>
    <w:rsid w:val="006242A5"/>
    <w:rsid w:val="00624D1B"/>
    <w:rsid w:val="006252BC"/>
    <w:rsid w:val="006262FC"/>
    <w:rsid w:val="00630156"/>
    <w:rsid w:val="00631B88"/>
    <w:rsid w:val="00633235"/>
    <w:rsid w:val="00633A4D"/>
    <w:rsid w:val="00634EC1"/>
    <w:rsid w:val="006401A8"/>
    <w:rsid w:val="0064179C"/>
    <w:rsid w:val="00641B97"/>
    <w:rsid w:val="00647D8C"/>
    <w:rsid w:val="0065282C"/>
    <w:rsid w:val="0065325A"/>
    <w:rsid w:val="006543AE"/>
    <w:rsid w:val="006557F3"/>
    <w:rsid w:val="00656765"/>
    <w:rsid w:val="0066148C"/>
    <w:rsid w:val="00662FA6"/>
    <w:rsid w:val="00663167"/>
    <w:rsid w:val="0066598F"/>
    <w:rsid w:val="00666E14"/>
    <w:rsid w:val="0067062E"/>
    <w:rsid w:val="006722FE"/>
    <w:rsid w:val="00672683"/>
    <w:rsid w:val="006740D9"/>
    <w:rsid w:val="00674316"/>
    <w:rsid w:val="00674F73"/>
    <w:rsid w:val="00675FEF"/>
    <w:rsid w:val="006770AF"/>
    <w:rsid w:val="00677836"/>
    <w:rsid w:val="00677EED"/>
    <w:rsid w:val="006833BC"/>
    <w:rsid w:val="006835D7"/>
    <w:rsid w:val="00684AC5"/>
    <w:rsid w:val="00684E74"/>
    <w:rsid w:val="00686CBD"/>
    <w:rsid w:val="006949FC"/>
    <w:rsid w:val="006950C1"/>
    <w:rsid w:val="006968DF"/>
    <w:rsid w:val="00697094"/>
    <w:rsid w:val="00697146"/>
    <w:rsid w:val="006A08BD"/>
    <w:rsid w:val="006A1794"/>
    <w:rsid w:val="006A1801"/>
    <w:rsid w:val="006A20DB"/>
    <w:rsid w:val="006A474D"/>
    <w:rsid w:val="006B0A1C"/>
    <w:rsid w:val="006B45C9"/>
    <w:rsid w:val="006C04A4"/>
    <w:rsid w:val="006C204C"/>
    <w:rsid w:val="006C2319"/>
    <w:rsid w:val="006C4D04"/>
    <w:rsid w:val="006C60DE"/>
    <w:rsid w:val="006C65D4"/>
    <w:rsid w:val="006C7BA3"/>
    <w:rsid w:val="006D020F"/>
    <w:rsid w:val="006D048D"/>
    <w:rsid w:val="006D22C5"/>
    <w:rsid w:val="006D272F"/>
    <w:rsid w:val="006D2835"/>
    <w:rsid w:val="006D46C1"/>
    <w:rsid w:val="006D4CB7"/>
    <w:rsid w:val="006D56A7"/>
    <w:rsid w:val="006D5D18"/>
    <w:rsid w:val="006D66DC"/>
    <w:rsid w:val="006D79E2"/>
    <w:rsid w:val="006E0460"/>
    <w:rsid w:val="006E0769"/>
    <w:rsid w:val="006E09EE"/>
    <w:rsid w:val="006E186B"/>
    <w:rsid w:val="006E1A0F"/>
    <w:rsid w:val="006E347F"/>
    <w:rsid w:val="006E4614"/>
    <w:rsid w:val="006E5DCE"/>
    <w:rsid w:val="006F181D"/>
    <w:rsid w:val="006F37A7"/>
    <w:rsid w:val="006F4842"/>
    <w:rsid w:val="006F49EE"/>
    <w:rsid w:val="006F605D"/>
    <w:rsid w:val="006F6754"/>
    <w:rsid w:val="0070055F"/>
    <w:rsid w:val="00702F5F"/>
    <w:rsid w:val="00703A3B"/>
    <w:rsid w:val="00704C4F"/>
    <w:rsid w:val="00707848"/>
    <w:rsid w:val="0071033E"/>
    <w:rsid w:val="00710690"/>
    <w:rsid w:val="00712F6F"/>
    <w:rsid w:val="00714D50"/>
    <w:rsid w:val="007154A1"/>
    <w:rsid w:val="00720B44"/>
    <w:rsid w:val="00721D28"/>
    <w:rsid w:val="0072244C"/>
    <w:rsid w:val="00722CA7"/>
    <w:rsid w:val="00724310"/>
    <w:rsid w:val="007270EB"/>
    <w:rsid w:val="00734EA7"/>
    <w:rsid w:val="00735047"/>
    <w:rsid w:val="007368A9"/>
    <w:rsid w:val="00737694"/>
    <w:rsid w:val="00737F56"/>
    <w:rsid w:val="0074071A"/>
    <w:rsid w:val="00743CF0"/>
    <w:rsid w:val="007456D0"/>
    <w:rsid w:val="0074597C"/>
    <w:rsid w:val="00746C55"/>
    <w:rsid w:val="00746E6E"/>
    <w:rsid w:val="0075450F"/>
    <w:rsid w:val="00756E3D"/>
    <w:rsid w:val="007608C0"/>
    <w:rsid w:val="007617B4"/>
    <w:rsid w:val="0076184A"/>
    <w:rsid w:val="00762100"/>
    <w:rsid w:val="007640A4"/>
    <w:rsid w:val="00765558"/>
    <w:rsid w:val="00765BC3"/>
    <w:rsid w:val="00765C1B"/>
    <w:rsid w:val="00766D68"/>
    <w:rsid w:val="00767193"/>
    <w:rsid w:val="007675CD"/>
    <w:rsid w:val="00767DC0"/>
    <w:rsid w:val="00770783"/>
    <w:rsid w:val="00770BF1"/>
    <w:rsid w:val="00771483"/>
    <w:rsid w:val="00771896"/>
    <w:rsid w:val="00771A60"/>
    <w:rsid w:val="00774E81"/>
    <w:rsid w:val="00777B61"/>
    <w:rsid w:val="00780B4A"/>
    <w:rsid w:val="00782617"/>
    <w:rsid w:val="00782F50"/>
    <w:rsid w:val="00784058"/>
    <w:rsid w:val="00785780"/>
    <w:rsid w:val="00786081"/>
    <w:rsid w:val="00786D71"/>
    <w:rsid w:val="00786EC8"/>
    <w:rsid w:val="00787D91"/>
    <w:rsid w:val="007905C5"/>
    <w:rsid w:val="00791FA3"/>
    <w:rsid w:val="0079338B"/>
    <w:rsid w:val="00793435"/>
    <w:rsid w:val="00793BEE"/>
    <w:rsid w:val="00794200"/>
    <w:rsid w:val="0079546F"/>
    <w:rsid w:val="007967C3"/>
    <w:rsid w:val="00797A04"/>
    <w:rsid w:val="00797ECD"/>
    <w:rsid w:val="007A27E2"/>
    <w:rsid w:val="007A460F"/>
    <w:rsid w:val="007A5346"/>
    <w:rsid w:val="007A53DB"/>
    <w:rsid w:val="007A6468"/>
    <w:rsid w:val="007B173C"/>
    <w:rsid w:val="007B1AFE"/>
    <w:rsid w:val="007B24E7"/>
    <w:rsid w:val="007B29B8"/>
    <w:rsid w:val="007B4742"/>
    <w:rsid w:val="007B4F60"/>
    <w:rsid w:val="007B5B85"/>
    <w:rsid w:val="007C1305"/>
    <w:rsid w:val="007C20BE"/>
    <w:rsid w:val="007C32F6"/>
    <w:rsid w:val="007C3B5E"/>
    <w:rsid w:val="007C68D5"/>
    <w:rsid w:val="007C72DC"/>
    <w:rsid w:val="007C7A10"/>
    <w:rsid w:val="007C7CA4"/>
    <w:rsid w:val="007D019B"/>
    <w:rsid w:val="007D03F3"/>
    <w:rsid w:val="007D0DC8"/>
    <w:rsid w:val="007D0E86"/>
    <w:rsid w:val="007D242E"/>
    <w:rsid w:val="007D3FBA"/>
    <w:rsid w:val="007D517D"/>
    <w:rsid w:val="007E0C2F"/>
    <w:rsid w:val="007E2500"/>
    <w:rsid w:val="007E38AA"/>
    <w:rsid w:val="007E6291"/>
    <w:rsid w:val="007F0912"/>
    <w:rsid w:val="007F12CC"/>
    <w:rsid w:val="007F220F"/>
    <w:rsid w:val="007F221A"/>
    <w:rsid w:val="007F2E9E"/>
    <w:rsid w:val="007F47D2"/>
    <w:rsid w:val="007F74A3"/>
    <w:rsid w:val="00801FCB"/>
    <w:rsid w:val="00803087"/>
    <w:rsid w:val="0080673B"/>
    <w:rsid w:val="00807045"/>
    <w:rsid w:val="00807EAC"/>
    <w:rsid w:val="0081000B"/>
    <w:rsid w:val="00811413"/>
    <w:rsid w:val="00811DC5"/>
    <w:rsid w:val="00812F72"/>
    <w:rsid w:val="00813A93"/>
    <w:rsid w:val="00817D6F"/>
    <w:rsid w:val="00820395"/>
    <w:rsid w:val="008204FD"/>
    <w:rsid w:val="00820B21"/>
    <w:rsid w:val="008213AB"/>
    <w:rsid w:val="00821A72"/>
    <w:rsid w:val="00822503"/>
    <w:rsid w:val="00825119"/>
    <w:rsid w:val="00826F3F"/>
    <w:rsid w:val="0083249B"/>
    <w:rsid w:val="0083672C"/>
    <w:rsid w:val="00836C67"/>
    <w:rsid w:val="00836DE5"/>
    <w:rsid w:val="00840293"/>
    <w:rsid w:val="00842EA4"/>
    <w:rsid w:val="008432A2"/>
    <w:rsid w:val="0084331B"/>
    <w:rsid w:val="00843A5D"/>
    <w:rsid w:val="00843A7C"/>
    <w:rsid w:val="00845732"/>
    <w:rsid w:val="00846AD7"/>
    <w:rsid w:val="00850C94"/>
    <w:rsid w:val="00851E3E"/>
    <w:rsid w:val="00854FC8"/>
    <w:rsid w:val="008572D9"/>
    <w:rsid w:val="008578D7"/>
    <w:rsid w:val="00860433"/>
    <w:rsid w:val="00861E13"/>
    <w:rsid w:val="00862981"/>
    <w:rsid w:val="008629C9"/>
    <w:rsid w:val="008655BF"/>
    <w:rsid w:val="008659F5"/>
    <w:rsid w:val="00865B19"/>
    <w:rsid w:val="00870601"/>
    <w:rsid w:val="008709CE"/>
    <w:rsid w:val="008715D5"/>
    <w:rsid w:val="00872141"/>
    <w:rsid w:val="00876E9E"/>
    <w:rsid w:val="008802C0"/>
    <w:rsid w:val="008823CD"/>
    <w:rsid w:val="00883FB9"/>
    <w:rsid w:val="008842EB"/>
    <w:rsid w:val="00885CEC"/>
    <w:rsid w:val="0088600B"/>
    <w:rsid w:val="008863A5"/>
    <w:rsid w:val="0088760B"/>
    <w:rsid w:val="00890239"/>
    <w:rsid w:val="008921D5"/>
    <w:rsid w:val="00892496"/>
    <w:rsid w:val="00893454"/>
    <w:rsid w:val="00893B00"/>
    <w:rsid w:val="0089539D"/>
    <w:rsid w:val="0089592F"/>
    <w:rsid w:val="00896F5A"/>
    <w:rsid w:val="008A02EA"/>
    <w:rsid w:val="008A45CA"/>
    <w:rsid w:val="008A5ED9"/>
    <w:rsid w:val="008A629A"/>
    <w:rsid w:val="008A6658"/>
    <w:rsid w:val="008A6F22"/>
    <w:rsid w:val="008A7730"/>
    <w:rsid w:val="008B3DC1"/>
    <w:rsid w:val="008B5D8F"/>
    <w:rsid w:val="008C014E"/>
    <w:rsid w:val="008C0D4A"/>
    <w:rsid w:val="008C1260"/>
    <w:rsid w:val="008C180A"/>
    <w:rsid w:val="008C253E"/>
    <w:rsid w:val="008C303C"/>
    <w:rsid w:val="008C3EBE"/>
    <w:rsid w:val="008C4554"/>
    <w:rsid w:val="008C4E3C"/>
    <w:rsid w:val="008D061B"/>
    <w:rsid w:val="008D36D0"/>
    <w:rsid w:val="008D4C3D"/>
    <w:rsid w:val="008D5926"/>
    <w:rsid w:val="008D779F"/>
    <w:rsid w:val="008D786F"/>
    <w:rsid w:val="008D7966"/>
    <w:rsid w:val="008D7AF4"/>
    <w:rsid w:val="008E089E"/>
    <w:rsid w:val="008E1DD2"/>
    <w:rsid w:val="008E2BFA"/>
    <w:rsid w:val="008E2FC3"/>
    <w:rsid w:val="008E436B"/>
    <w:rsid w:val="008E5D18"/>
    <w:rsid w:val="008E7AD0"/>
    <w:rsid w:val="008F0060"/>
    <w:rsid w:val="008F0364"/>
    <w:rsid w:val="008F07F8"/>
    <w:rsid w:val="008F2DE2"/>
    <w:rsid w:val="008F2ECD"/>
    <w:rsid w:val="008F4C94"/>
    <w:rsid w:val="008F4E0B"/>
    <w:rsid w:val="008F603A"/>
    <w:rsid w:val="008F7847"/>
    <w:rsid w:val="009015D8"/>
    <w:rsid w:val="0090210C"/>
    <w:rsid w:val="009022AC"/>
    <w:rsid w:val="00903946"/>
    <w:rsid w:val="00903CDD"/>
    <w:rsid w:val="009043B2"/>
    <w:rsid w:val="00906E55"/>
    <w:rsid w:val="00907866"/>
    <w:rsid w:val="00910B12"/>
    <w:rsid w:val="00912C23"/>
    <w:rsid w:val="0091380F"/>
    <w:rsid w:val="0091387D"/>
    <w:rsid w:val="009144CA"/>
    <w:rsid w:val="00920602"/>
    <w:rsid w:val="00922534"/>
    <w:rsid w:val="00922F70"/>
    <w:rsid w:val="00923BE6"/>
    <w:rsid w:val="00924F84"/>
    <w:rsid w:val="00926875"/>
    <w:rsid w:val="00927C17"/>
    <w:rsid w:val="00927DD0"/>
    <w:rsid w:val="009313C5"/>
    <w:rsid w:val="0093367A"/>
    <w:rsid w:val="009343AB"/>
    <w:rsid w:val="0094375D"/>
    <w:rsid w:val="00943CEC"/>
    <w:rsid w:val="009441BF"/>
    <w:rsid w:val="009453E1"/>
    <w:rsid w:val="009463F9"/>
    <w:rsid w:val="00952C15"/>
    <w:rsid w:val="00953BD0"/>
    <w:rsid w:val="00955DD2"/>
    <w:rsid w:val="00956D96"/>
    <w:rsid w:val="009571D7"/>
    <w:rsid w:val="00957A8D"/>
    <w:rsid w:val="0096033F"/>
    <w:rsid w:val="00961092"/>
    <w:rsid w:val="009619CE"/>
    <w:rsid w:val="00961E0E"/>
    <w:rsid w:val="009622DF"/>
    <w:rsid w:val="00964B23"/>
    <w:rsid w:val="0096616A"/>
    <w:rsid w:val="009665F3"/>
    <w:rsid w:val="009666A1"/>
    <w:rsid w:val="00970823"/>
    <w:rsid w:val="0097111B"/>
    <w:rsid w:val="00972E93"/>
    <w:rsid w:val="00975B18"/>
    <w:rsid w:val="009763A8"/>
    <w:rsid w:val="00980C44"/>
    <w:rsid w:val="0098298A"/>
    <w:rsid w:val="00982A2C"/>
    <w:rsid w:val="00983250"/>
    <w:rsid w:val="009860F9"/>
    <w:rsid w:val="00986982"/>
    <w:rsid w:val="00987464"/>
    <w:rsid w:val="00987C96"/>
    <w:rsid w:val="009903DE"/>
    <w:rsid w:val="0099169D"/>
    <w:rsid w:val="00993F90"/>
    <w:rsid w:val="00996548"/>
    <w:rsid w:val="00997DD9"/>
    <w:rsid w:val="009A0BBD"/>
    <w:rsid w:val="009A199C"/>
    <w:rsid w:val="009A42A4"/>
    <w:rsid w:val="009A468D"/>
    <w:rsid w:val="009A4AE5"/>
    <w:rsid w:val="009A5007"/>
    <w:rsid w:val="009A52E2"/>
    <w:rsid w:val="009A63E5"/>
    <w:rsid w:val="009B0AC7"/>
    <w:rsid w:val="009B246D"/>
    <w:rsid w:val="009B4FD4"/>
    <w:rsid w:val="009C00CA"/>
    <w:rsid w:val="009C020C"/>
    <w:rsid w:val="009C135B"/>
    <w:rsid w:val="009C160C"/>
    <w:rsid w:val="009C3B00"/>
    <w:rsid w:val="009C4B91"/>
    <w:rsid w:val="009C5BF4"/>
    <w:rsid w:val="009C5E62"/>
    <w:rsid w:val="009D08FA"/>
    <w:rsid w:val="009D2238"/>
    <w:rsid w:val="009D36D2"/>
    <w:rsid w:val="009D5583"/>
    <w:rsid w:val="009D64AB"/>
    <w:rsid w:val="009E0A1A"/>
    <w:rsid w:val="009E0EE3"/>
    <w:rsid w:val="009E13A1"/>
    <w:rsid w:val="009E1D11"/>
    <w:rsid w:val="009E25B2"/>
    <w:rsid w:val="009E2DA2"/>
    <w:rsid w:val="009E2F3B"/>
    <w:rsid w:val="009E3824"/>
    <w:rsid w:val="009E47F8"/>
    <w:rsid w:val="009E5D8E"/>
    <w:rsid w:val="009E674F"/>
    <w:rsid w:val="009E70C5"/>
    <w:rsid w:val="009E73E1"/>
    <w:rsid w:val="009E7E2C"/>
    <w:rsid w:val="009F3B88"/>
    <w:rsid w:val="009F4942"/>
    <w:rsid w:val="009F53BB"/>
    <w:rsid w:val="009F6CE7"/>
    <w:rsid w:val="00A00CD6"/>
    <w:rsid w:val="00A01F34"/>
    <w:rsid w:val="00A02D5D"/>
    <w:rsid w:val="00A0404F"/>
    <w:rsid w:val="00A056A1"/>
    <w:rsid w:val="00A07960"/>
    <w:rsid w:val="00A102EC"/>
    <w:rsid w:val="00A14B9C"/>
    <w:rsid w:val="00A16D5D"/>
    <w:rsid w:val="00A17456"/>
    <w:rsid w:val="00A20ADD"/>
    <w:rsid w:val="00A2191D"/>
    <w:rsid w:val="00A21DB1"/>
    <w:rsid w:val="00A21FF5"/>
    <w:rsid w:val="00A23176"/>
    <w:rsid w:val="00A23301"/>
    <w:rsid w:val="00A241EF"/>
    <w:rsid w:val="00A27376"/>
    <w:rsid w:val="00A3050D"/>
    <w:rsid w:val="00A31D94"/>
    <w:rsid w:val="00A32A63"/>
    <w:rsid w:val="00A3370C"/>
    <w:rsid w:val="00A362D5"/>
    <w:rsid w:val="00A371D7"/>
    <w:rsid w:val="00A41250"/>
    <w:rsid w:val="00A41765"/>
    <w:rsid w:val="00A417C1"/>
    <w:rsid w:val="00A41C9F"/>
    <w:rsid w:val="00A41D4E"/>
    <w:rsid w:val="00A41E23"/>
    <w:rsid w:val="00A44251"/>
    <w:rsid w:val="00A45AFE"/>
    <w:rsid w:val="00A47837"/>
    <w:rsid w:val="00A5173A"/>
    <w:rsid w:val="00A52A8F"/>
    <w:rsid w:val="00A543E2"/>
    <w:rsid w:val="00A54EA3"/>
    <w:rsid w:val="00A567AB"/>
    <w:rsid w:val="00A57172"/>
    <w:rsid w:val="00A610B4"/>
    <w:rsid w:val="00A62112"/>
    <w:rsid w:val="00A6326E"/>
    <w:rsid w:val="00A640BC"/>
    <w:rsid w:val="00A640FF"/>
    <w:rsid w:val="00A64B46"/>
    <w:rsid w:val="00A66FB6"/>
    <w:rsid w:val="00A674F8"/>
    <w:rsid w:val="00A6C8D1"/>
    <w:rsid w:val="00A70776"/>
    <w:rsid w:val="00A74475"/>
    <w:rsid w:val="00A748BF"/>
    <w:rsid w:val="00A75A77"/>
    <w:rsid w:val="00A75B84"/>
    <w:rsid w:val="00A80C37"/>
    <w:rsid w:val="00A81335"/>
    <w:rsid w:val="00A818AF"/>
    <w:rsid w:val="00A81B70"/>
    <w:rsid w:val="00A81BE0"/>
    <w:rsid w:val="00A82BEF"/>
    <w:rsid w:val="00A83B38"/>
    <w:rsid w:val="00A8540B"/>
    <w:rsid w:val="00A855DE"/>
    <w:rsid w:val="00A866F7"/>
    <w:rsid w:val="00A86F0F"/>
    <w:rsid w:val="00A91CD2"/>
    <w:rsid w:val="00A92B02"/>
    <w:rsid w:val="00A94ADC"/>
    <w:rsid w:val="00A95E35"/>
    <w:rsid w:val="00A96330"/>
    <w:rsid w:val="00AA02AE"/>
    <w:rsid w:val="00AA051E"/>
    <w:rsid w:val="00AA0725"/>
    <w:rsid w:val="00AA1F90"/>
    <w:rsid w:val="00AA2A77"/>
    <w:rsid w:val="00AA3899"/>
    <w:rsid w:val="00AA3AA2"/>
    <w:rsid w:val="00AA486A"/>
    <w:rsid w:val="00AA6010"/>
    <w:rsid w:val="00AA60DA"/>
    <w:rsid w:val="00AA6C31"/>
    <w:rsid w:val="00AA7857"/>
    <w:rsid w:val="00AA7FBC"/>
    <w:rsid w:val="00AB0F38"/>
    <w:rsid w:val="00AB3BB8"/>
    <w:rsid w:val="00AB4137"/>
    <w:rsid w:val="00AB5438"/>
    <w:rsid w:val="00AB5499"/>
    <w:rsid w:val="00AC637C"/>
    <w:rsid w:val="00AC649F"/>
    <w:rsid w:val="00AC68ED"/>
    <w:rsid w:val="00AC7811"/>
    <w:rsid w:val="00AD0254"/>
    <w:rsid w:val="00AD13F7"/>
    <w:rsid w:val="00AD17BD"/>
    <w:rsid w:val="00AD1D8B"/>
    <w:rsid w:val="00AD6EC2"/>
    <w:rsid w:val="00AD76FD"/>
    <w:rsid w:val="00AD7CEA"/>
    <w:rsid w:val="00AE0113"/>
    <w:rsid w:val="00AE1F36"/>
    <w:rsid w:val="00AE4110"/>
    <w:rsid w:val="00AE4C26"/>
    <w:rsid w:val="00AE5255"/>
    <w:rsid w:val="00AE650A"/>
    <w:rsid w:val="00AE732E"/>
    <w:rsid w:val="00AE7D94"/>
    <w:rsid w:val="00AF0677"/>
    <w:rsid w:val="00AF0832"/>
    <w:rsid w:val="00AF161F"/>
    <w:rsid w:val="00AF1DE3"/>
    <w:rsid w:val="00AF2204"/>
    <w:rsid w:val="00AF4941"/>
    <w:rsid w:val="00AF4C9A"/>
    <w:rsid w:val="00AF58F3"/>
    <w:rsid w:val="00AF5F89"/>
    <w:rsid w:val="00AF703F"/>
    <w:rsid w:val="00B012F3"/>
    <w:rsid w:val="00B01895"/>
    <w:rsid w:val="00B02007"/>
    <w:rsid w:val="00B0354A"/>
    <w:rsid w:val="00B03770"/>
    <w:rsid w:val="00B03B7A"/>
    <w:rsid w:val="00B04052"/>
    <w:rsid w:val="00B04C38"/>
    <w:rsid w:val="00B05DDB"/>
    <w:rsid w:val="00B1089D"/>
    <w:rsid w:val="00B12193"/>
    <w:rsid w:val="00B1273F"/>
    <w:rsid w:val="00B214A3"/>
    <w:rsid w:val="00B21FC2"/>
    <w:rsid w:val="00B2268F"/>
    <w:rsid w:val="00B24636"/>
    <w:rsid w:val="00B25505"/>
    <w:rsid w:val="00B27710"/>
    <w:rsid w:val="00B3346A"/>
    <w:rsid w:val="00B337BD"/>
    <w:rsid w:val="00B347DB"/>
    <w:rsid w:val="00B35065"/>
    <w:rsid w:val="00B36495"/>
    <w:rsid w:val="00B36E01"/>
    <w:rsid w:val="00B3777C"/>
    <w:rsid w:val="00B37C39"/>
    <w:rsid w:val="00B41750"/>
    <w:rsid w:val="00B4298F"/>
    <w:rsid w:val="00B43CA9"/>
    <w:rsid w:val="00B446D8"/>
    <w:rsid w:val="00B44DD5"/>
    <w:rsid w:val="00B458E1"/>
    <w:rsid w:val="00B46162"/>
    <w:rsid w:val="00B473D2"/>
    <w:rsid w:val="00B53493"/>
    <w:rsid w:val="00B558AB"/>
    <w:rsid w:val="00B55D18"/>
    <w:rsid w:val="00B56CC8"/>
    <w:rsid w:val="00B573FE"/>
    <w:rsid w:val="00B57A4C"/>
    <w:rsid w:val="00B60B70"/>
    <w:rsid w:val="00B61C86"/>
    <w:rsid w:val="00B63AC1"/>
    <w:rsid w:val="00B64081"/>
    <w:rsid w:val="00B65281"/>
    <w:rsid w:val="00B663FE"/>
    <w:rsid w:val="00B668FB"/>
    <w:rsid w:val="00B67310"/>
    <w:rsid w:val="00B722EB"/>
    <w:rsid w:val="00B762CC"/>
    <w:rsid w:val="00B76B8E"/>
    <w:rsid w:val="00B807DB"/>
    <w:rsid w:val="00B80E1C"/>
    <w:rsid w:val="00B81735"/>
    <w:rsid w:val="00B8347A"/>
    <w:rsid w:val="00B847BD"/>
    <w:rsid w:val="00B84F01"/>
    <w:rsid w:val="00B8723A"/>
    <w:rsid w:val="00B9082D"/>
    <w:rsid w:val="00B937D8"/>
    <w:rsid w:val="00BA13B2"/>
    <w:rsid w:val="00BA30AE"/>
    <w:rsid w:val="00BA45AE"/>
    <w:rsid w:val="00BA4F4A"/>
    <w:rsid w:val="00BA5E56"/>
    <w:rsid w:val="00BA66AD"/>
    <w:rsid w:val="00BB0A18"/>
    <w:rsid w:val="00BB42C6"/>
    <w:rsid w:val="00BB4400"/>
    <w:rsid w:val="00BB49AA"/>
    <w:rsid w:val="00BC0CD8"/>
    <w:rsid w:val="00BC0EBF"/>
    <w:rsid w:val="00BC1D29"/>
    <w:rsid w:val="00BC2DD3"/>
    <w:rsid w:val="00BC32D4"/>
    <w:rsid w:val="00BC4C0D"/>
    <w:rsid w:val="00BC67B1"/>
    <w:rsid w:val="00BC6DA3"/>
    <w:rsid w:val="00BC77D2"/>
    <w:rsid w:val="00BC7E8D"/>
    <w:rsid w:val="00BD1B1D"/>
    <w:rsid w:val="00BD2900"/>
    <w:rsid w:val="00BD2F49"/>
    <w:rsid w:val="00BD434E"/>
    <w:rsid w:val="00BD72D6"/>
    <w:rsid w:val="00BD7CF3"/>
    <w:rsid w:val="00BD7FF0"/>
    <w:rsid w:val="00BE0123"/>
    <w:rsid w:val="00BE048A"/>
    <w:rsid w:val="00BE0AFA"/>
    <w:rsid w:val="00BE1642"/>
    <w:rsid w:val="00BE16D4"/>
    <w:rsid w:val="00BE1800"/>
    <w:rsid w:val="00BE36A3"/>
    <w:rsid w:val="00BE3A4A"/>
    <w:rsid w:val="00BE472A"/>
    <w:rsid w:val="00BE5DD8"/>
    <w:rsid w:val="00BE6E37"/>
    <w:rsid w:val="00BF0818"/>
    <w:rsid w:val="00BF23B5"/>
    <w:rsid w:val="00BF2C53"/>
    <w:rsid w:val="00BF5C6E"/>
    <w:rsid w:val="00BF66F5"/>
    <w:rsid w:val="00C000C3"/>
    <w:rsid w:val="00C01959"/>
    <w:rsid w:val="00C01C91"/>
    <w:rsid w:val="00C02B1A"/>
    <w:rsid w:val="00C02E60"/>
    <w:rsid w:val="00C05FEB"/>
    <w:rsid w:val="00C06A5F"/>
    <w:rsid w:val="00C0746C"/>
    <w:rsid w:val="00C074C2"/>
    <w:rsid w:val="00C0768E"/>
    <w:rsid w:val="00C10095"/>
    <w:rsid w:val="00C10F7C"/>
    <w:rsid w:val="00C11F81"/>
    <w:rsid w:val="00C12104"/>
    <w:rsid w:val="00C12109"/>
    <w:rsid w:val="00C13026"/>
    <w:rsid w:val="00C13913"/>
    <w:rsid w:val="00C139E6"/>
    <w:rsid w:val="00C14336"/>
    <w:rsid w:val="00C15B4A"/>
    <w:rsid w:val="00C16652"/>
    <w:rsid w:val="00C2184E"/>
    <w:rsid w:val="00C2351A"/>
    <w:rsid w:val="00C240FD"/>
    <w:rsid w:val="00C24374"/>
    <w:rsid w:val="00C2510A"/>
    <w:rsid w:val="00C2515E"/>
    <w:rsid w:val="00C3027A"/>
    <w:rsid w:val="00C302EF"/>
    <w:rsid w:val="00C32544"/>
    <w:rsid w:val="00C3491C"/>
    <w:rsid w:val="00C349E0"/>
    <w:rsid w:val="00C41F76"/>
    <w:rsid w:val="00C429E5"/>
    <w:rsid w:val="00C42E51"/>
    <w:rsid w:val="00C45F83"/>
    <w:rsid w:val="00C479B1"/>
    <w:rsid w:val="00C47EE2"/>
    <w:rsid w:val="00C50957"/>
    <w:rsid w:val="00C53CEB"/>
    <w:rsid w:val="00C619CD"/>
    <w:rsid w:val="00C61CD9"/>
    <w:rsid w:val="00C62514"/>
    <w:rsid w:val="00C627F2"/>
    <w:rsid w:val="00C63B32"/>
    <w:rsid w:val="00C657FA"/>
    <w:rsid w:val="00C65B83"/>
    <w:rsid w:val="00C6639B"/>
    <w:rsid w:val="00C67415"/>
    <w:rsid w:val="00C70113"/>
    <w:rsid w:val="00C70CB0"/>
    <w:rsid w:val="00C73375"/>
    <w:rsid w:val="00C74C53"/>
    <w:rsid w:val="00C75C44"/>
    <w:rsid w:val="00C76A4C"/>
    <w:rsid w:val="00C76B5D"/>
    <w:rsid w:val="00C815D9"/>
    <w:rsid w:val="00C815EE"/>
    <w:rsid w:val="00C81B2F"/>
    <w:rsid w:val="00C825F7"/>
    <w:rsid w:val="00C862EF"/>
    <w:rsid w:val="00C87EA3"/>
    <w:rsid w:val="00C906A5"/>
    <w:rsid w:val="00C94A66"/>
    <w:rsid w:val="00C9603C"/>
    <w:rsid w:val="00C96537"/>
    <w:rsid w:val="00C97431"/>
    <w:rsid w:val="00CA32F0"/>
    <w:rsid w:val="00CA5137"/>
    <w:rsid w:val="00CA5B2F"/>
    <w:rsid w:val="00CB2855"/>
    <w:rsid w:val="00CB30C9"/>
    <w:rsid w:val="00CB560D"/>
    <w:rsid w:val="00CB5765"/>
    <w:rsid w:val="00CB7816"/>
    <w:rsid w:val="00CC02BF"/>
    <w:rsid w:val="00CC0E25"/>
    <w:rsid w:val="00CC1F67"/>
    <w:rsid w:val="00CC2280"/>
    <w:rsid w:val="00CC3426"/>
    <w:rsid w:val="00CC4A7D"/>
    <w:rsid w:val="00CC504C"/>
    <w:rsid w:val="00CC525E"/>
    <w:rsid w:val="00CC7CEB"/>
    <w:rsid w:val="00CD0C70"/>
    <w:rsid w:val="00CD64BF"/>
    <w:rsid w:val="00CE073F"/>
    <w:rsid w:val="00CE2814"/>
    <w:rsid w:val="00CE5AD9"/>
    <w:rsid w:val="00CE6C19"/>
    <w:rsid w:val="00CE6E87"/>
    <w:rsid w:val="00CF1A0B"/>
    <w:rsid w:val="00CF65F8"/>
    <w:rsid w:val="00CF6AB0"/>
    <w:rsid w:val="00D0281D"/>
    <w:rsid w:val="00D04147"/>
    <w:rsid w:val="00D0687C"/>
    <w:rsid w:val="00D10848"/>
    <w:rsid w:val="00D1192F"/>
    <w:rsid w:val="00D121FF"/>
    <w:rsid w:val="00D1401B"/>
    <w:rsid w:val="00D145BC"/>
    <w:rsid w:val="00D14CC2"/>
    <w:rsid w:val="00D153DE"/>
    <w:rsid w:val="00D1545F"/>
    <w:rsid w:val="00D16337"/>
    <w:rsid w:val="00D16F1A"/>
    <w:rsid w:val="00D16F39"/>
    <w:rsid w:val="00D1751D"/>
    <w:rsid w:val="00D200D3"/>
    <w:rsid w:val="00D20508"/>
    <w:rsid w:val="00D21401"/>
    <w:rsid w:val="00D22658"/>
    <w:rsid w:val="00D235B1"/>
    <w:rsid w:val="00D241D3"/>
    <w:rsid w:val="00D24615"/>
    <w:rsid w:val="00D24EC3"/>
    <w:rsid w:val="00D250E8"/>
    <w:rsid w:val="00D253E1"/>
    <w:rsid w:val="00D25BF5"/>
    <w:rsid w:val="00D26C55"/>
    <w:rsid w:val="00D27FA8"/>
    <w:rsid w:val="00D3081F"/>
    <w:rsid w:val="00D33F0B"/>
    <w:rsid w:val="00D35C25"/>
    <w:rsid w:val="00D364FD"/>
    <w:rsid w:val="00D365D3"/>
    <w:rsid w:val="00D36D3D"/>
    <w:rsid w:val="00D36DE7"/>
    <w:rsid w:val="00D377C2"/>
    <w:rsid w:val="00D401DE"/>
    <w:rsid w:val="00D40CB0"/>
    <w:rsid w:val="00D41A69"/>
    <w:rsid w:val="00D41EC2"/>
    <w:rsid w:val="00D42F7B"/>
    <w:rsid w:val="00D4440B"/>
    <w:rsid w:val="00D4662D"/>
    <w:rsid w:val="00D539CD"/>
    <w:rsid w:val="00D55089"/>
    <w:rsid w:val="00D5580E"/>
    <w:rsid w:val="00D56221"/>
    <w:rsid w:val="00D56E65"/>
    <w:rsid w:val="00D654BD"/>
    <w:rsid w:val="00D65684"/>
    <w:rsid w:val="00D6599E"/>
    <w:rsid w:val="00D70065"/>
    <w:rsid w:val="00D711B1"/>
    <w:rsid w:val="00D761AB"/>
    <w:rsid w:val="00D80239"/>
    <w:rsid w:val="00D80819"/>
    <w:rsid w:val="00D816BD"/>
    <w:rsid w:val="00D8495B"/>
    <w:rsid w:val="00D84E7F"/>
    <w:rsid w:val="00D8675B"/>
    <w:rsid w:val="00D86BE7"/>
    <w:rsid w:val="00D90A31"/>
    <w:rsid w:val="00D9251A"/>
    <w:rsid w:val="00D92714"/>
    <w:rsid w:val="00D929A4"/>
    <w:rsid w:val="00D93CFD"/>
    <w:rsid w:val="00D96C1C"/>
    <w:rsid w:val="00D97F82"/>
    <w:rsid w:val="00DA2237"/>
    <w:rsid w:val="00DA2347"/>
    <w:rsid w:val="00DA364E"/>
    <w:rsid w:val="00DA543C"/>
    <w:rsid w:val="00DA571D"/>
    <w:rsid w:val="00DA76FA"/>
    <w:rsid w:val="00DB09F1"/>
    <w:rsid w:val="00DB1068"/>
    <w:rsid w:val="00DB1E36"/>
    <w:rsid w:val="00DB1E72"/>
    <w:rsid w:val="00DB2B49"/>
    <w:rsid w:val="00DB324D"/>
    <w:rsid w:val="00DC1997"/>
    <w:rsid w:val="00DC2274"/>
    <w:rsid w:val="00DC28FE"/>
    <w:rsid w:val="00DC290C"/>
    <w:rsid w:val="00DC33B4"/>
    <w:rsid w:val="00DC34F6"/>
    <w:rsid w:val="00DC6DAB"/>
    <w:rsid w:val="00DD1261"/>
    <w:rsid w:val="00DD19A9"/>
    <w:rsid w:val="00DD1CBB"/>
    <w:rsid w:val="00DD2983"/>
    <w:rsid w:val="00DD2A3C"/>
    <w:rsid w:val="00DD3C79"/>
    <w:rsid w:val="00DD41B6"/>
    <w:rsid w:val="00DD4656"/>
    <w:rsid w:val="00DD4ED3"/>
    <w:rsid w:val="00DD5409"/>
    <w:rsid w:val="00DD5969"/>
    <w:rsid w:val="00DD59EF"/>
    <w:rsid w:val="00DD5F67"/>
    <w:rsid w:val="00DD6F6F"/>
    <w:rsid w:val="00DE0621"/>
    <w:rsid w:val="00DE3E5F"/>
    <w:rsid w:val="00DE504E"/>
    <w:rsid w:val="00DE5C14"/>
    <w:rsid w:val="00DF01DF"/>
    <w:rsid w:val="00DF02F1"/>
    <w:rsid w:val="00DF34C6"/>
    <w:rsid w:val="00DF46B0"/>
    <w:rsid w:val="00DF5C7C"/>
    <w:rsid w:val="00E01036"/>
    <w:rsid w:val="00E01146"/>
    <w:rsid w:val="00E018FB"/>
    <w:rsid w:val="00E049B8"/>
    <w:rsid w:val="00E049C7"/>
    <w:rsid w:val="00E04D45"/>
    <w:rsid w:val="00E04EE0"/>
    <w:rsid w:val="00E069E7"/>
    <w:rsid w:val="00E106E2"/>
    <w:rsid w:val="00E134ED"/>
    <w:rsid w:val="00E1350B"/>
    <w:rsid w:val="00E135C8"/>
    <w:rsid w:val="00E140BF"/>
    <w:rsid w:val="00E171F2"/>
    <w:rsid w:val="00E173DB"/>
    <w:rsid w:val="00E21DC0"/>
    <w:rsid w:val="00E2284E"/>
    <w:rsid w:val="00E26331"/>
    <w:rsid w:val="00E2647E"/>
    <w:rsid w:val="00E27977"/>
    <w:rsid w:val="00E27CBE"/>
    <w:rsid w:val="00E30AB1"/>
    <w:rsid w:val="00E325CD"/>
    <w:rsid w:val="00E34EC1"/>
    <w:rsid w:val="00E34F0C"/>
    <w:rsid w:val="00E35A83"/>
    <w:rsid w:val="00E37727"/>
    <w:rsid w:val="00E413A1"/>
    <w:rsid w:val="00E415E2"/>
    <w:rsid w:val="00E42FAE"/>
    <w:rsid w:val="00E431C2"/>
    <w:rsid w:val="00E438CC"/>
    <w:rsid w:val="00E4415B"/>
    <w:rsid w:val="00E444FD"/>
    <w:rsid w:val="00E46775"/>
    <w:rsid w:val="00E473CC"/>
    <w:rsid w:val="00E50B2E"/>
    <w:rsid w:val="00E515C4"/>
    <w:rsid w:val="00E532AC"/>
    <w:rsid w:val="00E550DD"/>
    <w:rsid w:val="00E5537E"/>
    <w:rsid w:val="00E61E5F"/>
    <w:rsid w:val="00E622F8"/>
    <w:rsid w:val="00E63C4E"/>
    <w:rsid w:val="00E6462B"/>
    <w:rsid w:val="00E64ED0"/>
    <w:rsid w:val="00E66A44"/>
    <w:rsid w:val="00E6763B"/>
    <w:rsid w:val="00E67B3A"/>
    <w:rsid w:val="00E70046"/>
    <w:rsid w:val="00E714F8"/>
    <w:rsid w:val="00E77D05"/>
    <w:rsid w:val="00E80124"/>
    <w:rsid w:val="00E80AF6"/>
    <w:rsid w:val="00E80F6F"/>
    <w:rsid w:val="00E816A7"/>
    <w:rsid w:val="00E8506B"/>
    <w:rsid w:val="00E85D38"/>
    <w:rsid w:val="00E87E10"/>
    <w:rsid w:val="00E92E79"/>
    <w:rsid w:val="00E93A49"/>
    <w:rsid w:val="00E9493E"/>
    <w:rsid w:val="00E96B9D"/>
    <w:rsid w:val="00E97873"/>
    <w:rsid w:val="00EA3202"/>
    <w:rsid w:val="00EA3261"/>
    <w:rsid w:val="00EA3651"/>
    <w:rsid w:val="00EA45A2"/>
    <w:rsid w:val="00EA5910"/>
    <w:rsid w:val="00EA6E10"/>
    <w:rsid w:val="00EB03C4"/>
    <w:rsid w:val="00EB2832"/>
    <w:rsid w:val="00EB4BCC"/>
    <w:rsid w:val="00EB58BD"/>
    <w:rsid w:val="00EB7BB2"/>
    <w:rsid w:val="00EC0FFC"/>
    <w:rsid w:val="00EC2D0D"/>
    <w:rsid w:val="00EC3E04"/>
    <w:rsid w:val="00EC4049"/>
    <w:rsid w:val="00EC48A6"/>
    <w:rsid w:val="00EC549C"/>
    <w:rsid w:val="00EC6768"/>
    <w:rsid w:val="00EC76C7"/>
    <w:rsid w:val="00EC7D5D"/>
    <w:rsid w:val="00ED025F"/>
    <w:rsid w:val="00ED19A1"/>
    <w:rsid w:val="00ED1B89"/>
    <w:rsid w:val="00ED2673"/>
    <w:rsid w:val="00ED2B63"/>
    <w:rsid w:val="00ED2E33"/>
    <w:rsid w:val="00ED3024"/>
    <w:rsid w:val="00ED45F9"/>
    <w:rsid w:val="00ED4A1F"/>
    <w:rsid w:val="00ED5088"/>
    <w:rsid w:val="00ED54E6"/>
    <w:rsid w:val="00ED71B6"/>
    <w:rsid w:val="00EE0BA8"/>
    <w:rsid w:val="00EE0F1F"/>
    <w:rsid w:val="00EE11E0"/>
    <w:rsid w:val="00EE4152"/>
    <w:rsid w:val="00EE4AC7"/>
    <w:rsid w:val="00EE5474"/>
    <w:rsid w:val="00EF0E10"/>
    <w:rsid w:val="00EF2076"/>
    <w:rsid w:val="00EF2AFB"/>
    <w:rsid w:val="00EF2FA2"/>
    <w:rsid w:val="00EF3E32"/>
    <w:rsid w:val="00EF493A"/>
    <w:rsid w:val="00F0312E"/>
    <w:rsid w:val="00F03F31"/>
    <w:rsid w:val="00F06BA4"/>
    <w:rsid w:val="00F100AA"/>
    <w:rsid w:val="00F100EE"/>
    <w:rsid w:val="00F115B4"/>
    <w:rsid w:val="00F12044"/>
    <w:rsid w:val="00F120F4"/>
    <w:rsid w:val="00F158B6"/>
    <w:rsid w:val="00F1600B"/>
    <w:rsid w:val="00F1671F"/>
    <w:rsid w:val="00F16E2C"/>
    <w:rsid w:val="00F17056"/>
    <w:rsid w:val="00F1781B"/>
    <w:rsid w:val="00F200C3"/>
    <w:rsid w:val="00F203CB"/>
    <w:rsid w:val="00F20908"/>
    <w:rsid w:val="00F21429"/>
    <w:rsid w:val="00F23CAA"/>
    <w:rsid w:val="00F24091"/>
    <w:rsid w:val="00F2547C"/>
    <w:rsid w:val="00F25A6A"/>
    <w:rsid w:val="00F27D76"/>
    <w:rsid w:val="00F318B2"/>
    <w:rsid w:val="00F32333"/>
    <w:rsid w:val="00F32ECF"/>
    <w:rsid w:val="00F3367C"/>
    <w:rsid w:val="00F33D5C"/>
    <w:rsid w:val="00F341C5"/>
    <w:rsid w:val="00F354CF"/>
    <w:rsid w:val="00F3637D"/>
    <w:rsid w:val="00F366CD"/>
    <w:rsid w:val="00F36DA5"/>
    <w:rsid w:val="00F3721E"/>
    <w:rsid w:val="00F401AB"/>
    <w:rsid w:val="00F4070A"/>
    <w:rsid w:val="00F431FB"/>
    <w:rsid w:val="00F43DC7"/>
    <w:rsid w:val="00F44278"/>
    <w:rsid w:val="00F44896"/>
    <w:rsid w:val="00F45087"/>
    <w:rsid w:val="00F4567D"/>
    <w:rsid w:val="00F47CD3"/>
    <w:rsid w:val="00F5004E"/>
    <w:rsid w:val="00F53ACB"/>
    <w:rsid w:val="00F53BD1"/>
    <w:rsid w:val="00F54CBD"/>
    <w:rsid w:val="00F557FF"/>
    <w:rsid w:val="00F565E0"/>
    <w:rsid w:val="00F56675"/>
    <w:rsid w:val="00F56FBB"/>
    <w:rsid w:val="00F60169"/>
    <w:rsid w:val="00F60E46"/>
    <w:rsid w:val="00F616D3"/>
    <w:rsid w:val="00F6184E"/>
    <w:rsid w:val="00F653D3"/>
    <w:rsid w:val="00F70BBC"/>
    <w:rsid w:val="00F71D4C"/>
    <w:rsid w:val="00F7267D"/>
    <w:rsid w:val="00F733CA"/>
    <w:rsid w:val="00F777D1"/>
    <w:rsid w:val="00F8007E"/>
    <w:rsid w:val="00F80285"/>
    <w:rsid w:val="00F805B4"/>
    <w:rsid w:val="00F80A0E"/>
    <w:rsid w:val="00F81C8A"/>
    <w:rsid w:val="00F82C5B"/>
    <w:rsid w:val="00F8314D"/>
    <w:rsid w:val="00F83AF6"/>
    <w:rsid w:val="00F84805"/>
    <w:rsid w:val="00F84953"/>
    <w:rsid w:val="00F85FD9"/>
    <w:rsid w:val="00F860D6"/>
    <w:rsid w:val="00F87A42"/>
    <w:rsid w:val="00F87AE4"/>
    <w:rsid w:val="00F9091E"/>
    <w:rsid w:val="00F91680"/>
    <w:rsid w:val="00F94D0B"/>
    <w:rsid w:val="00F95B20"/>
    <w:rsid w:val="00F97219"/>
    <w:rsid w:val="00FA0160"/>
    <w:rsid w:val="00FA0BA7"/>
    <w:rsid w:val="00FA10A4"/>
    <w:rsid w:val="00FA19EA"/>
    <w:rsid w:val="00FA2B02"/>
    <w:rsid w:val="00FA3F66"/>
    <w:rsid w:val="00FA7C20"/>
    <w:rsid w:val="00FB1115"/>
    <w:rsid w:val="00FB1B81"/>
    <w:rsid w:val="00FB2550"/>
    <w:rsid w:val="00FB319C"/>
    <w:rsid w:val="00FB32F7"/>
    <w:rsid w:val="00FB41AC"/>
    <w:rsid w:val="00FB43DF"/>
    <w:rsid w:val="00FB4AE4"/>
    <w:rsid w:val="00FB510A"/>
    <w:rsid w:val="00FB51D0"/>
    <w:rsid w:val="00FB54D9"/>
    <w:rsid w:val="00FB5CAE"/>
    <w:rsid w:val="00FB6151"/>
    <w:rsid w:val="00FB67CC"/>
    <w:rsid w:val="00FB78C3"/>
    <w:rsid w:val="00FB7935"/>
    <w:rsid w:val="00FC011D"/>
    <w:rsid w:val="00FC2176"/>
    <w:rsid w:val="00FC27C4"/>
    <w:rsid w:val="00FC3E36"/>
    <w:rsid w:val="00FC4299"/>
    <w:rsid w:val="00FC552B"/>
    <w:rsid w:val="00FC692D"/>
    <w:rsid w:val="00FC6CE3"/>
    <w:rsid w:val="00FC6CE7"/>
    <w:rsid w:val="00FD1082"/>
    <w:rsid w:val="00FD52CC"/>
    <w:rsid w:val="00FE0112"/>
    <w:rsid w:val="00FE01FC"/>
    <w:rsid w:val="00FE15B6"/>
    <w:rsid w:val="00FE1CB9"/>
    <w:rsid w:val="00FE2E85"/>
    <w:rsid w:val="00FE7A02"/>
    <w:rsid w:val="00FF1B59"/>
    <w:rsid w:val="00FF3B6E"/>
    <w:rsid w:val="00FF3C51"/>
    <w:rsid w:val="00FF4BF0"/>
    <w:rsid w:val="00FF4C2D"/>
    <w:rsid w:val="00FF596B"/>
    <w:rsid w:val="00FF6150"/>
    <w:rsid w:val="00FF6166"/>
    <w:rsid w:val="00FF781B"/>
    <w:rsid w:val="00FF79D4"/>
    <w:rsid w:val="018D5E81"/>
    <w:rsid w:val="01E0D0C9"/>
    <w:rsid w:val="0224547E"/>
    <w:rsid w:val="02679FE4"/>
    <w:rsid w:val="029AB343"/>
    <w:rsid w:val="029BDF54"/>
    <w:rsid w:val="02BB09C7"/>
    <w:rsid w:val="02C8FB34"/>
    <w:rsid w:val="02DEDF40"/>
    <w:rsid w:val="02EA140B"/>
    <w:rsid w:val="03CB7F21"/>
    <w:rsid w:val="03FA6493"/>
    <w:rsid w:val="043C5E3B"/>
    <w:rsid w:val="045FF427"/>
    <w:rsid w:val="048197C5"/>
    <w:rsid w:val="049CCB32"/>
    <w:rsid w:val="04C4B0C8"/>
    <w:rsid w:val="05B74DA1"/>
    <w:rsid w:val="05ED3E9C"/>
    <w:rsid w:val="06105ECA"/>
    <w:rsid w:val="06310380"/>
    <w:rsid w:val="064563BC"/>
    <w:rsid w:val="0717935A"/>
    <w:rsid w:val="082EA573"/>
    <w:rsid w:val="083ACA75"/>
    <w:rsid w:val="084D488E"/>
    <w:rsid w:val="08800D7F"/>
    <w:rsid w:val="0884AACE"/>
    <w:rsid w:val="08DD0CA1"/>
    <w:rsid w:val="08FDF412"/>
    <w:rsid w:val="098AE7E4"/>
    <w:rsid w:val="09CDA572"/>
    <w:rsid w:val="09D45154"/>
    <w:rsid w:val="09E76234"/>
    <w:rsid w:val="0A38B8FC"/>
    <w:rsid w:val="0AE9D15C"/>
    <w:rsid w:val="0AFAA67A"/>
    <w:rsid w:val="0BBA59E1"/>
    <w:rsid w:val="0C2862E6"/>
    <w:rsid w:val="0C612C58"/>
    <w:rsid w:val="0C86CD4C"/>
    <w:rsid w:val="0D37FB37"/>
    <w:rsid w:val="0D3A4B62"/>
    <w:rsid w:val="0D563716"/>
    <w:rsid w:val="0D84DB06"/>
    <w:rsid w:val="0DAD39F6"/>
    <w:rsid w:val="0F4123AB"/>
    <w:rsid w:val="0F6D8EFD"/>
    <w:rsid w:val="0FE5EB5A"/>
    <w:rsid w:val="104B4D05"/>
    <w:rsid w:val="1076D049"/>
    <w:rsid w:val="10C3EBBE"/>
    <w:rsid w:val="10DD4178"/>
    <w:rsid w:val="10E78058"/>
    <w:rsid w:val="10FDF2F0"/>
    <w:rsid w:val="117E6EB2"/>
    <w:rsid w:val="11BFB415"/>
    <w:rsid w:val="12ABEE0D"/>
    <w:rsid w:val="12DEE2A0"/>
    <w:rsid w:val="13B8D20A"/>
    <w:rsid w:val="13B9AB91"/>
    <w:rsid w:val="14B675A9"/>
    <w:rsid w:val="14FBFC4E"/>
    <w:rsid w:val="152B56A2"/>
    <w:rsid w:val="15B5BD8E"/>
    <w:rsid w:val="15E7EC0A"/>
    <w:rsid w:val="15F71D05"/>
    <w:rsid w:val="160C8095"/>
    <w:rsid w:val="167766B4"/>
    <w:rsid w:val="16BBD92A"/>
    <w:rsid w:val="171F51C1"/>
    <w:rsid w:val="1736B74F"/>
    <w:rsid w:val="174C0231"/>
    <w:rsid w:val="1848E91F"/>
    <w:rsid w:val="188F000A"/>
    <w:rsid w:val="1954675B"/>
    <w:rsid w:val="19984D89"/>
    <w:rsid w:val="1A36C5AB"/>
    <w:rsid w:val="1A41F68A"/>
    <w:rsid w:val="1A6076C2"/>
    <w:rsid w:val="1B0807AE"/>
    <w:rsid w:val="1B931767"/>
    <w:rsid w:val="1BC078C8"/>
    <w:rsid w:val="1C6D8FB1"/>
    <w:rsid w:val="1CCFD72D"/>
    <w:rsid w:val="1CD245FF"/>
    <w:rsid w:val="1DAD2091"/>
    <w:rsid w:val="1E30CB0D"/>
    <w:rsid w:val="1E801FBC"/>
    <w:rsid w:val="1F372A65"/>
    <w:rsid w:val="1F3F945D"/>
    <w:rsid w:val="1FC17060"/>
    <w:rsid w:val="2051F375"/>
    <w:rsid w:val="20C20887"/>
    <w:rsid w:val="20D29534"/>
    <w:rsid w:val="21B9E961"/>
    <w:rsid w:val="21C122AC"/>
    <w:rsid w:val="22F25648"/>
    <w:rsid w:val="2357C8A0"/>
    <w:rsid w:val="23E2A6EC"/>
    <w:rsid w:val="23ECEF20"/>
    <w:rsid w:val="2418E0C2"/>
    <w:rsid w:val="24A74273"/>
    <w:rsid w:val="2539AB82"/>
    <w:rsid w:val="25849A28"/>
    <w:rsid w:val="25DCB3EC"/>
    <w:rsid w:val="26255C5D"/>
    <w:rsid w:val="27357292"/>
    <w:rsid w:val="27B03906"/>
    <w:rsid w:val="27F2211A"/>
    <w:rsid w:val="286CEFD9"/>
    <w:rsid w:val="28876816"/>
    <w:rsid w:val="2912E79D"/>
    <w:rsid w:val="2B464A62"/>
    <w:rsid w:val="2B85C871"/>
    <w:rsid w:val="2BF73976"/>
    <w:rsid w:val="2C30BA24"/>
    <w:rsid w:val="2C343F4E"/>
    <w:rsid w:val="2C940339"/>
    <w:rsid w:val="2DF1CB14"/>
    <w:rsid w:val="2E78FEF3"/>
    <w:rsid w:val="2EABFEB9"/>
    <w:rsid w:val="2EED1978"/>
    <w:rsid w:val="2F3F6F01"/>
    <w:rsid w:val="2F7D611D"/>
    <w:rsid w:val="2FE1F19D"/>
    <w:rsid w:val="30AB0A59"/>
    <w:rsid w:val="31241484"/>
    <w:rsid w:val="3134E68A"/>
    <w:rsid w:val="316B1FDD"/>
    <w:rsid w:val="3176C4C5"/>
    <w:rsid w:val="31BBFA19"/>
    <w:rsid w:val="3242BA30"/>
    <w:rsid w:val="32437104"/>
    <w:rsid w:val="32510686"/>
    <w:rsid w:val="32DAD05F"/>
    <w:rsid w:val="338CA9CB"/>
    <w:rsid w:val="33BBC7F1"/>
    <w:rsid w:val="33C6160C"/>
    <w:rsid w:val="3437A99C"/>
    <w:rsid w:val="3537818D"/>
    <w:rsid w:val="356B73F8"/>
    <w:rsid w:val="3624659A"/>
    <w:rsid w:val="37F3228C"/>
    <w:rsid w:val="38255286"/>
    <w:rsid w:val="385C4F53"/>
    <w:rsid w:val="38742D53"/>
    <w:rsid w:val="38A9F48D"/>
    <w:rsid w:val="38BDE0B5"/>
    <w:rsid w:val="39CA2449"/>
    <w:rsid w:val="39DE30D7"/>
    <w:rsid w:val="3A084D3F"/>
    <w:rsid w:val="3A5CBD25"/>
    <w:rsid w:val="3ADBBAE8"/>
    <w:rsid w:val="3B229F22"/>
    <w:rsid w:val="3B55C36B"/>
    <w:rsid w:val="3B6ED89E"/>
    <w:rsid w:val="3B80BC6A"/>
    <w:rsid w:val="3BFFC99E"/>
    <w:rsid w:val="3CE55749"/>
    <w:rsid w:val="3DE96A71"/>
    <w:rsid w:val="3E65BB4B"/>
    <w:rsid w:val="3E6C0413"/>
    <w:rsid w:val="3ECF8D1C"/>
    <w:rsid w:val="3F1DD15D"/>
    <w:rsid w:val="3FB75ABC"/>
    <w:rsid w:val="403B31A1"/>
    <w:rsid w:val="406A113A"/>
    <w:rsid w:val="40A06848"/>
    <w:rsid w:val="40AC023D"/>
    <w:rsid w:val="40E4F82F"/>
    <w:rsid w:val="40FA8A03"/>
    <w:rsid w:val="41526C9C"/>
    <w:rsid w:val="418BF314"/>
    <w:rsid w:val="41A43111"/>
    <w:rsid w:val="41BBD4EB"/>
    <w:rsid w:val="41E7DEE6"/>
    <w:rsid w:val="42225B9A"/>
    <w:rsid w:val="42DECB2C"/>
    <w:rsid w:val="43BDE097"/>
    <w:rsid w:val="44115607"/>
    <w:rsid w:val="44538805"/>
    <w:rsid w:val="44711683"/>
    <w:rsid w:val="449EE44F"/>
    <w:rsid w:val="4573C637"/>
    <w:rsid w:val="4640C42B"/>
    <w:rsid w:val="464D4BB9"/>
    <w:rsid w:val="4672F352"/>
    <w:rsid w:val="4690C176"/>
    <w:rsid w:val="46B0FC6B"/>
    <w:rsid w:val="471556F0"/>
    <w:rsid w:val="472CADAA"/>
    <w:rsid w:val="4799986B"/>
    <w:rsid w:val="48288E69"/>
    <w:rsid w:val="487C3D5C"/>
    <w:rsid w:val="48A68214"/>
    <w:rsid w:val="490D8074"/>
    <w:rsid w:val="496AE108"/>
    <w:rsid w:val="4A00E7A1"/>
    <w:rsid w:val="4A0FA1B8"/>
    <w:rsid w:val="4A7845A4"/>
    <w:rsid w:val="4AA7F1F9"/>
    <w:rsid w:val="4AAF837D"/>
    <w:rsid w:val="4B07B1DB"/>
    <w:rsid w:val="4B526757"/>
    <w:rsid w:val="4B699702"/>
    <w:rsid w:val="4B885E45"/>
    <w:rsid w:val="4B98F450"/>
    <w:rsid w:val="4BD12B10"/>
    <w:rsid w:val="4C07B1C8"/>
    <w:rsid w:val="4C25AF0D"/>
    <w:rsid w:val="4D8ECAAA"/>
    <w:rsid w:val="4E273789"/>
    <w:rsid w:val="4EC0E0D9"/>
    <w:rsid w:val="4F0B46D9"/>
    <w:rsid w:val="4F2058FA"/>
    <w:rsid w:val="4F26752A"/>
    <w:rsid w:val="4F856C2D"/>
    <w:rsid w:val="502333B1"/>
    <w:rsid w:val="50473D1A"/>
    <w:rsid w:val="5067E88E"/>
    <w:rsid w:val="50E6BF00"/>
    <w:rsid w:val="5164DD8D"/>
    <w:rsid w:val="5215F356"/>
    <w:rsid w:val="52395DF7"/>
    <w:rsid w:val="5242A4D9"/>
    <w:rsid w:val="528103AE"/>
    <w:rsid w:val="5300D393"/>
    <w:rsid w:val="53F008FE"/>
    <w:rsid w:val="54356E81"/>
    <w:rsid w:val="54C215C9"/>
    <w:rsid w:val="55000217"/>
    <w:rsid w:val="55170DFD"/>
    <w:rsid w:val="556CE305"/>
    <w:rsid w:val="56156D22"/>
    <w:rsid w:val="5663706B"/>
    <w:rsid w:val="56C95B36"/>
    <w:rsid w:val="574C98E9"/>
    <w:rsid w:val="579B418C"/>
    <w:rsid w:val="57B0A29E"/>
    <w:rsid w:val="58DBAEFB"/>
    <w:rsid w:val="58E2F7AD"/>
    <w:rsid w:val="58E88617"/>
    <w:rsid w:val="58FEB6E0"/>
    <w:rsid w:val="59A62A2A"/>
    <w:rsid w:val="59A92182"/>
    <w:rsid w:val="59E9D06B"/>
    <w:rsid w:val="5A097992"/>
    <w:rsid w:val="5A430B26"/>
    <w:rsid w:val="5AEF8498"/>
    <w:rsid w:val="5B0DB89D"/>
    <w:rsid w:val="5C1F49A0"/>
    <w:rsid w:val="5C73E866"/>
    <w:rsid w:val="5C7A4BD4"/>
    <w:rsid w:val="5CC19718"/>
    <w:rsid w:val="5DED51D8"/>
    <w:rsid w:val="5E141772"/>
    <w:rsid w:val="5E1C76FB"/>
    <w:rsid w:val="5E209615"/>
    <w:rsid w:val="5E917D58"/>
    <w:rsid w:val="5E9FECDF"/>
    <w:rsid w:val="5F2460EE"/>
    <w:rsid w:val="600DBBA9"/>
    <w:rsid w:val="60C804AC"/>
    <w:rsid w:val="6139546E"/>
    <w:rsid w:val="620270C0"/>
    <w:rsid w:val="6208327C"/>
    <w:rsid w:val="62442359"/>
    <w:rsid w:val="627C73D4"/>
    <w:rsid w:val="637A38BA"/>
    <w:rsid w:val="6459BCE6"/>
    <w:rsid w:val="646878DD"/>
    <w:rsid w:val="64952BE4"/>
    <w:rsid w:val="64EAD3F6"/>
    <w:rsid w:val="6515518A"/>
    <w:rsid w:val="651CA756"/>
    <w:rsid w:val="65579604"/>
    <w:rsid w:val="657A0AFE"/>
    <w:rsid w:val="668BC55B"/>
    <w:rsid w:val="6704929C"/>
    <w:rsid w:val="6720FDD6"/>
    <w:rsid w:val="67B13C47"/>
    <w:rsid w:val="67F059AD"/>
    <w:rsid w:val="6854A614"/>
    <w:rsid w:val="68D5BC44"/>
    <w:rsid w:val="68E1FB08"/>
    <w:rsid w:val="6A5C3E7D"/>
    <w:rsid w:val="6A7B2C44"/>
    <w:rsid w:val="6A811A3E"/>
    <w:rsid w:val="6BC2075B"/>
    <w:rsid w:val="6C03C383"/>
    <w:rsid w:val="6CC739DA"/>
    <w:rsid w:val="6CD6C121"/>
    <w:rsid w:val="6D0A98BD"/>
    <w:rsid w:val="6E433E0D"/>
    <w:rsid w:val="6ED46F9A"/>
    <w:rsid w:val="6EE9077D"/>
    <w:rsid w:val="6F30992A"/>
    <w:rsid w:val="6FA18A5A"/>
    <w:rsid w:val="6FBBE467"/>
    <w:rsid w:val="70563D4D"/>
    <w:rsid w:val="710ADBA3"/>
    <w:rsid w:val="727F4108"/>
    <w:rsid w:val="72A5BBCD"/>
    <w:rsid w:val="73CC8206"/>
    <w:rsid w:val="73CE5946"/>
    <w:rsid w:val="747E7663"/>
    <w:rsid w:val="74F50EF5"/>
    <w:rsid w:val="7573F442"/>
    <w:rsid w:val="75F93580"/>
    <w:rsid w:val="77598850"/>
    <w:rsid w:val="778E229A"/>
    <w:rsid w:val="77D17262"/>
    <w:rsid w:val="784609E3"/>
    <w:rsid w:val="78BBD88A"/>
    <w:rsid w:val="78DED8B6"/>
    <w:rsid w:val="78F1C533"/>
    <w:rsid w:val="7A27BA24"/>
    <w:rsid w:val="7AAABAE8"/>
    <w:rsid w:val="7AE7FFA5"/>
    <w:rsid w:val="7B9B85A6"/>
    <w:rsid w:val="7BB12273"/>
    <w:rsid w:val="7C8F19D3"/>
    <w:rsid w:val="7D4B60C7"/>
    <w:rsid w:val="7D69BE3C"/>
    <w:rsid w:val="7D7451F8"/>
    <w:rsid w:val="7D748CF8"/>
    <w:rsid w:val="7D8EEFB8"/>
    <w:rsid w:val="7DACA3C5"/>
    <w:rsid w:val="7E85C659"/>
    <w:rsid w:val="7E9C2B2D"/>
    <w:rsid w:val="7EDF51D4"/>
    <w:rsid w:val="7F6E1FA9"/>
    <w:rsid w:val="7F6FBAC7"/>
    <w:rsid w:val="7FF5FE24"/>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9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39"/>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iPriority="21" w:unhideWhenUsed="1" w:qFormat="1"/>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20" w:unhideWhenUsed="1"/>
    <w:lsdException w:name="List Number 2" w:semiHidden="1" w:uiPriority="21" w:unhideWhenUsed="1"/>
    <w:lsdException w:name="List Number 3" w:semiHidden="1" w:uiPriority="21" w:unhideWhenUsed="1"/>
    <w:lsdException w:name="List Number 4" w:semiHidden="1" w:uiPriority="21" w:unhideWhenUsed="1"/>
    <w:lsdException w:name="List Number 5" w:semiHidden="1" w:uiPriority="2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6038AE"/>
    <w:pPr>
      <w:spacing w:before="0" w:after="0"/>
    </w:pPr>
    <w:rPr>
      <w:sz w:val="20"/>
    </w:rPr>
  </w:style>
  <w:style w:type="paragraph" w:styleId="Heading1">
    <w:name w:val="heading 1"/>
    <w:basedOn w:val="Normal"/>
    <w:next w:val="BodyText"/>
    <w:link w:val="Heading1Char"/>
    <w:uiPriority w:val="9"/>
    <w:qFormat/>
    <w:rsid w:val="00997DD9"/>
    <w:pPr>
      <w:keepNext/>
      <w:keepLines/>
      <w:widowControl w:val="0"/>
      <w:spacing w:before="120" w:after="240" w:line="264" w:lineRule="auto"/>
      <w:outlineLvl w:val="0"/>
    </w:pPr>
    <w:rPr>
      <w:rFonts w:asciiTheme="majorHAnsi" w:eastAsia="Times New Roman" w:hAnsiTheme="majorHAnsi" w:cs="Arial"/>
      <w:b/>
      <w:bCs/>
      <w:sz w:val="40"/>
      <w:szCs w:val="40"/>
      <w:lang w:eastAsia="en-AU"/>
    </w:rPr>
  </w:style>
  <w:style w:type="paragraph" w:styleId="Heading2">
    <w:name w:val="heading 2"/>
    <w:basedOn w:val="Normal"/>
    <w:next w:val="BodyText"/>
    <w:link w:val="Heading2Char"/>
    <w:uiPriority w:val="1"/>
    <w:qFormat/>
    <w:rsid w:val="002903A9"/>
    <w:pPr>
      <w:keepNext/>
      <w:keepLines/>
      <w:spacing w:before="240" w:after="120"/>
      <w:outlineLvl w:val="1"/>
    </w:pPr>
    <w:rPr>
      <w:rFonts w:asciiTheme="majorHAnsi" w:eastAsia="Times New Roman" w:hAnsiTheme="majorHAnsi" w:cs="Arial"/>
      <w:b/>
      <w:bCs/>
      <w:iCs/>
      <w:sz w:val="28"/>
      <w:szCs w:val="28"/>
      <w:lang w:eastAsia="en-AU"/>
    </w:rPr>
  </w:style>
  <w:style w:type="paragraph" w:styleId="Heading3">
    <w:name w:val="heading 3"/>
    <w:basedOn w:val="Normal"/>
    <w:next w:val="BodyText"/>
    <w:link w:val="Heading3Char"/>
    <w:uiPriority w:val="1"/>
    <w:qFormat/>
    <w:rsid w:val="00A102EC"/>
    <w:pPr>
      <w:keepNext/>
      <w:keepLines/>
      <w:spacing w:before="240" w:after="120" w:line="264" w:lineRule="auto"/>
      <w:outlineLvl w:val="2"/>
    </w:pPr>
    <w:rPr>
      <w:rFonts w:asciiTheme="majorHAnsi" w:eastAsia="Times New Roman" w:hAnsiTheme="majorHAnsi" w:cs="Times New Roman"/>
      <w:b/>
      <w:bCs/>
      <w:sz w:val="22"/>
      <w:lang w:eastAsia="en-AU"/>
    </w:rPr>
  </w:style>
  <w:style w:type="paragraph" w:styleId="Heading4">
    <w:name w:val="heading 4"/>
    <w:basedOn w:val="Normal"/>
    <w:next w:val="BodyText"/>
    <w:link w:val="Heading4Char"/>
    <w:uiPriority w:val="1"/>
    <w:qFormat/>
    <w:rsid w:val="00E134ED"/>
    <w:pPr>
      <w:keepNext/>
      <w:keepLines/>
      <w:spacing w:before="240" w:after="120"/>
      <w:outlineLvl w:val="3"/>
    </w:pPr>
    <w:rPr>
      <w:rFonts w:asciiTheme="majorHAnsi" w:eastAsia="Times New Roman" w:hAnsiTheme="majorHAnsi" w:cs="Times New Roman"/>
      <w:b/>
      <w:bCs/>
      <w:szCs w:val="20"/>
      <w:lang w:eastAsia="en-AU"/>
    </w:rPr>
  </w:style>
  <w:style w:type="paragraph" w:styleId="Heading5">
    <w:name w:val="heading 5"/>
    <w:basedOn w:val="Normal"/>
    <w:next w:val="BodyText"/>
    <w:link w:val="Heading5Char"/>
    <w:uiPriority w:val="1"/>
    <w:rsid w:val="00675FEF"/>
    <w:pPr>
      <w:keepNext/>
      <w:keepLines/>
      <w:spacing w:before="240" w:after="120"/>
      <w:outlineLvl w:val="4"/>
    </w:pPr>
    <w:rPr>
      <w:rFonts w:asciiTheme="majorHAnsi" w:eastAsia="Times New Roman" w:hAnsiTheme="majorHAnsi" w:cs="Times New Roman"/>
      <w:bCs/>
      <w:iCs/>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paragraph" w:styleId="Heading7">
    <w:name w:val="heading 7"/>
    <w:basedOn w:val="Normal"/>
    <w:next w:val="Normal"/>
    <w:link w:val="Heading7Char"/>
    <w:uiPriority w:val="99"/>
    <w:semiHidden/>
    <w:unhideWhenUsed/>
    <w:qFormat/>
    <w:rsid w:val="008629C9"/>
    <w:pPr>
      <w:keepNext/>
      <w:keepLines/>
      <w:spacing w:before="40"/>
      <w:outlineLvl w:val="6"/>
    </w:pPr>
    <w:rPr>
      <w:rFonts w:asciiTheme="majorHAnsi" w:eastAsiaTheme="majorEastAsia" w:hAnsiTheme="majorHAnsi" w:cstheme="majorBidi"/>
      <w:i/>
      <w:iCs/>
      <w:color w:val="012650" w:themeColor="accent1" w:themeShade="7F"/>
    </w:rPr>
  </w:style>
  <w:style w:type="paragraph" w:styleId="Heading8">
    <w:name w:val="heading 8"/>
    <w:basedOn w:val="Normal"/>
    <w:next w:val="Normal"/>
    <w:link w:val="Heading8Char"/>
    <w:uiPriority w:val="99"/>
    <w:semiHidden/>
    <w:unhideWhenUsed/>
    <w:qFormat/>
    <w:rsid w:val="008629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8629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8E1DD2"/>
    <w:rPr>
      <w:rFonts w:eastAsia="Times New Roman" w:cs="Times New Roman"/>
      <w:szCs w:val="24"/>
      <w:lang w:eastAsia="en-AU"/>
    </w:rPr>
  </w:style>
  <w:style w:type="character" w:customStyle="1" w:styleId="Heading1Char">
    <w:name w:val="Heading 1 Char"/>
    <w:basedOn w:val="DefaultParagraphFont"/>
    <w:link w:val="Heading1"/>
    <w:uiPriority w:val="9"/>
    <w:rsid w:val="00997DD9"/>
    <w:rPr>
      <w:rFonts w:asciiTheme="majorHAnsi" w:eastAsia="Times New Roman" w:hAnsiTheme="majorHAnsi" w:cs="Arial"/>
      <w:b/>
      <w:bCs/>
      <w:sz w:val="40"/>
      <w:szCs w:val="40"/>
      <w:lang w:eastAsia="en-AU"/>
    </w:rPr>
  </w:style>
  <w:style w:type="character" w:customStyle="1" w:styleId="Heading2Char">
    <w:name w:val="Heading 2 Char"/>
    <w:basedOn w:val="DefaultParagraphFont"/>
    <w:link w:val="Heading2"/>
    <w:uiPriority w:val="1"/>
    <w:rsid w:val="002903A9"/>
    <w:rPr>
      <w:rFonts w:asciiTheme="majorHAnsi" w:eastAsia="Times New Roman" w:hAnsiTheme="majorHAnsi" w:cs="Arial"/>
      <w:b/>
      <w:bCs/>
      <w:iCs/>
      <w:sz w:val="28"/>
      <w:szCs w:val="28"/>
      <w:lang w:eastAsia="en-AU"/>
    </w:rPr>
  </w:style>
  <w:style w:type="character" w:customStyle="1" w:styleId="Heading3Char">
    <w:name w:val="Heading 3 Char"/>
    <w:basedOn w:val="DefaultParagraphFont"/>
    <w:link w:val="Heading3"/>
    <w:uiPriority w:val="1"/>
    <w:rsid w:val="00A102EC"/>
    <w:rPr>
      <w:rFonts w:asciiTheme="majorHAnsi" w:eastAsia="Times New Roman" w:hAnsiTheme="majorHAnsi" w:cs="Times New Roman"/>
      <w:b/>
      <w:bCs/>
      <w:lang w:eastAsia="en-AU"/>
    </w:rPr>
  </w:style>
  <w:style w:type="character" w:customStyle="1" w:styleId="Heading4Char">
    <w:name w:val="Heading 4 Char"/>
    <w:basedOn w:val="DefaultParagraphFont"/>
    <w:link w:val="Heading4"/>
    <w:uiPriority w:val="1"/>
    <w:rsid w:val="00E134ED"/>
    <w:rPr>
      <w:rFonts w:asciiTheme="majorHAnsi" w:eastAsia="Times New Roman" w:hAnsiTheme="majorHAnsi" w:cs="Times New Roman"/>
      <w:b/>
      <w:bCs/>
      <w:sz w:val="20"/>
      <w:szCs w:val="20"/>
      <w:lang w:eastAsia="en-AU"/>
    </w:rPr>
  </w:style>
  <w:style w:type="paragraph" w:customStyle="1" w:styleId="AltHeading1">
    <w:name w:val="Alt Heading 1"/>
    <w:basedOn w:val="Heading1"/>
    <w:next w:val="BodyText"/>
    <w:uiPriority w:val="2"/>
    <w:semiHidden/>
    <w:qFormat/>
    <w:rsid w:val="00B558AB"/>
    <w:pPr>
      <w:numPr>
        <w:numId w:val="10"/>
      </w:numPr>
    </w:pPr>
    <w:rPr>
      <w:bCs w:val="0"/>
    </w:rPr>
  </w:style>
  <w:style w:type="paragraph" w:customStyle="1" w:styleId="AltHeading2">
    <w:name w:val="Alt Heading 2"/>
    <w:basedOn w:val="Heading2"/>
    <w:next w:val="BodyText"/>
    <w:uiPriority w:val="2"/>
    <w:semiHidden/>
    <w:qFormat/>
    <w:rsid w:val="00912C23"/>
    <w:pPr>
      <w:numPr>
        <w:ilvl w:val="1"/>
        <w:numId w:val="10"/>
      </w:numPr>
    </w:pPr>
  </w:style>
  <w:style w:type="paragraph" w:customStyle="1" w:styleId="AltHeading3">
    <w:name w:val="Alt Heading 3"/>
    <w:basedOn w:val="Heading3"/>
    <w:next w:val="BodyText"/>
    <w:uiPriority w:val="2"/>
    <w:semiHidden/>
    <w:qFormat/>
    <w:rsid w:val="00912C23"/>
    <w:pPr>
      <w:numPr>
        <w:ilvl w:val="2"/>
        <w:numId w:val="10"/>
      </w:numPr>
    </w:pPr>
  </w:style>
  <w:style w:type="paragraph" w:customStyle="1" w:styleId="AltHeading4">
    <w:name w:val="Alt Heading 4"/>
    <w:basedOn w:val="Heading4"/>
    <w:next w:val="BodyText"/>
    <w:uiPriority w:val="99"/>
    <w:semiHidden/>
    <w:qFormat/>
    <w:rsid w:val="00912C23"/>
    <w:pPr>
      <w:numPr>
        <w:ilvl w:val="3"/>
        <w:numId w:val="10"/>
      </w:numPr>
    </w:pPr>
  </w:style>
  <w:style w:type="paragraph" w:styleId="Title">
    <w:name w:val="Title"/>
    <w:basedOn w:val="Heading1"/>
    <w:next w:val="BodyText"/>
    <w:link w:val="TitleChar"/>
    <w:uiPriority w:val="10"/>
    <w:qFormat/>
    <w:rsid w:val="00543796"/>
    <w:pPr>
      <w:spacing w:before="0" w:after="360"/>
    </w:pPr>
    <w:rPr>
      <w:color w:val="034EA2" w:themeColor="accent1"/>
      <w:sz w:val="52"/>
    </w:rPr>
  </w:style>
  <w:style w:type="character" w:customStyle="1" w:styleId="TitleChar">
    <w:name w:val="Title Char"/>
    <w:basedOn w:val="DefaultParagraphFont"/>
    <w:link w:val="Title"/>
    <w:uiPriority w:val="10"/>
    <w:rsid w:val="00543796"/>
    <w:rPr>
      <w:rFonts w:asciiTheme="majorHAnsi" w:eastAsia="Times New Roman" w:hAnsiTheme="majorHAnsi" w:cs="Arial"/>
      <w:b/>
      <w:bCs/>
      <w:color w:val="034EA2" w:themeColor="accent1"/>
      <w:sz w:val="52"/>
      <w:szCs w:val="40"/>
      <w:lang w:eastAsia="en-AU"/>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semiHidden/>
    <w:rsid w:val="00A417C1"/>
    <w:pPr>
      <w:jc w:val="right"/>
    </w:pPr>
    <w:rPr>
      <w:sz w:val="2"/>
    </w:rPr>
  </w:style>
  <w:style w:type="character" w:customStyle="1" w:styleId="HeaderChar">
    <w:name w:val="Header Char"/>
    <w:basedOn w:val="DefaultParagraphFont"/>
    <w:link w:val="Header"/>
    <w:uiPriority w:val="99"/>
    <w:semiHidden/>
    <w:rsid w:val="0042661D"/>
    <w:rPr>
      <w:sz w:val="2"/>
    </w:rPr>
  </w:style>
  <w:style w:type="paragraph" w:styleId="Footer">
    <w:name w:val="footer"/>
    <w:basedOn w:val="Normal"/>
    <w:link w:val="FooterChar"/>
    <w:uiPriority w:val="99"/>
    <w:rsid w:val="008E2BFA"/>
    <w:pPr>
      <w:tabs>
        <w:tab w:val="right" w:pos="9639"/>
      </w:tabs>
      <w:jc w:val="right"/>
    </w:pPr>
    <w:rPr>
      <w:color w:val="5C676D" w:themeColor="accent3"/>
      <w:sz w:val="18"/>
    </w:rPr>
  </w:style>
  <w:style w:type="character" w:customStyle="1" w:styleId="FooterChar">
    <w:name w:val="Footer Char"/>
    <w:basedOn w:val="DefaultParagraphFont"/>
    <w:link w:val="Footer"/>
    <w:uiPriority w:val="99"/>
    <w:rsid w:val="006E0769"/>
    <w:rPr>
      <w:color w:val="5C676D" w:themeColor="accent3"/>
      <w:sz w:val="18"/>
    </w:rPr>
  </w:style>
  <w:style w:type="paragraph" w:styleId="ListNumber0">
    <w:name w:val="List Number"/>
    <w:basedOn w:val="ListBullet"/>
    <w:uiPriority w:val="21"/>
    <w:qFormat/>
    <w:rsid w:val="00197A45"/>
    <w:pPr>
      <w:ind w:left="284"/>
    </w:pPr>
  </w:style>
  <w:style w:type="table" w:customStyle="1" w:styleId="DHATable">
    <w:name w:val="DHA Table"/>
    <w:basedOn w:val="TableNormal"/>
    <w:uiPriority w:val="99"/>
    <w:rsid w:val="00054827"/>
    <w:pPr>
      <w:spacing w:before="120" w:after="120"/>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034EA2"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paragraph" w:styleId="TOCHeading">
    <w:name w:val="TOC Heading"/>
    <w:basedOn w:val="Heading1"/>
    <w:next w:val="Normal"/>
    <w:uiPriority w:val="39"/>
    <w:qFormat/>
    <w:rsid w:val="00A23301"/>
    <w:pPr>
      <w:spacing w:before="0" w:after="480" w:line="240" w:lineRule="auto"/>
    </w:pPr>
    <w:rPr>
      <w:color w:val="034EA2" w:themeColor="accent1"/>
    </w:rPr>
  </w:style>
  <w:style w:type="character" w:styleId="Hyperlink">
    <w:name w:val="Hyperlink"/>
    <w:basedOn w:val="DefaultParagraphFont"/>
    <w:uiPriority w:val="99"/>
    <w:rsid w:val="00997DD9"/>
    <w:rPr>
      <w:color w:val="000000" w:themeColor="text1"/>
      <w:u w:val="single"/>
    </w:rPr>
  </w:style>
  <w:style w:type="paragraph" w:styleId="TOC1">
    <w:name w:val="toc 1"/>
    <w:basedOn w:val="Normal"/>
    <w:next w:val="Normal"/>
    <w:uiPriority w:val="39"/>
    <w:rsid w:val="009666A1"/>
    <w:pPr>
      <w:keepNext/>
      <w:tabs>
        <w:tab w:val="left" w:pos="284"/>
        <w:tab w:val="left" w:pos="851"/>
        <w:tab w:val="right" w:pos="9338"/>
      </w:tabs>
      <w:spacing w:before="120" w:after="120" w:line="264" w:lineRule="auto"/>
      <w:ind w:right="567"/>
    </w:pPr>
    <w:rPr>
      <w:b/>
      <w:noProof/>
    </w:rPr>
  </w:style>
  <w:style w:type="paragraph" w:styleId="TOC2">
    <w:name w:val="toc 2"/>
    <w:basedOn w:val="Normal"/>
    <w:next w:val="Normal"/>
    <w:uiPriority w:val="39"/>
    <w:rsid w:val="009666A1"/>
    <w:pPr>
      <w:tabs>
        <w:tab w:val="left" w:pos="284"/>
        <w:tab w:val="left" w:pos="1134"/>
        <w:tab w:val="right" w:pos="9338"/>
      </w:tabs>
      <w:spacing w:before="60" w:after="60" w:line="264" w:lineRule="auto"/>
      <w:ind w:right="284" w:firstLine="567"/>
    </w:pPr>
    <w:rPr>
      <w:noProof/>
    </w:rPr>
  </w:style>
  <w:style w:type="paragraph" w:styleId="TOC3">
    <w:name w:val="toc 3"/>
    <w:basedOn w:val="Normal"/>
    <w:next w:val="Normal"/>
    <w:uiPriority w:val="39"/>
    <w:rsid w:val="009666A1"/>
    <w:pPr>
      <w:tabs>
        <w:tab w:val="left" w:pos="1985"/>
        <w:tab w:val="right" w:pos="9338"/>
      </w:tabs>
      <w:spacing w:before="60" w:after="60"/>
      <w:ind w:left="1134" w:right="567"/>
    </w:pPr>
    <w:rPr>
      <w:noProof/>
      <w:sz w:val="18"/>
    </w:rPr>
  </w:style>
  <w:style w:type="table" w:styleId="TableGrid">
    <w:name w:val="Table Grid"/>
    <w:basedOn w:val="TableNormal"/>
    <w:uiPriority w:val="39"/>
    <w:rsid w:val="00CB30C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11"/>
    <w:qFormat/>
    <w:rsid w:val="009D5583"/>
    <w:pPr>
      <w:spacing w:before="120" w:after="120"/>
    </w:pPr>
  </w:style>
  <w:style w:type="paragraph" w:customStyle="1" w:styleId="TableBullet">
    <w:name w:val="Table Bullet"/>
    <w:basedOn w:val="Normal"/>
    <w:uiPriority w:val="4"/>
    <w:qFormat/>
    <w:rsid w:val="0043490F"/>
    <w:pPr>
      <w:numPr>
        <w:numId w:val="18"/>
      </w:numPr>
      <w:spacing w:before="120" w:after="120"/>
      <w:contextualSpacing/>
    </w:pPr>
    <w:rPr>
      <w:rFonts w:eastAsia="Times New Roman" w:cs="Times New Roman"/>
      <w:szCs w:val="24"/>
      <w:lang w:eastAsia="en-AU"/>
    </w:rPr>
  </w:style>
  <w:style w:type="paragraph" w:customStyle="1" w:styleId="TableNumber">
    <w:name w:val="Table Number"/>
    <w:basedOn w:val="Normal"/>
    <w:uiPriority w:val="4"/>
    <w:qFormat/>
    <w:rsid w:val="0043490F"/>
    <w:pPr>
      <w:numPr>
        <w:numId w:val="11"/>
      </w:numPr>
      <w:spacing w:before="120" w:after="120"/>
      <w:contextualSpacing/>
    </w:pPr>
  </w:style>
  <w:style w:type="character" w:customStyle="1" w:styleId="Heading5Char">
    <w:name w:val="Heading 5 Char"/>
    <w:basedOn w:val="DefaultParagraphFont"/>
    <w:link w:val="Heading5"/>
    <w:uiPriority w:val="1"/>
    <w:rsid w:val="009666A1"/>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662FA6"/>
    <w:rPr>
      <w:rFonts w:eastAsia="Times New Roman" w:cs="Times New Roman"/>
      <w:bCs/>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
    <w:name w:val="List Paragraph"/>
    <w:aliases w:val="Bullet Level 1,List Paragraph1,Recommendation,List Paragraph11,SP NON-TABLE LIST (S),List Bullet Cab,CAB - List Bullet,List Paragraph2,AR bullet 1,List Paragraph Number,Bullet point,L,Content descriptions,Bullet Point,Figure_name,Dot pt,l"/>
    <w:basedOn w:val="Normal"/>
    <w:link w:val="ListParagraphChar"/>
    <w:uiPriority w:val="34"/>
    <w:qFormat/>
    <w:rsid w:val="000F0024"/>
    <w:pPr>
      <w:spacing w:before="120" w:after="120" w:line="264" w:lineRule="auto"/>
    </w:pPr>
    <w:rPr>
      <w:rFonts w:eastAsia="Times New Roman" w:cs="Times New Roman"/>
      <w:szCs w:val="24"/>
      <w:lang w:eastAsia="en-AU"/>
    </w:rPr>
  </w:style>
  <w:style w:type="paragraph" w:styleId="TOC4">
    <w:name w:val="toc 4"/>
    <w:basedOn w:val="TOC1"/>
    <w:next w:val="Normal"/>
    <w:uiPriority w:val="99"/>
    <w:semiHidden/>
    <w:rsid w:val="00DF01DF"/>
    <w:pPr>
      <w:ind w:left="851" w:hanging="851"/>
    </w:pPr>
  </w:style>
  <w:style w:type="paragraph" w:customStyle="1" w:styleId="AltHeading5">
    <w:name w:val="Alt Heading 5"/>
    <w:basedOn w:val="Heading5"/>
    <w:next w:val="BodyText"/>
    <w:uiPriority w:val="99"/>
    <w:semiHidden/>
    <w:rsid w:val="00912C23"/>
    <w:pPr>
      <w:numPr>
        <w:ilvl w:val="4"/>
        <w:numId w:val="10"/>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83"/>
    <w:qFormat/>
    <w:rsid w:val="00997DD9"/>
    <w:pPr>
      <w:spacing w:before="240" w:after="160" w:line="264" w:lineRule="auto"/>
    </w:pPr>
    <w:rPr>
      <w:rFonts w:ascii="Arial" w:eastAsia="Arial" w:hAnsi="Arial" w:cs="Times New Roman"/>
      <w:color w:val="034EA2" w:themeColor="accent1"/>
      <w:sz w:val="40"/>
      <w:szCs w:val="40"/>
    </w:rPr>
  </w:style>
  <w:style w:type="character" w:customStyle="1" w:styleId="QuoteChar">
    <w:name w:val="Quote Char"/>
    <w:basedOn w:val="DefaultParagraphFont"/>
    <w:link w:val="Quote"/>
    <w:uiPriority w:val="83"/>
    <w:rsid w:val="00997DD9"/>
    <w:rPr>
      <w:rFonts w:ascii="Arial" w:eastAsia="Arial" w:hAnsi="Arial" w:cs="Times New Roman"/>
      <w:color w:val="034EA2" w:themeColor="accent1"/>
      <w:sz w:val="40"/>
      <w:szCs w:val="40"/>
    </w:rPr>
  </w:style>
  <w:style w:type="paragraph" w:styleId="TOC5">
    <w:name w:val="toc 5"/>
    <w:basedOn w:val="TOC2"/>
    <w:next w:val="Normal"/>
    <w:uiPriority w:val="99"/>
    <w:semiHidden/>
    <w:rsid w:val="0061089F"/>
    <w:pPr>
      <w:tabs>
        <w:tab w:val="left" w:pos="851"/>
      </w:tabs>
      <w:ind w:left="851" w:hanging="851"/>
    </w:pPr>
  </w:style>
  <w:style w:type="paragraph" w:styleId="TOC6">
    <w:name w:val="toc 6"/>
    <w:basedOn w:val="TOC3"/>
    <w:next w:val="Normal"/>
    <w:uiPriority w:val="99"/>
    <w:semiHidden/>
    <w:rsid w:val="0061089F"/>
    <w:pPr>
      <w:tabs>
        <w:tab w:val="left" w:pos="851"/>
      </w:tabs>
      <w:ind w:left="851" w:hanging="851"/>
    </w:pPr>
  </w:style>
  <w:style w:type="paragraph" w:styleId="TOC7">
    <w:name w:val="toc 7"/>
    <w:basedOn w:val="TOC2"/>
    <w:next w:val="Normal"/>
    <w:uiPriority w:val="99"/>
    <w:semiHidden/>
    <w:rsid w:val="003B4DCF"/>
    <w:rPr>
      <w:sz w:val="16"/>
    </w:rPr>
  </w:style>
  <w:style w:type="paragraph" w:styleId="TOC8">
    <w:name w:val="toc 8"/>
    <w:basedOn w:val="Normal"/>
    <w:next w:val="Normal"/>
    <w:uiPriority w:val="99"/>
    <w:semiHidden/>
    <w:rsid w:val="003B4DCF"/>
    <w:pPr>
      <w:tabs>
        <w:tab w:val="left" w:pos="851"/>
        <w:tab w:val="right" w:pos="9639"/>
      </w:tabs>
      <w:spacing w:after="60"/>
      <w:ind w:left="851" w:hanging="851"/>
    </w:pPr>
    <w:rPr>
      <w:sz w:val="16"/>
    </w:rPr>
  </w:style>
  <w:style w:type="paragraph" w:styleId="TOC9">
    <w:name w:val="toc 9"/>
    <w:basedOn w:val="Normal"/>
    <w:next w:val="Normal"/>
    <w:uiPriority w:val="99"/>
    <w:semiHidden/>
    <w:rsid w:val="003B4DCF"/>
    <w:pPr>
      <w:tabs>
        <w:tab w:val="left" w:pos="1418"/>
        <w:tab w:val="right" w:pos="9639"/>
      </w:tabs>
      <w:spacing w:after="60"/>
      <w:ind w:left="1134" w:hanging="1134"/>
    </w:pPr>
  </w:style>
  <w:style w:type="numbering" w:customStyle="1" w:styleId="ListNumber">
    <w:name w:val="List_Number"/>
    <w:uiPriority w:val="99"/>
    <w:rsid w:val="004041DA"/>
    <w:pPr>
      <w:numPr>
        <w:numId w:val="4"/>
      </w:numPr>
    </w:pPr>
  </w:style>
  <w:style w:type="paragraph" w:styleId="Caption">
    <w:name w:val="caption"/>
    <w:basedOn w:val="Normal"/>
    <w:next w:val="Normal"/>
    <w:uiPriority w:val="35"/>
    <w:qFormat/>
    <w:rsid w:val="008C253E"/>
    <w:pPr>
      <w:keepNext/>
      <w:tabs>
        <w:tab w:val="left" w:pos="1134"/>
      </w:tabs>
      <w:spacing w:before="120" w:after="120"/>
      <w:ind w:left="1134" w:hanging="1134"/>
    </w:pPr>
    <w:rPr>
      <w:b/>
      <w:i/>
      <w:sz w:val="18"/>
      <w:szCs w:val="18"/>
      <w:lang w:eastAsia="en-AU"/>
    </w:rPr>
  </w:style>
  <w:style w:type="paragraph" w:customStyle="1" w:styleId="TableBody">
    <w:name w:val="Table Body"/>
    <w:basedOn w:val="Normal"/>
    <w:uiPriority w:val="11"/>
    <w:qFormat/>
    <w:rsid w:val="002D4927"/>
    <w:pPr>
      <w:spacing w:before="120" w:after="120"/>
    </w:pPr>
    <w:rPr>
      <w:rFonts w:eastAsia="MS Mincho" w:cs="Times New Roman"/>
      <w:color w:val="000000" w:themeColor="text1"/>
      <w:szCs w:val="20"/>
      <w:lang w:val="en-US"/>
    </w:rPr>
  </w:style>
  <w:style w:type="numbering" w:customStyle="1" w:styleId="ListAlpha">
    <w:name w:val="List_Alpha"/>
    <w:uiPriority w:val="99"/>
    <w:rsid w:val="004041DA"/>
    <w:pPr>
      <w:numPr>
        <w:numId w:val="2"/>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F6184E"/>
  </w:style>
  <w:style w:type="character" w:styleId="FollowedHyperlink">
    <w:name w:val="FollowedHyperlink"/>
    <w:basedOn w:val="DefaultParagraphFont"/>
    <w:uiPriority w:val="99"/>
    <w:semiHidden/>
    <w:rsid w:val="00662FA6"/>
    <w:rPr>
      <w:color w:val="034EA2" w:themeColor="accent1"/>
      <w:u w:val="single"/>
    </w:rPr>
  </w:style>
  <w:style w:type="paragraph" w:customStyle="1" w:styleId="AppendixH1">
    <w:name w:val="Appendix H1"/>
    <w:basedOn w:val="Normal"/>
    <w:next w:val="BodyText"/>
    <w:uiPriority w:val="99"/>
    <w:semiHidden/>
    <w:qFormat/>
    <w:rsid w:val="004F2A3C"/>
    <w:pPr>
      <w:pageBreakBefore/>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table" w:customStyle="1" w:styleId="DHAABFStyle1">
    <w:name w:val="DHA/ABF Style 1"/>
    <w:basedOn w:val="TableNormal"/>
    <w:uiPriority w:val="99"/>
    <w:rsid w:val="00786081"/>
    <w:pPr>
      <w:spacing w:before="120" w:after="120"/>
    </w:pPr>
    <w:rPr>
      <w:color w:val="000000" w:themeColor="text1"/>
      <w:sz w:val="20"/>
      <w:szCs w:val="20"/>
    </w:rPr>
    <w:tblPr>
      <w:tblStyleRowBandSize w:val="1"/>
      <w:tblBorders>
        <w:bottom w:val="single" w:sz="4" w:space="0" w:color="D9D9D9" w:themeColor="background1" w:themeShade="D9"/>
        <w:insideH w:val="single" w:sz="4" w:space="0" w:color="D9D9D9" w:themeColor="background1" w:themeShade="D9"/>
      </w:tblBorders>
    </w:tblPr>
    <w:tblStylePr w:type="firstRow">
      <w:rPr>
        <w:rFonts w:asciiTheme="minorHAnsi" w:hAnsiTheme="minorHAnsi"/>
        <w:b/>
        <w:i w:val="0"/>
      </w:rPr>
      <w:tblPr/>
      <w:tcPr>
        <w:shd w:val="clear" w:color="auto" w:fill="D9D9D9" w:themeFill="background1" w:themeFillShade="D9"/>
      </w:tcPr>
    </w:tblStylePr>
    <w:tblStylePr w:type="lastRow">
      <w:tblPr/>
      <w:tcPr>
        <w:tcBorders>
          <w:top w:val="single" w:sz="18" w:space="0" w:color="D9D9D9" w:themeColor="background1" w:themeShade="D9"/>
          <w:left w:val="nil"/>
          <w:bottom w:val="single" w:sz="18" w:space="0" w:color="D9D9D9" w:themeColor="background1" w:themeShade="D9"/>
          <w:right w:val="nil"/>
          <w:insideH w:val="nil"/>
          <w:insideV w:val="nil"/>
          <w:tl2br w:val="nil"/>
          <w:tr2bl w:val="nil"/>
        </w:tcBorders>
      </w:tcPr>
    </w:tblStylePr>
    <w:tblStylePr w:type="firstCol">
      <w:rPr>
        <w:rFonts w:asciiTheme="minorHAnsi" w:hAnsiTheme="minorHAnsi"/>
        <w:b/>
        <w:i w:val="0"/>
      </w:rPr>
    </w:tblStylePr>
    <w:tblStylePr w:type="band1Horz">
      <w:tblPr/>
      <w:tcPr>
        <w:tcBorders>
          <w:insideH w:val="nil"/>
        </w:tcBorders>
      </w:tcPr>
    </w:tblStylePr>
  </w:style>
  <w:style w:type="paragraph" w:styleId="ListBullet2">
    <w:name w:val="List Bullet 2"/>
    <w:basedOn w:val="ListBullet"/>
    <w:uiPriority w:val="3"/>
    <w:rsid w:val="00997DD9"/>
    <w:pPr>
      <w:numPr>
        <w:ilvl w:val="1"/>
      </w:numPr>
    </w:pPr>
  </w:style>
  <w:style w:type="paragraph" w:styleId="ListBullet3">
    <w:name w:val="List Bullet 3"/>
    <w:basedOn w:val="ListBullet"/>
    <w:uiPriority w:val="3"/>
    <w:rsid w:val="00997DD9"/>
    <w:pPr>
      <w:numPr>
        <w:ilvl w:val="2"/>
      </w:numPr>
    </w:pPr>
  </w:style>
  <w:style w:type="paragraph" w:styleId="ListBullet4">
    <w:name w:val="List Bullet 4"/>
    <w:basedOn w:val="ListBullet"/>
    <w:uiPriority w:val="3"/>
    <w:rsid w:val="00997DD9"/>
    <w:pPr>
      <w:numPr>
        <w:ilvl w:val="3"/>
      </w:numPr>
    </w:pPr>
  </w:style>
  <w:style w:type="paragraph" w:styleId="ListNumber2">
    <w:name w:val="List Number 2"/>
    <w:basedOn w:val="ListBullet2"/>
    <w:uiPriority w:val="21"/>
    <w:rsid w:val="00997DD9"/>
    <w:pPr>
      <w:numPr>
        <w:numId w:val="15"/>
      </w:numPr>
    </w:pPr>
  </w:style>
  <w:style w:type="paragraph" w:styleId="ListNumber3">
    <w:name w:val="List Number 3"/>
    <w:basedOn w:val="ListBullet3"/>
    <w:uiPriority w:val="21"/>
    <w:rsid w:val="00997DD9"/>
    <w:pPr>
      <w:numPr>
        <w:numId w:val="15"/>
      </w:numPr>
    </w:pPr>
  </w:style>
  <w:style w:type="paragraph" w:styleId="ListNumber4">
    <w:name w:val="List Number 4"/>
    <w:basedOn w:val="ListNumber0"/>
    <w:uiPriority w:val="21"/>
    <w:rsid w:val="004F2A3C"/>
    <w:pPr>
      <w:numPr>
        <w:ilvl w:val="3"/>
        <w:numId w:val="15"/>
      </w:numPr>
    </w:pPr>
  </w:style>
  <w:style w:type="paragraph" w:customStyle="1" w:styleId="ListParagraph2">
    <w:name w:val="List Paragraph 2"/>
    <w:basedOn w:val="ListParagraph"/>
    <w:uiPriority w:val="19"/>
    <w:semiHidden/>
    <w:rsid w:val="004F2A3C"/>
    <w:pPr>
      <w:numPr>
        <w:ilvl w:val="1"/>
      </w:numPr>
      <w:tabs>
        <w:tab w:val="num" w:pos="1134"/>
      </w:tabs>
    </w:pPr>
  </w:style>
  <w:style w:type="paragraph" w:customStyle="1" w:styleId="ListParagraph3">
    <w:name w:val="List Paragraph 3"/>
    <w:basedOn w:val="ListParagraph"/>
    <w:uiPriority w:val="19"/>
    <w:semiHidden/>
    <w:rsid w:val="004F2A3C"/>
    <w:pPr>
      <w:numPr>
        <w:ilvl w:val="2"/>
      </w:numPr>
      <w:tabs>
        <w:tab w:val="num" w:pos="1701"/>
      </w:tabs>
    </w:pPr>
  </w:style>
  <w:style w:type="paragraph" w:customStyle="1" w:styleId="ListParagraph4">
    <w:name w:val="List Paragraph 4"/>
    <w:basedOn w:val="ListParagraph"/>
    <w:uiPriority w:val="19"/>
    <w:semiHidden/>
    <w:rsid w:val="004F2A3C"/>
    <w:pPr>
      <w:numPr>
        <w:ilvl w:val="3"/>
      </w:numPr>
      <w:tabs>
        <w:tab w:val="num" w:pos="2268"/>
      </w:tabs>
    </w:pPr>
  </w:style>
  <w:style w:type="paragraph" w:customStyle="1" w:styleId="ListParagraph5">
    <w:name w:val="List Paragraph 5"/>
    <w:basedOn w:val="ListParagraph"/>
    <w:uiPriority w:val="19"/>
    <w:semiHidden/>
    <w:rsid w:val="004F2A3C"/>
    <w:pPr>
      <w:tabs>
        <w:tab w:val="num" w:pos="2835"/>
      </w:tabs>
      <w:ind w:left="1420"/>
    </w:pPr>
  </w:style>
  <w:style w:type="paragraph" w:customStyle="1" w:styleId="ListParagraph6">
    <w:name w:val="List Paragraph 6"/>
    <w:basedOn w:val="ListParagraph"/>
    <w:uiPriority w:val="19"/>
    <w:semiHidden/>
    <w:rsid w:val="004F2A3C"/>
    <w:pPr>
      <w:numPr>
        <w:ilvl w:val="5"/>
      </w:numPr>
      <w:tabs>
        <w:tab w:val="num" w:pos="3402"/>
      </w:tabs>
    </w:pPr>
  </w:style>
  <w:style w:type="numbering" w:customStyle="1" w:styleId="ListBullet0">
    <w:name w:val="List_Bullet"/>
    <w:uiPriority w:val="99"/>
    <w:rsid w:val="002106C4"/>
    <w:pPr>
      <w:numPr>
        <w:numId w:val="3"/>
      </w:numPr>
    </w:pPr>
  </w:style>
  <w:style w:type="numbering" w:customStyle="1" w:styleId="ListNumberedHeadings">
    <w:name w:val="List_NumberedHeadings"/>
    <w:uiPriority w:val="99"/>
    <w:rsid w:val="00912C23"/>
    <w:pPr>
      <w:numPr>
        <w:numId w:val="5"/>
      </w:numPr>
    </w:pPr>
  </w:style>
  <w:style w:type="numbering" w:customStyle="1" w:styleId="ListTableBullet">
    <w:name w:val="List_TableBullet"/>
    <w:uiPriority w:val="99"/>
    <w:rsid w:val="002106C4"/>
    <w:pPr>
      <w:numPr>
        <w:numId w:val="6"/>
      </w:numPr>
    </w:pPr>
  </w:style>
  <w:style w:type="numbering" w:customStyle="1" w:styleId="ListTableNumber">
    <w:name w:val="List_TableNumber"/>
    <w:uiPriority w:val="99"/>
    <w:rsid w:val="003A08A5"/>
    <w:pPr>
      <w:numPr>
        <w:numId w:val="7"/>
      </w:numPr>
    </w:pPr>
  </w:style>
  <w:style w:type="paragraph" w:customStyle="1" w:styleId="TableBullet2">
    <w:name w:val="Table Bullet 2"/>
    <w:basedOn w:val="TableBullet"/>
    <w:uiPriority w:val="4"/>
    <w:rsid w:val="004F2A3C"/>
    <w:pPr>
      <w:numPr>
        <w:ilvl w:val="1"/>
      </w:numPr>
    </w:pPr>
  </w:style>
  <w:style w:type="paragraph" w:customStyle="1" w:styleId="TableNumber2">
    <w:name w:val="Table Number 2"/>
    <w:basedOn w:val="TableNumber"/>
    <w:uiPriority w:val="5"/>
    <w:rsid w:val="004F2A3C"/>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paragraph" w:customStyle="1" w:styleId="ListAlpha6">
    <w:name w:val="List Alpha 6"/>
    <w:basedOn w:val="ListAlpha4"/>
    <w:uiPriority w:val="19"/>
    <w:semiHidden/>
    <w:rsid w:val="002903A9"/>
    <w:pPr>
      <w:numPr>
        <w:ilvl w:val="0"/>
      </w:numPr>
      <w:tabs>
        <w:tab w:val="num" w:pos="3402"/>
      </w:tabs>
      <w:ind w:left="3402" w:hanging="567"/>
    </w:pPr>
  </w:style>
  <w:style w:type="paragraph" w:customStyle="1" w:styleId="FigureCaption">
    <w:name w:val="Figure Caption"/>
    <w:basedOn w:val="Normal"/>
    <w:semiHidden/>
    <w:qFormat/>
    <w:rsid w:val="001E2C91"/>
  </w:style>
  <w:style w:type="paragraph" w:customStyle="1" w:styleId="FigureStyle">
    <w:name w:val="Figure Style"/>
    <w:basedOn w:val="Normal"/>
    <w:uiPriority w:val="99"/>
    <w:semiHidden/>
    <w:qFormat/>
    <w:rsid w:val="004041DA"/>
    <w:pPr>
      <w:spacing w:before="120" w:after="120" w:line="264" w:lineRule="auto"/>
      <w:jc w:val="center"/>
    </w:pPr>
  </w:style>
  <w:style w:type="numbering" w:customStyle="1" w:styleId="ListFeatureBullet">
    <w:name w:val="List_Feature Bullet"/>
    <w:uiPriority w:val="99"/>
    <w:rsid w:val="00782617"/>
    <w:pPr>
      <w:numPr>
        <w:numId w:val="9"/>
      </w:numPr>
    </w:pPr>
  </w:style>
  <w:style w:type="character" w:styleId="PageNumber">
    <w:name w:val="page number"/>
    <w:basedOn w:val="DefaultParagraphFont"/>
    <w:uiPriority w:val="99"/>
    <w:semiHidden/>
    <w:rsid w:val="0074597C"/>
  </w:style>
  <w:style w:type="paragraph" w:styleId="NoSpacing">
    <w:name w:val="No Spacing"/>
    <w:link w:val="NoSpacingChar"/>
    <w:uiPriority w:val="1"/>
    <w:qFormat/>
    <w:rsid w:val="009860F9"/>
    <w:pPr>
      <w:spacing w:before="0" w:after="0" w:line="264" w:lineRule="auto"/>
    </w:pPr>
    <w:rPr>
      <w:sz w:val="20"/>
    </w:rPr>
  </w:style>
  <w:style w:type="character" w:styleId="CommentReference">
    <w:name w:val="annotation reference"/>
    <w:basedOn w:val="DefaultParagraphFont"/>
    <w:uiPriority w:val="99"/>
    <w:semiHidden/>
    <w:unhideWhenUsed/>
    <w:rsid w:val="00DC1997"/>
    <w:rPr>
      <w:sz w:val="16"/>
      <w:szCs w:val="16"/>
    </w:rPr>
  </w:style>
  <w:style w:type="paragraph" w:styleId="CommentText">
    <w:name w:val="annotation text"/>
    <w:basedOn w:val="Normal"/>
    <w:link w:val="CommentTextChar"/>
    <w:uiPriority w:val="99"/>
    <w:unhideWhenUsed/>
    <w:rsid w:val="00DC1997"/>
    <w:rPr>
      <w:szCs w:val="20"/>
    </w:rPr>
  </w:style>
  <w:style w:type="character" w:customStyle="1" w:styleId="CommentTextChar">
    <w:name w:val="Comment Text Char"/>
    <w:basedOn w:val="DefaultParagraphFont"/>
    <w:link w:val="CommentText"/>
    <w:uiPriority w:val="99"/>
    <w:rsid w:val="00DC1997"/>
    <w:rPr>
      <w:sz w:val="20"/>
      <w:szCs w:val="20"/>
    </w:rPr>
  </w:style>
  <w:style w:type="paragraph" w:customStyle="1" w:styleId="Protection">
    <w:name w:val="Protection"/>
    <w:basedOn w:val="Normal"/>
    <w:semiHidden/>
    <w:rsid w:val="00E66A44"/>
    <w:pPr>
      <w:jc w:val="center"/>
    </w:pPr>
    <w:rPr>
      <w:rFonts w:ascii="Arial" w:hAnsi="Arial" w:cs="Arial"/>
      <w:b/>
      <w:color w:val="C00000"/>
      <w:sz w:val="28"/>
      <w:szCs w:val="28"/>
    </w:rPr>
  </w:style>
  <w:style w:type="paragraph" w:customStyle="1" w:styleId="ProtectionDeleteMe">
    <w:name w:val="Protection DeleteMe"/>
    <w:basedOn w:val="Protection"/>
    <w:semiHidden/>
    <w:rsid w:val="00E66A44"/>
    <w:pPr>
      <w:spacing w:before="120"/>
    </w:pPr>
  </w:style>
  <w:style w:type="paragraph" w:customStyle="1" w:styleId="CoveringDeleteMe">
    <w:name w:val="Covering DeleteMe"/>
    <w:basedOn w:val="Normal"/>
    <w:semiHidden/>
    <w:rsid w:val="008F7847"/>
    <w:pPr>
      <w:spacing w:after="120"/>
      <w:jc w:val="center"/>
    </w:pPr>
    <w:rPr>
      <w:b/>
      <w:color w:val="C00000"/>
    </w:rPr>
  </w:style>
  <w:style w:type="character" w:customStyle="1" w:styleId="ListParagraphChar">
    <w:name w:val="List Paragraph Char"/>
    <w:aliases w:val="Bullet Level 1 Char,List Paragraph1 Char,Recommendation Char,List Paragraph11 Char,SP NON-TABLE LIST (S) Char,List Bullet Cab Char,CAB - List Bullet Char,List Paragraph2 Char,AR bullet 1 Char,List Paragraph Number Char,L Char,l Char"/>
    <w:basedOn w:val="DefaultParagraphFont"/>
    <w:link w:val="ListParagraph"/>
    <w:uiPriority w:val="34"/>
    <w:qFormat/>
    <w:locked/>
    <w:rsid w:val="000F0024"/>
    <w:rPr>
      <w:rFonts w:eastAsia="Times New Roman" w:cs="Times New Roman"/>
      <w:sz w:val="20"/>
      <w:szCs w:val="24"/>
      <w:lang w:eastAsia="en-AU"/>
    </w:rPr>
  </w:style>
  <w:style w:type="paragraph" w:customStyle="1" w:styleId="Heading1numbered">
    <w:name w:val="Heading 1 (numbered)"/>
    <w:basedOn w:val="Heading1"/>
    <w:next w:val="BodyText"/>
    <w:uiPriority w:val="3"/>
    <w:qFormat/>
    <w:rsid w:val="008D36D0"/>
    <w:pPr>
      <w:keepLines w:val="0"/>
      <w:widowControl/>
      <w:numPr>
        <w:numId w:val="12"/>
      </w:numPr>
    </w:pPr>
    <w:rPr>
      <w:rFonts w:eastAsiaTheme="minorHAnsi" w:cstheme="minorBidi"/>
      <w:bCs w:val="0"/>
      <w:noProof/>
      <w:color w:val="000000" w:themeColor="text1"/>
      <w:lang w:eastAsia="en-US"/>
    </w:rPr>
  </w:style>
  <w:style w:type="paragraph" w:customStyle="1" w:styleId="Heading2numbered">
    <w:name w:val="Heading 2 (numbered)"/>
    <w:basedOn w:val="Heading2"/>
    <w:next w:val="BodyText"/>
    <w:uiPriority w:val="3"/>
    <w:qFormat/>
    <w:rsid w:val="008D36D0"/>
    <w:pPr>
      <w:keepLines w:val="0"/>
      <w:numPr>
        <w:ilvl w:val="1"/>
        <w:numId w:val="12"/>
      </w:numPr>
      <w:spacing w:before="360" w:after="240" w:line="264" w:lineRule="auto"/>
    </w:pPr>
    <w:rPr>
      <w:rFonts w:eastAsiaTheme="minorHAnsi" w:cstheme="minorBidi"/>
      <w:bCs w:val="0"/>
      <w:iCs w:val="0"/>
      <w:noProof/>
      <w:color w:val="000000" w:themeColor="text1"/>
      <w:lang w:eastAsia="en-US"/>
    </w:rPr>
  </w:style>
  <w:style w:type="paragraph" w:customStyle="1" w:styleId="Heading3numbered">
    <w:name w:val="Heading 3 (numbered)"/>
    <w:basedOn w:val="Heading3"/>
    <w:next w:val="BodyText"/>
    <w:uiPriority w:val="3"/>
    <w:qFormat/>
    <w:rsid w:val="005F24D9"/>
    <w:pPr>
      <w:keepLines w:val="0"/>
      <w:numPr>
        <w:ilvl w:val="2"/>
        <w:numId w:val="12"/>
      </w:numPr>
    </w:pPr>
    <w:rPr>
      <w:rFonts w:eastAsiaTheme="minorHAnsi" w:cstheme="minorBidi"/>
      <w:bCs w:val="0"/>
      <w:color w:val="000000" w:themeColor="text1"/>
      <w:sz w:val="24"/>
      <w:szCs w:val="20"/>
      <w:lang w:eastAsia="en-US"/>
    </w:rPr>
  </w:style>
  <w:style w:type="paragraph" w:customStyle="1" w:styleId="Heading4numbered">
    <w:name w:val="Heading 4 (numbered)"/>
    <w:basedOn w:val="Heading4"/>
    <w:next w:val="BodyText"/>
    <w:uiPriority w:val="3"/>
    <w:qFormat/>
    <w:rsid w:val="005F24D9"/>
    <w:pPr>
      <w:keepLines w:val="0"/>
      <w:numPr>
        <w:ilvl w:val="3"/>
        <w:numId w:val="12"/>
      </w:numPr>
      <w:spacing w:line="264" w:lineRule="auto"/>
    </w:pPr>
    <w:rPr>
      <w:rFonts w:eastAsiaTheme="minorHAnsi" w:cstheme="minorBidi"/>
      <w:bCs w:val="0"/>
      <w:color w:val="000000" w:themeColor="text1"/>
      <w:lang w:eastAsia="en-US"/>
    </w:rPr>
  </w:style>
  <w:style w:type="paragraph" w:customStyle="1" w:styleId="Heading5numbered">
    <w:name w:val="Heading 5 (numbered)"/>
    <w:basedOn w:val="Heading5"/>
    <w:next w:val="BodyText"/>
    <w:uiPriority w:val="3"/>
    <w:qFormat/>
    <w:rsid w:val="005F24D9"/>
    <w:pPr>
      <w:keepLines w:val="0"/>
      <w:numPr>
        <w:ilvl w:val="4"/>
        <w:numId w:val="12"/>
      </w:numPr>
      <w:spacing w:line="264" w:lineRule="auto"/>
    </w:pPr>
    <w:rPr>
      <w:rFonts w:asciiTheme="minorHAnsi" w:eastAsiaTheme="minorHAnsi" w:hAnsiTheme="minorHAnsi" w:cstheme="minorBidi"/>
      <w:b/>
      <w:bCs w:val="0"/>
      <w:i/>
      <w:iCs w:val="0"/>
      <w:color w:val="000000" w:themeColor="text1"/>
      <w:szCs w:val="20"/>
      <w:lang w:eastAsia="en-US"/>
    </w:rPr>
  </w:style>
  <w:style w:type="paragraph" w:styleId="ListBullet">
    <w:name w:val="List Bullet"/>
    <w:basedOn w:val="Normal"/>
    <w:uiPriority w:val="3"/>
    <w:qFormat/>
    <w:rsid w:val="00094C0B"/>
    <w:pPr>
      <w:numPr>
        <w:numId w:val="14"/>
      </w:numPr>
      <w:spacing w:before="120" w:after="120" w:line="264" w:lineRule="auto"/>
    </w:pPr>
  </w:style>
  <w:style w:type="paragraph" w:customStyle="1" w:styleId="ListAlpha0">
    <w:name w:val="List Alpha"/>
    <w:basedOn w:val="Normal"/>
    <w:uiPriority w:val="22"/>
    <w:qFormat/>
    <w:rsid w:val="00197A45"/>
    <w:pPr>
      <w:numPr>
        <w:numId w:val="17"/>
      </w:numPr>
      <w:spacing w:before="120" w:after="120" w:line="264" w:lineRule="auto"/>
    </w:pPr>
    <w:rPr>
      <w:rFonts w:eastAsia="Times New Roman" w:cs="Times New Roman"/>
      <w:szCs w:val="24"/>
      <w:lang w:eastAsia="en-AU"/>
    </w:rPr>
  </w:style>
  <w:style w:type="paragraph" w:customStyle="1" w:styleId="ListAlpha4">
    <w:name w:val="List Alpha 4"/>
    <w:basedOn w:val="ListAlpha3"/>
    <w:uiPriority w:val="22"/>
    <w:rsid w:val="00E134ED"/>
    <w:pPr>
      <w:numPr>
        <w:ilvl w:val="3"/>
      </w:numPr>
      <w:ind w:left="852" w:hanging="284"/>
    </w:pPr>
  </w:style>
  <w:style w:type="paragraph" w:customStyle="1" w:styleId="ListAlpha5">
    <w:name w:val="List Alpha 5"/>
    <w:basedOn w:val="ListAlpha4"/>
    <w:uiPriority w:val="22"/>
    <w:rsid w:val="00E134ED"/>
    <w:pPr>
      <w:numPr>
        <w:ilvl w:val="4"/>
      </w:numPr>
      <w:ind w:left="852" w:hanging="284"/>
    </w:pPr>
  </w:style>
  <w:style w:type="paragraph" w:customStyle="1" w:styleId="ListAlpha3">
    <w:name w:val="List Alpha 3"/>
    <w:basedOn w:val="ListAlpha2"/>
    <w:uiPriority w:val="22"/>
    <w:rsid w:val="00E134ED"/>
    <w:pPr>
      <w:numPr>
        <w:ilvl w:val="0"/>
        <w:numId w:val="0"/>
      </w:numPr>
      <w:ind w:left="852" w:hanging="284"/>
    </w:pPr>
  </w:style>
  <w:style w:type="paragraph" w:customStyle="1" w:styleId="ListAlpha2">
    <w:name w:val="List Alpha 2"/>
    <w:basedOn w:val="ListAlpha0"/>
    <w:uiPriority w:val="22"/>
    <w:qFormat/>
    <w:rsid w:val="001E2C91"/>
    <w:pPr>
      <w:numPr>
        <w:ilvl w:val="1"/>
        <w:numId w:val="13"/>
      </w:numPr>
    </w:pPr>
  </w:style>
  <w:style w:type="paragraph" w:styleId="ListNumber5">
    <w:name w:val="List Number 5"/>
    <w:basedOn w:val="ListNumber0"/>
    <w:uiPriority w:val="21"/>
    <w:rsid w:val="002903A9"/>
    <w:pPr>
      <w:numPr>
        <w:numId w:val="0"/>
      </w:numPr>
      <w:tabs>
        <w:tab w:val="num" w:pos="2835"/>
      </w:tabs>
      <w:spacing w:before="0"/>
      <w:ind w:left="2835" w:hanging="567"/>
    </w:pPr>
    <w:rPr>
      <w:rFonts w:eastAsia="Times New Roman" w:cs="Times New Roman"/>
      <w:szCs w:val="24"/>
      <w:lang w:eastAsia="en-AU"/>
    </w:rPr>
  </w:style>
  <w:style w:type="paragraph" w:customStyle="1" w:styleId="ListNumber6">
    <w:name w:val="List Number 6"/>
    <w:basedOn w:val="ListNumber0"/>
    <w:uiPriority w:val="19"/>
    <w:semiHidden/>
    <w:rsid w:val="002903A9"/>
    <w:pPr>
      <w:numPr>
        <w:numId w:val="0"/>
      </w:numPr>
      <w:tabs>
        <w:tab w:val="num" w:pos="3402"/>
      </w:tabs>
      <w:spacing w:before="0"/>
      <w:ind w:left="3402" w:hanging="567"/>
    </w:pPr>
    <w:rPr>
      <w:rFonts w:eastAsia="Times New Roman" w:cs="Times New Roman"/>
      <w:szCs w:val="24"/>
      <w:lang w:eastAsia="en-AU"/>
    </w:rPr>
  </w:style>
  <w:style w:type="paragraph" w:customStyle="1" w:styleId="Linedparagraph">
    <w:name w:val="Lined paragraph"/>
    <w:basedOn w:val="BodyText"/>
    <w:uiPriority w:val="19"/>
    <w:semiHidden/>
    <w:qFormat/>
    <w:rsid w:val="0043490F"/>
    <w:pPr>
      <w:keepLines/>
      <w:pBdr>
        <w:bottom w:val="single" w:sz="4" w:space="4" w:color="D9D9D9" w:themeColor="background2" w:themeShade="D9"/>
        <w:between w:val="single" w:sz="4" w:space="4" w:color="D9D9D9" w:themeColor="background2" w:themeShade="D9"/>
      </w:pBdr>
      <w:spacing w:line="240" w:lineRule="auto"/>
      <w:contextualSpacing/>
    </w:pPr>
    <w:rPr>
      <w:rFonts w:eastAsiaTheme="minorHAnsi" w:cstheme="minorBidi"/>
      <w:color w:val="000000" w:themeColor="text1"/>
      <w:szCs w:val="20"/>
      <w:lang w:eastAsia="en-US"/>
    </w:rPr>
  </w:style>
  <w:style w:type="paragraph" w:styleId="ListBullet5">
    <w:name w:val="List Bullet 5"/>
    <w:basedOn w:val="ListBullet4"/>
    <w:uiPriority w:val="20"/>
    <w:rsid w:val="00A23301"/>
    <w:pPr>
      <w:numPr>
        <w:numId w:val="16"/>
      </w:numPr>
      <w:contextualSpacing/>
    </w:pPr>
  </w:style>
  <w:style w:type="numbering" w:customStyle="1" w:styleId="ListParagraph1">
    <w:name w:val="List_Paragraph1"/>
    <w:uiPriority w:val="99"/>
    <w:rsid w:val="0043490F"/>
  </w:style>
  <w:style w:type="numbering" w:customStyle="1" w:styleId="ListTableBullet1">
    <w:name w:val="List_TableBullet1"/>
    <w:uiPriority w:val="99"/>
    <w:rsid w:val="0043490F"/>
  </w:style>
  <w:style w:type="numbering" w:customStyle="1" w:styleId="ListParagraph20">
    <w:name w:val="List_Paragraph2"/>
    <w:uiPriority w:val="99"/>
    <w:rsid w:val="0043490F"/>
  </w:style>
  <w:style w:type="paragraph" w:customStyle="1" w:styleId="Tablebody0">
    <w:name w:val="Table body"/>
    <w:basedOn w:val="Normal"/>
    <w:uiPriority w:val="11"/>
    <w:qFormat/>
    <w:rsid w:val="005C394A"/>
    <w:pPr>
      <w:spacing w:before="120" w:after="120"/>
    </w:pPr>
    <w:rPr>
      <w:rFonts w:eastAsia="MS Mincho" w:cs="Times New Roman"/>
      <w:color w:val="000000" w:themeColor="text1"/>
      <w:szCs w:val="20"/>
      <w:lang w:val="en-US"/>
    </w:rPr>
  </w:style>
  <w:style w:type="table" w:styleId="TableGridLight">
    <w:name w:val="Grid Table Light"/>
    <w:basedOn w:val="TableNormal"/>
    <w:uiPriority w:val="40"/>
    <w:rsid w:val="00FD52CC"/>
    <w:pPr>
      <w:spacing w:before="0" w:after="0"/>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FD52CC"/>
    <w:rPr>
      <w:b/>
      <w:bCs/>
    </w:rPr>
  </w:style>
  <w:style w:type="character" w:customStyle="1" w:styleId="CommentSubjectChar">
    <w:name w:val="Comment Subject Char"/>
    <w:basedOn w:val="CommentTextChar"/>
    <w:link w:val="CommentSubject"/>
    <w:uiPriority w:val="99"/>
    <w:semiHidden/>
    <w:rsid w:val="00FD52CC"/>
    <w:rPr>
      <w:b/>
      <w:bCs/>
      <w:sz w:val="20"/>
      <w:szCs w:val="20"/>
    </w:rPr>
  </w:style>
  <w:style w:type="paragraph" w:styleId="FootnoteText">
    <w:name w:val="footnote text"/>
    <w:basedOn w:val="Normal"/>
    <w:link w:val="FootnoteTextChar"/>
    <w:uiPriority w:val="99"/>
    <w:unhideWhenUsed/>
    <w:rsid w:val="00FD52CC"/>
    <w:pPr>
      <w:spacing w:line="259" w:lineRule="auto"/>
    </w:pPr>
    <w:rPr>
      <w:rFonts w:eastAsiaTheme="minorEastAsia"/>
      <w:szCs w:val="20"/>
    </w:rPr>
  </w:style>
  <w:style w:type="character" w:customStyle="1" w:styleId="FootnoteTextChar">
    <w:name w:val="Footnote Text Char"/>
    <w:basedOn w:val="DefaultParagraphFont"/>
    <w:link w:val="FootnoteText"/>
    <w:uiPriority w:val="99"/>
    <w:rsid w:val="00FD52CC"/>
    <w:rPr>
      <w:rFonts w:eastAsiaTheme="minorEastAsia"/>
      <w:sz w:val="20"/>
      <w:szCs w:val="20"/>
    </w:rPr>
  </w:style>
  <w:style w:type="character" w:styleId="FootnoteReference">
    <w:name w:val="footnote reference"/>
    <w:basedOn w:val="DefaultParagraphFont"/>
    <w:uiPriority w:val="99"/>
    <w:unhideWhenUsed/>
    <w:rsid w:val="00FD52CC"/>
    <w:rPr>
      <w:vertAlign w:val="superscript"/>
    </w:rPr>
  </w:style>
  <w:style w:type="table" w:customStyle="1" w:styleId="GridTable4-Accent11">
    <w:name w:val="Grid Table 4 - Accent 11"/>
    <w:basedOn w:val="TableNormal"/>
    <w:next w:val="GridTable4-Accent1"/>
    <w:uiPriority w:val="49"/>
    <w:rsid w:val="00FD52CC"/>
    <w:pPr>
      <w:spacing w:before="0" w:after="0"/>
    </w:pPr>
    <w:rPr>
      <w:rFonts w:eastAsiaTheme="minorEastAsi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FD52CC"/>
    <w:pPr>
      <w:spacing w:after="0"/>
    </w:pPr>
    <w:tblPr>
      <w:tblStyleRowBandSize w:val="1"/>
      <w:tblStyleColBandSize w:val="1"/>
      <w:tblBorders>
        <w:top w:val="single" w:sz="4" w:space="0" w:color="3391FB" w:themeColor="accent1" w:themeTint="99"/>
        <w:left w:val="single" w:sz="4" w:space="0" w:color="3391FB" w:themeColor="accent1" w:themeTint="99"/>
        <w:bottom w:val="single" w:sz="4" w:space="0" w:color="3391FB" w:themeColor="accent1" w:themeTint="99"/>
        <w:right w:val="single" w:sz="4" w:space="0" w:color="3391FB" w:themeColor="accent1" w:themeTint="99"/>
        <w:insideH w:val="single" w:sz="4" w:space="0" w:color="3391FB" w:themeColor="accent1" w:themeTint="99"/>
        <w:insideV w:val="single" w:sz="4" w:space="0" w:color="3391FB" w:themeColor="accent1" w:themeTint="99"/>
      </w:tblBorders>
    </w:tblPr>
    <w:tblStylePr w:type="firstRow">
      <w:rPr>
        <w:b/>
        <w:bCs/>
        <w:color w:val="FFFFFF" w:themeColor="background1"/>
      </w:rPr>
      <w:tblPr/>
      <w:tcPr>
        <w:tcBorders>
          <w:top w:val="single" w:sz="4" w:space="0" w:color="034EA2" w:themeColor="accent1"/>
          <w:left w:val="single" w:sz="4" w:space="0" w:color="034EA2" w:themeColor="accent1"/>
          <w:bottom w:val="single" w:sz="4" w:space="0" w:color="034EA2" w:themeColor="accent1"/>
          <w:right w:val="single" w:sz="4" w:space="0" w:color="034EA2" w:themeColor="accent1"/>
          <w:insideH w:val="nil"/>
          <w:insideV w:val="nil"/>
        </w:tcBorders>
        <w:shd w:val="clear" w:color="auto" w:fill="034EA2" w:themeFill="accent1"/>
      </w:tcPr>
    </w:tblStylePr>
    <w:tblStylePr w:type="lastRow">
      <w:rPr>
        <w:b/>
        <w:bCs/>
      </w:rPr>
      <w:tblPr/>
      <w:tcPr>
        <w:tcBorders>
          <w:top w:val="double" w:sz="4" w:space="0" w:color="034EA2" w:themeColor="accent1"/>
        </w:tcBorders>
      </w:tcPr>
    </w:tblStylePr>
    <w:tblStylePr w:type="firstCol">
      <w:rPr>
        <w:b/>
        <w:bCs/>
      </w:rPr>
    </w:tblStylePr>
    <w:tblStylePr w:type="lastCol">
      <w:rPr>
        <w:b/>
        <w:bCs/>
      </w:rPr>
    </w:tblStylePr>
    <w:tblStylePr w:type="band1Vert">
      <w:tblPr/>
      <w:tcPr>
        <w:shd w:val="clear" w:color="auto" w:fill="BBDAFD" w:themeFill="accent1" w:themeFillTint="33"/>
      </w:tcPr>
    </w:tblStylePr>
    <w:tblStylePr w:type="band1Horz">
      <w:tblPr/>
      <w:tcPr>
        <w:shd w:val="clear" w:color="auto" w:fill="BBDAFD" w:themeFill="accent1" w:themeFillTint="33"/>
      </w:tcPr>
    </w:tblStylePr>
  </w:style>
  <w:style w:type="paragraph" w:styleId="NormalWeb">
    <w:name w:val="Normal (Web)"/>
    <w:basedOn w:val="Normal"/>
    <w:uiPriority w:val="99"/>
    <w:unhideWhenUsed/>
    <w:rsid w:val="006C65D4"/>
    <w:pPr>
      <w:spacing w:beforeAutospacing="1" w:after="160" w:afterAutospacing="1" w:line="259" w:lineRule="auto"/>
    </w:pPr>
    <w:rPr>
      <w:rFonts w:ascii="Calibri" w:eastAsiaTheme="minorEastAsia" w:hAnsi="Calibri" w:cs="Calibri"/>
      <w:sz w:val="22"/>
      <w:lang w:eastAsia="en-AU"/>
    </w:rPr>
  </w:style>
  <w:style w:type="character" w:customStyle="1" w:styleId="ui-provider">
    <w:name w:val="ui-provider"/>
    <w:basedOn w:val="DefaultParagraphFont"/>
    <w:rsid w:val="000B1CBF"/>
  </w:style>
  <w:style w:type="character" w:customStyle="1" w:styleId="NoSpacingChar">
    <w:name w:val="No Spacing Char"/>
    <w:basedOn w:val="DefaultParagraphFont"/>
    <w:link w:val="NoSpacing"/>
    <w:uiPriority w:val="1"/>
    <w:rsid w:val="00DA2237"/>
    <w:rPr>
      <w:sz w:val="20"/>
    </w:rPr>
  </w:style>
  <w:style w:type="character" w:customStyle="1" w:styleId="Mention1">
    <w:name w:val="Mention1"/>
    <w:basedOn w:val="DefaultParagraphFont"/>
    <w:uiPriority w:val="99"/>
    <w:unhideWhenUsed/>
    <w:rsid w:val="00DA2237"/>
    <w:rPr>
      <w:color w:val="2B579A"/>
      <w:shd w:val="clear" w:color="auto" w:fill="E1DFDD"/>
    </w:rPr>
  </w:style>
  <w:style w:type="paragraph" w:customStyle="1" w:styleId="paragraph">
    <w:name w:val="paragraph"/>
    <w:basedOn w:val="Normal"/>
    <w:rsid w:val="00B44DD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44DD5"/>
  </w:style>
  <w:style w:type="character" w:customStyle="1" w:styleId="eop">
    <w:name w:val="eop"/>
    <w:basedOn w:val="DefaultParagraphFont"/>
    <w:rsid w:val="00B44DD5"/>
  </w:style>
  <w:style w:type="character" w:customStyle="1" w:styleId="superscript">
    <w:name w:val="superscript"/>
    <w:basedOn w:val="DefaultParagraphFont"/>
    <w:rsid w:val="00B44DD5"/>
  </w:style>
  <w:style w:type="paragraph" w:customStyle="1" w:styleId="msonormal0">
    <w:name w:val="msonormal"/>
    <w:basedOn w:val="Normal"/>
    <w:rsid w:val="00F36DA5"/>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extrun">
    <w:name w:val="textrun"/>
    <w:basedOn w:val="DefaultParagraphFont"/>
    <w:rsid w:val="00F36DA5"/>
  </w:style>
  <w:style w:type="character" w:customStyle="1" w:styleId="fieldrange">
    <w:name w:val="fieldrange"/>
    <w:basedOn w:val="DefaultParagraphFont"/>
    <w:rsid w:val="00F36DA5"/>
  </w:style>
  <w:style w:type="character" w:customStyle="1" w:styleId="pagebreakblob">
    <w:name w:val="pagebreakblob"/>
    <w:basedOn w:val="DefaultParagraphFont"/>
    <w:rsid w:val="00F36DA5"/>
  </w:style>
  <w:style w:type="character" w:customStyle="1" w:styleId="pagebreakborderspan">
    <w:name w:val="pagebreakborderspan"/>
    <w:basedOn w:val="DefaultParagraphFont"/>
    <w:rsid w:val="00F36DA5"/>
  </w:style>
  <w:style w:type="character" w:customStyle="1" w:styleId="pagebreaktextspan">
    <w:name w:val="pagebreaktextspan"/>
    <w:basedOn w:val="DefaultParagraphFont"/>
    <w:rsid w:val="00F36DA5"/>
  </w:style>
  <w:style w:type="character" w:customStyle="1" w:styleId="Mention2">
    <w:name w:val="Mention2"/>
    <w:basedOn w:val="DefaultParagraphFont"/>
    <w:uiPriority w:val="99"/>
    <w:unhideWhenUsed/>
    <w:rsid w:val="000B5219"/>
    <w:rPr>
      <w:color w:val="2B579A"/>
      <w:shd w:val="clear" w:color="auto" w:fill="E1DFDD"/>
    </w:rPr>
  </w:style>
  <w:style w:type="table" w:customStyle="1" w:styleId="TableGrid111">
    <w:name w:val="Table Grid111"/>
    <w:basedOn w:val="TableNormal"/>
    <w:uiPriority w:val="39"/>
    <w:rsid w:val="0052682F"/>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Paragraph0">
    <w:name w:val="List Paragraph0"/>
    <w:uiPriority w:val="99"/>
    <w:rsid w:val="001A0373"/>
    <w:pPr>
      <w:numPr>
        <w:numId w:val="82"/>
      </w:numPr>
    </w:pPr>
  </w:style>
  <w:style w:type="paragraph" w:styleId="Revision">
    <w:name w:val="Revision"/>
    <w:hidden/>
    <w:uiPriority w:val="99"/>
    <w:semiHidden/>
    <w:rsid w:val="00B347DB"/>
    <w:pPr>
      <w:spacing w:before="0" w:after="0"/>
    </w:pPr>
    <w:rPr>
      <w:sz w:val="20"/>
    </w:rPr>
  </w:style>
  <w:style w:type="character" w:customStyle="1" w:styleId="Mention3">
    <w:name w:val="Mention3"/>
    <w:basedOn w:val="DefaultParagraphFont"/>
    <w:uiPriority w:val="99"/>
    <w:unhideWhenUsed/>
    <w:rsid w:val="00DD6F6F"/>
    <w:rPr>
      <w:color w:val="2B579A"/>
      <w:shd w:val="clear" w:color="auto" w:fill="E1DFDD"/>
    </w:rPr>
  </w:style>
  <w:style w:type="character" w:customStyle="1" w:styleId="UnresolvedMention1">
    <w:name w:val="Unresolved Mention1"/>
    <w:basedOn w:val="DefaultParagraphFont"/>
    <w:uiPriority w:val="99"/>
    <w:semiHidden/>
    <w:unhideWhenUsed/>
    <w:rsid w:val="00D8675B"/>
    <w:rPr>
      <w:color w:val="605E5C"/>
      <w:shd w:val="clear" w:color="auto" w:fill="E1DFDD"/>
    </w:rPr>
  </w:style>
  <w:style w:type="character" w:customStyle="1" w:styleId="Mention4">
    <w:name w:val="Mention4"/>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460062"/>
    <w:rPr>
      <w:color w:val="605E5C"/>
      <w:shd w:val="clear" w:color="auto" w:fill="E1DFDD"/>
    </w:rPr>
  </w:style>
  <w:style w:type="character" w:customStyle="1" w:styleId="Mention5">
    <w:name w:val="Mention5"/>
    <w:basedOn w:val="DefaultParagraphFont"/>
    <w:uiPriority w:val="99"/>
    <w:unhideWhenUsed/>
    <w:rsid w:val="009441BF"/>
    <w:rPr>
      <w:color w:val="2B579A"/>
      <w:shd w:val="clear" w:color="auto" w:fill="E1DFDD"/>
    </w:rPr>
  </w:style>
  <w:style w:type="paragraph" w:styleId="Bibliography">
    <w:name w:val="Bibliography"/>
    <w:basedOn w:val="Normal"/>
    <w:next w:val="Normal"/>
    <w:uiPriority w:val="99"/>
    <w:semiHidden/>
    <w:unhideWhenUsed/>
    <w:rsid w:val="008629C9"/>
  </w:style>
  <w:style w:type="paragraph" w:styleId="BlockText">
    <w:name w:val="Block Text"/>
    <w:basedOn w:val="Normal"/>
    <w:uiPriority w:val="99"/>
    <w:semiHidden/>
    <w:unhideWhenUsed/>
    <w:rsid w:val="008629C9"/>
    <w:pPr>
      <w:pBdr>
        <w:top w:val="single" w:sz="2" w:space="10" w:color="034EA2" w:themeColor="accent1"/>
        <w:left w:val="single" w:sz="2" w:space="10" w:color="034EA2" w:themeColor="accent1"/>
        <w:bottom w:val="single" w:sz="2" w:space="10" w:color="034EA2" w:themeColor="accent1"/>
        <w:right w:val="single" w:sz="2" w:space="10" w:color="034EA2" w:themeColor="accent1"/>
      </w:pBdr>
      <w:ind w:left="1152" w:right="1152"/>
    </w:pPr>
    <w:rPr>
      <w:rFonts w:eastAsiaTheme="minorEastAsia"/>
      <w:i/>
      <w:iCs/>
      <w:color w:val="034EA2" w:themeColor="accent1"/>
    </w:rPr>
  </w:style>
  <w:style w:type="paragraph" w:styleId="BodyTextFirstIndent">
    <w:name w:val="Body Text First Indent"/>
    <w:basedOn w:val="BodyText"/>
    <w:link w:val="BodyTextFirstIndentChar"/>
    <w:uiPriority w:val="99"/>
    <w:semiHidden/>
    <w:rsid w:val="008629C9"/>
    <w:pPr>
      <w:spacing w:before="0" w:after="0" w:line="240" w:lineRule="auto"/>
      <w:ind w:firstLine="360"/>
    </w:pPr>
    <w:rPr>
      <w:rFonts w:eastAsiaTheme="minorHAnsi" w:cstheme="minorBidi"/>
      <w:szCs w:val="22"/>
      <w:lang w:eastAsia="en-US"/>
    </w:rPr>
  </w:style>
  <w:style w:type="character" w:customStyle="1" w:styleId="BodyTextFirstIndentChar">
    <w:name w:val="Body Text First Indent Char"/>
    <w:basedOn w:val="BodyTextChar"/>
    <w:link w:val="BodyTextFirstIndent"/>
    <w:uiPriority w:val="99"/>
    <w:semiHidden/>
    <w:rsid w:val="008629C9"/>
    <w:rPr>
      <w:rFonts w:eastAsia="Times New Roman" w:cs="Times New Roman"/>
      <w:sz w:val="20"/>
      <w:szCs w:val="24"/>
      <w:lang w:eastAsia="en-AU"/>
    </w:rPr>
  </w:style>
  <w:style w:type="paragraph" w:styleId="BodyTextIndent">
    <w:name w:val="Body Text Indent"/>
    <w:basedOn w:val="Normal"/>
    <w:link w:val="BodyTextIndentChar"/>
    <w:uiPriority w:val="99"/>
    <w:semiHidden/>
    <w:unhideWhenUsed/>
    <w:rsid w:val="008629C9"/>
    <w:pPr>
      <w:spacing w:after="120"/>
      <w:ind w:left="283"/>
    </w:pPr>
  </w:style>
  <w:style w:type="character" w:customStyle="1" w:styleId="BodyTextIndentChar">
    <w:name w:val="Body Text Indent Char"/>
    <w:basedOn w:val="DefaultParagraphFont"/>
    <w:link w:val="BodyTextIndent"/>
    <w:uiPriority w:val="99"/>
    <w:semiHidden/>
    <w:rsid w:val="008629C9"/>
    <w:rPr>
      <w:sz w:val="20"/>
    </w:rPr>
  </w:style>
  <w:style w:type="paragraph" w:styleId="BodyTextFirstIndent2">
    <w:name w:val="Body Text First Indent 2"/>
    <w:basedOn w:val="BodyTextIndent"/>
    <w:link w:val="BodyTextFirstIndent2Char"/>
    <w:uiPriority w:val="99"/>
    <w:semiHidden/>
    <w:unhideWhenUsed/>
    <w:rsid w:val="008629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29C9"/>
    <w:rPr>
      <w:sz w:val="20"/>
    </w:rPr>
  </w:style>
  <w:style w:type="paragraph" w:styleId="BodyTextIndent2">
    <w:name w:val="Body Text Indent 2"/>
    <w:basedOn w:val="Normal"/>
    <w:link w:val="BodyTextIndent2Char"/>
    <w:uiPriority w:val="99"/>
    <w:semiHidden/>
    <w:unhideWhenUsed/>
    <w:rsid w:val="008629C9"/>
    <w:pPr>
      <w:spacing w:after="120" w:line="480" w:lineRule="auto"/>
      <w:ind w:left="283"/>
    </w:pPr>
  </w:style>
  <w:style w:type="character" w:customStyle="1" w:styleId="BodyTextIndent2Char">
    <w:name w:val="Body Text Indent 2 Char"/>
    <w:basedOn w:val="DefaultParagraphFont"/>
    <w:link w:val="BodyTextIndent2"/>
    <w:uiPriority w:val="99"/>
    <w:semiHidden/>
    <w:rsid w:val="008629C9"/>
    <w:rPr>
      <w:sz w:val="20"/>
    </w:rPr>
  </w:style>
  <w:style w:type="paragraph" w:styleId="BodyTextIndent3">
    <w:name w:val="Body Text Indent 3"/>
    <w:basedOn w:val="Normal"/>
    <w:link w:val="BodyTextIndent3Char"/>
    <w:uiPriority w:val="99"/>
    <w:semiHidden/>
    <w:unhideWhenUsed/>
    <w:rsid w:val="008629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29C9"/>
    <w:rPr>
      <w:sz w:val="16"/>
      <w:szCs w:val="16"/>
    </w:rPr>
  </w:style>
  <w:style w:type="paragraph" w:styleId="Closing">
    <w:name w:val="Closing"/>
    <w:basedOn w:val="Normal"/>
    <w:link w:val="ClosingChar"/>
    <w:uiPriority w:val="99"/>
    <w:semiHidden/>
    <w:unhideWhenUsed/>
    <w:rsid w:val="008629C9"/>
    <w:pPr>
      <w:ind w:left="4252"/>
    </w:pPr>
  </w:style>
  <w:style w:type="character" w:customStyle="1" w:styleId="ClosingChar">
    <w:name w:val="Closing Char"/>
    <w:basedOn w:val="DefaultParagraphFont"/>
    <w:link w:val="Closing"/>
    <w:uiPriority w:val="99"/>
    <w:semiHidden/>
    <w:rsid w:val="008629C9"/>
    <w:rPr>
      <w:sz w:val="20"/>
    </w:rPr>
  </w:style>
  <w:style w:type="paragraph" w:styleId="Date">
    <w:name w:val="Date"/>
    <w:basedOn w:val="Normal"/>
    <w:next w:val="Normal"/>
    <w:link w:val="DateChar"/>
    <w:uiPriority w:val="99"/>
    <w:semiHidden/>
    <w:rsid w:val="008629C9"/>
  </w:style>
  <w:style w:type="character" w:customStyle="1" w:styleId="DateChar">
    <w:name w:val="Date Char"/>
    <w:basedOn w:val="DefaultParagraphFont"/>
    <w:link w:val="Date"/>
    <w:uiPriority w:val="99"/>
    <w:semiHidden/>
    <w:rsid w:val="008629C9"/>
    <w:rPr>
      <w:sz w:val="20"/>
    </w:rPr>
  </w:style>
  <w:style w:type="paragraph" w:styleId="DocumentMap">
    <w:name w:val="Document Map"/>
    <w:basedOn w:val="Normal"/>
    <w:link w:val="DocumentMapChar"/>
    <w:uiPriority w:val="99"/>
    <w:semiHidden/>
    <w:unhideWhenUsed/>
    <w:rsid w:val="008629C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29C9"/>
    <w:rPr>
      <w:rFonts w:ascii="Segoe UI" w:hAnsi="Segoe UI" w:cs="Segoe UI"/>
      <w:sz w:val="16"/>
      <w:szCs w:val="16"/>
    </w:rPr>
  </w:style>
  <w:style w:type="paragraph" w:styleId="E-mailSignature">
    <w:name w:val="E-mail Signature"/>
    <w:basedOn w:val="Normal"/>
    <w:link w:val="E-mailSignatureChar"/>
    <w:uiPriority w:val="99"/>
    <w:semiHidden/>
    <w:unhideWhenUsed/>
    <w:rsid w:val="008629C9"/>
  </w:style>
  <w:style w:type="character" w:customStyle="1" w:styleId="E-mailSignatureChar">
    <w:name w:val="E-mail Signature Char"/>
    <w:basedOn w:val="DefaultParagraphFont"/>
    <w:link w:val="E-mailSignature"/>
    <w:uiPriority w:val="99"/>
    <w:semiHidden/>
    <w:rsid w:val="008629C9"/>
    <w:rPr>
      <w:sz w:val="20"/>
    </w:rPr>
  </w:style>
  <w:style w:type="paragraph" w:styleId="EndnoteText">
    <w:name w:val="endnote text"/>
    <w:basedOn w:val="Normal"/>
    <w:link w:val="EndnoteTextChar"/>
    <w:uiPriority w:val="99"/>
    <w:semiHidden/>
    <w:unhideWhenUsed/>
    <w:rsid w:val="008629C9"/>
    <w:rPr>
      <w:szCs w:val="20"/>
    </w:rPr>
  </w:style>
  <w:style w:type="character" w:customStyle="1" w:styleId="EndnoteTextChar">
    <w:name w:val="Endnote Text Char"/>
    <w:basedOn w:val="DefaultParagraphFont"/>
    <w:link w:val="EndnoteText"/>
    <w:uiPriority w:val="99"/>
    <w:semiHidden/>
    <w:rsid w:val="008629C9"/>
    <w:rPr>
      <w:sz w:val="20"/>
      <w:szCs w:val="20"/>
    </w:rPr>
  </w:style>
  <w:style w:type="paragraph" w:styleId="EnvelopeAddress">
    <w:name w:val="envelope address"/>
    <w:basedOn w:val="Normal"/>
    <w:uiPriority w:val="99"/>
    <w:semiHidden/>
    <w:unhideWhenUsed/>
    <w:rsid w:val="008629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629C9"/>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9"/>
    <w:semiHidden/>
    <w:rsid w:val="008629C9"/>
    <w:rPr>
      <w:rFonts w:asciiTheme="majorHAnsi" w:eastAsiaTheme="majorEastAsia" w:hAnsiTheme="majorHAnsi" w:cstheme="majorBidi"/>
      <w:i/>
      <w:iCs/>
      <w:color w:val="012650" w:themeColor="accent1" w:themeShade="7F"/>
      <w:sz w:val="20"/>
    </w:rPr>
  </w:style>
  <w:style w:type="character" w:customStyle="1" w:styleId="Heading8Char">
    <w:name w:val="Heading 8 Char"/>
    <w:basedOn w:val="DefaultParagraphFont"/>
    <w:link w:val="Heading8"/>
    <w:uiPriority w:val="99"/>
    <w:semiHidden/>
    <w:rsid w:val="008629C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8629C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629C9"/>
    <w:rPr>
      <w:i/>
      <w:iCs/>
    </w:rPr>
  </w:style>
  <w:style w:type="character" w:customStyle="1" w:styleId="HTMLAddressChar">
    <w:name w:val="HTML Address Char"/>
    <w:basedOn w:val="DefaultParagraphFont"/>
    <w:link w:val="HTMLAddress"/>
    <w:uiPriority w:val="99"/>
    <w:semiHidden/>
    <w:rsid w:val="008629C9"/>
    <w:rPr>
      <w:i/>
      <w:iCs/>
      <w:sz w:val="20"/>
    </w:rPr>
  </w:style>
  <w:style w:type="paragraph" w:styleId="HTMLPreformatted">
    <w:name w:val="HTML Preformatted"/>
    <w:basedOn w:val="Normal"/>
    <w:link w:val="HTMLPreformattedChar"/>
    <w:uiPriority w:val="99"/>
    <w:semiHidden/>
    <w:unhideWhenUsed/>
    <w:rsid w:val="008629C9"/>
    <w:rPr>
      <w:rFonts w:ascii="Consolas" w:hAnsi="Consolas"/>
      <w:szCs w:val="20"/>
    </w:rPr>
  </w:style>
  <w:style w:type="character" w:customStyle="1" w:styleId="HTMLPreformattedChar">
    <w:name w:val="HTML Preformatted Char"/>
    <w:basedOn w:val="DefaultParagraphFont"/>
    <w:link w:val="HTMLPreformatted"/>
    <w:uiPriority w:val="99"/>
    <w:semiHidden/>
    <w:rsid w:val="008629C9"/>
    <w:rPr>
      <w:rFonts w:ascii="Consolas" w:hAnsi="Consolas"/>
      <w:sz w:val="20"/>
      <w:szCs w:val="20"/>
    </w:rPr>
  </w:style>
  <w:style w:type="paragraph" w:styleId="Index1">
    <w:name w:val="index 1"/>
    <w:basedOn w:val="Normal"/>
    <w:next w:val="Normal"/>
    <w:autoRedefine/>
    <w:uiPriority w:val="99"/>
    <w:semiHidden/>
    <w:unhideWhenUsed/>
    <w:rsid w:val="008629C9"/>
    <w:pPr>
      <w:ind w:left="200" w:hanging="200"/>
    </w:pPr>
  </w:style>
  <w:style w:type="paragraph" w:styleId="Index2">
    <w:name w:val="index 2"/>
    <w:basedOn w:val="Normal"/>
    <w:next w:val="Normal"/>
    <w:autoRedefine/>
    <w:uiPriority w:val="99"/>
    <w:semiHidden/>
    <w:unhideWhenUsed/>
    <w:rsid w:val="008629C9"/>
    <w:pPr>
      <w:ind w:left="400" w:hanging="200"/>
    </w:pPr>
  </w:style>
  <w:style w:type="paragraph" w:styleId="Index3">
    <w:name w:val="index 3"/>
    <w:basedOn w:val="Normal"/>
    <w:next w:val="Normal"/>
    <w:autoRedefine/>
    <w:uiPriority w:val="99"/>
    <w:semiHidden/>
    <w:unhideWhenUsed/>
    <w:rsid w:val="008629C9"/>
    <w:pPr>
      <w:ind w:left="600" w:hanging="200"/>
    </w:pPr>
  </w:style>
  <w:style w:type="paragraph" w:styleId="Index4">
    <w:name w:val="index 4"/>
    <w:basedOn w:val="Normal"/>
    <w:next w:val="Normal"/>
    <w:autoRedefine/>
    <w:uiPriority w:val="99"/>
    <w:semiHidden/>
    <w:unhideWhenUsed/>
    <w:rsid w:val="008629C9"/>
    <w:pPr>
      <w:ind w:left="800" w:hanging="200"/>
    </w:pPr>
  </w:style>
  <w:style w:type="paragraph" w:styleId="Index5">
    <w:name w:val="index 5"/>
    <w:basedOn w:val="Normal"/>
    <w:next w:val="Normal"/>
    <w:autoRedefine/>
    <w:uiPriority w:val="99"/>
    <w:semiHidden/>
    <w:unhideWhenUsed/>
    <w:rsid w:val="008629C9"/>
    <w:pPr>
      <w:ind w:left="1000" w:hanging="200"/>
    </w:pPr>
  </w:style>
  <w:style w:type="paragraph" w:styleId="Index6">
    <w:name w:val="index 6"/>
    <w:basedOn w:val="Normal"/>
    <w:next w:val="Normal"/>
    <w:autoRedefine/>
    <w:uiPriority w:val="99"/>
    <w:semiHidden/>
    <w:unhideWhenUsed/>
    <w:rsid w:val="008629C9"/>
    <w:pPr>
      <w:ind w:left="1200" w:hanging="200"/>
    </w:pPr>
  </w:style>
  <w:style w:type="paragraph" w:styleId="Index7">
    <w:name w:val="index 7"/>
    <w:basedOn w:val="Normal"/>
    <w:next w:val="Normal"/>
    <w:autoRedefine/>
    <w:uiPriority w:val="99"/>
    <w:semiHidden/>
    <w:unhideWhenUsed/>
    <w:rsid w:val="008629C9"/>
    <w:pPr>
      <w:ind w:left="1400" w:hanging="200"/>
    </w:pPr>
  </w:style>
  <w:style w:type="paragraph" w:styleId="Index8">
    <w:name w:val="index 8"/>
    <w:basedOn w:val="Normal"/>
    <w:next w:val="Normal"/>
    <w:autoRedefine/>
    <w:uiPriority w:val="99"/>
    <w:semiHidden/>
    <w:unhideWhenUsed/>
    <w:rsid w:val="008629C9"/>
    <w:pPr>
      <w:ind w:left="1600" w:hanging="200"/>
    </w:pPr>
  </w:style>
  <w:style w:type="paragraph" w:styleId="Index9">
    <w:name w:val="index 9"/>
    <w:basedOn w:val="Normal"/>
    <w:next w:val="Normal"/>
    <w:autoRedefine/>
    <w:uiPriority w:val="99"/>
    <w:semiHidden/>
    <w:unhideWhenUsed/>
    <w:rsid w:val="008629C9"/>
    <w:pPr>
      <w:ind w:left="1800" w:hanging="200"/>
    </w:pPr>
  </w:style>
  <w:style w:type="paragraph" w:styleId="IndexHeading">
    <w:name w:val="index heading"/>
    <w:basedOn w:val="Normal"/>
    <w:next w:val="Index1"/>
    <w:uiPriority w:val="99"/>
    <w:semiHidden/>
    <w:unhideWhenUsed/>
    <w:rsid w:val="008629C9"/>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8629C9"/>
    <w:pPr>
      <w:pBdr>
        <w:top w:val="single" w:sz="4" w:space="10" w:color="034EA2" w:themeColor="accent1"/>
        <w:bottom w:val="single" w:sz="4" w:space="10" w:color="034EA2" w:themeColor="accent1"/>
      </w:pBdr>
      <w:spacing w:before="360" w:after="360"/>
      <w:ind w:left="864" w:right="864"/>
      <w:jc w:val="center"/>
    </w:pPr>
    <w:rPr>
      <w:i/>
      <w:iCs/>
      <w:color w:val="034EA2" w:themeColor="accent1"/>
    </w:rPr>
  </w:style>
  <w:style w:type="character" w:customStyle="1" w:styleId="IntenseQuoteChar">
    <w:name w:val="Intense Quote Char"/>
    <w:basedOn w:val="DefaultParagraphFont"/>
    <w:link w:val="IntenseQuote"/>
    <w:uiPriority w:val="99"/>
    <w:semiHidden/>
    <w:rsid w:val="008629C9"/>
    <w:rPr>
      <w:i/>
      <w:iCs/>
      <w:color w:val="034EA2" w:themeColor="accent1"/>
      <w:sz w:val="20"/>
    </w:rPr>
  </w:style>
  <w:style w:type="paragraph" w:styleId="List">
    <w:name w:val="List"/>
    <w:basedOn w:val="Normal"/>
    <w:uiPriority w:val="99"/>
    <w:semiHidden/>
    <w:unhideWhenUsed/>
    <w:rsid w:val="008629C9"/>
    <w:pPr>
      <w:ind w:left="283" w:hanging="283"/>
      <w:contextualSpacing/>
    </w:pPr>
  </w:style>
  <w:style w:type="paragraph" w:styleId="List2">
    <w:name w:val="List 2"/>
    <w:basedOn w:val="Normal"/>
    <w:uiPriority w:val="99"/>
    <w:semiHidden/>
    <w:unhideWhenUsed/>
    <w:rsid w:val="008629C9"/>
    <w:pPr>
      <w:ind w:left="566" w:hanging="283"/>
      <w:contextualSpacing/>
    </w:pPr>
  </w:style>
  <w:style w:type="paragraph" w:styleId="List3">
    <w:name w:val="List 3"/>
    <w:basedOn w:val="Normal"/>
    <w:uiPriority w:val="99"/>
    <w:semiHidden/>
    <w:unhideWhenUsed/>
    <w:rsid w:val="008629C9"/>
    <w:pPr>
      <w:ind w:left="849" w:hanging="283"/>
      <w:contextualSpacing/>
    </w:pPr>
  </w:style>
  <w:style w:type="paragraph" w:styleId="List4">
    <w:name w:val="List 4"/>
    <w:basedOn w:val="Normal"/>
    <w:uiPriority w:val="99"/>
    <w:semiHidden/>
    <w:rsid w:val="008629C9"/>
    <w:pPr>
      <w:ind w:left="1132" w:hanging="283"/>
      <w:contextualSpacing/>
    </w:pPr>
  </w:style>
  <w:style w:type="paragraph" w:styleId="List5">
    <w:name w:val="List 5"/>
    <w:basedOn w:val="Normal"/>
    <w:uiPriority w:val="99"/>
    <w:semiHidden/>
    <w:rsid w:val="008629C9"/>
    <w:pPr>
      <w:ind w:left="1415" w:hanging="283"/>
      <w:contextualSpacing/>
    </w:pPr>
  </w:style>
  <w:style w:type="paragraph" w:styleId="ListContinue">
    <w:name w:val="List Continue"/>
    <w:basedOn w:val="Normal"/>
    <w:uiPriority w:val="99"/>
    <w:semiHidden/>
    <w:unhideWhenUsed/>
    <w:rsid w:val="008629C9"/>
    <w:pPr>
      <w:spacing w:after="120"/>
      <w:ind w:left="283"/>
      <w:contextualSpacing/>
    </w:pPr>
  </w:style>
  <w:style w:type="paragraph" w:styleId="ListContinue2">
    <w:name w:val="List Continue 2"/>
    <w:basedOn w:val="Normal"/>
    <w:uiPriority w:val="99"/>
    <w:semiHidden/>
    <w:unhideWhenUsed/>
    <w:rsid w:val="008629C9"/>
    <w:pPr>
      <w:spacing w:after="120"/>
      <w:ind w:left="566"/>
      <w:contextualSpacing/>
    </w:pPr>
  </w:style>
  <w:style w:type="paragraph" w:styleId="ListContinue3">
    <w:name w:val="List Continue 3"/>
    <w:basedOn w:val="Normal"/>
    <w:uiPriority w:val="99"/>
    <w:semiHidden/>
    <w:unhideWhenUsed/>
    <w:rsid w:val="008629C9"/>
    <w:pPr>
      <w:spacing w:after="120"/>
      <w:ind w:left="849"/>
      <w:contextualSpacing/>
    </w:pPr>
  </w:style>
  <w:style w:type="paragraph" w:styleId="ListContinue4">
    <w:name w:val="List Continue 4"/>
    <w:basedOn w:val="Normal"/>
    <w:uiPriority w:val="99"/>
    <w:semiHidden/>
    <w:unhideWhenUsed/>
    <w:rsid w:val="008629C9"/>
    <w:pPr>
      <w:spacing w:after="120"/>
      <w:ind w:left="1132"/>
      <w:contextualSpacing/>
    </w:pPr>
  </w:style>
  <w:style w:type="paragraph" w:styleId="ListContinue5">
    <w:name w:val="List Continue 5"/>
    <w:basedOn w:val="Normal"/>
    <w:uiPriority w:val="99"/>
    <w:semiHidden/>
    <w:unhideWhenUsed/>
    <w:rsid w:val="008629C9"/>
    <w:pPr>
      <w:spacing w:after="120"/>
      <w:ind w:left="1415"/>
      <w:contextualSpacing/>
    </w:pPr>
  </w:style>
  <w:style w:type="paragraph" w:styleId="MacroText">
    <w:name w:val="macro"/>
    <w:link w:val="MacroTextChar"/>
    <w:uiPriority w:val="99"/>
    <w:semiHidden/>
    <w:unhideWhenUsed/>
    <w:rsid w:val="008629C9"/>
    <w:pPr>
      <w:tabs>
        <w:tab w:val="left" w:pos="480"/>
        <w:tab w:val="left" w:pos="960"/>
        <w:tab w:val="left" w:pos="1440"/>
        <w:tab w:val="left" w:pos="1920"/>
        <w:tab w:val="left" w:pos="2400"/>
        <w:tab w:val="left" w:pos="2880"/>
        <w:tab w:val="left" w:pos="3360"/>
        <w:tab w:val="left" w:pos="3840"/>
        <w:tab w:val="left" w:pos="4320"/>
      </w:tabs>
      <w:spacing w:before="0" w:after="0"/>
    </w:pPr>
    <w:rPr>
      <w:rFonts w:ascii="Consolas" w:hAnsi="Consolas"/>
      <w:sz w:val="20"/>
      <w:szCs w:val="20"/>
    </w:rPr>
  </w:style>
  <w:style w:type="character" w:customStyle="1" w:styleId="MacroTextChar">
    <w:name w:val="Macro Text Char"/>
    <w:basedOn w:val="DefaultParagraphFont"/>
    <w:link w:val="MacroText"/>
    <w:uiPriority w:val="99"/>
    <w:semiHidden/>
    <w:rsid w:val="008629C9"/>
    <w:rPr>
      <w:rFonts w:ascii="Consolas" w:hAnsi="Consolas"/>
      <w:sz w:val="20"/>
      <w:szCs w:val="20"/>
    </w:rPr>
  </w:style>
  <w:style w:type="paragraph" w:styleId="MessageHeader">
    <w:name w:val="Message Header"/>
    <w:basedOn w:val="Normal"/>
    <w:link w:val="MessageHeaderChar"/>
    <w:uiPriority w:val="99"/>
    <w:semiHidden/>
    <w:unhideWhenUsed/>
    <w:rsid w:val="008629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629C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8629C9"/>
    <w:pPr>
      <w:ind w:left="720"/>
    </w:pPr>
  </w:style>
  <w:style w:type="paragraph" w:styleId="NoteHeading">
    <w:name w:val="Note Heading"/>
    <w:basedOn w:val="Normal"/>
    <w:next w:val="Normal"/>
    <w:link w:val="NoteHeadingChar"/>
    <w:uiPriority w:val="99"/>
    <w:semiHidden/>
    <w:unhideWhenUsed/>
    <w:rsid w:val="008629C9"/>
  </w:style>
  <w:style w:type="character" w:customStyle="1" w:styleId="NoteHeadingChar">
    <w:name w:val="Note Heading Char"/>
    <w:basedOn w:val="DefaultParagraphFont"/>
    <w:link w:val="NoteHeading"/>
    <w:uiPriority w:val="99"/>
    <w:semiHidden/>
    <w:rsid w:val="008629C9"/>
    <w:rPr>
      <w:sz w:val="20"/>
    </w:rPr>
  </w:style>
  <w:style w:type="paragraph" w:styleId="PlainText">
    <w:name w:val="Plain Text"/>
    <w:basedOn w:val="Normal"/>
    <w:link w:val="PlainTextChar"/>
    <w:uiPriority w:val="99"/>
    <w:semiHidden/>
    <w:unhideWhenUsed/>
    <w:rsid w:val="008629C9"/>
    <w:rPr>
      <w:rFonts w:ascii="Consolas" w:hAnsi="Consolas"/>
      <w:sz w:val="21"/>
      <w:szCs w:val="21"/>
    </w:rPr>
  </w:style>
  <w:style w:type="character" w:customStyle="1" w:styleId="PlainTextChar">
    <w:name w:val="Plain Text Char"/>
    <w:basedOn w:val="DefaultParagraphFont"/>
    <w:link w:val="PlainText"/>
    <w:uiPriority w:val="99"/>
    <w:semiHidden/>
    <w:rsid w:val="008629C9"/>
    <w:rPr>
      <w:rFonts w:ascii="Consolas" w:hAnsi="Consolas"/>
      <w:sz w:val="21"/>
      <w:szCs w:val="21"/>
    </w:rPr>
  </w:style>
  <w:style w:type="paragraph" w:styleId="Salutation">
    <w:name w:val="Salutation"/>
    <w:basedOn w:val="Normal"/>
    <w:next w:val="Normal"/>
    <w:link w:val="SalutationChar"/>
    <w:uiPriority w:val="99"/>
    <w:semiHidden/>
    <w:rsid w:val="008629C9"/>
  </w:style>
  <w:style w:type="character" w:customStyle="1" w:styleId="SalutationChar">
    <w:name w:val="Salutation Char"/>
    <w:basedOn w:val="DefaultParagraphFont"/>
    <w:link w:val="Salutation"/>
    <w:uiPriority w:val="99"/>
    <w:semiHidden/>
    <w:rsid w:val="008629C9"/>
    <w:rPr>
      <w:sz w:val="20"/>
    </w:rPr>
  </w:style>
  <w:style w:type="paragraph" w:styleId="Signature">
    <w:name w:val="Signature"/>
    <w:basedOn w:val="Normal"/>
    <w:link w:val="SignatureChar"/>
    <w:uiPriority w:val="99"/>
    <w:semiHidden/>
    <w:unhideWhenUsed/>
    <w:rsid w:val="008629C9"/>
    <w:pPr>
      <w:ind w:left="4252"/>
    </w:pPr>
  </w:style>
  <w:style w:type="character" w:customStyle="1" w:styleId="SignatureChar">
    <w:name w:val="Signature Char"/>
    <w:basedOn w:val="DefaultParagraphFont"/>
    <w:link w:val="Signature"/>
    <w:uiPriority w:val="99"/>
    <w:semiHidden/>
    <w:rsid w:val="008629C9"/>
    <w:rPr>
      <w:sz w:val="20"/>
    </w:rPr>
  </w:style>
  <w:style w:type="paragraph" w:styleId="Subtitle">
    <w:name w:val="Subtitle"/>
    <w:basedOn w:val="Normal"/>
    <w:next w:val="Normal"/>
    <w:link w:val="SubtitleChar"/>
    <w:rsid w:val="008629C9"/>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8629C9"/>
    <w:rPr>
      <w:rFonts w:eastAsiaTheme="minorEastAsia"/>
      <w:color w:val="5A5A5A" w:themeColor="text1" w:themeTint="A5"/>
      <w:spacing w:val="15"/>
    </w:rPr>
  </w:style>
  <w:style w:type="paragraph" w:styleId="TOAHeading">
    <w:name w:val="toa heading"/>
    <w:basedOn w:val="Normal"/>
    <w:next w:val="Normal"/>
    <w:uiPriority w:val="99"/>
    <w:semiHidden/>
    <w:unhideWhenUsed/>
    <w:rsid w:val="008629C9"/>
    <w:pPr>
      <w:spacing w:before="120"/>
    </w:pPr>
    <w:rPr>
      <w:rFonts w:asciiTheme="majorHAnsi" w:eastAsiaTheme="majorEastAsia" w:hAnsiTheme="majorHAnsi" w:cstheme="majorBidi"/>
      <w:b/>
      <w:bCs/>
      <w:sz w:val="24"/>
      <w:szCs w:val="24"/>
    </w:rPr>
  </w:style>
  <w:style w:type="paragraph" w:customStyle="1" w:styleId="Subheading">
    <w:name w:val="Subheading"/>
    <w:uiPriority w:val="39"/>
    <w:rsid w:val="00791FA3"/>
    <w:pPr>
      <w:spacing w:before="0"/>
    </w:pPr>
    <w:rPr>
      <w:rFonts w:ascii="Arial" w:eastAsia="Times New Roman" w:hAnsi="Arial" w:cs="Arial"/>
      <w:b/>
      <w:bCs/>
      <w:sz w:val="20"/>
      <w:szCs w:val="20"/>
      <w:lang w:eastAsia="en-AU"/>
    </w:rPr>
  </w:style>
  <w:style w:type="paragraph" w:customStyle="1" w:styleId="Subheading2">
    <w:name w:val="Subheading2"/>
    <w:uiPriority w:val="39"/>
    <w:rsid w:val="00A64B46"/>
    <w:rPr>
      <w:rFonts w:ascii="Arial" w:eastAsia="Times New Roman" w:hAnsi="Arial" w:cs="Arial"/>
      <w:b/>
      <w:bCs/>
      <w:sz w:val="26"/>
      <w:szCs w:val="26"/>
      <w:lang w:eastAsia="en-AU"/>
    </w:rPr>
  </w:style>
  <w:style w:type="paragraph" w:customStyle="1" w:styleId="subheading3">
    <w:name w:val="subheading3"/>
    <w:uiPriority w:val="39"/>
    <w:rsid w:val="00483027"/>
    <w:rPr>
      <w:rFonts w:asciiTheme="majorHAnsi" w:eastAsia="Times New Roman" w:hAnsiTheme="majorHAnsi" w:cs="Times New Roman"/>
      <w:b/>
      <w:bCs/>
      <w:lang w:eastAsia="en-AU"/>
    </w:rPr>
  </w:style>
  <w:style w:type="paragraph" w:customStyle="1" w:styleId="Subheading4">
    <w:name w:val="Subheading4"/>
    <w:uiPriority w:val="39"/>
    <w:rsid w:val="005E6D08"/>
    <w:rPr>
      <w:rFonts w:ascii="Arial" w:eastAsia="Times New Roman" w:hAnsi="Arial" w:cs="Arial"/>
      <w:b/>
      <w:bCs/>
      <w:sz w:val="26"/>
      <w:szCs w:val="26"/>
      <w:lang w:eastAsia="en-AU"/>
    </w:rPr>
  </w:style>
  <w:style w:type="paragraph" w:customStyle="1" w:styleId="Subheading5">
    <w:name w:val="Subheading5"/>
    <w:uiPriority w:val="39"/>
    <w:rsid w:val="00622D68"/>
    <w:rPr>
      <w:rFonts w:asciiTheme="majorHAnsi" w:eastAsia="Times New Roman" w:hAnsiTheme="majorHAnsi" w:cs="Times New Roman"/>
      <w:b/>
      <w:bCs/>
      <w:lang w:eastAsia="en-AU"/>
    </w:rPr>
  </w:style>
  <w:style w:type="paragraph" w:customStyle="1" w:styleId="Subheading6">
    <w:name w:val="Subheading6"/>
    <w:uiPriority w:val="39"/>
    <w:rsid w:val="005B463B"/>
    <w:rPr>
      <w:rFonts w:ascii="Arial" w:eastAsia="Times New Roman" w:hAnsi="Arial" w:cs="Arial"/>
      <w:b/>
      <w:bCs/>
      <w:sz w:val="2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4657">
      <w:bodyDiv w:val="1"/>
      <w:marLeft w:val="0"/>
      <w:marRight w:val="0"/>
      <w:marTop w:val="0"/>
      <w:marBottom w:val="0"/>
      <w:divBdr>
        <w:top w:val="none" w:sz="0" w:space="0" w:color="auto"/>
        <w:left w:val="none" w:sz="0" w:space="0" w:color="auto"/>
        <w:bottom w:val="none" w:sz="0" w:space="0" w:color="auto"/>
        <w:right w:val="none" w:sz="0" w:space="0" w:color="auto"/>
      </w:divBdr>
    </w:div>
    <w:div w:id="284776708">
      <w:bodyDiv w:val="1"/>
      <w:marLeft w:val="0"/>
      <w:marRight w:val="0"/>
      <w:marTop w:val="0"/>
      <w:marBottom w:val="0"/>
      <w:divBdr>
        <w:top w:val="none" w:sz="0" w:space="0" w:color="auto"/>
        <w:left w:val="none" w:sz="0" w:space="0" w:color="auto"/>
        <w:bottom w:val="none" w:sz="0" w:space="0" w:color="auto"/>
        <w:right w:val="none" w:sz="0" w:space="0" w:color="auto"/>
      </w:divBdr>
      <w:divsChild>
        <w:div w:id="449593005">
          <w:marLeft w:val="0"/>
          <w:marRight w:val="0"/>
          <w:marTop w:val="0"/>
          <w:marBottom w:val="0"/>
          <w:divBdr>
            <w:top w:val="none" w:sz="0" w:space="0" w:color="auto"/>
            <w:left w:val="none" w:sz="0" w:space="0" w:color="auto"/>
            <w:bottom w:val="none" w:sz="0" w:space="0" w:color="auto"/>
            <w:right w:val="none" w:sz="0" w:space="0" w:color="auto"/>
          </w:divBdr>
        </w:div>
        <w:div w:id="584607845">
          <w:marLeft w:val="0"/>
          <w:marRight w:val="0"/>
          <w:marTop w:val="0"/>
          <w:marBottom w:val="0"/>
          <w:divBdr>
            <w:top w:val="none" w:sz="0" w:space="0" w:color="auto"/>
            <w:left w:val="none" w:sz="0" w:space="0" w:color="auto"/>
            <w:bottom w:val="none" w:sz="0" w:space="0" w:color="auto"/>
            <w:right w:val="none" w:sz="0" w:space="0" w:color="auto"/>
          </w:divBdr>
        </w:div>
      </w:divsChild>
    </w:div>
    <w:div w:id="340863325">
      <w:bodyDiv w:val="1"/>
      <w:marLeft w:val="0"/>
      <w:marRight w:val="0"/>
      <w:marTop w:val="0"/>
      <w:marBottom w:val="0"/>
      <w:divBdr>
        <w:top w:val="none" w:sz="0" w:space="0" w:color="auto"/>
        <w:left w:val="none" w:sz="0" w:space="0" w:color="auto"/>
        <w:bottom w:val="none" w:sz="0" w:space="0" w:color="auto"/>
        <w:right w:val="none" w:sz="0" w:space="0" w:color="auto"/>
      </w:divBdr>
    </w:div>
    <w:div w:id="536041498">
      <w:bodyDiv w:val="1"/>
      <w:marLeft w:val="0"/>
      <w:marRight w:val="0"/>
      <w:marTop w:val="0"/>
      <w:marBottom w:val="0"/>
      <w:divBdr>
        <w:top w:val="none" w:sz="0" w:space="0" w:color="auto"/>
        <w:left w:val="none" w:sz="0" w:space="0" w:color="auto"/>
        <w:bottom w:val="none" w:sz="0" w:space="0" w:color="auto"/>
        <w:right w:val="none" w:sz="0" w:space="0" w:color="auto"/>
      </w:divBdr>
      <w:divsChild>
        <w:div w:id="13699719">
          <w:marLeft w:val="0"/>
          <w:marRight w:val="0"/>
          <w:marTop w:val="0"/>
          <w:marBottom w:val="0"/>
          <w:divBdr>
            <w:top w:val="none" w:sz="0" w:space="0" w:color="auto"/>
            <w:left w:val="none" w:sz="0" w:space="0" w:color="auto"/>
            <w:bottom w:val="none" w:sz="0" w:space="0" w:color="auto"/>
            <w:right w:val="none" w:sz="0" w:space="0" w:color="auto"/>
          </w:divBdr>
        </w:div>
        <w:div w:id="45960833">
          <w:marLeft w:val="0"/>
          <w:marRight w:val="0"/>
          <w:marTop w:val="0"/>
          <w:marBottom w:val="0"/>
          <w:divBdr>
            <w:top w:val="none" w:sz="0" w:space="0" w:color="auto"/>
            <w:left w:val="none" w:sz="0" w:space="0" w:color="auto"/>
            <w:bottom w:val="none" w:sz="0" w:space="0" w:color="auto"/>
            <w:right w:val="none" w:sz="0" w:space="0" w:color="auto"/>
          </w:divBdr>
          <w:divsChild>
            <w:div w:id="1629357009">
              <w:marLeft w:val="0"/>
              <w:marRight w:val="0"/>
              <w:marTop w:val="30"/>
              <w:marBottom w:val="30"/>
              <w:divBdr>
                <w:top w:val="none" w:sz="0" w:space="0" w:color="auto"/>
                <w:left w:val="none" w:sz="0" w:space="0" w:color="auto"/>
                <w:bottom w:val="none" w:sz="0" w:space="0" w:color="auto"/>
                <w:right w:val="none" w:sz="0" w:space="0" w:color="auto"/>
              </w:divBdr>
              <w:divsChild>
                <w:div w:id="23676861">
                  <w:marLeft w:val="0"/>
                  <w:marRight w:val="0"/>
                  <w:marTop w:val="0"/>
                  <w:marBottom w:val="0"/>
                  <w:divBdr>
                    <w:top w:val="none" w:sz="0" w:space="0" w:color="auto"/>
                    <w:left w:val="none" w:sz="0" w:space="0" w:color="auto"/>
                    <w:bottom w:val="none" w:sz="0" w:space="0" w:color="auto"/>
                    <w:right w:val="none" w:sz="0" w:space="0" w:color="auto"/>
                  </w:divBdr>
                  <w:divsChild>
                    <w:div w:id="1076391907">
                      <w:marLeft w:val="0"/>
                      <w:marRight w:val="0"/>
                      <w:marTop w:val="0"/>
                      <w:marBottom w:val="0"/>
                      <w:divBdr>
                        <w:top w:val="none" w:sz="0" w:space="0" w:color="auto"/>
                        <w:left w:val="none" w:sz="0" w:space="0" w:color="auto"/>
                        <w:bottom w:val="none" w:sz="0" w:space="0" w:color="auto"/>
                        <w:right w:val="none" w:sz="0" w:space="0" w:color="auto"/>
                      </w:divBdr>
                    </w:div>
                  </w:divsChild>
                </w:div>
                <w:div w:id="25067182">
                  <w:marLeft w:val="0"/>
                  <w:marRight w:val="0"/>
                  <w:marTop w:val="0"/>
                  <w:marBottom w:val="0"/>
                  <w:divBdr>
                    <w:top w:val="none" w:sz="0" w:space="0" w:color="auto"/>
                    <w:left w:val="none" w:sz="0" w:space="0" w:color="auto"/>
                    <w:bottom w:val="none" w:sz="0" w:space="0" w:color="auto"/>
                    <w:right w:val="none" w:sz="0" w:space="0" w:color="auto"/>
                  </w:divBdr>
                  <w:divsChild>
                    <w:div w:id="784663088">
                      <w:marLeft w:val="0"/>
                      <w:marRight w:val="0"/>
                      <w:marTop w:val="0"/>
                      <w:marBottom w:val="0"/>
                      <w:divBdr>
                        <w:top w:val="none" w:sz="0" w:space="0" w:color="auto"/>
                        <w:left w:val="none" w:sz="0" w:space="0" w:color="auto"/>
                        <w:bottom w:val="none" w:sz="0" w:space="0" w:color="auto"/>
                        <w:right w:val="none" w:sz="0" w:space="0" w:color="auto"/>
                      </w:divBdr>
                    </w:div>
                  </w:divsChild>
                </w:div>
                <w:div w:id="111214615">
                  <w:marLeft w:val="0"/>
                  <w:marRight w:val="0"/>
                  <w:marTop w:val="0"/>
                  <w:marBottom w:val="0"/>
                  <w:divBdr>
                    <w:top w:val="none" w:sz="0" w:space="0" w:color="auto"/>
                    <w:left w:val="none" w:sz="0" w:space="0" w:color="auto"/>
                    <w:bottom w:val="none" w:sz="0" w:space="0" w:color="auto"/>
                    <w:right w:val="none" w:sz="0" w:space="0" w:color="auto"/>
                  </w:divBdr>
                  <w:divsChild>
                    <w:div w:id="1628705049">
                      <w:marLeft w:val="0"/>
                      <w:marRight w:val="0"/>
                      <w:marTop w:val="0"/>
                      <w:marBottom w:val="0"/>
                      <w:divBdr>
                        <w:top w:val="none" w:sz="0" w:space="0" w:color="auto"/>
                        <w:left w:val="none" w:sz="0" w:space="0" w:color="auto"/>
                        <w:bottom w:val="none" w:sz="0" w:space="0" w:color="auto"/>
                        <w:right w:val="none" w:sz="0" w:space="0" w:color="auto"/>
                      </w:divBdr>
                    </w:div>
                  </w:divsChild>
                </w:div>
                <w:div w:id="210115186">
                  <w:marLeft w:val="0"/>
                  <w:marRight w:val="0"/>
                  <w:marTop w:val="0"/>
                  <w:marBottom w:val="0"/>
                  <w:divBdr>
                    <w:top w:val="none" w:sz="0" w:space="0" w:color="auto"/>
                    <w:left w:val="none" w:sz="0" w:space="0" w:color="auto"/>
                    <w:bottom w:val="none" w:sz="0" w:space="0" w:color="auto"/>
                    <w:right w:val="none" w:sz="0" w:space="0" w:color="auto"/>
                  </w:divBdr>
                  <w:divsChild>
                    <w:div w:id="203062184">
                      <w:marLeft w:val="0"/>
                      <w:marRight w:val="0"/>
                      <w:marTop w:val="0"/>
                      <w:marBottom w:val="0"/>
                      <w:divBdr>
                        <w:top w:val="none" w:sz="0" w:space="0" w:color="auto"/>
                        <w:left w:val="none" w:sz="0" w:space="0" w:color="auto"/>
                        <w:bottom w:val="none" w:sz="0" w:space="0" w:color="auto"/>
                        <w:right w:val="none" w:sz="0" w:space="0" w:color="auto"/>
                      </w:divBdr>
                    </w:div>
                  </w:divsChild>
                </w:div>
                <w:div w:id="256982120">
                  <w:marLeft w:val="0"/>
                  <w:marRight w:val="0"/>
                  <w:marTop w:val="0"/>
                  <w:marBottom w:val="0"/>
                  <w:divBdr>
                    <w:top w:val="none" w:sz="0" w:space="0" w:color="auto"/>
                    <w:left w:val="none" w:sz="0" w:space="0" w:color="auto"/>
                    <w:bottom w:val="none" w:sz="0" w:space="0" w:color="auto"/>
                    <w:right w:val="none" w:sz="0" w:space="0" w:color="auto"/>
                  </w:divBdr>
                  <w:divsChild>
                    <w:div w:id="1944998711">
                      <w:marLeft w:val="0"/>
                      <w:marRight w:val="0"/>
                      <w:marTop w:val="0"/>
                      <w:marBottom w:val="0"/>
                      <w:divBdr>
                        <w:top w:val="none" w:sz="0" w:space="0" w:color="auto"/>
                        <w:left w:val="none" w:sz="0" w:space="0" w:color="auto"/>
                        <w:bottom w:val="none" w:sz="0" w:space="0" w:color="auto"/>
                        <w:right w:val="none" w:sz="0" w:space="0" w:color="auto"/>
                      </w:divBdr>
                    </w:div>
                  </w:divsChild>
                </w:div>
                <w:div w:id="361781693">
                  <w:marLeft w:val="0"/>
                  <w:marRight w:val="0"/>
                  <w:marTop w:val="0"/>
                  <w:marBottom w:val="0"/>
                  <w:divBdr>
                    <w:top w:val="none" w:sz="0" w:space="0" w:color="auto"/>
                    <w:left w:val="none" w:sz="0" w:space="0" w:color="auto"/>
                    <w:bottom w:val="none" w:sz="0" w:space="0" w:color="auto"/>
                    <w:right w:val="none" w:sz="0" w:space="0" w:color="auto"/>
                  </w:divBdr>
                  <w:divsChild>
                    <w:div w:id="1629360713">
                      <w:marLeft w:val="0"/>
                      <w:marRight w:val="0"/>
                      <w:marTop w:val="0"/>
                      <w:marBottom w:val="0"/>
                      <w:divBdr>
                        <w:top w:val="none" w:sz="0" w:space="0" w:color="auto"/>
                        <w:left w:val="none" w:sz="0" w:space="0" w:color="auto"/>
                        <w:bottom w:val="none" w:sz="0" w:space="0" w:color="auto"/>
                        <w:right w:val="none" w:sz="0" w:space="0" w:color="auto"/>
                      </w:divBdr>
                    </w:div>
                  </w:divsChild>
                </w:div>
                <w:div w:id="448937950">
                  <w:marLeft w:val="0"/>
                  <w:marRight w:val="0"/>
                  <w:marTop w:val="0"/>
                  <w:marBottom w:val="0"/>
                  <w:divBdr>
                    <w:top w:val="none" w:sz="0" w:space="0" w:color="auto"/>
                    <w:left w:val="none" w:sz="0" w:space="0" w:color="auto"/>
                    <w:bottom w:val="none" w:sz="0" w:space="0" w:color="auto"/>
                    <w:right w:val="none" w:sz="0" w:space="0" w:color="auto"/>
                  </w:divBdr>
                  <w:divsChild>
                    <w:div w:id="969940264">
                      <w:marLeft w:val="0"/>
                      <w:marRight w:val="0"/>
                      <w:marTop w:val="0"/>
                      <w:marBottom w:val="0"/>
                      <w:divBdr>
                        <w:top w:val="none" w:sz="0" w:space="0" w:color="auto"/>
                        <w:left w:val="none" w:sz="0" w:space="0" w:color="auto"/>
                        <w:bottom w:val="none" w:sz="0" w:space="0" w:color="auto"/>
                        <w:right w:val="none" w:sz="0" w:space="0" w:color="auto"/>
                      </w:divBdr>
                    </w:div>
                  </w:divsChild>
                </w:div>
                <w:div w:id="478808268">
                  <w:marLeft w:val="0"/>
                  <w:marRight w:val="0"/>
                  <w:marTop w:val="0"/>
                  <w:marBottom w:val="0"/>
                  <w:divBdr>
                    <w:top w:val="none" w:sz="0" w:space="0" w:color="auto"/>
                    <w:left w:val="none" w:sz="0" w:space="0" w:color="auto"/>
                    <w:bottom w:val="none" w:sz="0" w:space="0" w:color="auto"/>
                    <w:right w:val="none" w:sz="0" w:space="0" w:color="auto"/>
                  </w:divBdr>
                  <w:divsChild>
                    <w:div w:id="752313021">
                      <w:marLeft w:val="0"/>
                      <w:marRight w:val="0"/>
                      <w:marTop w:val="0"/>
                      <w:marBottom w:val="0"/>
                      <w:divBdr>
                        <w:top w:val="none" w:sz="0" w:space="0" w:color="auto"/>
                        <w:left w:val="none" w:sz="0" w:space="0" w:color="auto"/>
                        <w:bottom w:val="none" w:sz="0" w:space="0" w:color="auto"/>
                        <w:right w:val="none" w:sz="0" w:space="0" w:color="auto"/>
                      </w:divBdr>
                    </w:div>
                  </w:divsChild>
                </w:div>
                <w:div w:id="566385286">
                  <w:marLeft w:val="0"/>
                  <w:marRight w:val="0"/>
                  <w:marTop w:val="0"/>
                  <w:marBottom w:val="0"/>
                  <w:divBdr>
                    <w:top w:val="none" w:sz="0" w:space="0" w:color="auto"/>
                    <w:left w:val="none" w:sz="0" w:space="0" w:color="auto"/>
                    <w:bottom w:val="none" w:sz="0" w:space="0" w:color="auto"/>
                    <w:right w:val="none" w:sz="0" w:space="0" w:color="auto"/>
                  </w:divBdr>
                  <w:divsChild>
                    <w:div w:id="1021857078">
                      <w:marLeft w:val="0"/>
                      <w:marRight w:val="0"/>
                      <w:marTop w:val="0"/>
                      <w:marBottom w:val="0"/>
                      <w:divBdr>
                        <w:top w:val="none" w:sz="0" w:space="0" w:color="auto"/>
                        <w:left w:val="none" w:sz="0" w:space="0" w:color="auto"/>
                        <w:bottom w:val="none" w:sz="0" w:space="0" w:color="auto"/>
                        <w:right w:val="none" w:sz="0" w:space="0" w:color="auto"/>
                      </w:divBdr>
                    </w:div>
                  </w:divsChild>
                </w:div>
                <w:div w:id="688877472">
                  <w:marLeft w:val="0"/>
                  <w:marRight w:val="0"/>
                  <w:marTop w:val="0"/>
                  <w:marBottom w:val="0"/>
                  <w:divBdr>
                    <w:top w:val="none" w:sz="0" w:space="0" w:color="auto"/>
                    <w:left w:val="none" w:sz="0" w:space="0" w:color="auto"/>
                    <w:bottom w:val="none" w:sz="0" w:space="0" w:color="auto"/>
                    <w:right w:val="none" w:sz="0" w:space="0" w:color="auto"/>
                  </w:divBdr>
                  <w:divsChild>
                    <w:div w:id="749691361">
                      <w:marLeft w:val="0"/>
                      <w:marRight w:val="0"/>
                      <w:marTop w:val="0"/>
                      <w:marBottom w:val="0"/>
                      <w:divBdr>
                        <w:top w:val="none" w:sz="0" w:space="0" w:color="auto"/>
                        <w:left w:val="none" w:sz="0" w:space="0" w:color="auto"/>
                        <w:bottom w:val="none" w:sz="0" w:space="0" w:color="auto"/>
                        <w:right w:val="none" w:sz="0" w:space="0" w:color="auto"/>
                      </w:divBdr>
                    </w:div>
                  </w:divsChild>
                </w:div>
                <w:div w:id="700783896">
                  <w:marLeft w:val="0"/>
                  <w:marRight w:val="0"/>
                  <w:marTop w:val="0"/>
                  <w:marBottom w:val="0"/>
                  <w:divBdr>
                    <w:top w:val="none" w:sz="0" w:space="0" w:color="auto"/>
                    <w:left w:val="none" w:sz="0" w:space="0" w:color="auto"/>
                    <w:bottom w:val="none" w:sz="0" w:space="0" w:color="auto"/>
                    <w:right w:val="none" w:sz="0" w:space="0" w:color="auto"/>
                  </w:divBdr>
                  <w:divsChild>
                    <w:div w:id="296762880">
                      <w:marLeft w:val="0"/>
                      <w:marRight w:val="0"/>
                      <w:marTop w:val="0"/>
                      <w:marBottom w:val="0"/>
                      <w:divBdr>
                        <w:top w:val="none" w:sz="0" w:space="0" w:color="auto"/>
                        <w:left w:val="none" w:sz="0" w:space="0" w:color="auto"/>
                        <w:bottom w:val="none" w:sz="0" w:space="0" w:color="auto"/>
                        <w:right w:val="none" w:sz="0" w:space="0" w:color="auto"/>
                      </w:divBdr>
                    </w:div>
                  </w:divsChild>
                </w:div>
                <w:div w:id="714887639">
                  <w:marLeft w:val="0"/>
                  <w:marRight w:val="0"/>
                  <w:marTop w:val="0"/>
                  <w:marBottom w:val="0"/>
                  <w:divBdr>
                    <w:top w:val="none" w:sz="0" w:space="0" w:color="auto"/>
                    <w:left w:val="none" w:sz="0" w:space="0" w:color="auto"/>
                    <w:bottom w:val="none" w:sz="0" w:space="0" w:color="auto"/>
                    <w:right w:val="none" w:sz="0" w:space="0" w:color="auto"/>
                  </w:divBdr>
                  <w:divsChild>
                    <w:div w:id="313148709">
                      <w:marLeft w:val="0"/>
                      <w:marRight w:val="0"/>
                      <w:marTop w:val="0"/>
                      <w:marBottom w:val="0"/>
                      <w:divBdr>
                        <w:top w:val="none" w:sz="0" w:space="0" w:color="auto"/>
                        <w:left w:val="none" w:sz="0" w:space="0" w:color="auto"/>
                        <w:bottom w:val="none" w:sz="0" w:space="0" w:color="auto"/>
                        <w:right w:val="none" w:sz="0" w:space="0" w:color="auto"/>
                      </w:divBdr>
                    </w:div>
                  </w:divsChild>
                </w:div>
                <w:div w:id="794831556">
                  <w:marLeft w:val="0"/>
                  <w:marRight w:val="0"/>
                  <w:marTop w:val="0"/>
                  <w:marBottom w:val="0"/>
                  <w:divBdr>
                    <w:top w:val="none" w:sz="0" w:space="0" w:color="auto"/>
                    <w:left w:val="none" w:sz="0" w:space="0" w:color="auto"/>
                    <w:bottom w:val="none" w:sz="0" w:space="0" w:color="auto"/>
                    <w:right w:val="none" w:sz="0" w:space="0" w:color="auto"/>
                  </w:divBdr>
                  <w:divsChild>
                    <w:div w:id="1817840111">
                      <w:marLeft w:val="0"/>
                      <w:marRight w:val="0"/>
                      <w:marTop w:val="0"/>
                      <w:marBottom w:val="0"/>
                      <w:divBdr>
                        <w:top w:val="none" w:sz="0" w:space="0" w:color="auto"/>
                        <w:left w:val="none" w:sz="0" w:space="0" w:color="auto"/>
                        <w:bottom w:val="none" w:sz="0" w:space="0" w:color="auto"/>
                        <w:right w:val="none" w:sz="0" w:space="0" w:color="auto"/>
                      </w:divBdr>
                    </w:div>
                  </w:divsChild>
                </w:div>
                <w:div w:id="799883617">
                  <w:marLeft w:val="0"/>
                  <w:marRight w:val="0"/>
                  <w:marTop w:val="0"/>
                  <w:marBottom w:val="0"/>
                  <w:divBdr>
                    <w:top w:val="none" w:sz="0" w:space="0" w:color="auto"/>
                    <w:left w:val="none" w:sz="0" w:space="0" w:color="auto"/>
                    <w:bottom w:val="none" w:sz="0" w:space="0" w:color="auto"/>
                    <w:right w:val="none" w:sz="0" w:space="0" w:color="auto"/>
                  </w:divBdr>
                  <w:divsChild>
                    <w:div w:id="1900632532">
                      <w:marLeft w:val="0"/>
                      <w:marRight w:val="0"/>
                      <w:marTop w:val="0"/>
                      <w:marBottom w:val="0"/>
                      <w:divBdr>
                        <w:top w:val="none" w:sz="0" w:space="0" w:color="auto"/>
                        <w:left w:val="none" w:sz="0" w:space="0" w:color="auto"/>
                        <w:bottom w:val="none" w:sz="0" w:space="0" w:color="auto"/>
                        <w:right w:val="none" w:sz="0" w:space="0" w:color="auto"/>
                      </w:divBdr>
                    </w:div>
                  </w:divsChild>
                </w:div>
                <w:div w:id="948701529">
                  <w:marLeft w:val="0"/>
                  <w:marRight w:val="0"/>
                  <w:marTop w:val="0"/>
                  <w:marBottom w:val="0"/>
                  <w:divBdr>
                    <w:top w:val="none" w:sz="0" w:space="0" w:color="auto"/>
                    <w:left w:val="none" w:sz="0" w:space="0" w:color="auto"/>
                    <w:bottom w:val="none" w:sz="0" w:space="0" w:color="auto"/>
                    <w:right w:val="none" w:sz="0" w:space="0" w:color="auto"/>
                  </w:divBdr>
                  <w:divsChild>
                    <w:div w:id="243415726">
                      <w:marLeft w:val="0"/>
                      <w:marRight w:val="0"/>
                      <w:marTop w:val="0"/>
                      <w:marBottom w:val="0"/>
                      <w:divBdr>
                        <w:top w:val="none" w:sz="0" w:space="0" w:color="auto"/>
                        <w:left w:val="none" w:sz="0" w:space="0" w:color="auto"/>
                        <w:bottom w:val="none" w:sz="0" w:space="0" w:color="auto"/>
                        <w:right w:val="none" w:sz="0" w:space="0" w:color="auto"/>
                      </w:divBdr>
                    </w:div>
                  </w:divsChild>
                </w:div>
                <w:div w:id="1108621230">
                  <w:marLeft w:val="0"/>
                  <w:marRight w:val="0"/>
                  <w:marTop w:val="0"/>
                  <w:marBottom w:val="0"/>
                  <w:divBdr>
                    <w:top w:val="none" w:sz="0" w:space="0" w:color="auto"/>
                    <w:left w:val="none" w:sz="0" w:space="0" w:color="auto"/>
                    <w:bottom w:val="none" w:sz="0" w:space="0" w:color="auto"/>
                    <w:right w:val="none" w:sz="0" w:space="0" w:color="auto"/>
                  </w:divBdr>
                  <w:divsChild>
                    <w:div w:id="1259488976">
                      <w:marLeft w:val="0"/>
                      <w:marRight w:val="0"/>
                      <w:marTop w:val="0"/>
                      <w:marBottom w:val="0"/>
                      <w:divBdr>
                        <w:top w:val="none" w:sz="0" w:space="0" w:color="auto"/>
                        <w:left w:val="none" w:sz="0" w:space="0" w:color="auto"/>
                        <w:bottom w:val="none" w:sz="0" w:space="0" w:color="auto"/>
                        <w:right w:val="none" w:sz="0" w:space="0" w:color="auto"/>
                      </w:divBdr>
                    </w:div>
                  </w:divsChild>
                </w:div>
                <w:div w:id="1116799259">
                  <w:marLeft w:val="0"/>
                  <w:marRight w:val="0"/>
                  <w:marTop w:val="0"/>
                  <w:marBottom w:val="0"/>
                  <w:divBdr>
                    <w:top w:val="none" w:sz="0" w:space="0" w:color="auto"/>
                    <w:left w:val="none" w:sz="0" w:space="0" w:color="auto"/>
                    <w:bottom w:val="none" w:sz="0" w:space="0" w:color="auto"/>
                    <w:right w:val="none" w:sz="0" w:space="0" w:color="auto"/>
                  </w:divBdr>
                  <w:divsChild>
                    <w:div w:id="2076275962">
                      <w:marLeft w:val="0"/>
                      <w:marRight w:val="0"/>
                      <w:marTop w:val="0"/>
                      <w:marBottom w:val="0"/>
                      <w:divBdr>
                        <w:top w:val="none" w:sz="0" w:space="0" w:color="auto"/>
                        <w:left w:val="none" w:sz="0" w:space="0" w:color="auto"/>
                        <w:bottom w:val="none" w:sz="0" w:space="0" w:color="auto"/>
                        <w:right w:val="none" w:sz="0" w:space="0" w:color="auto"/>
                      </w:divBdr>
                    </w:div>
                  </w:divsChild>
                </w:div>
                <w:div w:id="1183863846">
                  <w:marLeft w:val="0"/>
                  <w:marRight w:val="0"/>
                  <w:marTop w:val="0"/>
                  <w:marBottom w:val="0"/>
                  <w:divBdr>
                    <w:top w:val="none" w:sz="0" w:space="0" w:color="auto"/>
                    <w:left w:val="none" w:sz="0" w:space="0" w:color="auto"/>
                    <w:bottom w:val="none" w:sz="0" w:space="0" w:color="auto"/>
                    <w:right w:val="none" w:sz="0" w:space="0" w:color="auto"/>
                  </w:divBdr>
                  <w:divsChild>
                    <w:div w:id="1031804504">
                      <w:marLeft w:val="0"/>
                      <w:marRight w:val="0"/>
                      <w:marTop w:val="0"/>
                      <w:marBottom w:val="0"/>
                      <w:divBdr>
                        <w:top w:val="none" w:sz="0" w:space="0" w:color="auto"/>
                        <w:left w:val="none" w:sz="0" w:space="0" w:color="auto"/>
                        <w:bottom w:val="none" w:sz="0" w:space="0" w:color="auto"/>
                        <w:right w:val="none" w:sz="0" w:space="0" w:color="auto"/>
                      </w:divBdr>
                    </w:div>
                  </w:divsChild>
                </w:div>
                <w:div w:id="1226915962">
                  <w:marLeft w:val="0"/>
                  <w:marRight w:val="0"/>
                  <w:marTop w:val="0"/>
                  <w:marBottom w:val="0"/>
                  <w:divBdr>
                    <w:top w:val="none" w:sz="0" w:space="0" w:color="auto"/>
                    <w:left w:val="none" w:sz="0" w:space="0" w:color="auto"/>
                    <w:bottom w:val="none" w:sz="0" w:space="0" w:color="auto"/>
                    <w:right w:val="none" w:sz="0" w:space="0" w:color="auto"/>
                  </w:divBdr>
                  <w:divsChild>
                    <w:div w:id="126555439">
                      <w:marLeft w:val="0"/>
                      <w:marRight w:val="0"/>
                      <w:marTop w:val="0"/>
                      <w:marBottom w:val="0"/>
                      <w:divBdr>
                        <w:top w:val="none" w:sz="0" w:space="0" w:color="auto"/>
                        <w:left w:val="none" w:sz="0" w:space="0" w:color="auto"/>
                        <w:bottom w:val="none" w:sz="0" w:space="0" w:color="auto"/>
                        <w:right w:val="none" w:sz="0" w:space="0" w:color="auto"/>
                      </w:divBdr>
                    </w:div>
                  </w:divsChild>
                </w:div>
                <w:div w:id="1228685389">
                  <w:marLeft w:val="0"/>
                  <w:marRight w:val="0"/>
                  <w:marTop w:val="0"/>
                  <w:marBottom w:val="0"/>
                  <w:divBdr>
                    <w:top w:val="none" w:sz="0" w:space="0" w:color="auto"/>
                    <w:left w:val="none" w:sz="0" w:space="0" w:color="auto"/>
                    <w:bottom w:val="none" w:sz="0" w:space="0" w:color="auto"/>
                    <w:right w:val="none" w:sz="0" w:space="0" w:color="auto"/>
                  </w:divBdr>
                  <w:divsChild>
                    <w:div w:id="222958755">
                      <w:marLeft w:val="0"/>
                      <w:marRight w:val="0"/>
                      <w:marTop w:val="0"/>
                      <w:marBottom w:val="0"/>
                      <w:divBdr>
                        <w:top w:val="none" w:sz="0" w:space="0" w:color="auto"/>
                        <w:left w:val="none" w:sz="0" w:space="0" w:color="auto"/>
                        <w:bottom w:val="none" w:sz="0" w:space="0" w:color="auto"/>
                        <w:right w:val="none" w:sz="0" w:space="0" w:color="auto"/>
                      </w:divBdr>
                    </w:div>
                  </w:divsChild>
                </w:div>
                <w:div w:id="1233812202">
                  <w:marLeft w:val="0"/>
                  <w:marRight w:val="0"/>
                  <w:marTop w:val="0"/>
                  <w:marBottom w:val="0"/>
                  <w:divBdr>
                    <w:top w:val="none" w:sz="0" w:space="0" w:color="auto"/>
                    <w:left w:val="none" w:sz="0" w:space="0" w:color="auto"/>
                    <w:bottom w:val="none" w:sz="0" w:space="0" w:color="auto"/>
                    <w:right w:val="none" w:sz="0" w:space="0" w:color="auto"/>
                  </w:divBdr>
                  <w:divsChild>
                    <w:div w:id="1991322472">
                      <w:marLeft w:val="0"/>
                      <w:marRight w:val="0"/>
                      <w:marTop w:val="0"/>
                      <w:marBottom w:val="0"/>
                      <w:divBdr>
                        <w:top w:val="none" w:sz="0" w:space="0" w:color="auto"/>
                        <w:left w:val="none" w:sz="0" w:space="0" w:color="auto"/>
                        <w:bottom w:val="none" w:sz="0" w:space="0" w:color="auto"/>
                        <w:right w:val="none" w:sz="0" w:space="0" w:color="auto"/>
                      </w:divBdr>
                    </w:div>
                  </w:divsChild>
                </w:div>
                <w:div w:id="1234125653">
                  <w:marLeft w:val="0"/>
                  <w:marRight w:val="0"/>
                  <w:marTop w:val="0"/>
                  <w:marBottom w:val="0"/>
                  <w:divBdr>
                    <w:top w:val="none" w:sz="0" w:space="0" w:color="auto"/>
                    <w:left w:val="none" w:sz="0" w:space="0" w:color="auto"/>
                    <w:bottom w:val="none" w:sz="0" w:space="0" w:color="auto"/>
                    <w:right w:val="none" w:sz="0" w:space="0" w:color="auto"/>
                  </w:divBdr>
                  <w:divsChild>
                    <w:div w:id="225842710">
                      <w:marLeft w:val="0"/>
                      <w:marRight w:val="0"/>
                      <w:marTop w:val="0"/>
                      <w:marBottom w:val="0"/>
                      <w:divBdr>
                        <w:top w:val="none" w:sz="0" w:space="0" w:color="auto"/>
                        <w:left w:val="none" w:sz="0" w:space="0" w:color="auto"/>
                        <w:bottom w:val="none" w:sz="0" w:space="0" w:color="auto"/>
                        <w:right w:val="none" w:sz="0" w:space="0" w:color="auto"/>
                      </w:divBdr>
                    </w:div>
                  </w:divsChild>
                </w:div>
                <w:div w:id="1263150681">
                  <w:marLeft w:val="0"/>
                  <w:marRight w:val="0"/>
                  <w:marTop w:val="0"/>
                  <w:marBottom w:val="0"/>
                  <w:divBdr>
                    <w:top w:val="none" w:sz="0" w:space="0" w:color="auto"/>
                    <w:left w:val="none" w:sz="0" w:space="0" w:color="auto"/>
                    <w:bottom w:val="none" w:sz="0" w:space="0" w:color="auto"/>
                    <w:right w:val="none" w:sz="0" w:space="0" w:color="auto"/>
                  </w:divBdr>
                  <w:divsChild>
                    <w:div w:id="140850285">
                      <w:marLeft w:val="0"/>
                      <w:marRight w:val="0"/>
                      <w:marTop w:val="0"/>
                      <w:marBottom w:val="0"/>
                      <w:divBdr>
                        <w:top w:val="none" w:sz="0" w:space="0" w:color="auto"/>
                        <w:left w:val="none" w:sz="0" w:space="0" w:color="auto"/>
                        <w:bottom w:val="none" w:sz="0" w:space="0" w:color="auto"/>
                        <w:right w:val="none" w:sz="0" w:space="0" w:color="auto"/>
                      </w:divBdr>
                    </w:div>
                  </w:divsChild>
                </w:div>
                <w:div w:id="1272710121">
                  <w:marLeft w:val="0"/>
                  <w:marRight w:val="0"/>
                  <w:marTop w:val="0"/>
                  <w:marBottom w:val="0"/>
                  <w:divBdr>
                    <w:top w:val="none" w:sz="0" w:space="0" w:color="auto"/>
                    <w:left w:val="none" w:sz="0" w:space="0" w:color="auto"/>
                    <w:bottom w:val="none" w:sz="0" w:space="0" w:color="auto"/>
                    <w:right w:val="none" w:sz="0" w:space="0" w:color="auto"/>
                  </w:divBdr>
                  <w:divsChild>
                    <w:div w:id="96600506">
                      <w:marLeft w:val="0"/>
                      <w:marRight w:val="0"/>
                      <w:marTop w:val="0"/>
                      <w:marBottom w:val="0"/>
                      <w:divBdr>
                        <w:top w:val="none" w:sz="0" w:space="0" w:color="auto"/>
                        <w:left w:val="none" w:sz="0" w:space="0" w:color="auto"/>
                        <w:bottom w:val="none" w:sz="0" w:space="0" w:color="auto"/>
                        <w:right w:val="none" w:sz="0" w:space="0" w:color="auto"/>
                      </w:divBdr>
                    </w:div>
                  </w:divsChild>
                </w:div>
                <w:div w:id="1284731263">
                  <w:marLeft w:val="0"/>
                  <w:marRight w:val="0"/>
                  <w:marTop w:val="0"/>
                  <w:marBottom w:val="0"/>
                  <w:divBdr>
                    <w:top w:val="none" w:sz="0" w:space="0" w:color="auto"/>
                    <w:left w:val="none" w:sz="0" w:space="0" w:color="auto"/>
                    <w:bottom w:val="none" w:sz="0" w:space="0" w:color="auto"/>
                    <w:right w:val="none" w:sz="0" w:space="0" w:color="auto"/>
                  </w:divBdr>
                  <w:divsChild>
                    <w:div w:id="1188523258">
                      <w:marLeft w:val="0"/>
                      <w:marRight w:val="0"/>
                      <w:marTop w:val="0"/>
                      <w:marBottom w:val="0"/>
                      <w:divBdr>
                        <w:top w:val="none" w:sz="0" w:space="0" w:color="auto"/>
                        <w:left w:val="none" w:sz="0" w:space="0" w:color="auto"/>
                        <w:bottom w:val="none" w:sz="0" w:space="0" w:color="auto"/>
                        <w:right w:val="none" w:sz="0" w:space="0" w:color="auto"/>
                      </w:divBdr>
                    </w:div>
                  </w:divsChild>
                </w:div>
                <w:div w:id="1324698133">
                  <w:marLeft w:val="0"/>
                  <w:marRight w:val="0"/>
                  <w:marTop w:val="0"/>
                  <w:marBottom w:val="0"/>
                  <w:divBdr>
                    <w:top w:val="none" w:sz="0" w:space="0" w:color="auto"/>
                    <w:left w:val="none" w:sz="0" w:space="0" w:color="auto"/>
                    <w:bottom w:val="none" w:sz="0" w:space="0" w:color="auto"/>
                    <w:right w:val="none" w:sz="0" w:space="0" w:color="auto"/>
                  </w:divBdr>
                  <w:divsChild>
                    <w:div w:id="490368070">
                      <w:marLeft w:val="0"/>
                      <w:marRight w:val="0"/>
                      <w:marTop w:val="0"/>
                      <w:marBottom w:val="0"/>
                      <w:divBdr>
                        <w:top w:val="none" w:sz="0" w:space="0" w:color="auto"/>
                        <w:left w:val="none" w:sz="0" w:space="0" w:color="auto"/>
                        <w:bottom w:val="none" w:sz="0" w:space="0" w:color="auto"/>
                        <w:right w:val="none" w:sz="0" w:space="0" w:color="auto"/>
                      </w:divBdr>
                    </w:div>
                  </w:divsChild>
                </w:div>
                <w:div w:id="1352949482">
                  <w:marLeft w:val="0"/>
                  <w:marRight w:val="0"/>
                  <w:marTop w:val="0"/>
                  <w:marBottom w:val="0"/>
                  <w:divBdr>
                    <w:top w:val="none" w:sz="0" w:space="0" w:color="auto"/>
                    <w:left w:val="none" w:sz="0" w:space="0" w:color="auto"/>
                    <w:bottom w:val="none" w:sz="0" w:space="0" w:color="auto"/>
                    <w:right w:val="none" w:sz="0" w:space="0" w:color="auto"/>
                  </w:divBdr>
                  <w:divsChild>
                    <w:div w:id="615480354">
                      <w:marLeft w:val="0"/>
                      <w:marRight w:val="0"/>
                      <w:marTop w:val="0"/>
                      <w:marBottom w:val="0"/>
                      <w:divBdr>
                        <w:top w:val="none" w:sz="0" w:space="0" w:color="auto"/>
                        <w:left w:val="none" w:sz="0" w:space="0" w:color="auto"/>
                        <w:bottom w:val="none" w:sz="0" w:space="0" w:color="auto"/>
                        <w:right w:val="none" w:sz="0" w:space="0" w:color="auto"/>
                      </w:divBdr>
                    </w:div>
                  </w:divsChild>
                </w:div>
                <w:div w:id="1386955686">
                  <w:marLeft w:val="0"/>
                  <w:marRight w:val="0"/>
                  <w:marTop w:val="0"/>
                  <w:marBottom w:val="0"/>
                  <w:divBdr>
                    <w:top w:val="none" w:sz="0" w:space="0" w:color="auto"/>
                    <w:left w:val="none" w:sz="0" w:space="0" w:color="auto"/>
                    <w:bottom w:val="none" w:sz="0" w:space="0" w:color="auto"/>
                    <w:right w:val="none" w:sz="0" w:space="0" w:color="auto"/>
                  </w:divBdr>
                  <w:divsChild>
                    <w:div w:id="1974866053">
                      <w:marLeft w:val="0"/>
                      <w:marRight w:val="0"/>
                      <w:marTop w:val="0"/>
                      <w:marBottom w:val="0"/>
                      <w:divBdr>
                        <w:top w:val="none" w:sz="0" w:space="0" w:color="auto"/>
                        <w:left w:val="none" w:sz="0" w:space="0" w:color="auto"/>
                        <w:bottom w:val="none" w:sz="0" w:space="0" w:color="auto"/>
                        <w:right w:val="none" w:sz="0" w:space="0" w:color="auto"/>
                      </w:divBdr>
                    </w:div>
                  </w:divsChild>
                </w:div>
                <w:div w:id="1441140069">
                  <w:marLeft w:val="0"/>
                  <w:marRight w:val="0"/>
                  <w:marTop w:val="0"/>
                  <w:marBottom w:val="0"/>
                  <w:divBdr>
                    <w:top w:val="none" w:sz="0" w:space="0" w:color="auto"/>
                    <w:left w:val="none" w:sz="0" w:space="0" w:color="auto"/>
                    <w:bottom w:val="none" w:sz="0" w:space="0" w:color="auto"/>
                    <w:right w:val="none" w:sz="0" w:space="0" w:color="auto"/>
                  </w:divBdr>
                  <w:divsChild>
                    <w:div w:id="380788268">
                      <w:marLeft w:val="0"/>
                      <w:marRight w:val="0"/>
                      <w:marTop w:val="0"/>
                      <w:marBottom w:val="0"/>
                      <w:divBdr>
                        <w:top w:val="none" w:sz="0" w:space="0" w:color="auto"/>
                        <w:left w:val="none" w:sz="0" w:space="0" w:color="auto"/>
                        <w:bottom w:val="none" w:sz="0" w:space="0" w:color="auto"/>
                        <w:right w:val="none" w:sz="0" w:space="0" w:color="auto"/>
                      </w:divBdr>
                    </w:div>
                  </w:divsChild>
                </w:div>
                <w:div w:id="1477407298">
                  <w:marLeft w:val="0"/>
                  <w:marRight w:val="0"/>
                  <w:marTop w:val="0"/>
                  <w:marBottom w:val="0"/>
                  <w:divBdr>
                    <w:top w:val="none" w:sz="0" w:space="0" w:color="auto"/>
                    <w:left w:val="none" w:sz="0" w:space="0" w:color="auto"/>
                    <w:bottom w:val="none" w:sz="0" w:space="0" w:color="auto"/>
                    <w:right w:val="none" w:sz="0" w:space="0" w:color="auto"/>
                  </w:divBdr>
                  <w:divsChild>
                    <w:div w:id="1603565762">
                      <w:marLeft w:val="0"/>
                      <w:marRight w:val="0"/>
                      <w:marTop w:val="0"/>
                      <w:marBottom w:val="0"/>
                      <w:divBdr>
                        <w:top w:val="none" w:sz="0" w:space="0" w:color="auto"/>
                        <w:left w:val="none" w:sz="0" w:space="0" w:color="auto"/>
                        <w:bottom w:val="none" w:sz="0" w:space="0" w:color="auto"/>
                        <w:right w:val="none" w:sz="0" w:space="0" w:color="auto"/>
                      </w:divBdr>
                    </w:div>
                  </w:divsChild>
                </w:div>
                <w:div w:id="1549105954">
                  <w:marLeft w:val="0"/>
                  <w:marRight w:val="0"/>
                  <w:marTop w:val="0"/>
                  <w:marBottom w:val="0"/>
                  <w:divBdr>
                    <w:top w:val="none" w:sz="0" w:space="0" w:color="auto"/>
                    <w:left w:val="none" w:sz="0" w:space="0" w:color="auto"/>
                    <w:bottom w:val="none" w:sz="0" w:space="0" w:color="auto"/>
                    <w:right w:val="none" w:sz="0" w:space="0" w:color="auto"/>
                  </w:divBdr>
                  <w:divsChild>
                    <w:div w:id="838735035">
                      <w:marLeft w:val="0"/>
                      <w:marRight w:val="0"/>
                      <w:marTop w:val="0"/>
                      <w:marBottom w:val="0"/>
                      <w:divBdr>
                        <w:top w:val="none" w:sz="0" w:space="0" w:color="auto"/>
                        <w:left w:val="none" w:sz="0" w:space="0" w:color="auto"/>
                        <w:bottom w:val="none" w:sz="0" w:space="0" w:color="auto"/>
                        <w:right w:val="none" w:sz="0" w:space="0" w:color="auto"/>
                      </w:divBdr>
                    </w:div>
                  </w:divsChild>
                </w:div>
                <w:div w:id="1584534505">
                  <w:marLeft w:val="0"/>
                  <w:marRight w:val="0"/>
                  <w:marTop w:val="0"/>
                  <w:marBottom w:val="0"/>
                  <w:divBdr>
                    <w:top w:val="none" w:sz="0" w:space="0" w:color="auto"/>
                    <w:left w:val="none" w:sz="0" w:space="0" w:color="auto"/>
                    <w:bottom w:val="none" w:sz="0" w:space="0" w:color="auto"/>
                    <w:right w:val="none" w:sz="0" w:space="0" w:color="auto"/>
                  </w:divBdr>
                  <w:divsChild>
                    <w:div w:id="1040933530">
                      <w:marLeft w:val="0"/>
                      <w:marRight w:val="0"/>
                      <w:marTop w:val="0"/>
                      <w:marBottom w:val="0"/>
                      <w:divBdr>
                        <w:top w:val="none" w:sz="0" w:space="0" w:color="auto"/>
                        <w:left w:val="none" w:sz="0" w:space="0" w:color="auto"/>
                        <w:bottom w:val="none" w:sz="0" w:space="0" w:color="auto"/>
                        <w:right w:val="none" w:sz="0" w:space="0" w:color="auto"/>
                      </w:divBdr>
                    </w:div>
                  </w:divsChild>
                </w:div>
                <w:div w:id="1620409983">
                  <w:marLeft w:val="0"/>
                  <w:marRight w:val="0"/>
                  <w:marTop w:val="0"/>
                  <w:marBottom w:val="0"/>
                  <w:divBdr>
                    <w:top w:val="none" w:sz="0" w:space="0" w:color="auto"/>
                    <w:left w:val="none" w:sz="0" w:space="0" w:color="auto"/>
                    <w:bottom w:val="none" w:sz="0" w:space="0" w:color="auto"/>
                    <w:right w:val="none" w:sz="0" w:space="0" w:color="auto"/>
                  </w:divBdr>
                  <w:divsChild>
                    <w:div w:id="1436710582">
                      <w:marLeft w:val="0"/>
                      <w:marRight w:val="0"/>
                      <w:marTop w:val="0"/>
                      <w:marBottom w:val="0"/>
                      <w:divBdr>
                        <w:top w:val="none" w:sz="0" w:space="0" w:color="auto"/>
                        <w:left w:val="none" w:sz="0" w:space="0" w:color="auto"/>
                        <w:bottom w:val="none" w:sz="0" w:space="0" w:color="auto"/>
                        <w:right w:val="none" w:sz="0" w:space="0" w:color="auto"/>
                      </w:divBdr>
                    </w:div>
                  </w:divsChild>
                </w:div>
                <w:div w:id="1627076831">
                  <w:marLeft w:val="0"/>
                  <w:marRight w:val="0"/>
                  <w:marTop w:val="0"/>
                  <w:marBottom w:val="0"/>
                  <w:divBdr>
                    <w:top w:val="none" w:sz="0" w:space="0" w:color="auto"/>
                    <w:left w:val="none" w:sz="0" w:space="0" w:color="auto"/>
                    <w:bottom w:val="none" w:sz="0" w:space="0" w:color="auto"/>
                    <w:right w:val="none" w:sz="0" w:space="0" w:color="auto"/>
                  </w:divBdr>
                  <w:divsChild>
                    <w:div w:id="137496005">
                      <w:marLeft w:val="0"/>
                      <w:marRight w:val="0"/>
                      <w:marTop w:val="0"/>
                      <w:marBottom w:val="0"/>
                      <w:divBdr>
                        <w:top w:val="none" w:sz="0" w:space="0" w:color="auto"/>
                        <w:left w:val="none" w:sz="0" w:space="0" w:color="auto"/>
                        <w:bottom w:val="none" w:sz="0" w:space="0" w:color="auto"/>
                        <w:right w:val="none" w:sz="0" w:space="0" w:color="auto"/>
                      </w:divBdr>
                    </w:div>
                  </w:divsChild>
                </w:div>
                <w:div w:id="1704138570">
                  <w:marLeft w:val="0"/>
                  <w:marRight w:val="0"/>
                  <w:marTop w:val="0"/>
                  <w:marBottom w:val="0"/>
                  <w:divBdr>
                    <w:top w:val="none" w:sz="0" w:space="0" w:color="auto"/>
                    <w:left w:val="none" w:sz="0" w:space="0" w:color="auto"/>
                    <w:bottom w:val="none" w:sz="0" w:space="0" w:color="auto"/>
                    <w:right w:val="none" w:sz="0" w:space="0" w:color="auto"/>
                  </w:divBdr>
                  <w:divsChild>
                    <w:div w:id="2031947936">
                      <w:marLeft w:val="0"/>
                      <w:marRight w:val="0"/>
                      <w:marTop w:val="0"/>
                      <w:marBottom w:val="0"/>
                      <w:divBdr>
                        <w:top w:val="none" w:sz="0" w:space="0" w:color="auto"/>
                        <w:left w:val="none" w:sz="0" w:space="0" w:color="auto"/>
                        <w:bottom w:val="none" w:sz="0" w:space="0" w:color="auto"/>
                        <w:right w:val="none" w:sz="0" w:space="0" w:color="auto"/>
                      </w:divBdr>
                    </w:div>
                  </w:divsChild>
                </w:div>
                <w:div w:id="1833982766">
                  <w:marLeft w:val="0"/>
                  <w:marRight w:val="0"/>
                  <w:marTop w:val="0"/>
                  <w:marBottom w:val="0"/>
                  <w:divBdr>
                    <w:top w:val="none" w:sz="0" w:space="0" w:color="auto"/>
                    <w:left w:val="none" w:sz="0" w:space="0" w:color="auto"/>
                    <w:bottom w:val="none" w:sz="0" w:space="0" w:color="auto"/>
                    <w:right w:val="none" w:sz="0" w:space="0" w:color="auto"/>
                  </w:divBdr>
                  <w:divsChild>
                    <w:div w:id="736905701">
                      <w:marLeft w:val="0"/>
                      <w:marRight w:val="0"/>
                      <w:marTop w:val="0"/>
                      <w:marBottom w:val="0"/>
                      <w:divBdr>
                        <w:top w:val="none" w:sz="0" w:space="0" w:color="auto"/>
                        <w:left w:val="none" w:sz="0" w:space="0" w:color="auto"/>
                        <w:bottom w:val="none" w:sz="0" w:space="0" w:color="auto"/>
                        <w:right w:val="none" w:sz="0" w:space="0" w:color="auto"/>
                      </w:divBdr>
                    </w:div>
                  </w:divsChild>
                </w:div>
                <w:div w:id="1880193531">
                  <w:marLeft w:val="0"/>
                  <w:marRight w:val="0"/>
                  <w:marTop w:val="0"/>
                  <w:marBottom w:val="0"/>
                  <w:divBdr>
                    <w:top w:val="none" w:sz="0" w:space="0" w:color="auto"/>
                    <w:left w:val="none" w:sz="0" w:space="0" w:color="auto"/>
                    <w:bottom w:val="none" w:sz="0" w:space="0" w:color="auto"/>
                    <w:right w:val="none" w:sz="0" w:space="0" w:color="auto"/>
                  </w:divBdr>
                  <w:divsChild>
                    <w:div w:id="1785267160">
                      <w:marLeft w:val="0"/>
                      <w:marRight w:val="0"/>
                      <w:marTop w:val="0"/>
                      <w:marBottom w:val="0"/>
                      <w:divBdr>
                        <w:top w:val="none" w:sz="0" w:space="0" w:color="auto"/>
                        <w:left w:val="none" w:sz="0" w:space="0" w:color="auto"/>
                        <w:bottom w:val="none" w:sz="0" w:space="0" w:color="auto"/>
                        <w:right w:val="none" w:sz="0" w:space="0" w:color="auto"/>
                      </w:divBdr>
                    </w:div>
                  </w:divsChild>
                </w:div>
                <w:div w:id="1937051743">
                  <w:marLeft w:val="0"/>
                  <w:marRight w:val="0"/>
                  <w:marTop w:val="0"/>
                  <w:marBottom w:val="0"/>
                  <w:divBdr>
                    <w:top w:val="none" w:sz="0" w:space="0" w:color="auto"/>
                    <w:left w:val="none" w:sz="0" w:space="0" w:color="auto"/>
                    <w:bottom w:val="none" w:sz="0" w:space="0" w:color="auto"/>
                    <w:right w:val="none" w:sz="0" w:space="0" w:color="auto"/>
                  </w:divBdr>
                  <w:divsChild>
                    <w:div w:id="1087770758">
                      <w:marLeft w:val="0"/>
                      <w:marRight w:val="0"/>
                      <w:marTop w:val="0"/>
                      <w:marBottom w:val="0"/>
                      <w:divBdr>
                        <w:top w:val="none" w:sz="0" w:space="0" w:color="auto"/>
                        <w:left w:val="none" w:sz="0" w:space="0" w:color="auto"/>
                        <w:bottom w:val="none" w:sz="0" w:space="0" w:color="auto"/>
                        <w:right w:val="none" w:sz="0" w:space="0" w:color="auto"/>
                      </w:divBdr>
                    </w:div>
                  </w:divsChild>
                </w:div>
                <w:div w:id="1948463511">
                  <w:marLeft w:val="0"/>
                  <w:marRight w:val="0"/>
                  <w:marTop w:val="0"/>
                  <w:marBottom w:val="0"/>
                  <w:divBdr>
                    <w:top w:val="none" w:sz="0" w:space="0" w:color="auto"/>
                    <w:left w:val="none" w:sz="0" w:space="0" w:color="auto"/>
                    <w:bottom w:val="none" w:sz="0" w:space="0" w:color="auto"/>
                    <w:right w:val="none" w:sz="0" w:space="0" w:color="auto"/>
                  </w:divBdr>
                  <w:divsChild>
                    <w:div w:id="569584229">
                      <w:marLeft w:val="0"/>
                      <w:marRight w:val="0"/>
                      <w:marTop w:val="0"/>
                      <w:marBottom w:val="0"/>
                      <w:divBdr>
                        <w:top w:val="none" w:sz="0" w:space="0" w:color="auto"/>
                        <w:left w:val="none" w:sz="0" w:space="0" w:color="auto"/>
                        <w:bottom w:val="none" w:sz="0" w:space="0" w:color="auto"/>
                        <w:right w:val="none" w:sz="0" w:space="0" w:color="auto"/>
                      </w:divBdr>
                    </w:div>
                  </w:divsChild>
                </w:div>
                <w:div w:id="2111582364">
                  <w:marLeft w:val="0"/>
                  <w:marRight w:val="0"/>
                  <w:marTop w:val="0"/>
                  <w:marBottom w:val="0"/>
                  <w:divBdr>
                    <w:top w:val="none" w:sz="0" w:space="0" w:color="auto"/>
                    <w:left w:val="none" w:sz="0" w:space="0" w:color="auto"/>
                    <w:bottom w:val="none" w:sz="0" w:space="0" w:color="auto"/>
                    <w:right w:val="none" w:sz="0" w:space="0" w:color="auto"/>
                  </w:divBdr>
                  <w:divsChild>
                    <w:div w:id="18908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2401">
          <w:marLeft w:val="0"/>
          <w:marRight w:val="0"/>
          <w:marTop w:val="0"/>
          <w:marBottom w:val="0"/>
          <w:divBdr>
            <w:top w:val="none" w:sz="0" w:space="0" w:color="auto"/>
            <w:left w:val="none" w:sz="0" w:space="0" w:color="auto"/>
            <w:bottom w:val="none" w:sz="0" w:space="0" w:color="auto"/>
            <w:right w:val="none" w:sz="0" w:space="0" w:color="auto"/>
          </w:divBdr>
          <w:divsChild>
            <w:div w:id="149752556">
              <w:marLeft w:val="0"/>
              <w:marRight w:val="0"/>
              <w:marTop w:val="0"/>
              <w:marBottom w:val="0"/>
              <w:divBdr>
                <w:top w:val="none" w:sz="0" w:space="0" w:color="auto"/>
                <w:left w:val="none" w:sz="0" w:space="0" w:color="auto"/>
                <w:bottom w:val="none" w:sz="0" w:space="0" w:color="auto"/>
                <w:right w:val="none" w:sz="0" w:space="0" w:color="auto"/>
              </w:divBdr>
            </w:div>
            <w:div w:id="350451981">
              <w:marLeft w:val="0"/>
              <w:marRight w:val="0"/>
              <w:marTop w:val="0"/>
              <w:marBottom w:val="0"/>
              <w:divBdr>
                <w:top w:val="none" w:sz="0" w:space="0" w:color="auto"/>
                <w:left w:val="none" w:sz="0" w:space="0" w:color="auto"/>
                <w:bottom w:val="none" w:sz="0" w:space="0" w:color="auto"/>
                <w:right w:val="none" w:sz="0" w:space="0" w:color="auto"/>
              </w:divBdr>
            </w:div>
            <w:div w:id="460807480">
              <w:marLeft w:val="0"/>
              <w:marRight w:val="0"/>
              <w:marTop w:val="0"/>
              <w:marBottom w:val="0"/>
              <w:divBdr>
                <w:top w:val="none" w:sz="0" w:space="0" w:color="auto"/>
                <w:left w:val="none" w:sz="0" w:space="0" w:color="auto"/>
                <w:bottom w:val="none" w:sz="0" w:space="0" w:color="auto"/>
                <w:right w:val="none" w:sz="0" w:space="0" w:color="auto"/>
              </w:divBdr>
            </w:div>
            <w:div w:id="690567398">
              <w:marLeft w:val="0"/>
              <w:marRight w:val="0"/>
              <w:marTop w:val="0"/>
              <w:marBottom w:val="0"/>
              <w:divBdr>
                <w:top w:val="none" w:sz="0" w:space="0" w:color="auto"/>
                <w:left w:val="none" w:sz="0" w:space="0" w:color="auto"/>
                <w:bottom w:val="none" w:sz="0" w:space="0" w:color="auto"/>
                <w:right w:val="none" w:sz="0" w:space="0" w:color="auto"/>
              </w:divBdr>
            </w:div>
            <w:div w:id="914585461">
              <w:marLeft w:val="0"/>
              <w:marRight w:val="0"/>
              <w:marTop w:val="0"/>
              <w:marBottom w:val="0"/>
              <w:divBdr>
                <w:top w:val="none" w:sz="0" w:space="0" w:color="auto"/>
                <w:left w:val="none" w:sz="0" w:space="0" w:color="auto"/>
                <w:bottom w:val="none" w:sz="0" w:space="0" w:color="auto"/>
                <w:right w:val="none" w:sz="0" w:space="0" w:color="auto"/>
              </w:divBdr>
            </w:div>
            <w:div w:id="1016032157">
              <w:marLeft w:val="0"/>
              <w:marRight w:val="0"/>
              <w:marTop w:val="0"/>
              <w:marBottom w:val="0"/>
              <w:divBdr>
                <w:top w:val="none" w:sz="0" w:space="0" w:color="auto"/>
                <w:left w:val="none" w:sz="0" w:space="0" w:color="auto"/>
                <w:bottom w:val="none" w:sz="0" w:space="0" w:color="auto"/>
                <w:right w:val="none" w:sz="0" w:space="0" w:color="auto"/>
              </w:divBdr>
            </w:div>
            <w:div w:id="1281915483">
              <w:marLeft w:val="0"/>
              <w:marRight w:val="0"/>
              <w:marTop w:val="0"/>
              <w:marBottom w:val="0"/>
              <w:divBdr>
                <w:top w:val="none" w:sz="0" w:space="0" w:color="auto"/>
                <w:left w:val="none" w:sz="0" w:space="0" w:color="auto"/>
                <w:bottom w:val="none" w:sz="0" w:space="0" w:color="auto"/>
                <w:right w:val="none" w:sz="0" w:space="0" w:color="auto"/>
              </w:divBdr>
            </w:div>
            <w:div w:id="1400056047">
              <w:marLeft w:val="0"/>
              <w:marRight w:val="0"/>
              <w:marTop w:val="0"/>
              <w:marBottom w:val="0"/>
              <w:divBdr>
                <w:top w:val="none" w:sz="0" w:space="0" w:color="auto"/>
                <w:left w:val="none" w:sz="0" w:space="0" w:color="auto"/>
                <w:bottom w:val="none" w:sz="0" w:space="0" w:color="auto"/>
                <w:right w:val="none" w:sz="0" w:space="0" w:color="auto"/>
              </w:divBdr>
            </w:div>
            <w:div w:id="1437629641">
              <w:marLeft w:val="0"/>
              <w:marRight w:val="0"/>
              <w:marTop w:val="0"/>
              <w:marBottom w:val="0"/>
              <w:divBdr>
                <w:top w:val="none" w:sz="0" w:space="0" w:color="auto"/>
                <w:left w:val="none" w:sz="0" w:space="0" w:color="auto"/>
                <w:bottom w:val="none" w:sz="0" w:space="0" w:color="auto"/>
                <w:right w:val="none" w:sz="0" w:space="0" w:color="auto"/>
              </w:divBdr>
            </w:div>
            <w:div w:id="1474256217">
              <w:marLeft w:val="0"/>
              <w:marRight w:val="0"/>
              <w:marTop w:val="0"/>
              <w:marBottom w:val="0"/>
              <w:divBdr>
                <w:top w:val="none" w:sz="0" w:space="0" w:color="auto"/>
                <w:left w:val="none" w:sz="0" w:space="0" w:color="auto"/>
                <w:bottom w:val="none" w:sz="0" w:space="0" w:color="auto"/>
                <w:right w:val="none" w:sz="0" w:space="0" w:color="auto"/>
              </w:divBdr>
            </w:div>
            <w:div w:id="1891990658">
              <w:marLeft w:val="0"/>
              <w:marRight w:val="0"/>
              <w:marTop w:val="0"/>
              <w:marBottom w:val="0"/>
              <w:divBdr>
                <w:top w:val="none" w:sz="0" w:space="0" w:color="auto"/>
                <w:left w:val="none" w:sz="0" w:space="0" w:color="auto"/>
                <w:bottom w:val="none" w:sz="0" w:space="0" w:color="auto"/>
                <w:right w:val="none" w:sz="0" w:space="0" w:color="auto"/>
              </w:divBdr>
            </w:div>
            <w:div w:id="1929608493">
              <w:marLeft w:val="0"/>
              <w:marRight w:val="0"/>
              <w:marTop w:val="0"/>
              <w:marBottom w:val="0"/>
              <w:divBdr>
                <w:top w:val="none" w:sz="0" w:space="0" w:color="auto"/>
                <w:left w:val="none" w:sz="0" w:space="0" w:color="auto"/>
                <w:bottom w:val="none" w:sz="0" w:space="0" w:color="auto"/>
                <w:right w:val="none" w:sz="0" w:space="0" w:color="auto"/>
              </w:divBdr>
            </w:div>
            <w:div w:id="2006324819">
              <w:marLeft w:val="0"/>
              <w:marRight w:val="0"/>
              <w:marTop w:val="0"/>
              <w:marBottom w:val="0"/>
              <w:divBdr>
                <w:top w:val="none" w:sz="0" w:space="0" w:color="auto"/>
                <w:left w:val="none" w:sz="0" w:space="0" w:color="auto"/>
                <w:bottom w:val="none" w:sz="0" w:space="0" w:color="auto"/>
                <w:right w:val="none" w:sz="0" w:space="0" w:color="auto"/>
              </w:divBdr>
            </w:div>
          </w:divsChild>
        </w:div>
        <w:div w:id="142359623">
          <w:marLeft w:val="0"/>
          <w:marRight w:val="0"/>
          <w:marTop w:val="0"/>
          <w:marBottom w:val="0"/>
          <w:divBdr>
            <w:top w:val="none" w:sz="0" w:space="0" w:color="auto"/>
            <w:left w:val="none" w:sz="0" w:space="0" w:color="auto"/>
            <w:bottom w:val="none" w:sz="0" w:space="0" w:color="auto"/>
            <w:right w:val="none" w:sz="0" w:space="0" w:color="auto"/>
          </w:divBdr>
        </w:div>
        <w:div w:id="157968917">
          <w:marLeft w:val="0"/>
          <w:marRight w:val="0"/>
          <w:marTop w:val="0"/>
          <w:marBottom w:val="0"/>
          <w:divBdr>
            <w:top w:val="none" w:sz="0" w:space="0" w:color="auto"/>
            <w:left w:val="none" w:sz="0" w:space="0" w:color="auto"/>
            <w:bottom w:val="none" w:sz="0" w:space="0" w:color="auto"/>
            <w:right w:val="none" w:sz="0" w:space="0" w:color="auto"/>
          </w:divBdr>
        </w:div>
        <w:div w:id="199056558">
          <w:marLeft w:val="0"/>
          <w:marRight w:val="0"/>
          <w:marTop w:val="0"/>
          <w:marBottom w:val="0"/>
          <w:divBdr>
            <w:top w:val="none" w:sz="0" w:space="0" w:color="auto"/>
            <w:left w:val="none" w:sz="0" w:space="0" w:color="auto"/>
            <w:bottom w:val="none" w:sz="0" w:space="0" w:color="auto"/>
            <w:right w:val="none" w:sz="0" w:space="0" w:color="auto"/>
          </w:divBdr>
          <w:divsChild>
            <w:div w:id="938485633">
              <w:marLeft w:val="0"/>
              <w:marRight w:val="0"/>
              <w:marTop w:val="30"/>
              <w:marBottom w:val="30"/>
              <w:divBdr>
                <w:top w:val="none" w:sz="0" w:space="0" w:color="auto"/>
                <w:left w:val="none" w:sz="0" w:space="0" w:color="auto"/>
                <w:bottom w:val="none" w:sz="0" w:space="0" w:color="auto"/>
                <w:right w:val="none" w:sz="0" w:space="0" w:color="auto"/>
              </w:divBdr>
              <w:divsChild>
                <w:div w:id="624312807">
                  <w:marLeft w:val="0"/>
                  <w:marRight w:val="0"/>
                  <w:marTop w:val="0"/>
                  <w:marBottom w:val="0"/>
                  <w:divBdr>
                    <w:top w:val="none" w:sz="0" w:space="0" w:color="auto"/>
                    <w:left w:val="none" w:sz="0" w:space="0" w:color="auto"/>
                    <w:bottom w:val="none" w:sz="0" w:space="0" w:color="auto"/>
                    <w:right w:val="none" w:sz="0" w:space="0" w:color="auto"/>
                  </w:divBdr>
                  <w:divsChild>
                    <w:div w:id="41947105">
                      <w:marLeft w:val="0"/>
                      <w:marRight w:val="0"/>
                      <w:marTop w:val="0"/>
                      <w:marBottom w:val="0"/>
                      <w:divBdr>
                        <w:top w:val="none" w:sz="0" w:space="0" w:color="auto"/>
                        <w:left w:val="none" w:sz="0" w:space="0" w:color="auto"/>
                        <w:bottom w:val="none" w:sz="0" w:space="0" w:color="auto"/>
                        <w:right w:val="none" w:sz="0" w:space="0" w:color="auto"/>
                      </w:divBdr>
                    </w:div>
                    <w:div w:id="785805901">
                      <w:marLeft w:val="0"/>
                      <w:marRight w:val="0"/>
                      <w:marTop w:val="0"/>
                      <w:marBottom w:val="0"/>
                      <w:divBdr>
                        <w:top w:val="none" w:sz="0" w:space="0" w:color="auto"/>
                        <w:left w:val="none" w:sz="0" w:space="0" w:color="auto"/>
                        <w:bottom w:val="none" w:sz="0" w:space="0" w:color="auto"/>
                        <w:right w:val="none" w:sz="0" w:space="0" w:color="auto"/>
                      </w:divBdr>
                    </w:div>
                    <w:div w:id="811020214">
                      <w:marLeft w:val="0"/>
                      <w:marRight w:val="0"/>
                      <w:marTop w:val="0"/>
                      <w:marBottom w:val="0"/>
                      <w:divBdr>
                        <w:top w:val="none" w:sz="0" w:space="0" w:color="auto"/>
                        <w:left w:val="none" w:sz="0" w:space="0" w:color="auto"/>
                        <w:bottom w:val="none" w:sz="0" w:space="0" w:color="auto"/>
                        <w:right w:val="none" w:sz="0" w:space="0" w:color="auto"/>
                      </w:divBdr>
                    </w:div>
                    <w:div w:id="1373967336">
                      <w:marLeft w:val="0"/>
                      <w:marRight w:val="0"/>
                      <w:marTop w:val="0"/>
                      <w:marBottom w:val="0"/>
                      <w:divBdr>
                        <w:top w:val="none" w:sz="0" w:space="0" w:color="auto"/>
                        <w:left w:val="none" w:sz="0" w:space="0" w:color="auto"/>
                        <w:bottom w:val="none" w:sz="0" w:space="0" w:color="auto"/>
                        <w:right w:val="none" w:sz="0" w:space="0" w:color="auto"/>
                      </w:divBdr>
                    </w:div>
                    <w:div w:id="1922907329">
                      <w:marLeft w:val="0"/>
                      <w:marRight w:val="0"/>
                      <w:marTop w:val="0"/>
                      <w:marBottom w:val="0"/>
                      <w:divBdr>
                        <w:top w:val="none" w:sz="0" w:space="0" w:color="auto"/>
                        <w:left w:val="none" w:sz="0" w:space="0" w:color="auto"/>
                        <w:bottom w:val="none" w:sz="0" w:space="0" w:color="auto"/>
                        <w:right w:val="none" w:sz="0" w:space="0" w:color="auto"/>
                      </w:divBdr>
                    </w:div>
                  </w:divsChild>
                </w:div>
                <w:div w:id="1090155882">
                  <w:marLeft w:val="0"/>
                  <w:marRight w:val="0"/>
                  <w:marTop w:val="0"/>
                  <w:marBottom w:val="0"/>
                  <w:divBdr>
                    <w:top w:val="none" w:sz="0" w:space="0" w:color="auto"/>
                    <w:left w:val="none" w:sz="0" w:space="0" w:color="auto"/>
                    <w:bottom w:val="none" w:sz="0" w:space="0" w:color="auto"/>
                    <w:right w:val="none" w:sz="0" w:space="0" w:color="auto"/>
                  </w:divBdr>
                  <w:divsChild>
                    <w:div w:id="1703365228">
                      <w:marLeft w:val="0"/>
                      <w:marRight w:val="0"/>
                      <w:marTop w:val="0"/>
                      <w:marBottom w:val="0"/>
                      <w:divBdr>
                        <w:top w:val="none" w:sz="0" w:space="0" w:color="auto"/>
                        <w:left w:val="none" w:sz="0" w:space="0" w:color="auto"/>
                        <w:bottom w:val="none" w:sz="0" w:space="0" w:color="auto"/>
                        <w:right w:val="none" w:sz="0" w:space="0" w:color="auto"/>
                      </w:divBdr>
                    </w:div>
                  </w:divsChild>
                </w:div>
                <w:div w:id="1157302729">
                  <w:marLeft w:val="0"/>
                  <w:marRight w:val="0"/>
                  <w:marTop w:val="0"/>
                  <w:marBottom w:val="0"/>
                  <w:divBdr>
                    <w:top w:val="none" w:sz="0" w:space="0" w:color="auto"/>
                    <w:left w:val="none" w:sz="0" w:space="0" w:color="auto"/>
                    <w:bottom w:val="none" w:sz="0" w:space="0" w:color="auto"/>
                    <w:right w:val="none" w:sz="0" w:space="0" w:color="auto"/>
                  </w:divBdr>
                  <w:divsChild>
                    <w:div w:id="70127175">
                      <w:marLeft w:val="0"/>
                      <w:marRight w:val="0"/>
                      <w:marTop w:val="0"/>
                      <w:marBottom w:val="0"/>
                      <w:divBdr>
                        <w:top w:val="none" w:sz="0" w:space="0" w:color="auto"/>
                        <w:left w:val="none" w:sz="0" w:space="0" w:color="auto"/>
                        <w:bottom w:val="none" w:sz="0" w:space="0" w:color="auto"/>
                        <w:right w:val="none" w:sz="0" w:space="0" w:color="auto"/>
                      </w:divBdr>
                    </w:div>
                  </w:divsChild>
                </w:div>
                <w:div w:id="1632592689">
                  <w:marLeft w:val="0"/>
                  <w:marRight w:val="0"/>
                  <w:marTop w:val="0"/>
                  <w:marBottom w:val="0"/>
                  <w:divBdr>
                    <w:top w:val="none" w:sz="0" w:space="0" w:color="auto"/>
                    <w:left w:val="none" w:sz="0" w:space="0" w:color="auto"/>
                    <w:bottom w:val="none" w:sz="0" w:space="0" w:color="auto"/>
                    <w:right w:val="none" w:sz="0" w:space="0" w:color="auto"/>
                  </w:divBdr>
                  <w:divsChild>
                    <w:div w:id="324289189">
                      <w:marLeft w:val="0"/>
                      <w:marRight w:val="0"/>
                      <w:marTop w:val="0"/>
                      <w:marBottom w:val="0"/>
                      <w:divBdr>
                        <w:top w:val="none" w:sz="0" w:space="0" w:color="auto"/>
                        <w:left w:val="none" w:sz="0" w:space="0" w:color="auto"/>
                        <w:bottom w:val="none" w:sz="0" w:space="0" w:color="auto"/>
                        <w:right w:val="none" w:sz="0" w:space="0" w:color="auto"/>
                      </w:divBdr>
                    </w:div>
                  </w:divsChild>
                </w:div>
                <w:div w:id="1775586805">
                  <w:marLeft w:val="0"/>
                  <w:marRight w:val="0"/>
                  <w:marTop w:val="0"/>
                  <w:marBottom w:val="0"/>
                  <w:divBdr>
                    <w:top w:val="none" w:sz="0" w:space="0" w:color="auto"/>
                    <w:left w:val="none" w:sz="0" w:space="0" w:color="auto"/>
                    <w:bottom w:val="none" w:sz="0" w:space="0" w:color="auto"/>
                    <w:right w:val="none" w:sz="0" w:space="0" w:color="auto"/>
                  </w:divBdr>
                  <w:divsChild>
                    <w:div w:id="340472290">
                      <w:marLeft w:val="0"/>
                      <w:marRight w:val="0"/>
                      <w:marTop w:val="0"/>
                      <w:marBottom w:val="0"/>
                      <w:divBdr>
                        <w:top w:val="none" w:sz="0" w:space="0" w:color="auto"/>
                        <w:left w:val="none" w:sz="0" w:space="0" w:color="auto"/>
                        <w:bottom w:val="none" w:sz="0" w:space="0" w:color="auto"/>
                        <w:right w:val="none" w:sz="0" w:space="0" w:color="auto"/>
                      </w:divBdr>
                    </w:div>
                    <w:div w:id="399793890">
                      <w:marLeft w:val="0"/>
                      <w:marRight w:val="0"/>
                      <w:marTop w:val="0"/>
                      <w:marBottom w:val="0"/>
                      <w:divBdr>
                        <w:top w:val="none" w:sz="0" w:space="0" w:color="auto"/>
                        <w:left w:val="none" w:sz="0" w:space="0" w:color="auto"/>
                        <w:bottom w:val="none" w:sz="0" w:space="0" w:color="auto"/>
                        <w:right w:val="none" w:sz="0" w:space="0" w:color="auto"/>
                      </w:divBdr>
                    </w:div>
                    <w:div w:id="686758678">
                      <w:marLeft w:val="0"/>
                      <w:marRight w:val="0"/>
                      <w:marTop w:val="0"/>
                      <w:marBottom w:val="0"/>
                      <w:divBdr>
                        <w:top w:val="none" w:sz="0" w:space="0" w:color="auto"/>
                        <w:left w:val="none" w:sz="0" w:space="0" w:color="auto"/>
                        <w:bottom w:val="none" w:sz="0" w:space="0" w:color="auto"/>
                        <w:right w:val="none" w:sz="0" w:space="0" w:color="auto"/>
                      </w:divBdr>
                    </w:div>
                    <w:div w:id="1018773556">
                      <w:marLeft w:val="0"/>
                      <w:marRight w:val="0"/>
                      <w:marTop w:val="0"/>
                      <w:marBottom w:val="0"/>
                      <w:divBdr>
                        <w:top w:val="none" w:sz="0" w:space="0" w:color="auto"/>
                        <w:left w:val="none" w:sz="0" w:space="0" w:color="auto"/>
                        <w:bottom w:val="none" w:sz="0" w:space="0" w:color="auto"/>
                        <w:right w:val="none" w:sz="0" w:space="0" w:color="auto"/>
                      </w:divBdr>
                    </w:div>
                    <w:div w:id="1239634148">
                      <w:marLeft w:val="0"/>
                      <w:marRight w:val="0"/>
                      <w:marTop w:val="0"/>
                      <w:marBottom w:val="0"/>
                      <w:divBdr>
                        <w:top w:val="none" w:sz="0" w:space="0" w:color="auto"/>
                        <w:left w:val="none" w:sz="0" w:space="0" w:color="auto"/>
                        <w:bottom w:val="none" w:sz="0" w:space="0" w:color="auto"/>
                        <w:right w:val="none" w:sz="0" w:space="0" w:color="auto"/>
                      </w:divBdr>
                    </w:div>
                    <w:div w:id="1353413263">
                      <w:marLeft w:val="0"/>
                      <w:marRight w:val="0"/>
                      <w:marTop w:val="0"/>
                      <w:marBottom w:val="0"/>
                      <w:divBdr>
                        <w:top w:val="none" w:sz="0" w:space="0" w:color="auto"/>
                        <w:left w:val="none" w:sz="0" w:space="0" w:color="auto"/>
                        <w:bottom w:val="none" w:sz="0" w:space="0" w:color="auto"/>
                        <w:right w:val="none" w:sz="0" w:space="0" w:color="auto"/>
                      </w:divBdr>
                    </w:div>
                    <w:div w:id="1506285614">
                      <w:marLeft w:val="0"/>
                      <w:marRight w:val="0"/>
                      <w:marTop w:val="0"/>
                      <w:marBottom w:val="0"/>
                      <w:divBdr>
                        <w:top w:val="none" w:sz="0" w:space="0" w:color="auto"/>
                        <w:left w:val="none" w:sz="0" w:space="0" w:color="auto"/>
                        <w:bottom w:val="none" w:sz="0" w:space="0" w:color="auto"/>
                        <w:right w:val="none" w:sz="0" w:space="0" w:color="auto"/>
                      </w:divBdr>
                    </w:div>
                    <w:div w:id="1608928249">
                      <w:marLeft w:val="0"/>
                      <w:marRight w:val="0"/>
                      <w:marTop w:val="0"/>
                      <w:marBottom w:val="0"/>
                      <w:divBdr>
                        <w:top w:val="none" w:sz="0" w:space="0" w:color="auto"/>
                        <w:left w:val="none" w:sz="0" w:space="0" w:color="auto"/>
                        <w:bottom w:val="none" w:sz="0" w:space="0" w:color="auto"/>
                        <w:right w:val="none" w:sz="0" w:space="0" w:color="auto"/>
                      </w:divBdr>
                    </w:div>
                    <w:div w:id="1667048583">
                      <w:marLeft w:val="0"/>
                      <w:marRight w:val="0"/>
                      <w:marTop w:val="0"/>
                      <w:marBottom w:val="0"/>
                      <w:divBdr>
                        <w:top w:val="none" w:sz="0" w:space="0" w:color="auto"/>
                        <w:left w:val="none" w:sz="0" w:space="0" w:color="auto"/>
                        <w:bottom w:val="none" w:sz="0" w:space="0" w:color="auto"/>
                        <w:right w:val="none" w:sz="0" w:space="0" w:color="auto"/>
                      </w:divBdr>
                    </w:div>
                    <w:div w:id="1724595426">
                      <w:marLeft w:val="0"/>
                      <w:marRight w:val="0"/>
                      <w:marTop w:val="0"/>
                      <w:marBottom w:val="0"/>
                      <w:divBdr>
                        <w:top w:val="none" w:sz="0" w:space="0" w:color="auto"/>
                        <w:left w:val="none" w:sz="0" w:space="0" w:color="auto"/>
                        <w:bottom w:val="none" w:sz="0" w:space="0" w:color="auto"/>
                        <w:right w:val="none" w:sz="0" w:space="0" w:color="auto"/>
                      </w:divBdr>
                    </w:div>
                    <w:div w:id="20270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0594">
          <w:marLeft w:val="0"/>
          <w:marRight w:val="0"/>
          <w:marTop w:val="0"/>
          <w:marBottom w:val="0"/>
          <w:divBdr>
            <w:top w:val="none" w:sz="0" w:space="0" w:color="auto"/>
            <w:left w:val="none" w:sz="0" w:space="0" w:color="auto"/>
            <w:bottom w:val="none" w:sz="0" w:space="0" w:color="auto"/>
            <w:right w:val="none" w:sz="0" w:space="0" w:color="auto"/>
          </w:divBdr>
        </w:div>
        <w:div w:id="526064317">
          <w:marLeft w:val="0"/>
          <w:marRight w:val="0"/>
          <w:marTop w:val="0"/>
          <w:marBottom w:val="0"/>
          <w:divBdr>
            <w:top w:val="none" w:sz="0" w:space="0" w:color="auto"/>
            <w:left w:val="none" w:sz="0" w:space="0" w:color="auto"/>
            <w:bottom w:val="none" w:sz="0" w:space="0" w:color="auto"/>
            <w:right w:val="none" w:sz="0" w:space="0" w:color="auto"/>
          </w:divBdr>
        </w:div>
        <w:div w:id="551355249">
          <w:marLeft w:val="0"/>
          <w:marRight w:val="0"/>
          <w:marTop w:val="0"/>
          <w:marBottom w:val="0"/>
          <w:divBdr>
            <w:top w:val="none" w:sz="0" w:space="0" w:color="auto"/>
            <w:left w:val="none" w:sz="0" w:space="0" w:color="auto"/>
            <w:bottom w:val="none" w:sz="0" w:space="0" w:color="auto"/>
            <w:right w:val="none" w:sz="0" w:space="0" w:color="auto"/>
          </w:divBdr>
          <w:divsChild>
            <w:div w:id="2034265984">
              <w:marLeft w:val="0"/>
              <w:marRight w:val="0"/>
              <w:marTop w:val="30"/>
              <w:marBottom w:val="30"/>
              <w:divBdr>
                <w:top w:val="none" w:sz="0" w:space="0" w:color="auto"/>
                <w:left w:val="none" w:sz="0" w:space="0" w:color="auto"/>
                <w:bottom w:val="none" w:sz="0" w:space="0" w:color="auto"/>
                <w:right w:val="none" w:sz="0" w:space="0" w:color="auto"/>
              </w:divBdr>
              <w:divsChild>
                <w:div w:id="231083987">
                  <w:marLeft w:val="0"/>
                  <w:marRight w:val="0"/>
                  <w:marTop w:val="0"/>
                  <w:marBottom w:val="0"/>
                  <w:divBdr>
                    <w:top w:val="none" w:sz="0" w:space="0" w:color="auto"/>
                    <w:left w:val="none" w:sz="0" w:space="0" w:color="auto"/>
                    <w:bottom w:val="none" w:sz="0" w:space="0" w:color="auto"/>
                    <w:right w:val="none" w:sz="0" w:space="0" w:color="auto"/>
                  </w:divBdr>
                  <w:divsChild>
                    <w:div w:id="570820168">
                      <w:marLeft w:val="0"/>
                      <w:marRight w:val="0"/>
                      <w:marTop w:val="0"/>
                      <w:marBottom w:val="0"/>
                      <w:divBdr>
                        <w:top w:val="none" w:sz="0" w:space="0" w:color="auto"/>
                        <w:left w:val="none" w:sz="0" w:space="0" w:color="auto"/>
                        <w:bottom w:val="none" w:sz="0" w:space="0" w:color="auto"/>
                        <w:right w:val="none" w:sz="0" w:space="0" w:color="auto"/>
                      </w:divBdr>
                    </w:div>
                    <w:div w:id="1398818064">
                      <w:marLeft w:val="0"/>
                      <w:marRight w:val="0"/>
                      <w:marTop w:val="0"/>
                      <w:marBottom w:val="0"/>
                      <w:divBdr>
                        <w:top w:val="none" w:sz="0" w:space="0" w:color="auto"/>
                        <w:left w:val="none" w:sz="0" w:space="0" w:color="auto"/>
                        <w:bottom w:val="none" w:sz="0" w:space="0" w:color="auto"/>
                        <w:right w:val="none" w:sz="0" w:space="0" w:color="auto"/>
                      </w:divBdr>
                      <w:divsChild>
                        <w:div w:id="1133058132">
                          <w:marLeft w:val="0"/>
                          <w:marRight w:val="0"/>
                          <w:marTop w:val="0"/>
                          <w:marBottom w:val="0"/>
                          <w:divBdr>
                            <w:top w:val="none" w:sz="0" w:space="0" w:color="auto"/>
                            <w:left w:val="none" w:sz="0" w:space="0" w:color="auto"/>
                            <w:bottom w:val="none" w:sz="0" w:space="0" w:color="auto"/>
                            <w:right w:val="none" w:sz="0" w:space="0" w:color="auto"/>
                          </w:divBdr>
                          <w:divsChild>
                            <w:div w:id="538475477">
                              <w:marLeft w:val="0"/>
                              <w:marRight w:val="0"/>
                              <w:marTop w:val="0"/>
                              <w:marBottom w:val="0"/>
                              <w:divBdr>
                                <w:top w:val="none" w:sz="0" w:space="0" w:color="auto"/>
                                <w:left w:val="none" w:sz="0" w:space="0" w:color="auto"/>
                                <w:bottom w:val="none" w:sz="0" w:space="0" w:color="auto"/>
                                <w:right w:val="none" w:sz="0" w:space="0" w:color="auto"/>
                              </w:divBdr>
                              <w:divsChild>
                                <w:div w:id="643505472">
                                  <w:marLeft w:val="0"/>
                                  <w:marRight w:val="0"/>
                                  <w:marTop w:val="0"/>
                                  <w:marBottom w:val="0"/>
                                  <w:divBdr>
                                    <w:top w:val="none" w:sz="0" w:space="0" w:color="auto"/>
                                    <w:left w:val="none" w:sz="0" w:space="0" w:color="auto"/>
                                    <w:bottom w:val="none" w:sz="0" w:space="0" w:color="auto"/>
                                    <w:right w:val="none" w:sz="0" w:space="0" w:color="auto"/>
                                  </w:divBdr>
                                  <w:divsChild>
                                    <w:div w:id="81807280">
                                      <w:marLeft w:val="0"/>
                                      <w:marRight w:val="0"/>
                                      <w:marTop w:val="0"/>
                                      <w:marBottom w:val="0"/>
                                      <w:divBdr>
                                        <w:top w:val="none" w:sz="0" w:space="0" w:color="auto"/>
                                        <w:left w:val="none" w:sz="0" w:space="0" w:color="auto"/>
                                        <w:bottom w:val="none" w:sz="0" w:space="0" w:color="auto"/>
                                        <w:right w:val="none" w:sz="0" w:space="0" w:color="auto"/>
                                      </w:divBdr>
                                    </w:div>
                                    <w:div w:id="665212408">
                                      <w:marLeft w:val="0"/>
                                      <w:marRight w:val="0"/>
                                      <w:marTop w:val="0"/>
                                      <w:marBottom w:val="0"/>
                                      <w:divBdr>
                                        <w:top w:val="none" w:sz="0" w:space="0" w:color="auto"/>
                                        <w:left w:val="none" w:sz="0" w:space="0" w:color="auto"/>
                                        <w:bottom w:val="none" w:sz="0" w:space="0" w:color="auto"/>
                                        <w:right w:val="none" w:sz="0" w:space="0" w:color="auto"/>
                                      </w:divBdr>
                                    </w:div>
                                    <w:div w:id="748426760">
                                      <w:marLeft w:val="0"/>
                                      <w:marRight w:val="0"/>
                                      <w:marTop w:val="0"/>
                                      <w:marBottom w:val="0"/>
                                      <w:divBdr>
                                        <w:top w:val="none" w:sz="0" w:space="0" w:color="auto"/>
                                        <w:left w:val="none" w:sz="0" w:space="0" w:color="auto"/>
                                        <w:bottom w:val="none" w:sz="0" w:space="0" w:color="auto"/>
                                        <w:right w:val="none" w:sz="0" w:space="0" w:color="auto"/>
                                      </w:divBdr>
                                    </w:div>
                                    <w:div w:id="937757054">
                                      <w:marLeft w:val="0"/>
                                      <w:marRight w:val="0"/>
                                      <w:marTop w:val="0"/>
                                      <w:marBottom w:val="0"/>
                                      <w:divBdr>
                                        <w:top w:val="none" w:sz="0" w:space="0" w:color="auto"/>
                                        <w:left w:val="none" w:sz="0" w:space="0" w:color="auto"/>
                                        <w:bottom w:val="none" w:sz="0" w:space="0" w:color="auto"/>
                                        <w:right w:val="none" w:sz="0" w:space="0" w:color="auto"/>
                                      </w:divBdr>
                                    </w:div>
                                    <w:div w:id="1042904275">
                                      <w:marLeft w:val="0"/>
                                      <w:marRight w:val="0"/>
                                      <w:marTop w:val="0"/>
                                      <w:marBottom w:val="0"/>
                                      <w:divBdr>
                                        <w:top w:val="none" w:sz="0" w:space="0" w:color="auto"/>
                                        <w:left w:val="none" w:sz="0" w:space="0" w:color="auto"/>
                                        <w:bottom w:val="none" w:sz="0" w:space="0" w:color="auto"/>
                                        <w:right w:val="none" w:sz="0" w:space="0" w:color="auto"/>
                                      </w:divBdr>
                                    </w:div>
                                    <w:div w:id="1251504488">
                                      <w:marLeft w:val="0"/>
                                      <w:marRight w:val="0"/>
                                      <w:marTop w:val="0"/>
                                      <w:marBottom w:val="0"/>
                                      <w:divBdr>
                                        <w:top w:val="none" w:sz="0" w:space="0" w:color="auto"/>
                                        <w:left w:val="none" w:sz="0" w:space="0" w:color="auto"/>
                                        <w:bottom w:val="none" w:sz="0" w:space="0" w:color="auto"/>
                                        <w:right w:val="none" w:sz="0" w:space="0" w:color="auto"/>
                                      </w:divBdr>
                                    </w:div>
                                    <w:div w:id="1427312181">
                                      <w:marLeft w:val="0"/>
                                      <w:marRight w:val="0"/>
                                      <w:marTop w:val="0"/>
                                      <w:marBottom w:val="0"/>
                                      <w:divBdr>
                                        <w:top w:val="none" w:sz="0" w:space="0" w:color="auto"/>
                                        <w:left w:val="none" w:sz="0" w:space="0" w:color="auto"/>
                                        <w:bottom w:val="none" w:sz="0" w:space="0" w:color="auto"/>
                                        <w:right w:val="none" w:sz="0" w:space="0" w:color="auto"/>
                                      </w:divBdr>
                                    </w:div>
                                    <w:div w:id="19875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02191">
                  <w:marLeft w:val="0"/>
                  <w:marRight w:val="0"/>
                  <w:marTop w:val="0"/>
                  <w:marBottom w:val="0"/>
                  <w:divBdr>
                    <w:top w:val="none" w:sz="0" w:space="0" w:color="auto"/>
                    <w:left w:val="none" w:sz="0" w:space="0" w:color="auto"/>
                    <w:bottom w:val="none" w:sz="0" w:space="0" w:color="auto"/>
                    <w:right w:val="none" w:sz="0" w:space="0" w:color="auto"/>
                  </w:divBdr>
                  <w:divsChild>
                    <w:div w:id="1060134963">
                      <w:marLeft w:val="0"/>
                      <w:marRight w:val="0"/>
                      <w:marTop w:val="0"/>
                      <w:marBottom w:val="0"/>
                      <w:divBdr>
                        <w:top w:val="none" w:sz="0" w:space="0" w:color="auto"/>
                        <w:left w:val="none" w:sz="0" w:space="0" w:color="auto"/>
                        <w:bottom w:val="none" w:sz="0" w:space="0" w:color="auto"/>
                        <w:right w:val="none" w:sz="0" w:space="0" w:color="auto"/>
                      </w:divBdr>
                    </w:div>
                  </w:divsChild>
                </w:div>
                <w:div w:id="827595925">
                  <w:marLeft w:val="0"/>
                  <w:marRight w:val="0"/>
                  <w:marTop w:val="0"/>
                  <w:marBottom w:val="0"/>
                  <w:divBdr>
                    <w:top w:val="none" w:sz="0" w:space="0" w:color="auto"/>
                    <w:left w:val="none" w:sz="0" w:space="0" w:color="auto"/>
                    <w:bottom w:val="none" w:sz="0" w:space="0" w:color="auto"/>
                    <w:right w:val="none" w:sz="0" w:space="0" w:color="auto"/>
                  </w:divBdr>
                  <w:divsChild>
                    <w:div w:id="257375878">
                      <w:marLeft w:val="0"/>
                      <w:marRight w:val="0"/>
                      <w:marTop w:val="0"/>
                      <w:marBottom w:val="0"/>
                      <w:divBdr>
                        <w:top w:val="none" w:sz="0" w:space="0" w:color="auto"/>
                        <w:left w:val="none" w:sz="0" w:space="0" w:color="auto"/>
                        <w:bottom w:val="none" w:sz="0" w:space="0" w:color="auto"/>
                        <w:right w:val="none" w:sz="0" w:space="0" w:color="auto"/>
                      </w:divBdr>
                    </w:div>
                  </w:divsChild>
                </w:div>
                <w:div w:id="831216775">
                  <w:marLeft w:val="0"/>
                  <w:marRight w:val="0"/>
                  <w:marTop w:val="0"/>
                  <w:marBottom w:val="0"/>
                  <w:divBdr>
                    <w:top w:val="none" w:sz="0" w:space="0" w:color="auto"/>
                    <w:left w:val="none" w:sz="0" w:space="0" w:color="auto"/>
                    <w:bottom w:val="none" w:sz="0" w:space="0" w:color="auto"/>
                    <w:right w:val="none" w:sz="0" w:space="0" w:color="auto"/>
                  </w:divBdr>
                  <w:divsChild>
                    <w:div w:id="1275403334">
                      <w:marLeft w:val="0"/>
                      <w:marRight w:val="0"/>
                      <w:marTop w:val="0"/>
                      <w:marBottom w:val="0"/>
                      <w:divBdr>
                        <w:top w:val="none" w:sz="0" w:space="0" w:color="auto"/>
                        <w:left w:val="none" w:sz="0" w:space="0" w:color="auto"/>
                        <w:bottom w:val="none" w:sz="0" w:space="0" w:color="auto"/>
                        <w:right w:val="none" w:sz="0" w:space="0" w:color="auto"/>
                      </w:divBdr>
                    </w:div>
                  </w:divsChild>
                </w:div>
                <w:div w:id="971667246">
                  <w:marLeft w:val="0"/>
                  <w:marRight w:val="0"/>
                  <w:marTop w:val="0"/>
                  <w:marBottom w:val="0"/>
                  <w:divBdr>
                    <w:top w:val="none" w:sz="0" w:space="0" w:color="auto"/>
                    <w:left w:val="none" w:sz="0" w:space="0" w:color="auto"/>
                    <w:bottom w:val="none" w:sz="0" w:space="0" w:color="auto"/>
                    <w:right w:val="none" w:sz="0" w:space="0" w:color="auto"/>
                  </w:divBdr>
                  <w:divsChild>
                    <w:div w:id="635649840">
                      <w:marLeft w:val="0"/>
                      <w:marRight w:val="0"/>
                      <w:marTop w:val="0"/>
                      <w:marBottom w:val="0"/>
                      <w:divBdr>
                        <w:top w:val="none" w:sz="0" w:space="0" w:color="auto"/>
                        <w:left w:val="none" w:sz="0" w:space="0" w:color="auto"/>
                        <w:bottom w:val="none" w:sz="0" w:space="0" w:color="auto"/>
                        <w:right w:val="none" w:sz="0" w:space="0" w:color="auto"/>
                      </w:divBdr>
                    </w:div>
                  </w:divsChild>
                </w:div>
                <w:div w:id="1341541594">
                  <w:marLeft w:val="0"/>
                  <w:marRight w:val="0"/>
                  <w:marTop w:val="0"/>
                  <w:marBottom w:val="0"/>
                  <w:divBdr>
                    <w:top w:val="none" w:sz="0" w:space="0" w:color="auto"/>
                    <w:left w:val="none" w:sz="0" w:space="0" w:color="auto"/>
                    <w:bottom w:val="none" w:sz="0" w:space="0" w:color="auto"/>
                    <w:right w:val="none" w:sz="0" w:space="0" w:color="auto"/>
                  </w:divBdr>
                  <w:divsChild>
                    <w:div w:id="193008667">
                      <w:marLeft w:val="0"/>
                      <w:marRight w:val="0"/>
                      <w:marTop w:val="0"/>
                      <w:marBottom w:val="0"/>
                      <w:divBdr>
                        <w:top w:val="none" w:sz="0" w:space="0" w:color="auto"/>
                        <w:left w:val="none" w:sz="0" w:space="0" w:color="auto"/>
                        <w:bottom w:val="none" w:sz="0" w:space="0" w:color="auto"/>
                        <w:right w:val="none" w:sz="0" w:space="0" w:color="auto"/>
                      </w:divBdr>
                    </w:div>
                  </w:divsChild>
                </w:div>
                <w:div w:id="1623926967">
                  <w:marLeft w:val="0"/>
                  <w:marRight w:val="0"/>
                  <w:marTop w:val="0"/>
                  <w:marBottom w:val="0"/>
                  <w:divBdr>
                    <w:top w:val="none" w:sz="0" w:space="0" w:color="auto"/>
                    <w:left w:val="none" w:sz="0" w:space="0" w:color="auto"/>
                    <w:bottom w:val="none" w:sz="0" w:space="0" w:color="auto"/>
                    <w:right w:val="none" w:sz="0" w:space="0" w:color="auto"/>
                  </w:divBdr>
                  <w:divsChild>
                    <w:div w:id="1768846690">
                      <w:marLeft w:val="0"/>
                      <w:marRight w:val="0"/>
                      <w:marTop w:val="0"/>
                      <w:marBottom w:val="0"/>
                      <w:divBdr>
                        <w:top w:val="none" w:sz="0" w:space="0" w:color="auto"/>
                        <w:left w:val="none" w:sz="0" w:space="0" w:color="auto"/>
                        <w:bottom w:val="none" w:sz="0" w:space="0" w:color="auto"/>
                        <w:right w:val="none" w:sz="0" w:space="0" w:color="auto"/>
                      </w:divBdr>
                    </w:div>
                  </w:divsChild>
                </w:div>
                <w:div w:id="1792363989">
                  <w:marLeft w:val="0"/>
                  <w:marRight w:val="0"/>
                  <w:marTop w:val="0"/>
                  <w:marBottom w:val="0"/>
                  <w:divBdr>
                    <w:top w:val="none" w:sz="0" w:space="0" w:color="auto"/>
                    <w:left w:val="none" w:sz="0" w:space="0" w:color="auto"/>
                    <w:bottom w:val="none" w:sz="0" w:space="0" w:color="auto"/>
                    <w:right w:val="none" w:sz="0" w:space="0" w:color="auto"/>
                  </w:divBdr>
                  <w:divsChild>
                    <w:div w:id="239605684">
                      <w:marLeft w:val="0"/>
                      <w:marRight w:val="0"/>
                      <w:marTop w:val="0"/>
                      <w:marBottom w:val="0"/>
                      <w:divBdr>
                        <w:top w:val="none" w:sz="0" w:space="0" w:color="auto"/>
                        <w:left w:val="none" w:sz="0" w:space="0" w:color="auto"/>
                        <w:bottom w:val="none" w:sz="0" w:space="0" w:color="auto"/>
                        <w:right w:val="none" w:sz="0" w:space="0" w:color="auto"/>
                      </w:divBdr>
                    </w:div>
                  </w:divsChild>
                </w:div>
                <w:div w:id="1910846607">
                  <w:marLeft w:val="0"/>
                  <w:marRight w:val="0"/>
                  <w:marTop w:val="0"/>
                  <w:marBottom w:val="0"/>
                  <w:divBdr>
                    <w:top w:val="none" w:sz="0" w:space="0" w:color="auto"/>
                    <w:left w:val="none" w:sz="0" w:space="0" w:color="auto"/>
                    <w:bottom w:val="none" w:sz="0" w:space="0" w:color="auto"/>
                    <w:right w:val="none" w:sz="0" w:space="0" w:color="auto"/>
                  </w:divBdr>
                  <w:divsChild>
                    <w:div w:id="219026827">
                      <w:marLeft w:val="0"/>
                      <w:marRight w:val="0"/>
                      <w:marTop w:val="0"/>
                      <w:marBottom w:val="0"/>
                      <w:divBdr>
                        <w:top w:val="none" w:sz="0" w:space="0" w:color="auto"/>
                        <w:left w:val="none" w:sz="0" w:space="0" w:color="auto"/>
                        <w:bottom w:val="none" w:sz="0" w:space="0" w:color="auto"/>
                        <w:right w:val="none" w:sz="0" w:space="0" w:color="auto"/>
                      </w:divBdr>
                    </w:div>
                  </w:divsChild>
                </w:div>
                <w:div w:id="2056617835">
                  <w:marLeft w:val="0"/>
                  <w:marRight w:val="0"/>
                  <w:marTop w:val="0"/>
                  <w:marBottom w:val="0"/>
                  <w:divBdr>
                    <w:top w:val="none" w:sz="0" w:space="0" w:color="auto"/>
                    <w:left w:val="none" w:sz="0" w:space="0" w:color="auto"/>
                    <w:bottom w:val="none" w:sz="0" w:space="0" w:color="auto"/>
                    <w:right w:val="none" w:sz="0" w:space="0" w:color="auto"/>
                  </w:divBdr>
                  <w:divsChild>
                    <w:div w:id="1942763063">
                      <w:marLeft w:val="0"/>
                      <w:marRight w:val="0"/>
                      <w:marTop w:val="0"/>
                      <w:marBottom w:val="0"/>
                      <w:divBdr>
                        <w:top w:val="none" w:sz="0" w:space="0" w:color="auto"/>
                        <w:left w:val="none" w:sz="0" w:space="0" w:color="auto"/>
                        <w:bottom w:val="none" w:sz="0" w:space="0" w:color="auto"/>
                        <w:right w:val="none" w:sz="0" w:space="0" w:color="auto"/>
                      </w:divBdr>
                    </w:div>
                  </w:divsChild>
                </w:div>
                <w:div w:id="2059812572">
                  <w:marLeft w:val="0"/>
                  <w:marRight w:val="0"/>
                  <w:marTop w:val="0"/>
                  <w:marBottom w:val="0"/>
                  <w:divBdr>
                    <w:top w:val="none" w:sz="0" w:space="0" w:color="auto"/>
                    <w:left w:val="none" w:sz="0" w:space="0" w:color="auto"/>
                    <w:bottom w:val="none" w:sz="0" w:space="0" w:color="auto"/>
                    <w:right w:val="none" w:sz="0" w:space="0" w:color="auto"/>
                  </w:divBdr>
                  <w:divsChild>
                    <w:div w:id="2010522987">
                      <w:marLeft w:val="0"/>
                      <w:marRight w:val="0"/>
                      <w:marTop w:val="0"/>
                      <w:marBottom w:val="0"/>
                      <w:divBdr>
                        <w:top w:val="none" w:sz="0" w:space="0" w:color="auto"/>
                        <w:left w:val="none" w:sz="0" w:space="0" w:color="auto"/>
                        <w:bottom w:val="none" w:sz="0" w:space="0" w:color="auto"/>
                        <w:right w:val="none" w:sz="0" w:space="0" w:color="auto"/>
                      </w:divBdr>
                    </w:div>
                  </w:divsChild>
                </w:div>
                <w:div w:id="2143959992">
                  <w:marLeft w:val="0"/>
                  <w:marRight w:val="0"/>
                  <w:marTop w:val="0"/>
                  <w:marBottom w:val="0"/>
                  <w:divBdr>
                    <w:top w:val="none" w:sz="0" w:space="0" w:color="auto"/>
                    <w:left w:val="none" w:sz="0" w:space="0" w:color="auto"/>
                    <w:bottom w:val="none" w:sz="0" w:space="0" w:color="auto"/>
                    <w:right w:val="none" w:sz="0" w:space="0" w:color="auto"/>
                  </w:divBdr>
                  <w:divsChild>
                    <w:div w:id="590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9302">
          <w:marLeft w:val="0"/>
          <w:marRight w:val="0"/>
          <w:marTop w:val="0"/>
          <w:marBottom w:val="0"/>
          <w:divBdr>
            <w:top w:val="none" w:sz="0" w:space="0" w:color="auto"/>
            <w:left w:val="none" w:sz="0" w:space="0" w:color="auto"/>
            <w:bottom w:val="none" w:sz="0" w:space="0" w:color="auto"/>
            <w:right w:val="none" w:sz="0" w:space="0" w:color="auto"/>
          </w:divBdr>
        </w:div>
        <w:div w:id="683048695">
          <w:marLeft w:val="0"/>
          <w:marRight w:val="0"/>
          <w:marTop w:val="0"/>
          <w:marBottom w:val="0"/>
          <w:divBdr>
            <w:top w:val="none" w:sz="0" w:space="0" w:color="auto"/>
            <w:left w:val="none" w:sz="0" w:space="0" w:color="auto"/>
            <w:bottom w:val="none" w:sz="0" w:space="0" w:color="auto"/>
            <w:right w:val="none" w:sz="0" w:space="0" w:color="auto"/>
          </w:divBdr>
        </w:div>
        <w:div w:id="686104441">
          <w:marLeft w:val="0"/>
          <w:marRight w:val="0"/>
          <w:marTop w:val="0"/>
          <w:marBottom w:val="0"/>
          <w:divBdr>
            <w:top w:val="none" w:sz="0" w:space="0" w:color="auto"/>
            <w:left w:val="none" w:sz="0" w:space="0" w:color="auto"/>
            <w:bottom w:val="none" w:sz="0" w:space="0" w:color="auto"/>
            <w:right w:val="none" w:sz="0" w:space="0" w:color="auto"/>
          </w:divBdr>
        </w:div>
        <w:div w:id="688024475">
          <w:marLeft w:val="0"/>
          <w:marRight w:val="0"/>
          <w:marTop w:val="0"/>
          <w:marBottom w:val="0"/>
          <w:divBdr>
            <w:top w:val="none" w:sz="0" w:space="0" w:color="auto"/>
            <w:left w:val="none" w:sz="0" w:space="0" w:color="auto"/>
            <w:bottom w:val="none" w:sz="0" w:space="0" w:color="auto"/>
            <w:right w:val="none" w:sz="0" w:space="0" w:color="auto"/>
          </w:divBdr>
        </w:div>
        <w:div w:id="715276385">
          <w:marLeft w:val="0"/>
          <w:marRight w:val="0"/>
          <w:marTop w:val="0"/>
          <w:marBottom w:val="0"/>
          <w:divBdr>
            <w:top w:val="none" w:sz="0" w:space="0" w:color="auto"/>
            <w:left w:val="none" w:sz="0" w:space="0" w:color="auto"/>
            <w:bottom w:val="none" w:sz="0" w:space="0" w:color="auto"/>
            <w:right w:val="none" w:sz="0" w:space="0" w:color="auto"/>
          </w:divBdr>
        </w:div>
        <w:div w:id="745499866">
          <w:marLeft w:val="0"/>
          <w:marRight w:val="0"/>
          <w:marTop w:val="0"/>
          <w:marBottom w:val="0"/>
          <w:divBdr>
            <w:top w:val="none" w:sz="0" w:space="0" w:color="auto"/>
            <w:left w:val="none" w:sz="0" w:space="0" w:color="auto"/>
            <w:bottom w:val="none" w:sz="0" w:space="0" w:color="auto"/>
            <w:right w:val="none" w:sz="0" w:space="0" w:color="auto"/>
          </w:divBdr>
          <w:divsChild>
            <w:div w:id="1673413451">
              <w:marLeft w:val="0"/>
              <w:marRight w:val="0"/>
              <w:marTop w:val="30"/>
              <w:marBottom w:val="30"/>
              <w:divBdr>
                <w:top w:val="none" w:sz="0" w:space="0" w:color="auto"/>
                <w:left w:val="none" w:sz="0" w:space="0" w:color="auto"/>
                <w:bottom w:val="none" w:sz="0" w:space="0" w:color="auto"/>
                <w:right w:val="none" w:sz="0" w:space="0" w:color="auto"/>
              </w:divBdr>
              <w:divsChild>
                <w:div w:id="88428821">
                  <w:marLeft w:val="0"/>
                  <w:marRight w:val="0"/>
                  <w:marTop w:val="0"/>
                  <w:marBottom w:val="0"/>
                  <w:divBdr>
                    <w:top w:val="none" w:sz="0" w:space="0" w:color="auto"/>
                    <w:left w:val="none" w:sz="0" w:space="0" w:color="auto"/>
                    <w:bottom w:val="none" w:sz="0" w:space="0" w:color="auto"/>
                    <w:right w:val="none" w:sz="0" w:space="0" w:color="auto"/>
                  </w:divBdr>
                  <w:divsChild>
                    <w:div w:id="1656913168">
                      <w:marLeft w:val="0"/>
                      <w:marRight w:val="0"/>
                      <w:marTop w:val="0"/>
                      <w:marBottom w:val="0"/>
                      <w:divBdr>
                        <w:top w:val="none" w:sz="0" w:space="0" w:color="auto"/>
                        <w:left w:val="none" w:sz="0" w:space="0" w:color="auto"/>
                        <w:bottom w:val="none" w:sz="0" w:space="0" w:color="auto"/>
                        <w:right w:val="none" w:sz="0" w:space="0" w:color="auto"/>
                      </w:divBdr>
                    </w:div>
                  </w:divsChild>
                </w:div>
                <w:div w:id="126092349">
                  <w:marLeft w:val="0"/>
                  <w:marRight w:val="0"/>
                  <w:marTop w:val="0"/>
                  <w:marBottom w:val="0"/>
                  <w:divBdr>
                    <w:top w:val="none" w:sz="0" w:space="0" w:color="auto"/>
                    <w:left w:val="none" w:sz="0" w:space="0" w:color="auto"/>
                    <w:bottom w:val="none" w:sz="0" w:space="0" w:color="auto"/>
                    <w:right w:val="none" w:sz="0" w:space="0" w:color="auto"/>
                  </w:divBdr>
                  <w:divsChild>
                    <w:div w:id="791434299">
                      <w:marLeft w:val="0"/>
                      <w:marRight w:val="0"/>
                      <w:marTop w:val="0"/>
                      <w:marBottom w:val="0"/>
                      <w:divBdr>
                        <w:top w:val="none" w:sz="0" w:space="0" w:color="auto"/>
                        <w:left w:val="none" w:sz="0" w:space="0" w:color="auto"/>
                        <w:bottom w:val="none" w:sz="0" w:space="0" w:color="auto"/>
                        <w:right w:val="none" w:sz="0" w:space="0" w:color="auto"/>
                      </w:divBdr>
                    </w:div>
                  </w:divsChild>
                </w:div>
                <w:div w:id="164979453">
                  <w:marLeft w:val="0"/>
                  <w:marRight w:val="0"/>
                  <w:marTop w:val="0"/>
                  <w:marBottom w:val="0"/>
                  <w:divBdr>
                    <w:top w:val="none" w:sz="0" w:space="0" w:color="auto"/>
                    <w:left w:val="none" w:sz="0" w:space="0" w:color="auto"/>
                    <w:bottom w:val="none" w:sz="0" w:space="0" w:color="auto"/>
                    <w:right w:val="none" w:sz="0" w:space="0" w:color="auto"/>
                  </w:divBdr>
                  <w:divsChild>
                    <w:div w:id="1298343525">
                      <w:marLeft w:val="0"/>
                      <w:marRight w:val="0"/>
                      <w:marTop w:val="0"/>
                      <w:marBottom w:val="0"/>
                      <w:divBdr>
                        <w:top w:val="none" w:sz="0" w:space="0" w:color="auto"/>
                        <w:left w:val="none" w:sz="0" w:space="0" w:color="auto"/>
                        <w:bottom w:val="none" w:sz="0" w:space="0" w:color="auto"/>
                        <w:right w:val="none" w:sz="0" w:space="0" w:color="auto"/>
                      </w:divBdr>
                    </w:div>
                  </w:divsChild>
                </w:div>
                <w:div w:id="174930166">
                  <w:marLeft w:val="0"/>
                  <w:marRight w:val="0"/>
                  <w:marTop w:val="0"/>
                  <w:marBottom w:val="0"/>
                  <w:divBdr>
                    <w:top w:val="none" w:sz="0" w:space="0" w:color="auto"/>
                    <w:left w:val="none" w:sz="0" w:space="0" w:color="auto"/>
                    <w:bottom w:val="none" w:sz="0" w:space="0" w:color="auto"/>
                    <w:right w:val="none" w:sz="0" w:space="0" w:color="auto"/>
                  </w:divBdr>
                  <w:divsChild>
                    <w:div w:id="535318610">
                      <w:marLeft w:val="0"/>
                      <w:marRight w:val="0"/>
                      <w:marTop w:val="0"/>
                      <w:marBottom w:val="0"/>
                      <w:divBdr>
                        <w:top w:val="none" w:sz="0" w:space="0" w:color="auto"/>
                        <w:left w:val="none" w:sz="0" w:space="0" w:color="auto"/>
                        <w:bottom w:val="none" w:sz="0" w:space="0" w:color="auto"/>
                        <w:right w:val="none" w:sz="0" w:space="0" w:color="auto"/>
                      </w:divBdr>
                    </w:div>
                  </w:divsChild>
                </w:div>
                <w:div w:id="227418587">
                  <w:marLeft w:val="0"/>
                  <w:marRight w:val="0"/>
                  <w:marTop w:val="0"/>
                  <w:marBottom w:val="0"/>
                  <w:divBdr>
                    <w:top w:val="none" w:sz="0" w:space="0" w:color="auto"/>
                    <w:left w:val="none" w:sz="0" w:space="0" w:color="auto"/>
                    <w:bottom w:val="none" w:sz="0" w:space="0" w:color="auto"/>
                    <w:right w:val="none" w:sz="0" w:space="0" w:color="auto"/>
                  </w:divBdr>
                  <w:divsChild>
                    <w:div w:id="269819579">
                      <w:marLeft w:val="0"/>
                      <w:marRight w:val="0"/>
                      <w:marTop w:val="0"/>
                      <w:marBottom w:val="0"/>
                      <w:divBdr>
                        <w:top w:val="none" w:sz="0" w:space="0" w:color="auto"/>
                        <w:left w:val="none" w:sz="0" w:space="0" w:color="auto"/>
                        <w:bottom w:val="none" w:sz="0" w:space="0" w:color="auto"/>
                        <w:right w:val="none" w:sz="0" w:space="0" w:color="auto"/>
                      </w:divBdr>
                    </w:div>
                  </w:divsChild>
                </w:div>
                <w:div w:id="248469668">
                  <w:marLeft w:val="0"/>
                  <w:marRight w:val="0"/>
                  <w:marTop w:val="0"/>
                  <w:marBottom w:val="0"/>
                  <w:divBdr>
                    <w:top w:val="none" w:sz="0" w:space="0" w:color="auto"/>
                    <w:left w:val="none" w:sz="0" w:space="0" w:color="auto"/>
                    <w:bottom w:val="none" w:sz="0" w:space="0" w:color="auto"/>
                    <w:right w:val="none" w:sz="0" w:space="0" w:color="auto"/>
                  </w:divBdr>
                  <w:divsChild>
                    <w:div w:id="119881272">
                      <w:marLeft w:val="0"/>
                      <w:marRight w:val="0"/>
                      <w:marTop w:val="0"/>
                      <w:marBottom w:val="0"/>
                      <w:divBdr>
                        <w:top w:val="none" w:sz="0" w:space="0" w:color="auto"/>
                        <w:left w:val="none" w:sz="0" w:space="0" w:color="auto"/>
                        <w:bottom w:val="none" w:sz="0" w:space="0" w:color="auto"/>
                        <w:right w:val="none" w:sz="0" w:space="0" w:color="auto"/>
                      </w:divBdr>
                    </w:div>
                  </w:divsChild>
                </w:div>
                <w:div w:id="272252257">
                  <w:marLeft w:val="0"/>
                  <w:marRight w:val="0"/>
                  <w:marTop w:val="0"/>
                  <w:marBottom w:val="0"/>
                  <w:divBdr>
                    <w:top w:val="none" w:sz="0" w:space="0" w:color="auto"/>
                    <w:left w:val="none" w:sz="0" w:space="0" w:color="auto"/>
                    <w:bottom w:val="none" w:sz="0" w:space="0" w:color="auto"/>
                    <w:right w:val="none" w:sz="0" w:space="0" w:color="auto"/>
                  </w:divBdr>
                  <w:divsChild>
                    <w:div w:id="1529368976">
                      <w:marLeft w:val="0"/>
                      <w:marRight w:val="0"/>
                      <w:marTop w:val="0"/>
                      <w:marBottom w:val="0"/>
                      <w:divBdr>
                        <w:top w:val="none" w:sz="0" w:space="0" w:color="auto"/>
                        <w:left w:val="none" w:sz="0" w:space="0" w:color="auto"/>
                        <w:bottom w:val="none" w:sz="0" w:space="0" w:color="auto"/>
                        <w:right w:val="none" w:sz="0" w:space="0" w:color="auto"/>
                      </w:divBdr>
                    </w:div>
                  </w:divsChild>
                </w:div>
                <w:div w:id="415323137">
                  <w:marLeft w:val="0"/>
                  <w:marRight w:val="0"/>
                  <w:marTop w:val="0"/>
                  <w:marBottom w:val="0"/>
                  <w:divBdr>
                    <w:top w:val="none" w:sz="0" w:space="0" w:color="auto"/>
                    <w:left w:val="none" w:sz="0" w:space="0" w:color="auto"/>
                    <w:bottom w:val="none" w:sz="0" w:space="0" w:color="auto"/>
                    <w:right w:val="none" w:sz="0" w:space="0" w:color="auto"/>
                  </w:divBdr>
                  <w:divsChild>
                    <w:div w:id="624118526">
                      <w:marLeft w:val="0"/>
                      <w:marRight w:val="0"/>
                      <w:marTop w:val="0"/>
                      <w:marBottom w:val="0"/>
                      <w:divBdr>
                        <w:top w:val="none" w:sz="0" w:space="0" w:color="auto"/>
                        <w:left w:val="none" w:sz="0" w:space="0" w:color="auto"/>
                        <w:bottom w:val="none" w:sz="0" w:space="0" w:color="auto"/>
                        <w:right w:val="none" w:sz="0" w:space="0" w:color="auto"/>
                      </w:divBdr>
                    </w:div>
                  </w:divsChild>
                </w:div>
                <w:div w:id="505479440">
                  <w:marLeft w:val="0"/>
                  <w:marRight w:val="0"/>
                  <w:marTop w:val="0"/>
                  <w:marBottom w:val="0"/>
                  <w:divBdr>
                    <w:top w:val="none" w:sz="0" w:space="0" w:color="auto"/>
                    <w:left w:val="none" w:sz="0" w:space="0" w:color="auto"/>
                    <w:bottom w:val="none" w:sz="0" w:space="0" w:color="auto"/>
                    <w:right w:val="none" w:sz="0" w:space="0" w:color="auto"/>
                  </w:divBdr>
                  <w:divsChild>
                    <w:div w:id="1774547356">
                      <w:marLeft w:val="0"/>
                      <w:marRight w:val="0"/>
                      <w:marTop w:val="0"/>
                      <w:marBottom w:val="0"/>
                      <w:divBdr>
                        <w:top w:val="none" w:sz="0" w:space="0" w:color="auto"/>
                        <w:left w:val="none" w:sz="0" w:space="0" w:color="auto"/>
                        <w:bottom w:val="none" w:sz="0" w:space="0" w:color="auto"/>
                        <w:right w:val="none" w:sz="0" w:space="0" w:color="auto"/>
                      </w:divBdr>
                    </w:div>
                  </w:divsChild>
                </w:div>
                <w:div w:id="549223080">
                  <w:marLeft w:val="0"/>
                  <w:marRight w:val="0"/>
                  <w:marTop w:val="0"/>
                  <w:marBottom w:val="0"/>
                  <w:divBdr>
                    <w:top w:val="none" w:sz="0" w:space="0" w:color="auto"/>
                    <w:left w:val="none" w:sz="0" w:space="0" w:color="auto"/>
                    <w:bottom w:val="none" w:sz="0" w:space="0" w:color="auto"/>
                    <w:right w:val="none" w:sz="0" w:space="0" w:color="auto"/>
                  </w:divBdr>
                  <w:divsChild>
                    <w:div w:id="721906610">
                      <w:marLeft w:val="0"/>
                      <w:marRight w:val="0"/>
                      <w:marTop w:val="0"/>
                      <w:marBottom w:val="0"/>
                      <w:divBdr>
                        <w:top w:val="none" w:sz="0" w:space="0" w:color="auto"/>
                        <w:left w:val="none" w:sz="0" w:space="0" w:color="auto"/>
                        <w:bottom w:val="none" w:sz="0" w:space="0" w:color="auto"/>
                        <w:right w:val="none" w:sz="0" w:space="0" w:color="auto"/>
                      </w:divBdr>
                    </w:div>
                  </w:divsChild>
                </w:div>
                <w:div w:id="567879739">
                  <w:marLeft w:val="0"/>
                  <w:marRight w:val="0"/>
                  <w:marTop w:val="0"/>
                  <w:marBottom w:val="0"/>
                  <w:divBdr>
                    <w:top w:val="none" w:sz="0" w:space="0" w:color="auto"/>
                    <w:left w:val="none" w:sz="0" w:space="0" w:color="auto"/>
                    <w:bottom w:val="none" w:sz="0" w:space="0" w:color="auto"/>
                    <w:right w:val="none" w:sz="0" w:space="0" w:color="auto"/>
                  </w:divBdr>
                  <w:divsChild>
                    <w:div w:id="436952358">
                      <w:marLeft w:val="0"/>
                      <w:marRight w:val="0"/>
                      <w:marTop w:val="0"/>
                      <w:marBottom w:val="0"/>
                      <w:divBdr>
                        <w:top w:val="none" w:sz="0" w:space="0" w:color="auto"/>
                        <w:left w:val="none" w:sz="0" w:space="0" w:color="auto"/>
                        <w:bottom w:val="none" w:sz="0" w:space="0" w:color="auto"/>
                        <w:right w:val="none" w:sz="0" w:space="0" w:color="auto"/>
                      </w:divBdr>
                    </w:div>
                  </w:divsChild>
                </w:div>
                <w:div w:id="571045598">
                  <w:marLeft w:val="0"/>
                  <w:marRight w:val="0"/>
                  <w:marTop w:val="0"/>
                  <w:marBottom w:val="0"/>
                  <w:divBdr>
                    <w:top w:val="none" w:sz="0" w:space="0" w:color="auto"/>
                    <w:left w:val="none" w:sz="0" w:space="0" w:color="auto"/>
                    <w:bottom w:val="none" w:sz="0" w:space="0" w:color="auto"/>
                    <w:right w:val="none" w:sz="0" w:space="0" w:color="auto"/>
                  </w:divBdr>
                  <w:divsChild>
                    <w:div w:id="793450578">
                      <w:marLeft w:val="0"/>
                      <w:marRight w:val="0"/>
                      <w:marTop w:val="0"/>
                      <w:marBottom w:val="0"/>
                      <w:divBdr>
                        <w:top w:val="none" w:sz="0" w:space="0" w:color="auto"/>
                        <w:left w:val="none" w:sz="0" w:space="0" w:color="auto"/>
                        <w:bottom w:val="none" w:sz="0" w:space="0" w:color="auto"/>
                        <w:right w:val="none" w:sz="0" w:space="0" w:color="auto"/>
                      </w:divBdr>
                    </w:div>
                  </w:divsChild>
                </w:div>
                <w:div w:id="587621637">
                  <w:marLeft w:val="0"/>
                  <w:marRight w:val="0"/>
                  <w:marTop w:val="0"/>
                  <w:marBottom w:val="0"/>
                  <w:divBdr>
                    <w:top w:val="none" w:sz="0" w:space="0" w:color="auto"/>
                    <w:left w:val="none" w:sz="0" w:space="0" w:color="auto"/>
                    <w:bottom w:val="none" w:sz="0" w:space="0" w:color="auto"/>
                    <w:right w:val="none" w:sz="0" w:space="0" w:color="auto"/>
                  </w:divBdr>
                  <w:divsChild>
                    <w:div w:id="1253396163">
                      <w:marLeft w:val="0"/>
                      <w:marRight w:val="0"/>
                      <w:marTop w:val="0"/>
                      <w:marBottom w:val="0"/>
                      <w:divBdr>
                        <w:top w:val="none" w:sz="0" w:space="0" w:color="auto"/>
                        <w:left w:val="none" w:sz="0" w:space="0" w:color="auto"/>
                        <w:bottom w:val="none" w:sz="0" w:space="0" w:color="auto"/>
                        <w:right w:val="none" w:sz="0" w:space="0" w:color="auto"/>
                      </w:divBdr>
                    </w:div>
                  </w:divsChild>
                </w:div>
                <w:div w:id="593246388">
                  <w:marLeft w:val="0"/>
                  <w:marRight w:val="0"/>
                  <w:marTop w:val="0"/>
                  <w:marBottom w:val="0"/>
                  <w:divBdr>
                    <w:top w:val="none" w:sz="0" w:space="0" w:color="auto"/>
                    <w:left w:val="none" w:sz="0" w:space="0" w:color="auto"/>
                    <w:bottom w:val="none" w:sz="0" w:space="0" w:color="auto"/>
                    <w:right w:val="none" w:sz="0" w:space="0" w:color="auto"/>
                  </w:divBdr>
                  <w:divsChild>
                    <w:div w:id="1825781321">
                      <w:marLeft w:val="0"/>
                      <w:marRight w:val="0"/>
                      <w:marTop w:val="0"/>
                      <w:marBottom w:val="0"/>
                      <w:divBdr>
                        <w:top w:val="none" w:sz="0" w:space="0" w:color="auto"/>
                        <w:left w:val="none" w:sz="0" w:space="0" w:color="auto"/>
                        <w:bottom w:val="none" w:sz="0" w:space="0" w:color="auto"/>
                        <w:right w:val="none" w:sz="0" w:space="0" w:color="auto"/>
                      </w:divBdr>
                    </w:div>
                  </w:divsChild>
                </w:div>
                <w:div w:id="604269144">
                  <w:marLeft w:val="0"/>
                  <w:marRight w:val="0"/>
                  <w:marTop w:val="0"/>
                  <w:marBottom w:val="0"/>
                  <w:divBdr>
                    <w:top w:val="none" w:sz="0" w:space="0" w:color="auto"/>
                    <w:left w:val="none" w:sz="0" w:space="0" w:color="auto"/>
                    <w:bottom w:val="none" w:sz="0" w:space="0" w:color="auto"/>
                    <w:right w:val="none" w:sz="0" w:space="0" w:color="auto"/>
                  </w:divBdr>
                  <w:divsChild>
                    <w:div w:id="1130174773">
                      <w:marLeft w:val="0"/>
                      <w:marRight w:val="0"/>
                      <w:marTop w:val="0"/>
                      <w:marBottom w:val="0"/>
                      <w:divBdr>
                        <w:top w:val="none" w:sz="0" w:space="0" w:color="auto"/>
                        <w:left w:val="none" w:sz="0" w:space="0" w:color="auto"/>
                        <w:bottom w:val="none" w:sz="0" w:space="0" w:color="auto"/>
                        <w:right w:val="none" w:sz="0" w:space="0" w:color="auto"/>
                      </w:divBdr>
                    </w:div>
                  </w:divsChild>
                </w:div>
                <w:div w:id="683552092">
                  <w:marLeft w:val="0"/>
                  <w:marRight w:val="0"/>
                  <w:marTop w:val="0"/>
                  <w:marBottom w:val="0"/>
                  <w:divBdr>
                    <w:top w:val="none" w:sz="0" w:space="0" w:color="auto"/>
                    <w:left w:val="none" w:sz="0" w:space="0" w:color="auto"/>
                    <w:bottom w:val="none" w:sz="0" w:space="0" w:color="auto"/>
                    <w:right w:val="none" w:sz="0" w:space="0" w:color="auto"/>
                  </w:divBdr>
                  <w:divsChild>
                    <w:div w:id="1319192819">
                      <w:marLeft w:val="0"/>
                      <w:marRight w:val="0"/>
                      <w:marTop w:val="0"/>
                      <w:marBottom w:val="0"/>
                      <w:divBdr>
                        <w:top w:val="none" w:sz="0" w:space="0" w:color="auto"/>
                        <w:left w:val="none" w:sz="0" w:space="0" w:color="auto"/>
                        <w:bottom w:val="none" w:sz="0" w:space="0" w:color="auto"/>
                        <w:right w:val="none" w:sz="0" w:space="0" w:color="auto"/>
                      </w:divBdr>
                    </w:div>
                  </w:divsChild>
                </w:div>
                <w:div w:id="698434462">
                  <w:marLeft w:val="0"/>
                  <w:marRight w:val="0"/>
                  <w:marTop w:val="0"/>
                  <w:marBottom w:val="0"/>
                  <w:divBdr>
                    <w:top w:val="none" w:sz="0" w:space="0" w:color="auto"/>
                    <w:left w:val="none" w:sz="0" w:space="0" w:color="auto"/>
                    <w:bottom w:val="none" w:sz="0" w:space="0" w:color="auto"/>
                    <w:right w:val="none" w:sz="0" w:space="0" w:color="auto"/>
                  </w:divBdr>
                  <w:divsChild>
                    <w:div w:id="551769505">
                      <w:marLeft w:val="0"/>
                      <w:marRight w:val="0"/>
                      <w:marTop w:val="0"/>
                      <w:marBottom w:val="0"/>
                      <w:divBdr>
                        <w:top w:val="none" w:sz="0" w:space="0" w:color="auto"/>
                        <w:left w:val="none" w:sz="0" w:space="0" w:color="auto"/>
                        <w:bottom w:val="none" w:sz="0" w:space="0" w:color="auto"/>
                        <w:right w:val="none" w:sz="0" w:space="0" w:color="auto"/>
                      </w:divBdr>
                    </w:div>
                  </w:divsChild>
                </w:div>
                <w:div w:id="709451527">
                  <w:marLeft w:val="0"/>
                  <w:marRight w:val="0"/>
                  <w:marTop w:val="0"/>
                  <w:marBottom w:val="0"/>
                  <w:divBdr>
                    <w:top w:val="none" w:sz="0" w:space="0" w:color="auto"/>
                    <w:left w:val="none" w:sz="0" w:space="0" w:color="auto"/>
                    <w:bottom w:val="none" w:sz="0" w:space="0" w:color="auto"/>
                    <w:right w:val="none" w:sz="0" w:space="0" w:color="auto"/>
                  </w:divBdr>
                  <w:divsChild>
                    <w:div w:id="622467678">
                      <w:marLeft w:val="0"/>
                      <w:marRight w:val="0"/>
                      <w:marTop w:val="0"/>
                      <w:marBottom w:val="0"/>
                      <w:divBdr>
                        <w:top w:val="none" w:sz="0" w:space="0" w:color="auto"/>
                        <w:left w:val="none" w:sz="0" w:space="0" w:color="auto"/>
                        <w:bottom w:val="none" w:sz="0" w:space="0" w:color="auto"/>
                        <w:right w:val="none" w:sz="0" w:space="0" w:color="auto"/>
                      </w:divBdr>
                    </w:div>
                  </w:divsChild>
                </w:div>
                <w:div w:id="747046224">
                  <w:marLeft w:val="0"/>
                  <w:marRight w:val="0"/>
                  <w:marTop w:val="0"/>
                  <w:marBottom w:val="0"/>
                  <w:divBdr>
                    <w:top w:val="none" w:sz="0" w:space="0" w:color="auto"/>
                    <w:left w:val="none" w:sz="0" w:space="0" w:color="auto"/>
                    <w:bottom w:val="none" w:sz="0" w:space="0" w:color="auto"/>
                    <w:right w:val="none" w:sz="0" w:space="0" w:color="auto"/>
                  </w:divBdr>
                  <w:divsChild>
                    <w:div w:id="1500972173">
                      <w:marLeft w:val="0"/>
                      <w:marRight w:val="0"/>
                      <w:marTop w:val="0"/>
                      <w:marBottom w:val="0"/>
                      <w:divBdr>
                        <w:top w:val="none" w:sz="0" w:space="0" w:color="auto"/>
                        <w:left w:val="none" w:sz="0" w:space="0" w:color="auto"/>
                        <w:bottom w:val="none" w:sz="0" w:space="0" w:color="auto"/>
                        <w:right w:val="none" w:sz="0" w:space="0" w:color="auto"/>
                      </w:divBdr>
                    </w:div>
                  </w:divsChild>
                </w:div>
                <w:div w:id="766081398">
                  <w:marLeft w:val="0"/>
                  <w:marRight w:val="0"/>
                  <w:marTop w:val="0"/>
                  <w:marBottom w:val="0"/>
                  <w:divBdr>
                    <w:top w:val="none" w:sz="0" w:space="0" w:color="auto"/>
                    <w:left w:val="none" w:sz="0" w:space="0" w:color="auto"/>
                    <w:bottom w:val="none" w:sz="0" w:space="0" w:color="auto"/>
                    <w:right w:val="none" w:sz="0" w:space="0" w:color="auto"/>
                  </w:divBdr>
                  <w:divsChild>
                    <w:div w:id="1429539315">
                      <w:marLeft w:val="0"/>
                      <w:marRight w:val="0"/>
                      <w:marTop w:val="0"/>
                      <w:marBottom w:val="0"/>
                      <w:divBdr>
                        <w:top w:val="none" w:sz="0" w:space="0" w:color="auto"/>
                        <w:left w:val="none" w:sz="0" w:space="0" w:color="auto"/>
                        <w:bottom w:val="none" w:sz="0" w:space="0" w:color="auto"/>
                        <w:right w:val="none" w:sz="0" w:space="0" w:color="auto"/>
                      </w:divBdr>
                    </w:div>
                  </w:divsChild>
                </w:div>
                <w:div w:id="829977869">
                  <w:marLeft w:val="0"/>
                  <w:marRight w:val="0"/>
                  <w:marTop w:val="0"/>
                  <w:marBottom w:val="0"/>
                  <w:divBdr>
                    <w:top w:val="none" w:sz="0" w:space="0" w:color="auto"/>
                    <w:left w:val="none" w:sz="0" w:space="0" w:color="auto"/>
                    <w:bottom w:val="none" w:sz="0" w:space="0" w:color="auto"/>
                    <w:right w:val="none" w:sz="0" w:space="0" w:color="auto"/>
                  </w:divBdr>
                  <w:divsChild>
                    <w:div w:id="675035375">
                      <w:marLeft w:val="0"/>
                      <w:marRight w:val="0"/>
                      <w:marTop w:val="0"/>
                      <w:marBottom w:val="0"/>
                      <w:divBdr>
                        <w:top w:val="none" w:sz="0" w:space="0" w:color="auto"/>
                        <w:left w:val="none" w:sz="0" w:space="0" w:color="auto"/>
                        <w:bottom w:val="none" w:sz="0" w:space="0" w:color="auto"/>
                        <w:right w:val="none" w:sz="0" w:space="0" w:color="auto"/>
                      </w:divBdr>
                    </w:div>
                  </w:divsChild>
                </w:div>
                <w:div w:id="860897105">
                  <w:marLeft w:val="0"/>
                  <w:marRight w:val="0"/>
                  <w:marTop w:val="0"/>
                  <w:marBottom w:val="0"/>
                  <w:divBdr>
                    <w:top w:val="none" w:sz="0" w:space="0" w:color="auto"/>
                    <w:left w:val="none" w:sz="0" w:space="0" w:color="auto"/>
                    <w:bottom w:val="none" w:sz="0" w:space="0" w:color="auto"/>
                    <w:right w:val="none" w:sz="0" w:space="0" w:color="auto"/>
                  </w:divBdr>
                  <w:divsChild>
                    <w:div w:id="1318536185">
                      <w:marLeft w:val="0"/>
                      <w:marRight w:val="0"/>
                      <w:marTop w:val="0"/>
                      <w:marBottom w:val="0"/>
                      <w:divBdr>
                        <w:top w:val="none" w:sz="0" w:space="0" w:color="auto"/>
                        <w:left w:val="none" w:sz="0" w:space="0" w:color="auto"/>
                        <w:bottom w:val="none" w:sz="0" w:space="0" w:color="auto"/>
                        <w:right w:val="none" w:sz="0" w:space="0" w:color="auto"/>
                      </w:divBdr>
                    </w:div>
                  </w:divsChild>
                </w:div>
                <w:div w:id="897474675">
                  <w:marLeft w:val="0"/>
                  <w:marRight w:val="0"/>
                  <w:marTop w:val="0"/>
                  <w:marBottom w:val="0"/>
                  <w:divBdr>
                    <w:top w:val="none" w:sz="0" w:space="0" w:color="auto"/>
                    <w:left w:val="none" w:sz="0" w:space="0" w:color="auto"/>
                    <w:bottom w:val="none" w:sz="0" w:space="0" w:color="auto"/>
                    <w:right w:val="none" w:sz="0" w:space="0" w:color="auto"/>
                  </w:divBdr>
                  <w:divsChild>
                    <w:div w:id="2090885792">
                      <w:marLeft w:val="0"/>
                      <w:marRight w:val="0"/>
                      <w:marTop w:val="0"/>
                      <w:marBottom w:val="0"/>
                      <w:divBdr>
                        <w:top w:val="none" w:sz="0" w:space="0" w:color="auto"/>
                        <w:left w:val="none" w:sz="0" w:space="0" w:color="auto"/>
                        <w:bottom w:val="none" w:sz="0" w:space="0" w:color="auto"/>
                        <w:right w:val="none" w:sz="0" w:space="0" w:color="auto"/>
                      </w:divBdr>
                    </w:div>
                  </w:divsChild>
                </w:div>
                <w:div w:id="947158978">
                  <w:marLeft w:val="0"/>
                  <w:marRight w:val="0"/>
                  <w:marTop w:val="0"/>
                  <w:marBottom w:val="0"/>
                  <w:divBdr>
                    <w:top w:val="none" w:sz="0" w:space="0" w:color="auto"/>
                    <w:left w:val="none" w:sz="0" w:space="0" w:color="auto"/>
                    <w:bottom w:val="none" w:sz="0" w:space="0" w:color="auto"/>
                    <w:right w:val="none" w:sz="0" w:space="0" w:color="auto"/>
                  </w:divBdr>
                  <w:divsChild>
                    <w:div w:id="2004506421">
                      <w:marLeft w:val="0"/>
                      <w:marRight w:val="0"/>
                      <w:marTop w:val="0"/>
                      <w:marBottom w:val="0"/>
                      <w:divBdr>
                        <w:top w:val="none" w:sz="0" w:space="0" w:color="auto"/>
                        <w:left w:val="none" w:sz="0" w:space="0" w:color="auto"/>
                        <w:bottom w:val="none" w:sz="0" w:space="0" w:color="auto"/>
                        <w:right w:val="none" w:sz="0" w:space="0" w:color="auto"/>
                      </w:divBdr>
                    </w:div>
                  </w:divsChild>
                </w:div>
                <w:div w:id="951936952">
                  <w:marLeft w:val="0"/>
                  <w:marRight w:val="0"/>
                  <w:marTop w:val="0"/>
                  <w:marBottom w:val="0"/>
                  <w:divBdr>
                    <w:top w:val="none" w:sz="0" w:space="0" w:color="auto"/>
                    <w:left w:val="none" w:sz="0" w:space="0" w:color="auto"/>
                    <w:bottom w:val="none" w:sz="0" w:space="0" w:color="auto"/>
                    <w:right w:val="none" w:sz="0" w:space="0" w:color="auto"/>
                  </w:divBdr>
                  <w:divsChild>
                    <w:div w:id="1253784171">
                      <w:marLeft w:val="0"/>
                      <w:marRight w:val="0"/>
                      <w:marTop w:val="0"/>
                      <w:marBottom w:val="0"/>
                      <w:divBdr>
                        <w:top w:val="none" w:sz="0" w:space="0" w:color="auto"/>
                        <w:left w:val="none" w:sz="0" w:space="0" w:color="auto"/>
                        <w:bottom w:val="none" w:sz="0" w:space="0" w:color="auto"/>
                        <w:right w:val="none" w:sz="0" w:space="0" w:color="auto"/>
                      </w:divBdr>
                    </w:div>
                  </w:divsChild>
                </w:div>
                <w:div w:id="1095327661">
                  <w:marLeft w:val="0"/>
                  <w:marRight w:val="0"/>
                  <w:marTop w:val="0"/>
                  <w:marBottom w:val="0"/>
                  <w:divBdr>
                    <w:top w:val="none" w:sz="0" w:space="0" w:color="auto"/>
                    <w:left w:val="none" w:sz="0" w:space="0" w:color="auto"/>
                    <w:bottom w:val="none" w:sz="0" w:space="0" w:color="auto"/>
                    <w:right w:val="none" w:sz="0" w:space="0" w:color="auto"/>
                  </w:divBdr>
                  <w:divsChild>
                    <w:div w:id="584653150">
                      <w:marLeft w:val="0"/>
                      <w:marRight w:val="0"/>
                      <w:marTop w:val="0"/>
                      <w:marBottom w:val="0"/>
                      <w:divBdr>
                        <w:top w:val="none" w:sz="0" w:space="0" w:color="auto"/>
                        <w:left w:val="none" w:sz="0" w:space="0" w:color="auto"/>
                        <w:bottom w:val="none" w:sz="0" w:space="0" w:color="auto"/>
                        <w:right w:val="none" w:sz="0" w:space="0" w:color="auto"/>
                      </w:divBdr>
                    </w:div>
                  </w:divsChild>
                </w:div>
                <w:div w:id="1109929588">
                  <w:marLeft w:val="0"/>
                  <w:marRight w:val="0"/>
                  <w:marTop w:val="0"/>
                  <w:marBottom w:val="0"/>
                  <w:divBdr>
                    <w:top w:val="none" w:sz="0" w:space="0" w:color="auto"/>
                    <w:left w:val="none" w:sz="0" w:space="0" w:color="auto"/>
                    <w:bottom w:val="none" w:sz="0" w:space="0" w:color="auto"/>
                    <w:right w:val="none" w:sz="0" w:space="0" w:color="auto"/>
                  </w:divBdr>
                  <w:divsChild>
                    <w:div w:id="68121209">
                      <w:marLeft w:val="0"/>
                      <w:marRight w:val="0"/>
                      <w:marTop w:val="0"/>
                      <w:marBottom w:val="0"/>
                      <w:divBdr>
                        <w:top w:val="none" w:sz="0" w:space="0" w:color="auto"/>
                        <w:left w:val="none" w:sz="0" w:space="0" w:color="auto"/>
                        <w:bottom w:val="none" w:sz="0" w:space="0" w:color="auto"/>
                        <w:right w:val="none" w:sz="0" w:space="0" w:color="auto"/>
                      </w:divBdr>
                    </w:div>
                  </w:divsChild>
                </w:div>
                <w:div w:id="1219391716">
                  <w:marLeft w:val="0"/>
                  <w:marRight w:val="0"/>
                  <w:marTop w:val="0"/>
                  <w:marBottom w:val="0"/>
                  <w:divBdr>
                    <w:top w:val="none" w:sz="0" w:space="0" w:color="auto"/>
                    <w:left w:val="none" w:sz="0" w:space="0" w:color="auto"/>
                    <w:bottom w:val="none" w:sz="0" w:space="0" w:color="auto"/>
                    <w:right w:val="none" w:sz="0" w:space="0" w:color="auto"/>
                  </w:divBdr>
                  <w:divsChild>
                    <w:div w:id="1264150247">
                      <w:marLeft w:val="0"/>
                      <w:marRight w:val="0"/>
                      <w:marTop w:val="0"/>
                      <w:marBottom w:val="0"/>
                      <w:divBdr>
                        <w:top w:val="none" w:sz="0" w:space="0" w:color="auto"/>
                        <w:left w:val="none" w:sz="0" w:space="0" w:color="auto"/>
                        <w:bottom w:val="none" w:sz="0" w:space="0" w:color="auto"/>
                        <w:right w:val="none" w:sz="0" w:space="0" w:color="auto"/>
                      </w:divBdr>
                    </w:div>
                  </w:divsChild>
                </w:div>
                <w:div w:id="1234391716">
                  <w:marLeft w:val="0"/>
                  <w:marRight w:val="0"/>
                  <w:marTop w:val="0"/>
                  <w:marBottom w:val="0"/>
                  <w:divBdr>
                    <w:top w:val="none" w:sz="0" w:space="0" w:color="auto"/>
                    <w:left w:val="none" w:sz="0" w:space="0" w:color="auto"/>
                    <w:bottom w:val="none" w:sz="0" w:space="0" w:color="auto"/>
                    <w:right w:val="none" w:sz="0" w:space="0" w:color="auto"/>
                  </w:divBdr>
                  <w:divsChild>
                    <w:div w:id="1091781982">
                      <w:marLeft w:val="0"/>
                      <w:marRight w:val="0"/>
                      <w:marTop w:val="0"/>
                      <w:marBottom w:val="0"/>
                      <w:divBdr>
                        <w:top w:val="none" w:sz="0" w:space="0" w:color="auto"/>
                        <w:left w:val="none" w:sz="0" w:space="0" w:color="auto"/>
                        <w:bottom w:val="none" w:sz="0" w:space="0" w:color="auto"/>
                        <w:right w:val="none" w:sz="0" w:space="0" w:color="auto"/>
                      </w:divBdr>
                    </w:div>
                  </w:divsChild>
                </w:div>
                <w:div w:id="1242719755">
                  <w:marLeft w:val="0"/>
                  <w:marRight w:val="0"/>
                  <w:marTop w:val="0"/>
                  <w:marBottom w:val="0"/>
                  <w:divBdr>
                    <w:top w:val="none" w:sz="0" w:space="0" w:color="auto"/>
                    <w:left w:val="none" w:sz="0" w:space="0" w:color="auto"/>
                    <w:bottom w:val="none" w:sz="0" w:space="0" w:color="auto"/>
                    <w:right w:val="none" w:sz="0" w:space="0" w:color="auto"/>
                  </w:divBdr>
                  <w:divsChild>
                    <w:div w:id="1270963545">
                      <w:marLeft w:val="0"/>
                      <w:marRight w:val="0"/>
                      <w:marTop w:val="0"/>
                      <w:marBottom w:val="0"/>
                      <w:divBdr>
                        <w:top w:val="none" w:sz="0" w:space="0" w:color="auto"/>
                        <w:left w:val="none" w:sz="0" w:space="0" w:color="auto"/>
                        <w:bottom w:val="none" w:sz="0" w:space="0" w:color="auto"/>
                        <w:right w:val="none" w:sz="0" w:space="0" w:color="auto"/>
                      </w:divBdr>
                    </w:div>
                  </w:divsChild>
                </w:div>
                <w:div w:id="1580945915">
                  <w:marLeft w:val="0"/>
                  <w:marRight w:val="0"/>
                  <w:marTop w:val="0"/>
                  <w:marBottom w:val="0"/>
                  <w:divBdr>
                    <w:top w:val="none" w:sz="0" w:space="0" w:color="auto"/>
                    <w:left w:val="none" w:sz="0" w:space="0" w:color="auto"/>
                    <w:bottom w:val="none" w:sz="0" w:space="0" w:color="auto"/>
                    <w:right w:val="none" w:sz="0" w:space="0" w:color="auto"/>
                  </w:divBdr>
                  <w:divsChild>
                    <w:div w:id="1454710745">
                      <w:marLeft w:val="0"/>
                      <w:marRight w:val="0"/>
                      <w:marTop w:val="0"/>
                      <w:marBottom w:val="0"/>
                      <w:divBdr>
                        <w:top w:val="none" w:sz="0" w:space="0" w:color="auto"/>
                        <w:left w:val="none" w:sz="0" w:space="0" w:color="auto"/>
                        <w:bottom w:val="none" w:sz="0" w:space="0" w:color="auto"/>
                        <w:right w:val="none" w:sz="0" w:space="0" w:color="auto"/>
                      </w:divBdr>
                    </w:div>
                  </w:divsChild>
                </w:div>
                <w:div w:id="1588727441">
                  <w:marLeft w:val="0"/>
                  <w:marRight w:val="0"/>
                  <w:marTop w:val="0"/>
                  <w:marBottom w:val="0"/>
                  <w:divBdr>
                    <w:top w:val="none" w:sz="0" w:space="0" w:color="auto"/>
                    <w:left w:val="none" w:sz="0" w:space="0" w:color="auto"/>
                    <w:bottom w:val="none" w:sz="0" w:space="0" w:color="auto"/>
                    <w:right w:val="none" w:sz="0" w:space="0" w:color="auto"/>
                  </w:divBdr>
                  <w:divsChild>
                    <w:div w:id="588344623">
                      <w:marLeft w:val="0"/>
                      <w:marRight w:val="0"/>
                      <w:marTop w:val="0"/>
                      <w:marBottom w:val="0"/>
                      <w:divBdr>
                        <w:top w:val="none" w:sz="0" w:space="0" w:color="auto"/>
                        <w:left w:val="none" w:sz="0" w:space="0" w:color="auto"/>
                        <w:bottom w:val="none" w:sz="0" w:space="0" w:color="auto"/>
                        <w:right w:val="none" w:sz="0" w:space="0" w:color="auto"/>
                      </w:divBdr>
                    </w:div>
                  </w:divsChild>
                </w:div>
                <w:div w:id="1589072877">
                  <w:marLeft w:val="0"/>
                  <w:marRight w:val="0"/>
                  <w:marTop w:val="0"/>
                  <w:marBottom w:val="0"/>
                  <w:divBdr>
                    <w:top w:val="none" w:sz="0" w:space="0" w:color="auto"/>
                    <w:left w:val="none" w:sz="0" w:space="0" w:color="auto"/>
                    <w:bottom w:val="none" w:sz="0" w:space="0" w:color="auto"/>
                    <w:right w:val="none" w:sz="0" w:space="0" w:color="auto"/>
                  </w:divBdr>
                  <w:divsChild>
                    <w:div w:id="825126732">
                      <w:marLeft w:val="0"/>
                      <w:marRight w:val="0"/>
                      <w:marTop w:val="0"/>
                      <w:marBottom w:val="0"/>
                      <w:divBdr>
                        <w:top w:val="none" w:sz="0" w:space="0" w:color="auto"/>
                        <w:left w:val="none" w:sz="0" w:space="0" w:color="auto"/>
                        <w:bottom w:val="none" w:sz="0" w:space="0" w:color="auto"/>
                        <w:right w:val="none" w:sz="0" w:space="0" w:color="auto"/>
                      </w:divBdr>
                    </w:div>
                  </w:divsChild>
                </w:div>
                <w:div w:id="1772121012">
                  <w:marLeft w:val="0"/>
                  <w:marRight w:val="0"/>
                  <w:marTop w:val="0"/>
                  <w:marBottom w:val="0"/>
                  <w:divBdr>
                    <w:top w:val="none" w:sz="0" w:space="0" w:color="auto"/>
                    <w:left w:val="none" w:sz="0" w:space="0" w:color="auto"/>
                    <w:bottom w:val="none" w:sz="0" w:space="0" w:color="auto"/>
                    <w:right w:val="none" w:sz="0" w:space="0" w:color="auto"/>
                  </w:divBdr>
                  <w:divsChild>
                    <w:div w:id="1006134422">
                      <w:marLeft w:val="0"/>
                      <w:marRight w:val="0"/>
                      <w:marTop w:val="0"/>
                      <w:marBottom w:val="0"/>
                      <w:divBdr>
                        <w:top w:val="none" w:sz="0" w:space="0" w:color="auto"/>
                        <w:left w:val="none" w:sz="0" w:space="0" w:color="auto"/>
                        <w:bottom w:val="none" w:sz="0" w:space="0" w:color="auto"/>
                        <w:right w:val="none" w:sz="0" w:space="0" w:color="auto"/>
                      </w:divBdr>
                    </w:div>
                  </w:divsChild>
                </w:div>
                <w:div w:id="1780563896">
                  <w:marLeft w:val="0"/>
                  <w:marRight w:val="0"/>
                  <w:marTop w:val="0"/>
                  <w:marBottom w:val="0"/>
                  <w:divBdr>
                    <w:top w:val="none" w:sz="0" w:space="0" w:color="auto"/>
                    <w:left w:val="none" w:sz="0" w:space="0" w:color="auto"/>
                    <w:bottom w:val="none" w:sz="0" w:space="0" w:color="auto"/>
                    <w:right w:val="none" w:sz="0" w:space="0" w:color="auto"/>
                  </w:divBdr>
                  <w:divsChild>
                    <w:div w:id="754980665">
                      <w:marLeft w:val="0"/>
                      <w:marRight w:val="0"/>
                      <w:marTop w:val="0"/>
                      <w:marBottom w:val="0"/>
                      <w:divBdr>
                        <w:top w:val="none" w:sz="0" w:space="0" w:color="auto"/>
                        <w:left w:val="none" w:sz="0" w:space="0" w:color="auto"/>
                        <w:bottom w:val="none" w:sz="0" w:space="0" w:color="auto"/>
                        <w:right w:val="none" w:sz="0" w:space="0" w:color="auto"/>
                      </w:divBdr>
                    </w:div>
                  </w:divsChild>
                </w:div>
                <w:div w:id="1843544401">
                  <w:marLeft w:val="0"/>
                  <w:marRight w:val="0"/>
                  <w:marTop w:val="0"/>
                  <w:marBottom w:val="0"/>
                  <w:divBdr>
                    <w:top w:val="none" w:sz="0" w:space="0" w:color="auto"/>
                    <w:left w:val="none" w:sz="0" w:space="0" w:color="auto"/>
                    <w:bottom w:val="none" w:sz="0" w:space="0" w:color="auto"/>
                    <w:right w:val="none" w:sz="0" w:space="0" w:color="auto"/>
                  </w:divBdr>
                  <w:divsChild>
                    <w:div w:id="1546600428">
                      <w:marLeft w:val="0"/>
                      <w:marRight w:val="0"/>
                      <w:marTop w:val="0"/>
                      <w:marBottom w:val="0"/>
                      <w:divBdr>
                        <w:top w:val="none" w:sz="0" w:space="0" w:color="auto"/>
                        <w:left w:val="none" w:sz="0" w:space="0" w:color="auto"/>
                        <w:bottom w:val="none" w:sz="0" w:space="0" w:color="auto"/>
                        <w:right w:val="none" w:sz="0" w:space="0" w:color="auto"/>
                      </w:divBdr>
                    </w:div>
                  </w:divsChild>
                </w:div>
                <w:div w:id="1845197559">
                  <w:marLeft w:val="0"/>
                  <w:marRight w:val="0"/>
                  <w:marTop w:val="0"/>
                  <w:marBottom w:val="0"/>
                  <w:divBdr>
                    <w:top w:val="none" w:sz="0" w:space="0" w:color="auto"/>
                    <w:left w:val="none" w:sz="0" w:space="0" w:color="auto"/>
                    <w:bottom w:val="none" w:sz="0" w:space="0" w:color="auto"/>
                    <w:right w:val="none" w:sz="0" w:space="0" w:color="auto"/>
                  </w:divBdr>
                  <w:divsChild>
                    <w:div w:id="106196592">
                      <w:marLeft w:val="0"/>
                      <w:marRight w:val="0"/>
                      <w:marTop w:val="0"/>
                      <w:marBottom w:val="0"/>
                      <w:divBdr>
                        <w:top w:val="none" w:sz="0" w:space="0" w:color="auto"/>
                        <w:left w:val="none" w:sz="0" w:space="0" w:color="auto"/>
                        <w:bottom w:val="none" w:sz="0" w:space="0" w:color="auto"/>
                        <w:right w:val="none" w:sz="0" w:space="0" w:color="auto"/>
                      </w:divBdr>
                    </w:div>
                  </w:divsChild>
                </w:div>
                <w:div w:id="1875071447">
                  <w:marLeft w:val="0"/>
                  <w:marRight w:val="0"/>
                  <w:marTop w:val="0"/>
                  <w:marBottom w:val="0"/>
                  <w:divBdr>
                    <w:top w:val="none" w:sz="0" w:space="0" w:color="auto"/>
                    <w:left w:val="none" w:sz="0" w:space="0" w:color="auto"/>
                    <w:bottom w:val="none" w:sz="0" w:space="0" w:color="auto"/>
                    <w:right w:val="none" w:sz="0" w:space="0" w:color="auto"/>
                  </w:divBdr>
                  <w:divsChild>
                    <w:div w:id="1269393361">
                      <w:marLeft w:val="0"/>
                      <w:marRight w:val="0"/>
                      <w:marTop w:val="0"/>
                      <w:marBottom w:val="0"/>
                      <w:divBdr>
                        <w:top w:val="none" w:sz="0" w:space="0" w:color="auto"/>
                        <w:left w:val="none" w:sz="0" w:space="0" w:color="auto"/>
                        <w:bottom w:val="none" w:sz="0" w:space="0" w:color="auto"/>
                        <w:right w:val="none" w:sz="0" w:space="0" w:color="auto"/>
                      </w:divBdr>
                    </w:div>
                  </w:divsChild>
                </w:div>
                <w:div w:id="2030374005">
                  <w:marLeft w:val="0"/>
                  <w:marRight w:val="0"/>
                  <w:marTop w:val="0"/>
                  <w:marBottom w:val="0"/>
                  <w:divBdr>
                    <w:top w:val="none" w:sz="0" w:space="0" w:color="auto"/>
                    <w:left w:val="none" w:sz="0" w:space="0" w:color="auto"/>
                    <w:bottom w:val="none" w:sz="0" w:space="0" w:color="auto"/>
                    <w:right w:val="none" w:sz="0" w:space="0" w:color="auto"/>
                  </w:divBdr>
                  <w:divsChild>
                    <w:div w:id="1937322905">
                      <w:marLeft w:val="0"/>
                      <w:marRight w:val="0"/>
                      <w:marTop w:val="0"/>
                      <w:marBottom w:val="0"/>
                      <w:divBdr>
                        <w:top w:val="none" w:sz="0" w:space="0" w:color="auto"/>
                        <w:left w:val="none" w:sz="0" w:space="0" w:color="auto"/>
                        <w:bottom w:val="none" w:sz="0" w:space="0" w:color="auto"/>
                        <w:right w:val="none" w:sz="0" w:space="0" w:color="auto"/>
                      </w:divBdr>
                    </w:div>
                  </w:divsChild>
                </w:div>
                <w:div w:id="2048215074">
                  <w:marLeft w:val="0"/>
                  <w:marRight w:val="0"/>
                  <w:marTop w:val="0"/>
                  <w:marBottom w:val="0"/>
                  <w:divBdr>
                    <w:top w:val="none" w:sz="0" w:space="0" w:color="auto"/>
                    <w:left w:val="none" w:sz="0" w:space="0" w:color="auto"/>
                    <w:bottom w:val="none" w:sz="0" w:space="0" w:color="auto"/>
                    <w:right w:val="none" w:sz="0" w:space="0" w:color="auto"/>
                  </w:divBdr>
                  <w:divsChild>
                    <w:div w:id="17422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7035">
          <w:marLeft w:val="0"/>
          <w:marRight w:val="0"/>
          <w:marTop w:val="0"/>
          <w:marBottom w:val="0"/>
          <w:divBdr>
            <w:top w:val="none" w:sz="0" w:space="0" w:color="auto"/>
            <w:left w:val="none" w:sz="0" w:space="0" w:color="auto"/>
            <w:bottom w:val="none" w:sz="0" w:space="0" w:color="auto"/>
            <w:right w:val="none" w:sz="0" w:space="0" w:color="auto"/>
          </w:divBdr>
        </w:div>
        <w:div w:id="789737799">
          <w:marLeft w:val="0"/>
          <w:marRight w:val="0"/>
          <w:marTop w:val="0"/>
          <w:marBottom w:val="0"/>
          <w:divBdr>
            <w:top w:val="none" w:sz="0" w:space="0" w:color="auto"/>
            <w:left w:val="none" w:sz="0" w:space="0" w:color="auto"/>
            <w:bottom w:val="none" w:sz="0" w:space="0" w:color="auto"/>
            <w:right w:val="none" w:sz="0" w:space="0" w:color="auto"/>
          </w:divBdr>
        </w:div>
        <w:div w:id="822307774">
          <w:marLeft w:val="0"/>
          <w:marRight w:val="0"/>
          <w:marTop w:val="0"/>
          <w:marBottom w:val="0"/>
          <w:divBdr>
            <w:top w:val="none" w:sz="0" w:space="0" w:color="auto"/>
            <w:left w:val="none" w:sz="0" w:space="0" w:color="auto"/>
            <w:bottom w:val="none" w:sz="0" w:space="0" w:color="auto"/>
            <w:right w:val="none" w:sz="0" w:space="0" w:color="auto"/>
          </w:divBdr>
        </w:div>
        <w:div w:id="840004731">
          <w:marLeft w:val="0"/>
          <w:marRight w:val="0"/>
          <w:marTop w:val="0"/>
          <w:marBottom w:val="0"/>
          <w:divBdr>
            <w:top w:val="none" w:sz="0" w:space="0" w:color="auto"/>
            <w:left w:val="none" w:sz="0" w:space="0" w:color="auto"/>
            <w:bottom w:val="none" w:sz="0" w:space="0" w:color="auto"/>
            <w:right w:val="none" w:sz="0" w:space="0" w:color="auto"/>
          </w:divBdr>
          <w:divsChild>
            <w:div w:id="1649018815">
              <w:marLeft w:val="0"/>
              <w:marRight w:val="0"/>
              <w:marTop w:val="30"/>
              <w:marBottom w:val="30"/>
              <w:divBdr>
                <w:top w:val="none" w:sz="0" w:space="0" w:color="auto"/>
                <w:left w:val="none" w:sz="0" w:space="0" w:color="auto"/>
                <w:bottom w:val="none" w:sz="0" w:space="0" w:color="auto"/>
                <w:right w:val="none" w:sz="0" w:space="0" w:color="auto"/>
              </w:divBdr>
              <w:divsChild>
                <w:div w:id="30813364">
                  <w:marLeft w:val="0"/>
                  <w:marRight w:val="0"/>
                  <w:marTop w:val="0"/>
                  <w:marBottom w:val="0"/>
                  <w:divBdr>
                    <w:top w:val="none" w:sz="0" w:space="0" w:color="auto"/>
                    <w:left w:val="none" w:sz="0" w:space="0" w:color="auto"/>
                    <w:bottom w:val="none" w:sz="0" w:space="0" w:color="auto"/>
                    <w:right w:val="none" w:sz="0" w:space="0" w:color="auto"/>
                  </w:divBdr>
                  <w:divsChild>
                    <w:div w:id="603533796">
                      <w:marLeft w:val="0"/>
                      <w:marRight w:val="0"/>
                      <w:marTop w:val="0"/>
                      <w:marBottom w:val="0"/>
                      <w:divBdr>
                        <w:top w:val="none" w:sz="0" w:space="0" w:color="auto"/>
                        <w:left w:val="none" w:sz="0" w:space="0" w:color="auto"/>
                        <w:bottom w:val="none" w:sz="0" w:space="0" w:color="auto"/>
                        <w:right w:val="none" w:sz="0" w:space="0" w:color="auto"/>
                      </w:divBdr>
                    </w:div>
                  </w:divsChild>
                </w:div>
                <w:div w:id="221261605">
                  <w:marLeft w:val="0"/>
                  <w:marRight w:val="0"/>
                  <w:marTop w:val="0"/>
                  <w:marBottom w:val="0"/>
                  <w:divBdr>
                    <w:top w:val="none" w:sz="0" w:space="0" w:color="auto"/>
                    <w:left w:val="none" w:sz="0" w:space="0" w:color="auto"/>
                    <w:bottom w:val="none" w:sz="0" w:space="0" w:color="auto"/>
                    <w:right w:val="none" w:sz="0" w:space="0" w:color="auto"/>
                  </w:divBdr>
                  <w:divsChild>
                    <w:div w:id="1607884026">
                      <w:marLeft w:val="0"/>
                      <w:marRight w:val="0"/>
                      <w:marTop w:val="0"/>
                      <w:marBottom w:val="0"/>
                      <w:divBdr>
                        <w:top w:val="none" w:sz="0" w:space="0" w:color="auto"/>
                        <w:left w:val="none" w:sz="0" w:space="0" w:color="auto"/>
                        <w:bottom w:val="none" w:sz="0" w:space="0" w:color="auto"/>
                        <w:right w:val="none" w:sz="0" w:space="0" w:color="auto"/>
                      </w:divBdr>
                    </w:div>
                  </w:divsChild>
                </w:div>
                <w:div w:id="314727861">
                  <w:marLeft w:val="0"/>
                  <w:marRight w:val="0"/>
                  <w:marTop w:val="0"/>
                  <w:marBottom w:val="0"/>
                  <w:divBdr>
                    <w:top w:val="none" w:sz="0" w:space="0" w:color="auto"/>
                    <w:left w:val="none" w:sz="0" w:space="0" w:color="auto"/>
                    <w:bottom w:val="none" w:sz="0" w:space="0" w:color="auto"/>
                    <w:right w:val="none" w:sz="0" w:space="0" w:color="auto"/>
                  </w:divBdr>
                  <w:divsChild>
                    <w:div w:id="633799721">
                      <w:marLeft w:val="0"/>
                      <w:marRight w:val="0"/>
                      <w:marTop w:val="0"/>
                      <w:marBottom w:val="0"/>
                      <w:divBdr>
                        <w:top w:val="none" w:sz="0" w:space="0" w:color="auto"/>
                        <w:left w:val="none" w:sz="0" w:space="0" w:color="auto"/>
                        <w:bottom w:val="none" w:sz="0" w:space="0" w:color="auto"/>
                        <w:right w:val="none" w:sz="0" w:space="0" w:color="auto"/>
                      </w:divBdr>
                    </w:div>
                  </w:divsChild>
                </w:div>
                <w:div w:id="676924738">
                  <w:marLeft w:val="0"/>
                  <w:marRight w:val="0"/>
                  <w:marTop w:val="0"/>
                  <w:marBottom w:val="0"/>
                  <w:divBdr>
                    <w:top w:val="none" w:sz="0" w:space="0" w:color="auto"/>
                    <w:left w:val="none" w:sz="0" w:space="0" w:color="auto"/>
                    <w:bottom w:val="none" w:sz="0" w:space="0" w:color="auto"/>
                    <w:right w:val="none" w:sz="0" w:space="0" w:color="auto"/>
                  </w:divBdr>
                  <w:divsChild>
                    <w:div w:id="1190752538">
                      <w:marLeft w:val="0"/>
                      <w:marRight w:val="0"/>
                      <w:marTop w:val="0"/>
                      <w:marBottom w:val="0"/>
                      <w:divBdr>
                        <w:top w:val="none" w:sz="0" w:space="0" w:color="auto"/>
                        <w:left w:val="none" w:sz="0" w:space="0" w:color="auto"/>
                        <w:bottom w:val="none" w:sz="0" w:space="0" w:color="auto"/>
                        <w:right w:val="none" w:sz="0" w:space="0" w:color="auto"/>
                      </w:divBdr>
                    </w:div>
                  </w:divsChild>
                </w:div>
                <w:div w:id="891693807">
                  <w:marLeft w:val="0"/>
                  <w:marRight w:val="0"/>
                  <w:marTop w:val="0"/>
                  <w:marBottom w:val="0"/>
                  <w:divBdr>
                    <w:top w:val="none" w:sz="0" w:space="0" w:color="auto"/>
                    <w:left w:val="none" w:sz="0" w:space="0" w:color="auto"/>
                    <w:bottom w:val="none" w:sz="0" w:space="0" w:color="auto"/>
                    <w:right w:val="none" w:sz="0" w:space="0" w:color="auto"/>
                  </w:divBdr>
                  <w:divsChild>
                    <w:div w:id="1261252703">
                      <w:marLeft w:val="0"/>
                      <w:marRight w:val="0"/>
                      <w:marTop w:val="0"/>
                      <w:marBottom w:val="0"/>
                      <w:divBdr>
                        <w:top w:val="none" w:sz="0" w:space="0" w:color="auto"/>
                        <w:left w:val="none" w:sz="0" w:space="0" w:color="auto"/>
                        <w:bottom w:val="none" w:sz="0" w:space="0" w:color="auto"/>
                        <w:right w:val="none" w:sz="0" w:space="0" w:color="auto"/>
                      </w:divBdr>
                    </w:div>
                  </w:divsChild>
                </w:div>
                <w:div w:id="1227180366">
                  <w:marLeft w:val="0"/>
                  <w:marRight w:val="0"/>
                  <w:marTop w:val="0"/>
                  <w:marBottom w:val="0"/>
                  <w:divBdr>
                    <w:top w:val="none" w:sz="0" w:space="0" w:color="auto"/>
                    <w:left w:val="none" w:sz="0" w:space="0" w:color="auto"/>
                    <w:bottom w:val="none" w:sz="0" w:space="0" w:color="auto"/>
                    <w:right w:val="none" w:sz="0" w:space="0" w:color="auto"/>
                  </w:divBdr>
                  <w:divsChild>
                    <w:div w:id="1075320095">
                      <w:marLeft w:val="0"/>
                      <w:marRight w:val="0"/>
                      <w:marTop w:val="0"/>
                      <w:marBottom w:val="0"/>
                      <w:divBdr>
                        <w:top w:val="none" w:sz="0" w:space="0" w:color="auto"/>
                        <w:left w:val="none" w:sz="0" w:space="0" w:color="auto"/>
                        <w:bottom w:val="none" w:sz="0" w:space="0" w:color="auto"/>
                        <w:right w:val="none" w:sz="0" w:space="0" w:color="auto"/>
                      </w:divBdr>
                    </w:div>
                  </w:divsChild>
                </w:div>
                <w:div w:id="1441338295">
                  <w:marLeft w:val="0"/>
                  <w:marRight w:val="0"/>
                  <w:marTop w:val="0"/>
                  <w:marBottom w:val="0"/>
                  <w:divBdr>
                    <w:top w:val="none" w:sz="0" w:space="0" w:color="auto"/>
                    <w:left w:val="none" w:sz="0" w:space="0" w:color="auto"/>
                    <w:bottom w:val="none" w:sz="0" w:space="0" w:color="auto"/>
                    <w:right w:val="none" w:sz="0" w:space="0" w:color="auto"/>
                  </w:divBdr>
                  <w:divsChild>
                    <w:div w:id="783499644">
                      <w:marLeft w:val="0"/>
                      <w:marRight w:val="0"/>
                      <w:marTop w:val="0"/>
                      <w:marBottom w:val="0"/>
                      <w:divBdr>
                        <w:top w:val="none" w:sz="0" w:space="0" w:color="auto"/>
                        <w:left w:val="none" w:sz="0" w:space="0" w:color="auto"/>
                        <w:bottom w:val="none" w:sz="0" w:space="0" w:color="auto"/>
                        <w:right w:val="none" w:sz="0" w:space="0" w:color="auto"/>
                      </w:divBdr>
                    </w:div>
                  </w:divsChild>
                </w:div>
                <w:div w:id="1692410580">
                  <w:marLeft w:val="0"/>
                  <w:marRight w:val="0"/>
                  <w:marTop w:val="0"/>
                  <w:marBottom w:val="0"/>
                  <w:divBdr>
                    <w:top w:val="none" w:sz="0" w:space="0" w:color="auto"/>
                    <w:left w:val="none" w:sz="0" w:space="0" w:color="auto"/>
                    <w:bottom w:val="none" w:sz="0" w:space="0" w:color="auto"/>
                    <w:right w:val="none" w:sz="0" w:space="0" w:color="auto"/>
                  </w:divBdr>
                  <w:divsChild>
                    <w:div w:id="1651520688">
                      <w:marLeft w:val="0"/>
                      <w:marRight w:val="0"/>
                      <w:marTop w:val="0"/>
                      <w:marBottom w:val="0"/>
                      <w:divBdr>
                        <w:top w:val="none" w:sz="0" w:space="0" w:color="auto"/>
                        <w:left w:val="none" w:sz="0" w:space="0" w:color="auto"/>
                        <w:bottom w:val="none" w:sz="0" w:space="0" w:color="auto"/>
                        <w:right w:val="none" w:sz="0" w:space="0" w:color="auto"/>
                      </w:divBdr>
                    </w:div>
                  </w:divsChild>
                </w:div>
                <w:div w:id="1800418830">
                  <w:marLeft w:val="0"/>
                  <w:marRight w:val="0"/>
                  <w:marTop w:val="0"/>
                  <w:marBottom w:val="0"/>
                  <w:divBdr>
                    <w:top w:val="none" w:sz="0" w:space="0" w:color="auto"/>
                    <w:left w:val="none" w:sz="0" w:space="0" w:color="auto"/>
                    <w:bottom w:val="none" w:sz="0" w:space="0" w:color="auto"/>
                    <w:right w:val="none" w:sz="0" w:space="0" w:color="auto"/>
                  </w:divBdr>
                  <w:divsChild>
                    <w:div w:id="1428228550">
                      <w:marLeft w:val="0"/>
                      <w:marRight w:val="0"/>
                      <w:marTop w:val="0"/>
                      <w:marBottom w:val="0"/>
                      <w:divBdr>
                        <w:top w:val="none" w:sz="0" w:space="0" w:color="auto"/>
                        <w:left w:val="none" w:sz="0" w:space="0" w:color="auto"/>
                        <w:bottom w:val="none" w:sz="0" w:space="0" w:color="auto"/>
                        <w:right w:val="none" w:sz="0" w:space="0" w:color="auto"/>
                      </w:divBdr>
                    </w:div>
                  </w:divsChild>
                </w:div>
                <w:div w:id="1869760723">
                  <w:marLeft w:val="0"/>
                  <w:marRight w:val="0"/>
                  <w:marTop w:val="0"/>
                  <w:marBottom w:val="0"/>
                  <w:divBdr>
                    <w:top w:val="none" w:sz="0" w:space="0" w:color="auto"/>
                    <w:left w:val="none" w:sz="0" w:space="0" w:color="auto"/>
                    <w:bottom w:val="none" w:sz="0" w:space="0" w:color="auto"/>
                    <w:right w:val="none" w:sz="0" w:space="0" w:color="auto"/>
                  </w:divBdr>
                  <w:divsChild>
                    <w:div w:id="359206485">
                      <w:marLeft w:val="0"/>
                      <w:marRight w:val="0"/>
                      <w:marTop w:val="0"/>
                      <w:marBottom w:val="0"/>
                      <w:divBdr>
                        <w:top w:val="none" w:sz="0" w:space="0" w:color="auto"/>
                        <w:left w:val="none" w:sz="0" w:space="0" w:color="auto"/>
                        <w:bottom w:val="none" w:sz="0" w:space="0" w:color="auto"/>
                        <w:right w:val="none" w:sz="0" w:space="0" w:color="auto"/>
                      </w:divBdr>
                    </w:div>
                    <w:div w:id="647907262">
                      <w:marLeft w:val="0"/>
                      <w:marRight w:val="0"/>
                      <w:marTop w:val="0"/>
                      <w:marBottom w:val="0"/>
                      <w:divBdr>
                        <w:top w:val="none" w:sz="0" w:space="0" w:color="auto"/>
                        <w:left w:val="none" w:sz="0" w:space="0" w:color="auto"/>
                        <w:bottom w:val="none" w:sz="0" w:space="0" w:color="auto"/>
                        <w:right w:val="none" w:sz="0" w:space="0" w:color="auto"/>
                      </w:divBdr>
                    </w:div>
                    <w:div w:id="1075475397">
                      <w:marLeft w:val="0"/>
                      <w:marRight w:val="0"/>
                      <w:marTop w:val="0"/>
                      <w:marBottom w:val="0"/>
                      <w:divBdr>
                        <w:top w:val="none" w:sz="0" w:space="0" w:color="auto"/>
                        <w:left w:val="none" w:sz="0" w:space="0" w:color="auto"/>
                        <w:bottom w:val="none" w:sz="0" w:space="0" w:color="auto"/>
                        <w:right w:val="none" w:sz="0" w:space="0" w:color="auto"/>
                      </w:divBdr>
                    </w:div>
                    <w:div w:id="1646352648">
                      <w:marLeft w:val="0"/>
                      <w:marRight w:val="0"/>
                      <w:marTop w:val="0"/>
                      <w:marBottom w:val="0"/>
                      <w:divBdr>
                        <w:top w:val="none" w:sz="0" w:space="0" w:color="auto"/>
                        <w:left w:val="none" w:sz="0" w:space="0" w:color="auto"/>
                        <w:bottom w:val="none" w:sz="0" w:space="0" w:color="auto"/>
                        <w:right w:val="none" w:sz="0" w:space="0" w:color="auto"/>
                      </w:divBdr>
                    </w:div>
                    <w:div w:id="1844395472">
                      <w:marLeft w:val="0"/>
                      <w:marRight w:val="0"/>
                      <w:marTop w:val="0"/>
                      <w:marBottom w:val="0"/>
                      <w:divBdr>
                        <w:top w:val="none" w:sz="0" w:space="0" w:color="auto"/>
                        <w:left w:val="none" w:sz="0" w:space="0" w:color="auto"/>
                        <w:bottom w:val="none" w:sz="0" w:space="0" w:color="auto"/>
                        <w:right w:val="none" w:sz="0" w:space="0" w:color="auto"/>
                      </w:divBdr>
                    </w:div>
                    <w:div w:id="1884054942">
                      <w:marLeft w:val="0"/>
                      <w:marRight w:val="0"/>
                      <w:marTop w:val="0"/>
                      <w:marBottom w:val="0"/>
                      <w:divBdr>
                        <w:top w:val="none" w:sz="0" w:space="0" w:color="auto"/>
                        <w:left w:val="none" w:sz="0" w:space="0" w:color="auto"/>
                        <w:bottom w:val="none" w:sz="0" w:space="0" w:color="auto"/>
                        <w:right w:val="none" w:sz="0" w:space="0" w:color="auto"/>
                      </w:divBdr>
                    </w:div>
                    <w:div w:id="2107383373">
                      <w:marLeft w:val="0"/>
                      <w:marRight w:val="0"/>
                      <w:marTop w:val="0"/>
                      <w:marBottom w:val="0"/>
                      <w:divBdr>
                        <w:top w:val="none" w:sz="0" w:space="0" w:color="auto"/>
                        <w:left w:val="none" w:sz="0" w:space="0" w:color="auto"/>
                        <w:bottom w:val="none" w:sz="0" w:space="0" w:color="auto"/>
                        <w:right w:val="none" w:sz="0" w:space="0" w:color="auto"/>
                      </w:divBdr>
                    </w:div>
                  </w:divsChild>
                </w:div>
                <w:div w:id="1883595621">
                  <w:marLeft w:val="0"/>
                  <w:marRight w:val="0"/>
                  <w:marTop w:val="0"/>
                  <w:marBottom w:val="0"/>
                  <w:divBdr>
                    <w:top w:val="none" w:sz="0" w:space="0" w:color="auto"/>
                    <w:left w:val="none" w:sz="0" w:space="0" w:color="auto"/>
                    <w:bottom w:val="none" w:sz="0" w:space="0" w:color="auto"/>
                    <w:right w:val="none" w:sz="0" w:space="0" w:color="auto"/>
                  </w:divBdr>
                  <w:divsChild>
                    <w:div w:id="2099515599">
                      <w:marLeft w:val="0"/>
                      <w:marRight w:val="0"/>
                      <w:marTop w:val="0"/>
                      <w:marBottom w:val="0"/>
                      <w:divBdr>
                        <w:top w:val="none" w:sz="0" w:space="0" w:color="auto"/>
                        <w:left w:val="none" w:sz="0" w:space="0" w:color="auto"/>
                        <w:bottom w:val="none" w:sz="0" w:space="0" w:color="auto"/>
                        <w:right w:val="none" w:sz="0" w:space="0" w:color="auto"/>
                      </w:divBdr>
                    </w:div>
                  </w:divsChild>
                </w:div>
                <w:div w:id="1902979270">
                  <w:marLeft w:val="0"/>
                  <w:marRight w:val="0"/>
                  <w:marTop w:val="0"/>
                  <w:marBottom w:val="0"/>
                  <w:divBdr>
                    <w:top w:val="none" w:sz="0" w:space="0" w:color="auto"/>
                    <w:left w:val="none" w:sz="0" w:space="0" w:color="auto"/>
                    <w:bottom w:val="none" w:sz="0" w:space="0" w:color="auto"/>
                    <w:right w:val="none" w:sz="0" w:space="0" w:color="auto"/>
                  </w:divBdr>
                  <w:divsChild>
                    <w:div w:id="730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666">
          <w:marLeft w:val="0"/>
          <w:marRight w:val="0"/>
          <w:marTop w:val="0"/>
          <w:marBottom w:val="0"/>
          <w:divBdr>
            <w:top w:val="none" w:sz="0" w:space="0" w:color="auto"/>
            <w:left w:val="none" w:sz="0" w:space="0" w:color="auto"/>
            <w:bottom w:val="none" w:sz="0" w:space="0" w:color="auto"/>
            <w:right w:val="none" w:sz="0" w:space="0" w:color="auto"/>
          </w:divBdr>
          <w:divsChild>
            <w:div w:id="180246595">
              <w:marLeft w:val="0"/>
              <w:marRight w:val="0"/>
              <w:marTop w:val="0"/>
              <w:marBottom w:val="0"/>
              <w:divBdr>
                <w:top w:val="none" w:sz="0" w:space="0" w:color="auto"/>
                <w:left w:val="none" w:sz="0" w:space="0" w:color="auto"/>
                <w:bottom w:val="none" w:sz="0" w:space="0" w:color="auto"/>
                <w:right w:val="none" w:sz="0" w:space="0" w:color="auto"/>
              </w:divBdr>
            </w:div>
            <w:div w:id="573131034">
              <w:marLeft w:val="0"/>
              <w:marRight w:val="0"/>
              <w:marTop w:val="0"/>
              <w:marBottom w:val="0"/>
              <w:divBdr>
                <w:top w:val="none" w:sz="0" w:space="0" w:color="auto"/>
                <w:left w:val="none" w:sz="0" w:space="0" w:color="auto"/>
                <w:bottom w:val="none" w:sz="0" w:space="0" w:color="auto"/>
                <w:right w:val="none" w:sz="0" w:space="0" w:color="auto"/>
              </w:divBdr>
            </w:div>
            <w:div w:id="971446034">
              <w:marLeft w:val="0"/>
              <w:marRight w:val="0"/>
              <w:marTop w:val="0"/>
              <w:marBottom w:val="0"/>
              <w:divBdr>
                <w:top w:val="none" w:sz="0" w:space="0" w:color="auto"/>
                <w:left w:val="none" w:sz="0" w:space="0" w:color="auto"/>
                <w:bottom w:val="none" w:sz="0" w:space="0" w:color="auto"/>
                <w:right w:val="none" w:sz="0" w:space="0" w:color="auto"/>
              </w:divBdr>
            </w:div>
            <w:div w:id="1338575148">
              <w:marLeft w:val="0"/>
              <w:marRight w:val="0"/>
              <w:marTop w:val="0"/>
              <w:marBottom w:val="0"/>
              <w:divBdr>
                <w:top w:val="none" w:sz="0" w:space="0" w:color="auto"/>
                <w:left w:val="none" w:sz="0" w:space="0" w:color="auto"/>
                <w:bottom w:val="none" w:sz="0" w:space="0" w:color="auto"/>
                <w:right w:val="none" w:sz="0" w:space="0" w:color="auto"/>
              </w:divBdr>
            </w:div>
            <w:div w:id="1597245294">
              <w:marLeft w:val="0"/>
              <w:marRight w:val="0"/>
              <w:marTop w:val="0"/>
              <w:marBottom w:val="0"/>
              <w:divBdr>
                <w:top w:val="none" w:sz="0" w:space="0" w:color="auto"/>
                <w:left w:val="none" w:sz="0" w:space="0" w:color="auto"/>
                <w:bottom w:val="none" w:sz="0" w:space="0" w:color="auto"/>
                <w:right w:val="none" w:sz="0" w:space="0" w:color="auto"/>
              </w:divBdr>
            </w:div>
            <w:div w:id="1712919652">
              <w:marLeft w:val="0"/>
              <w:marRight w:val="0"/>
              <w:marTop w:val="0"/>
              <w:marBottom w:val="0"/>
              <w:divBdr>
                <w:top w:val="none" w:sz="0" w:space="0" w:color="auto"/>
                <w:left w:val="none" w:sz="0" w:space="0" w:color="auto"/>
                <w:bottom w:val="none" w:sz="0" w:space="0" w:color="auto"/>
                <w:right w:val="none" w:sz="0" w:space="0" w:color="auto"/>
              </w:divBdr>
            </w:div>
            <w:div w:id="1833062608">
              <w:marLeft w:val="0"/>
              <w:marRight w:val="0"/>
              <w:marTop w:val="0"/>
              <w:marBottom w:val="0"/>
              <w:divBdr>
                <w:top w:val="none" w:sz="0" w:space="0" w:color="auto"/>
                <w:left w:val="none" w:sz="0" w:space="0" w:color="auto"/>
                <w:bottom w:val="none" w:sz="0" w:space="0" w:color="auto"/>
                <w:right w:val="none" w:sz="0" w:space="0" w:color="auto"/>
              </w:divBdr>
            </w:div>
            <w:div w:id="1920944015">
              <w:marLeft w:val="0"/>
              <w:marRight w:val="0"/>
              <w:marTop w:val="0"/>
              <w:marBottom w:val="0"/>
              <w:divBdr>
                <w:top w:val="none" w:sz="0" w:space="0" w:color="auto"/>
                <w:left w:val="none" w:sz="0" w:space="0" w:color="auto"/>
                <w:bottom w:val="none" w:sz="0" w:space="0" w:color="auto"/>
                <w:right w:val="none" w:sz="0" w:space="0" w:color="auto"/>
              </w:divBdr>
            </w:div>
          </w:divsChild>
        </w:div>
        <w:div w:id="920138534">
          <w:marLeft w:val="0"/>
          <w:marRight w:val="0"/>
          <w:marTop w:val="0"/>
          <w:marBottom w:val="0"/>
          <w:divBdr>
            <w:top w:val="none" w:sz="0" w:space="0" w:color="auto"/>
            <w:left w:val="none" w:sz="0" w:space="0" w:color="auto"/>
            <w:bottom w:val="none" w:sz="0" w:space="0" w:color="auto"/>
            <w:right w:val="none" w:sz="0" w:space="0" w:color="auto"/>
          </w:divBdr>
        </w:div>
        <w:div w:id="1011448745">
          <w:marLeft w:val="0"/>
          <w:marRight w:val="0"/>
          <w:marTop w:val="0"/>
          <w:marBottom w:val="0"/>
          <w:divBdr>
            <w:top w:val="none" w:sz="0" w:space="0" w:color="auto"/>
            <w:left w:val="none" w:sz="0" w:space="0" w:color="auto"/>
            <w:bottom w:val="none" w:sz="0" w:space="0" w:color="auto"/>
            <w:right w:val="none" w:sz="0" w:space="0" w:color="auto"/>
          </w:divBdr>
        </w:div>
        <w:div w:id="1066299193">
          <w:marLeft w:val="0"/>
          <w:marRight w:val="0"/>
          <w:marTop w:val="0"/>
          <w:marBottom w:val="0"/>
          <w:divBdr>
            <w:top w:val="none" w:sz="0" w:space="0" w:color="auto"/>
            <w:left w:val="none" w:sz="0" w:space="0" w:color="auto"/>
            <w:bottom w:val="none" w:sz="0" w:space="0" w:color="auto"/>
            <w:right w:val="none" w:sz="0" w:space="0" w:color="auto"/>
          </w:divBdr>
          <w:divsChild>
            <w:div w:id="14162241">
              <w:marLeft w:val="0"/>
              <w:marRight w:val="0"/>
              <w:marTop w:val="0"/>
              <w:marBottom w:val="0"/>
              <w:divBdr>
                <w:top w:val="none" w:sz="0" w:space="0" w:color="auto"/>
                <w:left w:val="none" w:sz="0" w:space="0" w:color="auto"/>
                <w:bottom w:val="none" w:sz="0" w:space="0" w:color="auto"/>
                <w:right w:val="none" w:sz="0" w:space="0" w:color="auto"/>
              </w:divBdr>
            </w:div>
            <w:div w:id="911887818">
              <w:marLeft w:val="0"/>
              <w:marRight w:val="0"/>
              <w:marTop w:val="0"/>
              <w:marBottom w:val="0"/>
              <w:divBdr>
                <w:top w:val="none" w:sz="0" w:space="0" w:color="auto"/>
                <w:left w:val="none" w:sz="0" w:space="0" w:color="auto"/>
                <w:bottom w:val="none" w:sz="0" w:space="0" w:color="auto"/>
                <w:right w:val="none" w:sz="0" w:space="0" w:color="auto"/>
              </w:divBdr>
            </w:div>
            <w:div w:id="1189949029">
              <w:marLeft w:val="0"/>
              <w:marRight w:val="0"/>
              <w:marTop w:val="0"/>
              <w:marBottom w:val="0"/>
              <w:divBdr>
                <w:top w:val="none" w:sz="0" w:space="0" w:color="auto"/>
                <w:left w:val="none" w:sz="0" w:space="0" w:color="auto"/>
                <w:bottom w:val="none" w:sz="0" w:space="0" w:color="auto"/>
                <w:right w:val="none" w:sz="0" w:space="0" w:color="auto"/>
              </w:divBdr>
            </w:div>
            <w:div w:id="1500459938">
              <w:marLeft w:val="0"/>
              <w:marRight w:val="0"/>
              <w:marTop w:val="0"/>
              <w:marBottom w:val="0"/>
              <w:divBdr>
                <w:top w:val="none" w:sz="0" w:space="0" w:color="auto"/>
                <w:left w:val="none" w:sz="0" w:space="0" w:color="auto"/>
                <w:bottom w:val="none" w:sz="0" w:space="0" w:color="auto"/>
                <w:right w:val="none" w:sz="0" w:space="0" w:color="auto"/>
              </w:divBdr>
            </w:div>
            <w:div w:id="1564289389">
              <w:marLeft w:val="0"/>
              <w:marRight w:val="0"/>
              <w:marTop w:val="0"/>
              <w:marBottom w:val="0"/>
              <w:divBdr>
                <w:top w:val="none" w:sz="0" w:space="0" w:color="auto"/>
                <w:left w:val="none" w:sz="0" w:space="0" w:color="auto"/>
                <w:bottom w:val="none" w:sz="0" w:space="0" w:color="auto"/>
                <w:right w:val="none" w:sz="0" w:space="0" w:color="auto"/>
              </w:divBdr>
            </w:div>
            <w:div w:id="1662394087">
              <w:marLeft w:val="0"/>
              <w:marRight w:val="0"/>
              <w:marTop w:val="0"/>
              <w:marBottom w:val="0"/>
              <w:divBdr>
                <w:top w:val="none" w:sz="0" w:space="0" w:color="auto"/>
                <w:left w:val="none" w:sz="0" w:space="0" w:color="auto"/>
                <w:bottom w:val="none" w:sz="0" w:space="0" w:color="auto"/>
                <w:right w:val="none" w:sz="0" w:space="0" w:color="auto"/>
              </w:divBdr>
            </w:div>
            <w:div w:id="1704019374">
              <w:marLeft w:val="0"/>
              <w:marRight w:val="0"/>
              <w:marTop w:val="0"/>
              <w:marBottom w:val="0"/>
              <w:divBdr>
                <w:top w:val="none" w:sz="0" w:space="0" w:color="auto"/>
                <w:left w:val="none" w:sz="0" w:space="0" w:color="auto"/>
                <w:bottom w:val="none" w:sz="0" w:space="0" w:color="auto"/>
                <w:right w:val="none" w:sz="0" w:space="0" w:color="auto"/>
              </w:divBdr>
            </w:div>
            <w:div w:id="1761289735">
              <w:marLeft w:val="0"/>
              <w:marRight w:val="0"/>
              <w:marTop w:val="0"/>
              <w:marBottom w:val="0"/>
              <w:divBdr>
                <w:top w:val="none" w:sz="0" w:space="0" w:color="auto"/>
                <w:left w:val="none" w:sz="0" w:space="0" w:color="auto"/>
                <w:bottom w:val="none" w:sz="0" w:space="0" w:color="auto"/>
                <w:right w:val="none" w:sz="0" w:space="0" w:color="auto"/>
              </w:divBdr>
            </w:div>
          </w:divsChild>
        </w:div>
        <w:div w:id="1077288786">
          <w:marLeft w:val="0"/>
          <w:marRight w:val="0"/>
          <w:marTop w:val="0"/>
          <w:marBottom w:val="0"/>
          <w:divBdr>
            <w:top w:val="none" w:sz="0" w:space="0" w:color="auto"/>
            <w:left w:val="none" w:sz="0" w:space="0" w:color="auto"/>
            <w:bottom w:val="none" w:sz="0" w:space="0" w:color="auto"/>
            <w:right w:val="none" w:sz="0" w:space="0" w:color="auto"/>
          </w:divBdr>
        </w:div>
        <w:div w:id="1113212781">
          <w:marLeft w:val="0"/>
          <w:marRight w:val="0"/>
          <w:marTop w:val="0"/>
          <w:marBottom w:val="0"/>
          <w:divBdr>
            <w:top w:val="none" w:sz="0" w:space="0" w:color="auto"/>
            <w:left w:val="none" w:sz="0" w:space="0" w:color="auto"/>
            <w:bottom w:val="none" w:sz="0" w:space="0" w:color="auto"/>
            <w:right w:val="none" w:sz="0" w:space="0" w:color="auto"/>
          </w:divBdr>
        </w:div>
        <w:div w:id="1123615098">
          <w:marLeft w:val="0"/>
          <w:marRight w:val="0"/>
          <w:marTop w:val="0"/>
          <w:marBottom w:val="0"/>
          <w:divBdr>
            <w:top w:val="none" w:sz="0" w:space="0" w:color="auto"/>
            <w:left w:val="none" w:sz="0" w:space="0" w:color="auto"/>
            <w:bottom w:val="none" w:sz="0" w:space="0" w:color="auto"/>
            <w:right w:val="none" w:sz="0" w:space="0" w:color="auto"/>
          </w:divBdr>
        </w:div>
        <w:div w:id="1146779007">
          <w:marLeft w:val="0"/>
          <w:marRight w:val="0"/>
          <w:marTop w:val="0"/>
          <w:marBottom w:val="0"/>
          <w:divBdr>
            <w:top w:val="none" w:sz="0" w:space="0" w:color="auto"/>
            <w:left w:val="none" w:sz="0" w:space="0" w:color="auto"/>
            <w:bottom w:val="none" w:sz="0" w:space="0" w:color="auto"/>
            <w:right w:val="none" w:sz="0" w:space="0" w:color="auto"/>
          </w:divBdr>
        </w:div>
        <w:div w:id="1338966179">
          <w:marLeft w:val="0"/>
          <w:marRight w:val="0"/>
          <w:marTop w:val="0"/>
          <w:marBottom w:val="0"/>
          <w:divBdr>
            <w:top w:val="none" w:sz="0" w:space="0" w:color="auto"/>
            <w:left w:val="none" w:sz="0" w:space="0" w:color="auto"/>
            <w:bottom w:val="none" w:sz="0" w:space="0" w:color="auto"/>
            <w:right w:val="none" w:sz="0" w:space="0" w:color="auto"/>
          </w:divBdr>
        </w:div>
        <w:div w:id="1436100155">
          <w:marLeft w:val="0"/>
          <w:marRight w:val="0"/>
          <w:marTop w:val="0"/>
          <w:marBottom w:val="0"/>
          <w:divBdr>
            <w:top w:val="none" w:sz="0" w:space="0" w:color="auto"/>
            <w:left w:val="none" w:sz="0" w:space="0" w:color="auto"/>
            <w:bottom w:val="none" w:sz="0" w:space="0" w:color="auto"/>
            <w:right w:val="none" w:sz="0" w:space="0" w:color="auto"/>
          </w:divBdr>
        </w:div>
        <w:div w:id="1470584988">
          <w:marLeft w:val="0"/>
          <w:marRight w:val="0"/>
          <w:marTop w:val="0"/>
          <w:marBottom w:val="0"/>
          <w:divBdr>
            <w:top w:val="none" w:sz="0" w:space="0" w:color="auto"/>
            <w:left w:val="none" w:sz="0" w:space="0" w:color="auto"/>
            <w:bottom w:val="none" w:sz="0" w:space="0" w:color="auto"/>
            <w:right w:val="none" w:sz="0" w:space="0" w:color="auto"/>
          </w:divBdr>
        </w:div>
        <w:div w:id="1477526422">
          <w:marLeft w:val="0"/>
          <w:marRight w:val="0"/>
          <w:marTop w:val="0"/>
          <w:marBottom w:val="0"/>
          <w:divBdr>
            <w:top w:val="none" w:sz="0" w:space="0" w:color="auto"/>
            <w:left w:val="none" w:sz="0" w:space="0" w:color="auto"/>
            <w:bottom w:val="none" w:sz="0" w:space="0" w:color="auto"/>
            <w:right w:val="none" w:sz="0" w:space="0" w:color="auto"/>
          </w:divBdr>
          <w:divsChild>
            <w:div w:id="12536817">
              <w:marLeft w:val="0"/>
              <w:marRight w:val="0"/>
              <w:marTop w:val="0"/>
              <w:marBottom w:val="0"/>
              <w:divBdr>
                <w:top w:val="none" w:sz="0" w:space="0" w:color="auto"/>
                <w:left w:val="none" w:sz="0" w:space="0" w:color="auto"/>
                <w:bottom w:val="none" w:sz="0" w:space="0" w:color="auto"/>
                <w:right w:val="none" w:sz="0" w:space="0" w:color="auto"/>
              </w:divBdr>
            </w:div>
            <w:div w:id="158665683">
              <w:marLeft w:val="0"/>
              <w:marRight w:val="0"/>
              <w:marTop w:val="0"/>
              <w:marBottom w:val="0"/>
              <w:divBdr>
                <w:top w:val="none" w:sz="0" w:space="0" w:color="auto"/>
                <w:left w:val="none" w:sz="0" w:space="0" w:color="auto"/>
                <w:bottom w:val="none" w:sz="0" w:space="0" w:color="auto"/>
                <w:right w:val="none" w:sz="0" w:space="0" w:color="auto"/>
              </w:divBdr>
            </w:div>
            <w:div w:id="215245057">
              <w:marLeft w:val="0"/>
              <w:marRight w:val="0"/>
              <w:marTop w:val="0"/>
              <w:marBottom w:val="0"/>
              <w:divBdr>
                <w:top w:val="none" w:sz="0" w:space="0" w:color="auto"/>
                <w:left w:val="none" w:sz="0" w:space="0" w:color="auto"/>
                <w:bottom w:val="none" w:sz="0" w:space="0" w:color="auto"/>
                <w:right w:val="none" w:sz="0" w:space="0" w:color="auto"/>
              </w:divBdr>
            </w:div>
            <w:div w:id="323902601">
              <w:marLeft w:val="0"/>
              <w:marRight w:val="0"/>
              <w:marTop w:val="0"/>
              <w:marBottom w:val="0"/>
              <w:divBdr>
                <w:top w:val="none" w:sz="0" w:space="0" w:color="auto"/>
                <w:left w:val="none" w:sz="0" w:space="0" w:color="auto"/>
                <w:bottom w:val="none" w:sz="0" w:space="0" w:color="auto"/>
                <w:right w:val="none" w:sz="0" w:space="0" w:color="auto"/>
              </w:divBdr>
            </w:div>
            <w:div w:id="348920609">
              <w:marLeft w:val="0"/>
              <w:marRight w:val="0"/>
              <w:marTop w:val="0"/>
              <w:marBottom w:val="0"/>
              <w:divBdr>
                <w:top w:val="none" w:sz="0" w:space="0" w:color="auto"/>
                <w:left w:val="none" w:sz="0" w:space="0" w:color="auto"/>
                <w:bottom w:val="none" w:sz="0" w:space="0" w:color="auto"/>
                <w:right w:val="none" w:sz="0" w:space="0" w:color="auto"/>
              </w:divBdr>
            </w:div>
            <w:div w:id="432482887">
              <w:marLeft w:val="0"/>
              <w:marRight w:val="0"/>
              <w:marTop w:val="0"/>
              <w:marBottom w:val="0"/>
              <w:divBdr>
                <w:top w:val="none" w:sz="0" w:space="0" w:color="auto"/>
                <w:left w:val="none" w:sz="0" w:space="0" w:color="auto"/>
                <w:bottom w:val="none" w:sz="0" w:space="0" w:color="auto"/>
                <w:right w:val="none" w:sz="0" w:space="0" w:color="auto"/>
              </w:divBdr>
            </w:div>
            <w:div w:id="489029755">
              <w:marLeft w:val="0"/>
              <w:marRight w:val="0"/>
              <w:marTop w:val="0"/>
              <w:marBottom w:val="0"/>
              <w:divBdr>
                <w:top w:val="none" w:sz="0" w:space="0" w:color="auto"/>
                <w:left w:val="none" w:sz="0" w:space="0" w:color="auto"/>
                <w:bottom w:val="none" w:sz="0" w:space="0" w:color="auto"/>
                <w:right w:val="none" w:sz="0" w:space="0" w:color="auto"/>
              </w:divBdr>
            </w:div>
            <w:div w:id="693388125">
              <w:marLeft w:val="0"/>
              <w:marRight w:val="0"/>
              <w:marTop w:val="0"/>
              <w:marBottom w:val="0"/>
              <w:divBdr>
                <w:top w:val="none" w:sz="0" w:space="0" w:color="auto"/>
                <w:left w:val="none" w:sz="0" w:space="0" w:color="auto"/>
                <w:bottom w:val="none" w:sz="0" w:space="0" w:color="auto"/>
                <w:right w:val="none" w:sz="0" w:space="0" w:color="auto"/>
              </w:divBdr>
            </w:div>
            <w:div w:id="722483118">
              <w:marLeft w:val="0"/>
              <w:marRight w:val="0"/>
              <w:marTop w:val="0"/>
              <w:marBottom w:val="0"/>
              <w:divBdr>
                <w:top w:val="none" w:sz="0" w:space="0" w:color="auto"/>
                <w:left w:val="none" w:sz="0" w:space="0" w:color="auto"/>
                <w:bottom w:val="none" w:sz="0" w:space="0" w:color="auto"/>
                <w:right w:val="none" w:sz="0" w:space="0" w:color="auto"/>
              </w:divBdr>
            </w:div>
            <w:div w:id="1715349097">
              <w:marLeft w:val="0"/>
              <w:marRight w:val="0"/>
              <w:marTop w:val="0"/>
              <w:marBottom w:val="0"/>
              <w:divBdr>
                <w:top w:val="none" w:sz="0" w:space="0" w:color="auto"/>
                <w:left w:val="none" w:sz="0" w:space="0" w:color="auto"/>
                <w:bottom w:val="none" w:sz="0" w:space="0" w:color="auto"/>
                <w:right w:val="none" w:sz="0" w:space="0" w:color="auto"/>
              </w:divBdr>
            </w:div>
            <w:div w:id="1896232278">
              <w:marLeft w:val="0"/>
              <w:marRight w:val="0"/>
              <w:marTop w:val="0"/>
              <w:marBottom w:val="0"/>
              <w:divBdr>
                <w:top w:val="none" w:sz="0" w:space="0" w:color="auto"/>
                <w:left w:val="none" w:sz="0" w:space="0" w:color="auto"/>
                <w:bottom w:val="none" w:sz="0" w:space="0" w:color="auto"/>
                <w:right w:val="none" w:sz="0" w:space="0" w:color="auto"/>
              </w:divBdr>
            </w:div>
            <w:div w:id="2104689794">
              <w:marLeft w:val="0"/>
              <w:marRight w:val="0"/>
              <w:marTop w:val="0"/>
              <w:marBottom w:val="0"/>
              <w:divBdr>
                <w:top w:val="none" w:sz="0" w:space="0" w:color="auto"/>
                <w:left w:val="none" w:sz="0" w:space="0" w:color="auto"/>
                <w:bottom w:val="none" w:sz="0" w:space="0" w:color="auto"/>
                <w:right w:val="none" w:sz="0" w:space="0" w:color="auto"/>
              </w:divBdr>
            </w:div>
          </w:divsChild>
        </w:div>
        <w:div w:id="1499467704">
          <w:marLeft w:val="0"/>
          <w:marRight w:val="0"/>
          <w:marTop w:val="0"/>
          <w:marBottom w:val="0"/>
          <w:divBdr>
            <w:top w:val="none" w:sz="0" w:space="0" w:color="auto"/>
            <w:left w:val="none" w:sz="0" w:space="0" w:color="auto"/>
            <w:bottom w:val="none" w:sz="0" w:space="0" w:color="auto"/>
            <w:right w:val="none" w:sz="0" w:space="0" w:color="auto"/>
          </w:divBdr>
          <w:divsChild>
            <w:div w:id="43407565">
              <w:marLeft w:val="0"/>
              <w:marRight w:val="0"/>
              <w:marTop w:val="0"/>
              <w:marBottom w:val="0"/>
              <w:divBdr>
                <w:top w:val="none" w:sz="0" w:space="0" w:color="auto"/>
                <w:left w:val="none" w:sz="0" w:space="0" w:color="auto"/>
                <w:bottom w:val="none" w:sz="0" w:space="0" w:color="auto"/>
                <w:right w:val="none" w:sz="0" w:space="0" w:color="auto"/>
              </w:divBdr>
            </w:div>
            <w:div w:id="175925583">
              <w:marLeft w:val="0"/>
              <w:marRight w:val="0"/>
              <w:marTop w:val="0"/>
              <w:marBottom w:val="0"/>
              <w:divBdr>
                <w:top w:val="none" w:sz="0" w:space="0" w:color="auto"/>
                <w:left w:val="none" w:sz="0" w:space="0" w:color="auto"/>
                <w:bottom w:val="none" w:sz="0" w:space="0" w:color="auto"/>
                <w:right w:val="none" w:sz="0" w:space="0" w:color="auto"/>
              </w:divBdr>
            </w:div>
            <w:div w:id="266818934">
              <w:marLeft w:val="0"/>
              <w:marRight w:val="0"/>
              <w:marTop w:val="0"/>
              <w:marBottom w:val="0"/>
              <w:divBdr>
                <w:top w:val="none" w:sz="0" w:space="0" w:color="auto"/>
                <w:left w:val="none" w:sz="0" w:space="0" w:color="auto"/>
                <w:bottom w:val="none" w:sz="0" w:space="0" w:color="auto"/>
                <w:right w:val="none" w:sz="0" w:space="0" w:color="auto"/>
              </w:divBdr>
            </w:div>
            <w:div w:id="318073500">
              <w:marLeft w:val="0"/>
              <w:marRight w:val="0"/>
              <w:marTop w:val="0"/>
              <w:marBottom w:val="0"/>
              <w:divBdr>
                <w:top w:val="none" w:sz="0" w:space="0" w:color="auto"/>
                <w:left w:val="none" w:sz="0" w:space="0" w:color="auto"/>
                <w:bottom w:val="none" w:sz="0" w:space="0" w:color="auto"/>
                <w:right w:val="none" w:sz="0" w:space="0" w:color="auto"/>
              </w:divBdr>
            </w:div>
            <w:div w:id="608513072">
              <w:marLeft w:val="0"/>
              <w:marRight w:val="0"/>
              <w:marTop w:val="0"/>
              <w:marBottom w:val="0"/>
              <w:divBdr>
                <w:top w:val="none" w:sz="0" w:space="0" w:color="auto"/>
                <w:left w:val="none" w:sz="0" w:space="0" w:color="auto"/>
                <w:bottom w:val="none" w:sz="0" w:space="0" w:color="auto"/>
                <w:right w:val="none" w:sz="0" w:space="0" w:color="auto"/>
              </w:divBdr>
            </w:div>
            <w:div w:id="695160313">
              <w:marLeft w:val="0"/>
              <w:marRight w:val="0"/>
              <w:marTop w:val="0"/>
              <w:marBottom w:val="0"/>
              <w:divBdr>
                <w:top w:val="none" w:sz="0" w:space="0" w:color="auto"/>
                <w:left w:val="none" w:sz="0" w:space="0" w:color="auto"/>
                <w:bottom w:val="none" w:sz="0" w:space="0" w:color="auto"/>
                <w:right w:val="none" w:sz="0" w:space="0" w:color="auto"/>
              </w:divBdr>
            </w:div>
            <w:div w:id="698169342">
              <w:marLeft w:val="0"/>
              <w:marRight w:val="0"/>
              <w:marTop w:val="0"/>
              <w:marBottom w:val="0"/>
              <w:divBdr>
                <w:top w:val="none" w:sz="0" w:space="0" w:color="auto"/>
                <w:left w:val="none" w:sz="0" w:space="0" w:color="auto"/>
                <w:bottom w:val="none" w:sz="0" w:space="0" w:color="auto"/>
                <w:right w:val="none" w:sz="0" w:space="0" w:color="auto"/>
              </w:divBdr>
            </w:div>
            <w:div w:id="1007484933">
              <w:marLeft w:val="0"/>
              <w:marRight w:val="0"/>
              <w:marTop w:val="0"/>
              <w:marBottom w:val="0"/>
              <w:divBdr>
                <w:top w:val="none" w:sz="0" w:space="0" w:color="auto"/>
                <w:left w:val="none" w:sz="0" w:space="0" w:color="auto"/>
                <w:bottom w:val="none" w:sz="0" w:space="0" w:color="auto"/>
                <w:right w:val="none" w:sz="0" w:space="0" w:color="auto"/>
              </w:divBdr>
            </w:div>
            <w:div w:id="1323194181">
              <w:marLeft w:val="0"/>
              <w:marRight w:val="0"/>
              <w:marTop w:val="0"/>
              <w:marBottom w:val="0"/>
              <w:divBdr>
                <w:top w:val="none" w:sz="0" w:space="0" w:color="auto"/>
                <w:left w:val="none" w:sz="0" w:space="0" w:color="auto"/>
                <w:bottom w:val="none" w:sz="0" w:space="0" w:color="auto"/>
                <w:right w:val="none" w:sz="0" w:space="0" w:color="auto"/>
              </w:divBdr>
            </w:div>
            <w:div w:id="1692031258">
              <w:marLeft w:val="0"/>
              <w:marRight w:val="0"/>
              <w:marTop w:val="0"/>
              <w:marBottom w:val="0"/>
              <w:divBdr>
                <w:top w:val="none" w:sz="0" w:space="0" w:color="auto"/>
                <w:left w:val="none" w:sz="0" w:space="0" w:color="auto"/>
                <w:bottom w:val="none" w:sz="0" w:space="0" w:color="auto"/>
                <w:right w:val="none" w:sz="0" w:space="0" w:color="auto"/>
              </w:divBdr>
            </w:div>
          </w:divsChild>
        </w:div>
        <w:div w:id="1512837099">
          <w:marLeft w:val="0"/>
          <w:marRight w:val="0"/>
          <w:marTop w:val="0"/>
          <w:marBottom w:val="0"/>
          <w:divBdr>
            <w:top w:val="none" w:sz="0" w:space="0" w:color="auto"/>
            <w:left w:val="none" w:sz="0" w:space="0" w:color="auto"/>
            <w:bottom w:val="none" w:sz="0" w:space="0" w:color="auto"/>
            <w:right w:val="none" w:sz="0" w:space="0" w:color="auto"/>
          </w:divBdr>
          <w:divsChild>
            <w:div w:id="601841586">
              <w:marLeft w:val="0"/>
              <w:marRight w:val="0"/>
              <w:marTop w:val="30"/>
              <w:marBottom w:val="30"/>
              <w:divBdr>
                <w:top w:val="none" w:sz="0" w:space="0" w:color="auto"/>
                <w:left w:val="none" w:sz="0" w:space="0" w:color="auto"/>
                <w:bottom w:val="none" w:sz="0" w:space="0" w:color="auto"/>
                <w:right w:val="none" w:sz="0" w:space="0" w:color="auto"/>
              </w:divBdr>
              <w:divsChild>
                <w:div w:id="49113332">
                  <w:marLeft w:val="0"/>
                  <w:marRight w:val="0"/>
                  <w:marTop w:val="0"/>
                  <w:marBottom w:val="0"/>
                  <w:divBdr>
                    <w:top w:val="none" w:sz="0" w:space="0" w:color="auto"/>
                    <w:left w:val="none" w:sz="0" w:space="0" w:color="auto"/>
                    <w:bottom w:val="none" w:sz="0" w:space="0" w:color="auto"/>
                    <w:right w:val="none" w:sz="0" w:space="0" w:color="auto"/>
                  </w:divBdr>
                  <w:divsChild>
                    <w:div w:id="6446360">
                      <w:marLeft w:val="0"/>
                      <w:marRight w:val="0"/>
                      <w:marTop w:val="0"/>
                      <w:marBottom w:val="0"/>
                      <w:divBdr>
                        <w:top w:val="none" w:sz="0" w:space="0" w:color="auto"/>
                        <w:left w:val="none" w:sz="0" w:space="0" w:color="auto"/>
                        <w:bottom w:val="none" w:sz="0" w:space="0" w:color="auto"/>
                        <w:right w:val="none" w:sz="0" w:space="0" w:color="auto"/>
                      </w:divBdr>
                    </w:div>
                  </w:divsChild>
                </w:div>
                <w:div w:id="53705278">
                  <w:marLeft w:val="0"/>
                  <w:marRight w:val="0"/>
                  <w:marTop w:val="0"/>
                  <w:marBottom w:val="0"/>
                  <w:divBdr>
                    <w:top w:val="none" w:sz="0" w:space="0" w:color="auto"/>
                    <w:left w:val="none" w:sz="0" w:space="0" w:color="auto"/>
                    <w:bottom w:val="none" w:sz="0" w:space="0" w:color="auto"/>
                    <w:right w:val="none" w:sz="0" w:space="0" w:color="auto"/>
                  </w:divBdr>
                  <w:divsChild>
                    <w:div w:id="857813129">
                      <w:marLeft w:val="0"/>
                      <w:marRight w:val="0"/>
                      <w:marTop w:val="0"/>
                      <w:marBottom w:val="0"/>
                      <w:divBdr>
                        <w:top w:val="none" w:sz="0" w:space="0" w:color="auto"/>
                        <w:left w:val="none" w:sz="0" w:space="0" w:color="auto"/>
                        <w:bottom w:val="none" w:sz="0" w:space="0" w:color="auto"/>
                        <w:right w:val="none" w:sz="0" w:space="0" w:color="auto"/>
                      </w:divBdr>
                    </w:div>
                  </w:divsChild>
                </w:div>
                <w:div w:id="82922305">
                  <w:marLeft w:val="0"/>
                  <w:marRight w:val="0"/>
                  <w:marTop w:val="0"/>
                  <w:marBottom w:val="0"/>
                  <w:divBdr>
                    <w:top w:val="none" w:sz="0" w:space="0" w:color="auto"/>
                    <w:left w:val="none" w:sz="0" w:space="0" w:color="auto"/>
                    <w:bottom w:val="none" w:sz="0" w:space="0" w:color="auto"/>
                    <w:right w:val="none" w:sz="0" w:space="0" w:color="auto"/>
                  </w:divBdr>
                  <w:divsChild>
                    <w:div w:id="35938434">
                      <w:marLeft w:val="0"/>
                      <w:marRight w:val="0"/>
                      <w:marTop w:val="0"/>
                      <w:marBottom w:val="0"/>
                      <w:divBdr>
                        <w:top w:val="none" w:sz="0" w:space="0" w:color="auto"/>
                        <w:left w:val="none" w:sz="0" w:space="0" w:color="auto"/>
                        <w:bottom w:val="none" w:sz="0" w:space="0" w:color="auto"/>
                        <w:right w:val="none" w:sz="0" w:space="0" w:color="auto"/>
                      </w:divBdr>
                    </w:div>
                  </w:divsChild>
                </w:div>
                <w:div w:id="104085992">
                  <w:marLeft w:val="0"/>
                  <w:marRight w:val="0"/>
                  <w:marTop w:val="0"/>
                  <w:marBottom w:val="0"/>
                  <w:divBdr>
                    <w:top w:val="none" w:sz="0" w:space="0" w:color="auto"/>
                    <w:left w:val="none" w:sz="0" w:space="0" w:color="auto"/>
                    <w:bottom w:val="none" w:sz="0" w:space="0" w:color="auto"/>
                    <w:right w:val="none" w:sz="0" w:space="0" w:color="auto"/>
                  </w:divBdr>
                  <w:divsChild>
                    <w:div w:id="1474370045">
                      <w:marLeft w:val="0"/>
                      <w:marRight w:val="0"/>
                      <w:marTop w:val="0"/>
                      <w:marBottom w:val="0"/>
                      <w:divBdr>
                        <w:top w:val="none" w:sz="0" w:space="0" w:color="auto"/>
                        <w:left w:val="none" w:sz="0" w:space="0" w:color="auto"/>
                        <w:bottom w:val="none" w:sz="0" w:space="0" w:color="auto"/>
                        <w:right w:val="none" w:sz="0" w:space="0" w:color="auto"/>
                      </w:divBdr>
                    </w:div>
                  </w:divsChild>
                </w:div>
                <w:div w:id="104154639">
                  <w:marLeft w:val="0"/>
                  <w:marRight w:val="0"/>
                  <w:marTop w:val="0"/>
                  <w:marBottom w:val="0"/>
                  <w:divBdr>
                    <w:top w:val="none" w:sz="0" w:space="0" w:color="auto"/>
                    <w:left w:val="none" w:sz="0" w:space="0" w:color="auto"/>
                    <w:bottom w:val="none" w:sz="0" w:space="0" w:color="auto"/>
                    <w:right w:val="none" w:sz="0" w:space="0" w:color="auto"/>
                  </w:divBdr>
                  <w:divsChild>
                    <w:div w:id="1757284673">
                      <w:marLeft w:val="0"/>
                      <w:marRight w:val="0"/>
                      <w:marTop w:val="0"/>
                      <w:marBottom w:val="0"/>
                      <w:divBdr>
                        <w:top w:val="none" w:sz="0" w:space="0" w:color="auto"/>
                        <w:left w:val="none" w:sz="0" w:space="0" w:color="auto"/>
                        <w:bottom w:val="none" w:sz="0" w:space="0" w:color="auto"/>
                        <w:right w:val="none" w:sz="0" w:space="0" w:color="auto"/>
                      </w:divBdr>
                    </w:div>
                  </w:divsChild>
                </w:div>
                <w:div w:id="110172300">
                  <w:marLeft w:val="0"/>
                  <w:marRight w:val="0"/>
                  <w:marTop w:val="0"/>
                  <w:marBottom w:val="0"/>
                  <w:divBdr>
                    <w:top w:val="none" w:sz="0" w:space="0" w:color="auto"/>
                    <w:left w:val="none" w:sz="0" w:space="0" w:color="auto"/>
                    <w:bottom w:val="none" w:sz="0" w:space="0" w:color="auto"/>
                    <w:right w:val="none" w:sz="0" w:space="0" w:color="auto"/>
                  </w:divBdr>
                  <w:divsChild>
                    <w:div w:id="623542148">
                      <w:marLeft w:val="0"/>
                      <w:marRight w:val="0"/>
                      <w:marTop w:val="0"/>
                      <w:marBottom w:val="0"/>
                      <w:divBdr>
                        <w:top w:val="none" w:sz="0" w:space="0" w:color="auto"/>
                        <w:left w:val="none" w:sz="0" w:space="0" w:color="auto"/>
                        <w:bottom w:val="none" w:sz="0" w:space="0" w:color="auto"/>
                        <w:right w:val="none" w:sz="0" w:space="0" w:color="auto"/>
                      </w:divBdr>
                    </w:div>
                  </w:divsChild>
                </w:div>
                <w:div w:id="118113059">
                  <w:marLeft w:val="0"/>
                  <w:marRight w:val="0"/>
                  <w:marTop w:val="0"/>
                  <w:marBottom w:val="0"/>
                  <w:divBdr>
                    <w:top w:val="none" w:sz="0" w:space="0" w:color="auto"/>
                    <w:left w:val="none" w:sz="0" w:space="0" w:color="auto"/>
                    <w:bottom w:val="none" w:sz="0" w:space="0" w:color="auto"/>
                    <w:right w:val="none" w:sz="0" w:space="0" w:color="auto"/>
                  </w:divBdr>
                  <w:divsChild>
                    <w:div w:id="659232526">
                      <w:marLeft w:val="0"/>
                      <w:marRight w:val="0"/>
                      <w:marTop w:val="0"/>
                      <w:marBottom w:val="0"/>
                      <w:divBdr>
                        <w:top w:val="none" w:sz="0" w:space="0" w:color="auto"/>
                        <w:left w:val="none" w:sz="0" w:space="0" w:color="auto"/>
                        <w:bottom w:val="none" w:sz="0" w:space="0" w:color="auto"/>
                        <w:right w:val="none" w:sz="0" w:space="0" w:color="auto"/>
                      </w:divBdr>
                    </w:div>
                  </w:divsChild>
                </w:div>
                <w:div w:id="121191358">
                  <w:marLeft w:val="0"/>
                  <w:marRight w:val="0"/>
                  <w:marTop w:val="0"/>
                  <w:marBottom w:val="0"/>
                  <w:divBdr>
                    <w:top w:val="none" w:sz="0" w:space="0" w:color="auto"/>
                    <w:left w:val="none" w:sz="0" w:space="0" w:color="auto"/>
                    <w:bottom w:val="none" w:sz="0" w:space="0" w:color="auto"/>
                    <w:right w:val="none" w:sz="0" w:space="0" w:color="auto"/>
                  </w:divBdr>
                  <w:divsChild>
                    <w:div w:id="53360187">
                      <w:marLeft w:val="0"/>
                      <w:marRight w:val="0"/>
                      <w:marTop w:val="0"/>
                      <w:marBottom w:val="0"/>
                      <w:divBdr>
                        <w:top w:val="none" w:sz="0" w:space="0" w:color="auto"/>
                        <w:left w:val="none" w:sz="0" w:space="0" w:color="auto"/>
                        <w:bottom w:val="none" w:sz="0" w:space="0" w:color="auto"/>
                        <w:right w:val="none" w:sz="0" w:space="0" w:color="auto"/>
                      </w:divBdr>
                    </w:div>
                  </w:divsChild>
                </w:div>
                <w:div w:id="133522834">
                  <w:marLeft w:val="0"/>
                  <w:marRight w:val="0"/>
                  <w:marTop w:val="0"/>
                  <w:marBottom w:val="0"/>
                  <w:divBdr>
                    <w:top w:val="none" w:sz="0" w:space="0" w:color="auto"/>
                    <w:left w:val="none" w:sz="0" w:space="0" w:color="auto"/>
                    <w:bottom w:val="none" w:sz="0" w:space="0" w:color="auto"/>
                    <w:right w:val="none" w:sz="0" w:space="0" w:color="auto"/>
                  </w:divBdr>
                  <w:divsChild>
                    <w:div w:id="786852561">
                      <w:marLeft w:val="0"/>
                      <w:marRight w:val="0"/>
                      <w:marTop w:val="0"/>
                      <w:marBottom w:val="0"/>
                      <w:divBdr>
                        <w:top w:val="none" w:sz="0" w:space="0" w:color="auto"/>
                        <w:left w:val="none" w:sz="0" w:space="0" w:color="auto"/>
                        <w:bottom w:val="none" w:sz="0" w:space="0" w:color="auto"/>
                        <w:right w:val="none" w:sz="0" w:space="0" w:color="auto"/>
                      </w:divBdr>
                    </w:div>
                  </w:divsChild>
                </w:div>
                <w:div w:id="153301472">
                  <w:marLeft w:val="0"/>
                  <w:marRight w:val="0"/>
                  <w:marTop w:val="0"/>
                  <w:marBottom w:val="0"/>
                  <w:divBdr>
                    <w:top w:val="none" w:sz="0" w:space="0" w:color="auto"/>
                    <w:left w:val="none" w:sz="0" w:space="0" w:color="auto"/>
                    <w:bottom w:val="none" w:sz="0" w:space="0" w:color="auto"/>
                    <w:right w:val="none" w:sz="0" w:space="0" w:color="auto"/>
                  </w:divBdr>
                  <w:divsChild>
                    <w:div w:id="1094664860">
                      <w:marLeft w:val="0"/>
                      <w:marRight w:val="0"/>
                      <w:marTop w:val="0"/>
                      <w:marBottom w:val="0"/>
                      <w:divBdr>
                        <w:top w:val="none" w:sz="0" w:space="0" w:color="auto"/>
                        <w:left w:val="none" w:sz="0" w:space="0" w:color="auto"/>
                        <w:bottom w:val="none" w:sz="0" w:space="0" w:color="auto"/>
                        <w:right w:val="none" w:sz="0" w:space="0" w:color="auto"/>
                      </w:divBdr>
                    </w:div>
                  </w:divsChild>
                </w:div>
                <w:div w:id="180438742">
                  <w:marLeft w:val="0"/>
                  <w:marRight w:val="0"/>
                  <w:marTop w:val="0"/>
                  <w:marBottom w:val="0"/>
                  <w:divBdr>
                    <w:top w:val="none" w:sz="0" w:space="0" w:color="auto"/>
                    <w:left w:val="none" w:sz="0" w:space="0" w:color="auto"/>
                    <w:bottom w:val="none" w:sz="0" w:space="0" w:color="auto"/>
                    <w:right w:val="none" w:sz="0" w:space="0" w:color="auto"/>
                  </w:divBdr>
                  <w:divsChild>
                    <w:div w:id="2141147682">
                      <w:marLeft w:val="0"/>
                      <w:marRight w:val="0"/>
                      <w:marTop w:val="0"/>
                      <w:marBottom w:val="0"/>
                      <w:divBdr>
                        <w:top w:val="none" w:sz="0" w:space="0" w:color="auto"/>
                        <w:left w:val="none" w:sz="0" w:space="0" w:color="auto"/>
                        <w:bottom w:val="none" w:sz="0" w:space="0" w:color="auto"/>
                        <w:right w:val="none" w:sz="0" w:space="0" w:color="auto"/>
                      </w:divBdr>
                    </w:div>
                  </w:divsChild>
                </w:div>
                <w:div w:id="187375461">
                  <w:marLeft w:val="0"/>
                  <w:marRight w:val="0"/>
                  <w:marTop w:val="0"/>
                  <w:marBottom w:val="0"/>
                  <w:divBdr>
                    <w:top w:val="none" w:sz="0" w:space="0" w:color="auto"/>
                    <w:left w:val="none" w:sz="0" w:space="0" w:color="auto"/>
                    <w:bottom w:val="none" w:sz="0" w:space="0" w:color="auto"/>
                    <w:right w:val="none" w:sz="0" w:space="0" w:color="auto"/>
                  </w:divBdr>
                  <w:divsChild>
                    <w:div w:id="1881699837">
                      <w:marLeft w:val="0"/>
                      <w:marRight w:val="0"/>
                      <w:marTop w:val="0"/>
                      <w:marBottom w:val="0"/>
                      <w:divBdr>
                        <w:top w:val="none" w:sz="0" w:space="0" w:color="auto"/>
                        <w:left w:val="none" w:sz="0" w:space="0" w:color="auto"/>
                        <w:bottom w:val="none" w:sz="0" w:space="0" w:color="auto"/>
                        <w:right w:val="none" w:sz="0" w:space="0" w:color="auto"/>
                      </w:divBdr>
                    </w:div>
                  </w:divsChild>
                </w:div>
                <w:div w:id="222788873">
                  <w:marLeft w:val="0"/>
                  <w:marRight w:val="0"/>
                  <w:marTop w:val="0"/>
                  <w:marBottom w:val="0"/>
                  <w:divBdr>
                    <w:top w:val="none" w:sz="0" w:space="0" w:color="auto"/>
                    <w:left w:val="none" w:sz="0" w:space="0" w:color="auto"/>
                    <w:bottom w:val="none" w:sz="0" w:space="0" w:color="auto"/>
                    <w:right w:val="none" w:sz="0" w:space="0" w:color="auto"/>
                  </w:divBdr>
                  <w:divsChild>
                    <w:div w:id="763064895">
                      <w:marLeft w:val="0"/>
                      <w:marRight w:val="0"/>
                      <w:marTop w:val="0"/>
                      <w:marBottom w:val="0"/>
                      <w:divBdr>
                        <w:top w:val="none" w:sz="0" w:space="0" w:color="auto"/>
                        <w:left w:val="none" w:sz="0" w:space="0" w:color="auto"/>
                        <w:bottom w:val="none" w:sz="0" w:space="0" w:color="auto"/>
                        <w:right w:val="none" w:sz="0" w:space="0" w:color="auto"/>
                      </w:divBdr>
                    </w:div>
                  </w:divsChild>
                </w:div>
                <w:div w:id="260526935">
                  <w:marLeft w:val="0"/>
                  <w:marRight w:val="0"/>
                  <w:marTop w:val="0"/>
                  <w:marBottom w:val="0"/>
                  <w:divBdr>
                    <w:top w:val="none" w:sz="0" w:space="0" w:color="auto"/>
                    <w:left w:val="none" w:sz="0" w:space="0" w:color="auto"/>
                    <w:bottom w:val="none" w:sz="0" w:space="0" w:color="auto"/>
                    <w:right w:val="none" w:sz="0" w:space="0" w:color="auto"/>
                  </w:divBdr>
                  <w:divsChild>
                    <w:div w:id="2039433275">
                      <w:marLeft w:val="0"/>
                      <w:marRight w:val="0"/>
                      <w:marTop w:val="0"/>
                      <w:marBottom w:val="0"/>
                      <w:divBdr>
                        <w:top w:val="none" w:sz="0" w:space="0" w:color="auto"/>
                        <w:left w:val="none" w:sz="0" w:space="0" w:color="auto"/>
                        <w:bottom w:val="none" w:sz="0" w:space="0" w:color="auto"/>
                        <w:right w:val="none" w:sz="0" w:space="0" w:color="auto"/>
                      </w:divBdr>
                    </w:div>
                  </w:divsChild>
                </w:div>
                <w:div w:id="393551437">
                  <w:marLeft w:val="0"/>
                  <w:marRight w:val="0"/>
                  <w:marTop w:val="0"/>
                  <w:marBottom w:val="0"/>
                  <w:divBdr>
                    <w:top w:val="none" w:sz="0" w:space="0" w:color="auto"/>
                    <w:left w:val="none" w:sz="0" w:space="0" w:color="auto"/>
                    <w:bottom w:val="none" w:sz="0" w:space="0" w:color="auto"/>
                    <w:right w:val="none" w:sz="0" w:space="0" w:color="auto"/>
                  </w:divBdr>
                  <w:divsChild>
                    <w:div w:id="460851858">
                      <w:marLeft w:val="0"/>
                      <w:marRight w:val="0"/>
                      <w:marTop w:val="0"/>
                      <w:marBottom w:val="0"/>
                      <w:divBdr>
                        <w:top w:val="none" w:sz="0" w:space="0" w:color="auto"/>
                        <w:left w:val="none" w:sz="0" w:space="0" w:color="auto"/>
                        <w:bottom w:val="none" w:sz="0" w:space="0" w:color="auto"/>
                        <w:right w:val="none" w:sz="0" w:space="0" w:color="auto"/>
                      </w:divBdr>
                    </w:div>
                  </w:divsChild>
                </w:div>
                <w:div w:id="529881127">
                  <w:marLeft w:val="0"/>
                  <w:marRight w:val="0"/>
                  <w:marTop w:val="0"/>
                  <w:marBottom w:val="0"/>
                  <w:divBdr>
                    <w:top w:val="none" w:sz="0" w:space="0" w:color="auto"/>
                    <w:left w:val="none" w:sz="0" w:space="0" w:color="auto"/>
                    <w:bottom w:val="none" w:sz="0" w:space="0" w:color="auto"/>
                    <w:right w:val="none" w:sz="0" w:space="0" w:color="auto"/>
                  </w:divBdr>
                  <w:divsChild>
                    <w:div w:id="1139879670">
                      <w:marLeft w:val="0"/>
                      <w:marRight w:val="0"/>
                      <w:marTop w:val="0"/>
                      <w:marBottom w:val="0"/>
                      <w:divBdr>
                        <w:top w:val="none" w:sz="0" w:space="0" w:color="auto"/>
                        <w:left w:val="none" w:sz="0" w:space="0" w:color="auto"/>
                        <w:bottom w:val="none" w:sz="0" w:space="0" w:color="auto"/>
                        <w:right w:val="none" w:sz="0" w:space="0" w:color="auto"/>
                      </w:divBdr>
                    </w:div>
                  </w:divsChild>
                </w:div>
                <w:div w:id="732044736">
                  <w:marLeft w:val="0"/>
                  <w:marRight w:val="0"/>
                  <w:marTop w:val="0"/>
                  <w:marBottom w:val="0"/>
                  <w:divBdr>
                    <w:top w:val="none" w:sz="0" w:space="0" w:color="auto"/>
                    <w:left w:val="none" w:sz="0" w:space="0" w:color="auto"/>
                    <w:bottom w:val="none" w:sz="0" w:space="0" w:color="auto"/>
                    <w:right w:val="none" w:sz="0" w:space="0" w:color="auto"/>
                  </w:divBdr>
                  <w:divsChild>
                    <w:div w:id="2117170776">
                      <w:marLeft w:val="0"/>
                      <w:marRight w:val="0"/>
                      <w:marTop w:val="0"/>
                      <w:marBottom w:val="0"/>
                      <w:divBdr>
                        <w:top w:val="none" w:sz="0" w:space="0" w:color="auto"/>
                        <w:left w:val="none" w:sz="0" w:space="0" w:color="auto"/>
                        <w:bottom w:val="none" w:sz="0" w:space="0" w:color="auto"/>
                        <w:right w:val="none" w:sz="0" w:space="0" w:color="auto"/>
                      </w:divBdr>
                    </w:div>
                  </w:divsChild>
                </w:div>
                <w:div w:id="742487511">
                  <w:marLeft w:val="0"/>
                  <w:marRight w:val="0"/>
                  <w:marTop w:val="0"/>
                  <w:marBottom w:val="0"/>
                  <w:divBdr>
                    <w:top w:val="none" w:sz="0" w:space="0" w:color="auto"/>
                    <w:left w:val="none" w:sz="0" w:space="0" w:color="auto"/>
                    <w:bottom w:val="none" w:sz="0" w:space="0" w:color="auto"/>
                    <w:right w:val="none" w:sz="0" w:space="0" w:color="auto"/>
                  </w:divBdr>
                  <w:divsChild>
                    <w:div w:id="89741579">
                      <w:marLeft w:val="0"/>
                      <w:marRight w:val="0"/>
                      <w:marTop w:val="0"/>
                      <w:marBottom w:val="0"/>
                      <w:divBdr>
                        <w:top w:val="none" w:sz="0" w:space="0" w:color="auto"/>
                        <w:left w:val="none" w:sz="0" w:space="0" w:color="auto"/>
                        <w:bottom w:val="none" w:sz="0" w:space="0" w:color="auto"/>
                        <w:right w:val="none" w:sz="0" w:space="0" w:color="auto"/>
                      </w:divBdr>
                    </w:div>
                  </w:divsChild>
                </w:div>
                <w:div w:id="758526350">
                  <w:marLeft w:val="0"/>
                  <w:marRight w:val="0"/>
                  <w:marTop w:val="0"/>
                  <w:marBottom w:val="0"/>
                  <w:divBdr>
                    <w:top w:val="none" w:sz="0" w:space="0" w:color="auto"/>
                    <w:left w:val="none" w:sz="0" w:space="0" w:color="auto"/>
                    <w:bottom w:val="none" w:sz="0" w:space="0" w:color="auto"/>
                    <w:right w:val="none" w:sz="0" w:space="0" w:color="auto"/>
                  </w:divBdr>
                  <w:divsChild>
                    <w:div w:id="1232351173">
                      <w:marLeft w:val="0"/>
                      <w:marRight w:val="0"/>
                      <w:marTop w:val="0"/>
                      <w:marBottom w:val="0"/>
                      <w:divBdr>
                        <w:top w:val="none" w:sz="0" w:space="0" w:color="auto"/>
                        <w:left w:val="none" w:sz="0" w:space="0" w:color="auto"/>
                        <w:bottom w:val="none" w:sz="0" w:space="0" w:color="auto"/>
                        <w:right w:val="none" w:sz="0" w:space="0" w:color="auto"/>
                      </w:divBdr>
                    </w:div>
                  </w:divsChild>
                </w:div>
                <w:div w:id="773595030">
                  <w:marLeft w:val="0"/>
                  <w:marRight w:val="0"/>
                  <w:marTop w:val="0"/>
                  <w:marBottom w:val="0"/>
                  <w:divBdr>
                    <w:top w:val="none" w:sz="0" w:space="0" w:color="auto"/>
                    <w:left w:val="none" w:sz="0" w:space="0" w:color="auto"/>
                    <w:bottom w:val="none" w:sz="0" w:space="0" w:color="auto"/>
                    <w:right w:val="none" w:sz="0" w:space="0" w:color="auto"/>
                  </w:divBdr>
                  <w:divsChild>
                    <w:div w:id="1343312146">
                      <w:marLeft w:val="0"/>
                      <w:marRight w:val="0"/>
                      <w:marTop w:val="0"/>
                      <w:marBottom w:val="0"/>
                      <w:divBdr>
                        <w:top w:val="none" w:sz="0" w:space="0" w:color="auto"/>
                        <w:left w:val="none" w:sz="0" w:space="0" w:color="auto"/>
                        <w:bottom w:val="none" w:sz="0" w:space="0" w:color="auto"/>
                        <w:right w:val="none" w:sz="0" w:space="0" w:color="auto"/>
                      </w:divBdr>
                    </w:div>
                  </w:divsChild>
                </w:div>
                <w:div w:id="775250217">
                  <w:marLeft w:val="0"/>
                  <w:marRight w:val="0"/>
                  <w:marTop w:val="0"/>
                  <w:marBottom w:val="0"/>
                  <w:divBdr>
                    <w:top w:val="none" w:sz="0" w:space="0" w:color="auto"/>
                    <w:left w:val="none" w:sz="0" w:space="0" w:color="auto"/>
                    <w:bottom w:val="none" w:sz="0" w:space="0" w:color="auto"/>
                    <w:right w:val="none" w:sz="0" w:space="0" w:color="auto"/>
                  </w:divBdr>
                  <w:divsChild>
                    <w:div w:id="219094313">
                      <w:marLeft w:val="0"/>
                      <w:marRight w:val="0"/>
                      <w:marTop w:val="0"/>
                      <w:marBottom w:val="0"/>
                      <w:divBdr>
                        <w:top w:val="none" w:sz="0" w:space="0" w:color="auto"/>
                        <w:left w:val="none" w:sz="0" w:space="0" w:color="auto"/>
                        <w:bottom w:val="none" w:sz="0" w:space="0" w:color="auto"/>
                        <w:right w:val="none" w:sz="0" w:space="0" w:color="auto"/>
                      </w:divBdr>
                    </w:div>
                  </w:divsChild>
                </w:div>
                <w:div w:id="809399997">
                  <w:marLeft w:val="0"/>
                  <w:marRight w:val="0"/>
                  <w:marTop w:val="0"/>
                  <w:marBottom w:val="0"/>
                  <w:divBdr>
                    <w:top w:val="none" w:sz="0" w:space="0" w:color="auto"/>
                    <w:left w:val="none" w:sz="0" w:space="0" w:color="auto"/>
                    <w:bottom w:val="none" w:sz="0" w:space="0" w:color="auto"/>
                    <w:right w:val="none" w:sz="0" w:space="0" w:color="auto"/>
                  </w:divBdr>
                  <w:divsChild>
                    <w:div w:id="1913154959">
                      <w:marLeft w:val="0"/>
                      <w:marRight w:val="0"/>
                      <w:marTop w:val="0"/>
                      <w:marBottom w:val="0"/>
                      <w:divBdr>
                        <w:top w:val="none" w:sz="0" w:space="0" w:color="auto"/>
                        <w:left w:val="none" w:sz="0" w:space="0" w:color="auto"/>
                        <w:bottom w:val="none" w:sz="0" w:space="0" w:color="auto"/>
                        <w:right w:val="none" w:sz="0" w:space="0" w:color="auto"/>
                      </w:divBdr>
                    </w:div>
                  </w:divsChild>
                </w:div>
                <w:div w:id="837308830">
                  <w:marLeft w:val="0"/>
                  <w:marRight w:val="0"/>
                  <w:marTop w:val="0"/>
                  <w:marBottom w:val="0"/>
                  <w:divBdr>
                    <w:top w:val="none" w:sz="0" w:space="0" w:color="auto"/>
                    <w:left w:val="none" w:sz="0" w:space="0" w:color="auto"/>
                    <w:bottom w:val="none" w:sz="0" w:space="0" w:color="auto"/>
                    <w:right w:val="none" w:sz="0" w:space="0" w:color="auto"/>
                  </w:divBdr>
                  <w:divsChild>
                    <w:div w:id="597979562">
                      <w:marLeft w:val="0"/>
                      <w:marRight w:val="0"/>
                      <w:marTop w:val="0"/>
                      <w:marBottom w:val="0"/>
                      <w:divBdr>
                        <w:top w:val="none" w:sz="0" w:space="0" w:color="auto"/>
                        <w:left w:val="none" w:sz="0" w:space="0" w:color="auto"/>
                        <w:bottom w:val="none" w:sz="0" w:space="0" w:color="auto"/>
                        <w:right w:val="none" w:sz="0" w:space="0" w:color="auto"/>
                      </w:divBdr>
                    </w:div>
                  </w:divsChild>
                </w:div>
                <w:div w:id="915554492">
                  <w:marLeft w:val="0"/>
                  <w:marRight w:val="0"/>
                  <w:marTop w:val="0"/>
                  <w:marBottom w:val="0"/>
                  <w:divBdr>
                    <w:top w:val="none" w:sz="0" w:space="0" w:color="auto"/>
                    <w:left w:val="none" w:sz="0" w:space="0" w:color="auto"/>
                    <w:bottom w:val="none" w:sz="0" w:space="0" w:color="auto"/>
                    <w:right w:val="none" w:sz="0" w:space="0" w:color="auto"/>
                  </w:divBdr>
                  <w:divsChild>
                    <w:div w:id="1133792993">
                      <w:marLeft w:val="0"/>
                      <w:marRight w:val="0"/>
                      <w:marTop w:val="0"/>
                      <w:marBottom w:val="0"/>
                      <w:divBdr>
                        <w:top w:val="none" w:sz="0" w:space="0" w:color="auto"/>
                        <w:left w:val="none" w:sz="0" w:space="0" w:color="auto"/>
                        <w:bottom w:val="none" w:sz="0" w:space="0" w:color="auto"/>
                        <w:right w:val="none" w:sz="0" w:space="0" w:color="auto"/>
                      </w:divBdr>
                    </w:div>
                  </w:divsChild>
                </w:div>
                <w:div w:id="985166652">
                  <w:marLeft w:val="0"/>
                  <w:marRight w:val="0"/>
                  <w:marTop w:val="0"/>
                  <w:marBottom w:val="0"/>
                  <w:divBdr>
                    <w:top w:val="none" w:sz="0" w:space="0" w:color="auto"/>
                    <w:left w:val="none" w:sz="0" w:space="0" w:color="auto"/>
                    <w:bottom w:val="none" w:sz="0" w:space="0" w:color="auto"/>
                    <w:right w:val="none" w:sz="0" w:space="0" w:color="auto"/>
                  </w:divBdr>
                  <w:divsChild>
                    <w:div w:id="1789858558">
                      <w:marLeft w:val="0"/>
                      <w:marRight w:val="0"/>
                      <w:marTop w:val="0"/>
                      <w:marBottom w:val="0"/>
                      <w:divBdr>
                        <w:top w:val="none" w:sz="0" w:space="0" w:color="auto"/>
                        <w:left w:val="none" w:sz="0" w:space="0" w:color="auto"/>
                        <w:bottom w:val="none" w:sz="0" w:space="0" w:color="auto"/>
                        <w:right w:val="none" w:sz="0" w:space="0" w:color="auto"/>
                      </w:divBdr>
                    </w:div>
                  </w:divsChild>
                </w:div>
                <w:div w:id="993293283">
                  <w:marLeft w:val="0"/>
                  <w:marRight w:val="0"/>
                  <w:marTop w:val="0"/>
                  <w:marBottom w:val="0"/>
                  <w:divBdr>
                    <w:top w:val="none" w:sz="0" w:space="0" w:color="auto"/>
                    <w:left w:val="none" w:sz="0" w:space="0" w:color="auto"/>
                    <w:bottom w:val="none" w:sz="0" w:space="0" w:color="auto"/>
                    <w:right w:val="none" w:sz="0" w:space="0" w:color="auto"/>
                  </w:divBdr>
                  <w:divsChild>
                    <w:div w:id="830608130">
                      <w:marLeft w:val="0"/>
                      <w:marRight w:val="0"/>
                      <w:marTop w:val="0"/>
                      <w:marBottom w:val="0"/>
                      <w:divBdr>
                        <w:top w:val="none" w:sz="0" w:space="0" w:color="auto"/>
                        <w:left w:val="none" w:sz="0" w:space="0" w:color="auto"/>
                        <w:bottom w:val="none" w:sz="0" w:space="0" w:color="auto"/>
                        <w:right w:val="none" w:sz="0" w:space="0" w:color="auto"/>
                      </w:divBdr>
                    </w:div>
                  </w:divsChild>
                </w:div>
                <w:div w:id="1001859558">
                  <w:marLeft w:val="0"/>
                  <w:marRight w:val="0"/>
                  <w:marTop w:val="0"/>
                  <w:marBottom w:val="0"/>
                  <w:divBdr>
                    <w:top w:val="none" w:sz="0" w:space="0" w:color="auto"/>
                    <w:left w:val="none" w:sz="0" w:space="0" w:color="auto"/>
                    <w:bottom w:val="none" w:sz="0" w:space="0" w:color="auto"/>
                    <w:right w:val="none" w:sz="0" w:space="0" w:color="auto"/>
                  </w:divBdr>
                  <w:divsChild>
                    <w:div w:id="995763144">
                      <w:marLeft w:val="0"/>
                      <w:marRight w:val="0"/>
                      <w:marTop w:val="0"/>
                      <w:marBottom w:val="0"/>
                      <w:divBdr>
                        <w:top w:val="none" w:sz="0" w:space="0" w:color="auto"/>
                        <w:left w:val="none" w:sz="0" w:space="0" w:color="auto"/>
                        <w:bottom w:val="none" w:sz="0" w:space="0" w:color="auto"/>
                        <w:right w:val="none" w:sz="0" w:space="0" w:color="auto"/>
                      </w:divBdr>
                    </w:div>
                  </w:divsChild>
                </w:div>
                <w:div w:id="1110317009">
                  <w:marLeft w:val="0"/>
                  <w:marRight w:val="0"/>
                  <w:marTop w:val="0"/>
                  <w:marBottom w:val="0"/>
                  <w:divBdr>
                    <w:top w:val="none" w:sz="0" w:space="0" w:color="auto"/>
                    <w:left w:val="none" w:sz="0" w:space="0" w:color="auto"/>
                    <w:bottom w:val="none" w:sz="0" w:space="0" w:color="auto"/>
                    <w:right w:val="none" w:sz="0" w:space="0" w:color="auto"/>
                  </w:divBdr>
                  <w:divsChild>
                    <w:div w:id="83192434">
                      <w:marLeft w:val="0"/>
                      <w:marRight w:val="0"/>
                      <w:marTop w:val="0"/>
                      <w:marBottom w:val="0"/>
                      <w:divBdr>
                        <w:top w:val="none" w:sz="0" w:space="0" w:color="auto"/>
                        <w:left w:val="none" w:sz="0" w:space="0" w:color="auto"/>
                        <w:bottom w:val="none" w:sz="0" w:space="0" w:color="auto"/>
                        <w:right w:val="none" w:sz="0" w:space="0" w:color="auto"/>
                      </w:divBdr>
                    </w:div>
                  </w:divsChild>
                </w:div>
                <w:div w:id="1126851598">
                  <w:marLeft w:val="0"/>
                  <w:marRight w:val="0"/>
                  <w:marTop w:val="0"/>
                  <w:marBottom w:val="0"/>
                  <w:divBdr>
                    <w:top w:val="none" w:sz="0" w:space="0" w:color="auto"/>
                    <w:left w:val="none" w:sz="0" w:space="0" w:color="auto"/>
                    <w:bottom w:val="none" w:sz="0" w:space="0" w:color="auto"/>
                    <w:right w:val="none" w:sz="0" w:space="0" w:color="auto"/>
                  </w:divBdr>
                  <w:divsChild>
                    <w:div w:id="966818823">
                      <w:marLeft w:val="0"/>
                      <w:marRight w:val="0"/>
                      <w:marTop w:val="0"/>
                      <w:marBottom w:val="0"/>
                      <w:divBdr>
                        <w:top w:val="none" w:sz="0" w:space="0" w:color="auto"/>
                        <w:left w:val="none" w:sz="0" w:space="0" w:color="auto"/>
                        <w:bottom w:val="none" w:sz="0" w:space="0" w:color="auto"/>
                        <w:right w:val="none" w:sz="0" w:space="0" w:color="auto"/>
                      </w:divBdr>
                    </w:div>
                  </w:divsChild>
                </w:div>
                <w:div w:id="1173646020">
                  <w:marLeft w:val="0"/>
                  <w:marRight w:val="0"/>
                  <w:marTop w:val="0"/>
                  <w:marBottom w:val="0"/>
                  <w:divBdr>
                    <w:top w:val="none" w:sz="0" w:space="0" w:color="auto"/>
                    <w:left w:val="none" w:sz="0" w:space="0" w:color="auto"/>
                    <w:bottom w:val="none" w:sz="0" w:space="0" w:color="auto"/>
                    <w:right w:val="none" w:sz="0" w:space="0" w:color="auto"/>
                  </w:divBdr>
                  <w:divsChild>
                    <w:div w:id="742878020">
                      <w:marLeft w:val="0"/>
                      <w:marRight w:val="0"/>
                      <w:marTop w:val="0"/>
                      <w:marBottom w:val="0"/>
                      <w:divBdr>
                        <w:top w:val="none" w:sz="0" w:space="0" w:color="auto"/>
                        <w:left w:val="none" w:sz="0" w:space="0" w:color="auto"/>
                        <w:bottom w:val="none" w:sz="0" w:space="0" w:color="auto"/>
                        <w:right w:val="none" w:sz="0" w:space="0" w:color="auto"/>
                      </w:divBdr>
                    </w:div>
                  </w:divsChild>
                </w:div>
                <w:div w:id="1234007880">
                  <w:marLeft w:val="0"/>
                  <w:marRight w:val="0"/>
                  <w:marTop w:val="0"/>
                  <w:marBottom w:val="0"/>
                  <w:divBdr>
                    <w:top w:val="none" w:sz="0" w:space="0" w:color="auto"/>
                    <w:left w:val="none" w:sz="0" w:space="0" w:color="auto"/>
                    <w:bottom w:val="none" w:sz="0" w:space="0" w:color="auto"/>
                    <w:right w:val="none" w:sz="0" w:space="0" w:color="auto"/>
                  </w:divBdr>
                  <w:divsChild>
                    <w:div w:id="1013650292">
                      <w:marLeft w:val="0"/>
                      <w:marRight w:val="0"/>
                      <w:marTop w:val="0"/>
                      <w:marBottom w:val="0"/>
                      <w:divBdr>
                        <w:top w:val="none" w:sz="0" w:space="0" w:color="auto"/>
                        <w:left w:val="none" w:sz="0" w:space="0" w:color="auto"/>
                        <w:bottom w:val="none" w:sz="0" w:space="0" w:color="auto"/>
                        <w:right w:val="none" w:sz="0" w:space="0" w:color="auto"/>
                      </w:divBdr>
                    </w:div>
                  </w:divsChild>
                </w:div>
                <w:div w:id="1289893969">
                  <w:marLeft w:val="0"/>
                  <w:marRight w:val="0"/>
                  <w:marTop w:val="0"/>
                  <w:marBottom w:val="0"/>
                  <w:divBdr>
                    <w:top w:val="none" w:sz="0" w:space="0" w:color="auto"/>
                    <w:left w:val="none" w:sz="0" w:space="0" w:color="auto"/>
                    <w:bottom w:val="none" w:sz="0" w:space="0" w:color="auto"/>
                    <w:right w:val="none" w:sz="0" w:space="0" w:color="auto"/>
                  </w:divBdr>
                  <w:divsChild>
                    <w:div w:id="2005012006">
                      <w:marLeft w:val="0"/>
                      <w:marRight w:val="0"/>
                      <w:marTop w:val="0"/>
                      <w:marBottom w:val="0"/>
                      <w:divBdr>
                        <w:top w:val="none" w:sz="0" w:space="0" w:color="auto"/>
                        <w:left w:val="none" w:sz="0" w:space="0" w:color="auto"/>
                        <w:bottom w:val="none" w:sz="0" w:space="0" w:color="auto"/>
                        <w:right w:val="none" w:sz="0" w:space="0" w:color="auto"/>
                      </w:divBdr>
                    </w:div>
                  </w:divsChild>
                </w:div>
                <w:div w:id="1292245159">
                  <w:marLeft w:val="0"/>
                  <w:marRight w:val="0"/>
                  <w:marTop w:val="0"/>
                  <w:marBottom w:val="0"/>
                  <w:divBdr>
                    <w:top w:val="none" w:sz="0" w:space="0" w:color="auto"/>
                    <w:left w:val="none" w:sz="0" w:space="0" w:color="auto"/>
                    <w:bottom w:val="none" w:sz="0" w:space="0" w:color="auto"/>
                    <w:right w:val="none" w:sz="0" w:space="0" w:color="auto"/>
                  </w:divBdr>
                  <w:divsChild>
                    <w:div w:id="494960070">
                      <w:marLeft w:val="0"/>
                      <w:marRight w:val="0"/>
                      <w:marTop w:val="0"/>
                      <w:marBottom w:val="0"/>
                      <w:divBdr>
                        <w:top w:val="none" w:sz="0" w:space="0" w:color="auto"/>
                        <w:left w:val="none" w:sz="0" w:space="0" w:color="auto"/>
                        <w:bottom w:val="none" w:sz="0" w:space="0" w:color="auto"/>
                        <w:right w:val="none" w:sz="0" w:space="0" w:color="auto"/>
                      </w:divBdr>
                    </w:div>
                  </w:divsChild>
                </w:div>
                <w:div w:id="1329554509">
                  <w:marLeft w:val="0"/>
                  <w:marRight w:val="0"/>
                  <w:marTop w:val="0"/>
                  <w:marBottom w:val="0"/>
                  <w:divBdr>
                    <w:top w:val="none" w:sz="0" w:space="0" w:color="auto"/>
                    <w:left w:val="none" w:sz="0" w:space="0" w:color="auto"/>
                    <w:bottom w:val="none" w:sz="0" w:space="0" w:color="auto"/>
                    <w:right w:val="none" w:sz="0" w:space="0" w:color="auto"/>
                  </w:divBdr>
                  <w:divsChild>
                    <w:div w:id="1683429253">
                      <w:marLeft w:val="0"/>
                      <w:marRight w:val="0"/>
                      <w:marTop w:val="0"/>
                      <w:marBottom w:val="0"/>
                      <w:divBdr>
                        <w:top w:val="none" w:sz="0" w:space="0" w:color="auto"/>
                        <w:left w:val="none" w:sz="0" w:space="0" w:color="auto"/>
                        <w:bottom w:val="none" w:sz="0" w:space="0" w:color="auto"/>
                        <w:right w:val="none" w:sz="0" w:space="0" w:color="auto"/>
                      </w:divBdr>
                    </w:div>
                  </w:divsChild>
                </w:div>
                <w:div w:id="1351221286">
                  <w:marLeft w:val="0"/>
                  <w:marRight w:val="0"/>
                  <w:marTop w:val="0"/>
                  <w:marBottom w:val="0"/>
                  <w:divBdr>
                    <w:top w:val="none" w:sz="0" w:space="0" w:color="auto"/>
                    <w:left w:val="none" w:sz="0" w:space="0" w:color="auto"/>
                    <w:bottom w:val="none" w:sz="0" w:space="0" w:color="auto"/>
                    <w:right w:val="none" w:sz="0" w:space="0" w:color="auto"/>
                  </w:divBdr>
                  <w:divsChild>
                    <w:div w:id="1885829411">
                      <w:marLeft w:val="0"/>
                      <w:marRight w:val="0"/>
                      <w:marTop w:val="0"/>
                      <w:marBottom w:val="0"/>
                      <w:divBdr>
                        <w:top w:val="none" w:sz="0" w:space="0" w:color="auto"/>
                        <w:left w:val="none" w:sz="0" w:space="0" w:color="auto"/>
                        <w:bottom w:val="none" w:sz="0" w:space="0" w:color="auto"/>
                        <w:right w:val="none" w:sz="0" w:space="0" w:color="auto"/>
                      </w:divBdr>
                    </w:div>
                  </w:divsChild>
                </w:div>
                <w:div w:id="1541043698">
                  <w:marLeft w:val="0"/>
                  <w:marRight w:val="0"/>
                  <w:marTop w:val="0"/>
                  <w:marBottom w:val="0"/>
                  <w:divBdr>
                    <w:top w:val="none" w:sz="0" w:space="0" w:color="auto"/>
                    <w:left w:val="none" w:sz="0" w:space="0" w:color="auto"/>
                    <w:bottom w:val="none" w:sz="0" w:space="0" w:color="auto"/>
                    <w:right w:val="none" w:sz="0" w:space="0" w:color="auto"/>
                  </w:divBdr>
                  <w:divsChild>
                    <w:div w:id="213395915">
                      <w:marLeft w:val="0"/>
                      <w:marRight w:val="0"/>
                      <w:marTop w:val="0"/>
                      <w:marBottom w:val="0"/>
                      <w:divBdr>
                        <w:top w:val="none" w:sz="0" w:space="0" w:color="auto"/>
                        <w:left w:val="none" w:sz="0" w:space="0" w:color="auto"/>
                        <w:bottom w:val="none" w:sz="0" w:space="0" w:color="auto"/>
                        <w:right w:val="none" w:sz="0" w:space="0" w:color="auto"/>
                      </w:divBdr>
                    </w:div>
                  </w:divsChild>
                </w:div>
                <w:div w:id="1610627951">
                  <w:marLeft w:val="0"/>
                  <w:marRight w:val="0"/>
                  <w:marTop w:val="0"/>
                  <w:marBottom w:val="0"/>
                  <w:divBdr>
                    <w:top w:val="none" w:sz="0" w:space="0" w:color="auto"/>
                    <w:left w:val="none" w:sz="0" w:space="0" w:color="auto"/>
                    <w:bottom w:val="none" w:sz="0" w:space="0" w:color="auto"/>
                    <w:right w:val="none" w:sz="0" w:space="0" w:color="auto"/>
                  </w:divBdr>
                  <w:divsChild>
                    <w:div w:id="1548251787">
                      <w:marLeft w:val="0"/>
                      <w:marRight w:val="0"/>
                      <w:marTop w:val="0"/>
                      <w:marBottom w:val="0"/>
                      <w:divBdr>
                        <w:top w:val="none" w:sz="0" w:space="0" w:color="auto"/>
                        <w:left w:val="none" w:sz="0" w:space="0" w:color="auto"/>
                        <w:bottom w:val="none" w:sz="0" w:space="0" w:color="auto"/>
                        <w:right w:val="none" w:sz="0" w:space="0" w:color="auto"/>
                      </w:divBdr>
                    </w:div>
                  </w:divsChild>
                </w:div>
                <w:div w:id="1613441984">
                  <w:marLeft w:val="0"/>
                  <w:marRight w:val="0"/>
                  <w:marTop w:val="0"/>
                  <w:marBottom w:val="0"/>
                  <w:divBdr>
                    <w:top w:val="none" w:sz="0" w:space="0" w:color="auto"/>
                    <w:left w:val="none" w:sz="0" w:space="0" w:color="auto"/>
                    <w:bottom w:val="none" w:sz="0" w:space="0" w:color="auto"/>
                    <w:right w:val="none" w:sz="0" w:space="0" w:color="auto"/>
                  </w:divBdr>
                  <w:divsChild>
                    <w:div w:id="1231817010">
                      <w:marLeft w:val="0"/>
                      <w:marRight w:val="0"/>
                      <w:marTop w:val="0"/>
                      <w:marBottom w:val="0"/>
                      <w:divBdr>
                        <w:top w:val="none" w:sz="0" w:space="0" w:color="auto"/>
                        <w:left w:val="none" w:sz="0" w:space="0" w:color="auto"/>
                        <w:bottom w:val="none" w:sz="0" w:space="0" w:color="auto"/>
                        <w:right w:val="none" w:sz="0" w:space="0" w:color="auto"/>
                      </w:divBdr>
                    </w:div>
                  </w:divsChild>
                </w:div>
                <w:div w:id="1615012468">
                  <w:marLeft w:val="0"/>
                  <w:marRight w:val="0"/>
                  <w:marTop w:val="0"/>
                  <w:marBottom w:val="0"/>
                  <w:divBdr>
                    <w:top w:val="none" w:sz="0" w:space="0" w:color="auto"/>
                    <w:left w:val="none" w:sz="0" w:space="0" w:color="auto"/>
                    <w:bottom w:val="none" w:sz="0" w:space="0" w:color="auto"/>
                    <w:right w:val="none" w:sz="0" w:space="0" w:color="auto"/>
                  </w:divBdr>
                  <w:divsChild>
                    <w:div w:id="222066462">
                      <w:marLeft w:val="0"/>
                      <w:marRight w:val="0"/>
                      <w:marTop w:val="0"/>
                      <w:marBottom w:val="0"/>
                      <w:divBdr>
                        <w:top w:val="none" w:sz="0" w:space="0" w:color="auto"/>
                        <w:left w:val="none" w:sz="0" w:space="0" w:color="auto"/>
                        <w:bottom w:val="none" w:sz="0" w:space="0" w:color="auto"/>
                        <w:right w:val="none" w:sz="0" w:space="0" w:color="auto"/>
                      </w:divBdr>
                    </w:div>
                  </w:divsChild>
                </w:div>
                <w:div w:id="1640575046">
                  <w:marLeft w:val="0"/>
                  <w:marRight w:val="0"/>
                  <w:marTop w:val="0"/>
                  <w:marBottom w:val="0"/>
                  <w:divBdr>
                    <w:top w:val="none" w:sz="0" w:space="0" w:color="auto"/>
                    <w:left w:val="none" w:sz="0" w:space="0" w:color="auto"/>
                    <w:bottom w:val="none" w:sz="0" w:space="0" w:color="auto"/>
                    <w:right w:val="none" w:sz="0" w:space="0" w:color="auto"/>
                  </w:divBdr>
                  <w:divsChild>
                    <w:div w:id="1708484004">
                      <w:marLeft w:val="0"/>
                      <w:marRight w:val="0"/>
                      <w:marTop w:val="0"/>
                      <w:marBottom w:val="0"/>
                      <w:divBdr>
                        <w:top w:val="none" w:sz="0" w:space="0" w:color="auto"/>
                        <w:left w:val="none" w:sz="0" w:space="0" w:color="auto"/>
                        <w:bottom w:val="none" w:sz="0" w:space="0" w:color="auto"/>
                        <w:right w:val="none" w:sz="0" w:space="0" w:color="auto"/>
                      </w:divBdr>
                    </w:div>
                  </w:divsChild>
                </w:div>
                <w:div w:id="1646621118">
                  <w:marLeft w:val="0"/>
                  <w:marRight w:val="0"/>
                  <w:marTop w:val="0"/>
                  <w:marBottom w:val="0"/>
                  <w:divBdr>
                    <w:top w:val="none" w:sz="0" w:space="0" w:color="auto"/>
                    <w:left w:val="none" w:sz="0" w:space="0" w:color="auto"/>
                    <w:bottom w:val="none" w:sz="0" w:space="0" w:color="auto"/>
                    <w:right w:val="none" w:sz="0" w:space="0" w:color="auto"/>
                  </w:divBdr>
                  <w:divsChild>
                    <w:div w:id="905797334">
                      <w:marLeft w:val="0"/>
                      <w:marRight w:val="0"/>
                      <w:marTop w:val="0"/>
                      <w:marBottom w:val="0"/>
                      <w:divBdr>
                        <w:top w:val="none" w:sz="0" w:space="0" w:color="auto"/>
                        <w:left w:val="none" w:sz="0" w:space="0" w:color="auto"/>
                        <w:bottom w:val="none" w:sz="0" w:space="0" w:color="auto"/>
                        <w:right w:val="none" w:sz="0" w:space="0" w:color="auto"/>
                      </w:divBdr>
                    </w:div>
                  </w:divsChild>
                </w:div>
                <w:div w:id="1665471570">
                  <w:marLeft w:val="0"/>
                  <w:marRight w:val="0"/>
                  <w:marTop w:val="0"/>
                  <w:marBottom w:val="0"/>
                  <w:divBdr>
                    <w:top w:val="none" w:sz="0" w:space="0" w:color="auto"/>
                    <w:left w:val="none" w:sz="0" w:space="0" w:color="auto"/>
                    <w:bottom w:val="none" w:sz="0" w:space="0" w:color="auto"/>
                    <w:right w:val="none" w:sz="0" w:space="0" w:color="auto"/>
                  </w:divBdr>
                  <w:divsChild>
                    <w:div w:id="2134710056">
                      <w:marLeft w:val="0"/>
                      <w:marRight w:val="0"/>
                      <w:marTop w:val="0"/>
                      <w:marBottom w:val="0"/>
                      <w:divBdr>
                        <w:top w:val="none" w:sz="0" w:space="0" w:color="auto"/>
                        <w:left w:val="none" w:sz="0" w:space="0" w:color="auto"/>
                        <w:bottom w:val="none" w:sz="0" w:space="0" w:color="auto"/>
                        <w:right w:val="none" w:sz="0" w:space="0" w:color="auto"/>
                      </w:divBdr>
                    </w:div>
                  </w:divsChild>
                </w:div>
                <w:div w:id="1674524035">
                  <w:marLeft w:val="0"/>
                  <w:marRight w:val="0"/>
                  <w:marTop w:val="0"/>
                  <w:marBottom w:val="0"/>
                  <w:divBdr>
                    <w:top w:val="none" w:sz="0" w:space="0" w:color="auto"/>
                    <w:left w:val="none" w:sz="0" w:space="0" w:color="auto"/>
                    <w:bottom w:val="none" w:sz="0" w:space="0" w:color="auto"/>
                    <w:right w:val="none" w:sz="0" w:space="0" w:color="auto"/>
                  </w:divBdr>
                  <w:divsChild>
                    <w:div w:id="1982272983">
                      <w:marLeft w:val="0"/>
                      <w:marRight w:val="0"/>
                      <w:marTop w:val="0"/>
                      <w:marBottom w:val="0"/>
                      <w:divBdr>
                        <w:top w:val="none" w:sz="0" w:space="0" w:color="auto"/>
                        <w:left w:val="none" w:sz="0" w:space="0" w:color="auto"/>
                        <w:bottom w:val="none" w:sz="0" w:space="0" w:color="auto"/>
                        <w:right w:val="none" w:sz="0" w:space="0" w:color="auto"/>
                      </w:divBdr>
                    </w:div>
                  </w:divsChild>
                </w:div>
                <w:div w:id="1715890023">
                  <w:marLeft w:val="0"/>
                  <w:marRight w:val="0"/>
                  <w:marTop w:val="0"/>
                  <w:marBottom w:val="0"/>
                  <w:divBdr>
                    <w:top w:val="none" w:sz="0" w:space="0" w:color="auto"/>
                    <w:left w:val="none" w:sz="0" w:space="0" w:color="auto"/>
                    <w:bottom w:val="none" w:sz="0" w:space="0" w:color="auto"/>
                    <w:right w:val="none" w:sz="0" w:space="0" w:color="auto"/>
                  </w:divBdr>
                  <w:divsChild>
                    <w:div w:id="766080361">
                      <w:marLeft w:val="0"/>
                      <w:marRight w:val="0"/>
                      <w:marTop w:val="0"/>
                      <w:marBottom w:val="0"/>
                      <w:divBdr>
                        <w:top w:val="none" w:sz="0" w:space="0" w:color="auto"/>
                        <w:left w:val="none" w:sz="0" w:space="0" w:color="auto"/>
                        <w:bottom w:val="none" w:sz="0" w:space="0" w:color="auto"/>
                        <w:right w:val="none" w:sz="0" w:space="0" w:color="auto"/>
                      </w:divBdr>
                    </w:div>
                  </w:divsChild>
                </w:div>
                <w:div w:id="1719741519">
                  <w:marLeft w:val="0"/>
                  <w:marRight w:val="0"/>
                  <w:marTop w:val="0"/>
                  <w:marBottom w:val="0"/>
                  <w:divBdr>
                    <w:top w:val="none" w:sz="0" w:space="0" w:color="auto"/>
                    <w:left w:val="none" w:sz="0" w:space="0" w:color="auto"/>
                    <w:bottom w:val="none" w:sz="0" w:space="0" w:color="auto"/>
                    <w:right w:val="none" w:sz="0" w:space="0" w:color="auto"/>
                  </w:divBdr>
                  <w:divsChild>
                    <w:div w:id="1027221990">
                      <w:marLeft w:val="0"/>
                      <w:marRight w:val="0"/>
                      <w:marTop w:val="0"/>
                      <w:marBottom w:val="0"/>
                      <w:divBdr>
                        <w:top w:val="none" w:sz="0" w:space="0" w:color="auto"/>
                        <w:left w:val="none" w:sz="0" w:space="0" w:color="auto"/>
                        <w:bottom w:val="none" w:sz="0" w:space="0" w:color="auto"/>
                        <w:right w:val="none" w:sz="0" w:space="0" w:color="auto"/>
                      </w:divBdr>
                    </w:div>
                  </w:divsChild>
                </w:div>
                <w:div w:id="1736314809">
                  <w:marLeft w:val="0"/>
                  <w:marRight w:val="0"/>
                  <w:marTop w:val="0"/>
                  <w:marBottom w:val="0"/>
                  <w:divBdr>
                    <w:top w:val="none" w:sz="0" w:space="0" w:color="auto"/>
                    <w:left w:val="none" w:sz="0" w:space="0" w:color="auto"/>
                    <w:bottom w:val="none" w:sz="0" w:space="0" w:color="auto"/>
                    <w:right w:val="none" w:sz="0" w:space="0" w:color="auto"/>
                  </w:divBdr>
                  <w:divsChild>
                    <w:div w:id="1002781713">
                      <w:marLeft w:val="0"/>
                      <w:marRight w:val="0"/>
                      <w:marTop w:val="0"/>
                      <w:marBottom w:val="0"/>
                      <w:divBdr>
                        <w:top w:val="none" w:sz="0" w:space="0" w:color="auto"/>
                        <w:left w:val="none" w:sz="0" w:space="0" w:color="auto"/>
                        <w:bottom w:val="none" w:sz="0" w:space="0" w:color="auto"/>
                        <w:right w:val="none" w:sz="0" w:space="0" w:color="auto"/>
                      </w:divBdr>
                    </w:div>
                  </w:divsChild>
                </w:div>
                <w:div w:id="1737782194">
                  <w:marLeft w:val="0"/>
                  <w:marRight w:val="0"/>
                  <w:marTop w:val="0"/>
                  <w:marBottom w:val="0"/>
                  <w:divBdr>
                    <w:top w:val="none" w:sz="0" w:space="0" w:color="auto"/>
                    <w:left w:val="none" w:sz="0" w:space="0" w:color="auto"/>
                    <w:bottom w:val="none" w:sz="0" w:space="0" w:color="auto"/>
                    <w:right w:val="none" w:sz="0" w:space="0" w:color="auto"/>
                  </w:divBdr>
                  <w:divsChild>
                    <w:div w:id="1905214001">
                      <w:marLeft w:val="0"/>
                      <w:marRight w:val="0"/>
                      <w:marTop w:val="0"/>
                      <w:marBottom w:val="0"/>
                      <w:divBdr>
                        <w:top w:val="none" w:sz="0" w:space="0" w:color="auto"/>
                        <w:left w:val="none" w:sz="0" w:space="0" w:color="auto"/>
                        <w:bottom w:val="none" w:sz="0" w:space="0" w:color="auto"/>
                        <w:right w:val="none" w:sz="0" w:space="0" w:color="auto"/>
                      </w:divBdr>
                    </w:div>
                  </w:divsChild>
                </w:div>
                <w:div w:id="1813137289">
                  <w:marLeft w:val="0"/>
                  <w:marRight w:val="0"/>
                  <w:marTop w:val="0"/>
                  <w:marBottom w:val="0"/>
                  <w:divBdr>
                    <w:top w:val="none" w:sz="0" w:space="0" w:color="auto"/>
                    <w:left w:val="none" w:sz="0" w:space="0" w:color="auto"/>
                    <w:bottom w:val="none" w:sz="0" w:space="0" w:color="auto"/>
                    <w:right w:val="none" w:sz="0" w:space="0" w:color="auto"/>
                  </w:divBdr>
                  <w:divsChild>
                    <w:div w:id="1759475012">
                      <w:marLeft w:val="0"/>
                      <w:marRight w:val="0"/>
                      <w:marTop w:val="0"/>
                      <w:marBottom w:val="0"/>
                      <w:divBdr>
                        <w:top w:val="none" w:sz="0" w:space="0" w:color="auto"/>
                        <w:left w:val="none" w:sz="0" w:space="0" w:color="auto"/>
                        <w:bottom w:val="none" w:sz="0" w:space="0" w:color="auto"/>
                        <w:right w:val="none" w:sz="0" w:space="0" w:color="auto"/>
                      </w:divBdr>
                    </w:div>
                  </w:divsChild>
                </w:div>
                <w:div w:id="1933470368">
                  <w:marLeft w:val="0"/>
                  <w:marRight w:val="0"/>
                  <w:marTop w:val="0"/>
                  <w:marBottom w:val="0"/>
                  <w:divBdr>
                    <w:top w:val="none" w:sz="0" w:space="0" w:color="auto"/>
                    <w:left w:val="none" w:sz="0" w:space="0" w:color="auto"/>
                    <w:bottom w:val="none" w:sz="0" w:space="0" w:color="auto"/>
                    <w:right w:val="none" w:sz="0" w:space="0" w:color="auto"/>
                  </w:divBdr>
                  <w:divsChild>
                    <w:div w:id="136344487">
                      <w:marLeft w:val="0"/>
                      <w:marRight w:val="0"/>
                      <w:marTop w:val="0"/>
                      <w:marBottom w:val="0"/>
                      <w:divBdr>
                        <w:top w:val="none" w:sz="0" w:space="0" w:color="auto"/>
                        <w:left w:val="none" w:sz="0" w:space="0" w:color="auto"/>
                        <w:bottom w:val="none" w:sz="0" w:space="0" w:color="auto"/>
                        <w:right w:val="none" w:sz="0" w:space="0" w:color="auto"/>
                      </w:divBdr>
                    </w:div>
                  </w:divsChild>
                </w:div>
                <w:div w:id="2116712091">
                  <w:marLeft w:val="0"/>
                  <w:marRight w:val="0"/>
                  <w:marTop w:val="0"/>
                  <w:marBottom w:val="0"/>
                  <w:divBdr>
                    <w:top w:val="none" w:sz="0" w:space="0" w:color="auto"/>
                    <w:left w:val="none" w:sz="0" w:space="0" w:color="auto"/>
                    <w:bottom w:val="none" w:sz="0" w:space="0" w:color="auto"/>
                    <w:right w:val="none" w:sz="0" w:space="0" w:color="auto"/>
                  </w:divBdr>
                  <w:divsChild>
                    <w:div w:id="15333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52244">
          <w:marLeft w:val="0"/>
          <w:marRight w:val="0"/>
          <w:marTop w:val="0"/>
          <w:marBottom w:val="0"/>
          <w:divBdr>
            <w:top w:val="none" w:sz="0" w:space="0" w:color="auto"/>
            <w:left w:val="none" w:sz="0" w:space="0" w:color="auto"/>
            <w:bottom w:val="none" w:sz="0" w:space="0" w:color="auto"/>
            <w:right w:val="none" w:sz="0" w:space="0" w:color="auto"/>
          </w:divBdr>
          <w:divsChild>
            <w:div w:id="968390657">
              <w:marLeft w:val="0"/>
              <w:marRight w:val="0"/>
              <w:marTop w:val="30"/>
              <w:marBottom w:val="30"/>
              <w:divBdr>
                <w:top w:val="none" w:sz="0" w:space="0" w:color="auto"/>
                <w:left w:val="none" w:sz="0" w:space="0" w:color="auto"/>
                <w:bottom w:val="none" w:sz="0" w:space="0" w:color="auto"/>
                <w:right w:val="none" w:sz="0" w:space="0" w:color="auto"/>
              </w:divBdr>
              <w:divsChild>
                <w:div w:id="123736390">
                  <w:marLeft w:val="0"/>
                  <w:marRight w:val="0"/>
                  <w:marTop w:val="0"/>
                  <w:marBottom w:val="0"/>
                  <w:divBdr>
                    <w:top w:val="none" w:sz="0" w:space="0" w:color="auto"/>
                    <w:left w:val="none" w:sz="0" w:space="0" w:color="auto"/>
                    <w:bottom w:val="none" w:sz="0" w:space="0" w:color="auto"/>
                    <w:right w:val="none" w:sz="0" w:space="0" w:color="auto"/>
                  </w:divBdr>
                  <w:divsChild>
                    <w:div w:id="1435243084">
                      <w:marLeft w:val="0"/>
                      <w:marRight w:val="0"/>
                      <w:marTop w:val="0"/>
                      <w:marBottom w:val="0"/>
                      <w:divBdr>
                        <w:top w:val="none" w:sz="0" w:space="0" w:color="auto"/>
                        <w:left w:val="none" w:sz="0" w:space="0" w:color="auto"/>
                        <w:bottom w:val="none" w:sz="0" w:space="0" w:color="auto"/>
                        <w:right w:val="none" w:sz="0" w:space="0" w:color="auto"/>
                      </w:divBdr>
                    </w:div>
                  </w:divsChild>
                </w:div>
                <w:div w:id="168755655">
                  <w:marLeft w:val="0"/>
                  <w:marRight w:val="0"/>
                  <w:marTop w:val="0"/>
                  <w:marBottom w:val="0"/>
                  <w:divBdr>
                    <w:top w:val="none" w:sz="0" w:space="0" w:color="auto"/>
                    <w:left w:val="none" w:sz="0" w:space="0" w:color="auto"/>
                    <w:bottom w:val="none" w:sz="0" w:space="0" w:color="auto"/>
                    <w:right w:val="none" w:sz="0" w:space="0" w:color="auto"/>
                  </w:divBdr>
                  <w:divsChild>
                    <w:div w:id="445928751">
                      <w:marLeft w:val="0"/>
                      <w:marRight w:val="0"/>
                      <w:marTop w:val="0"/>
                      <w:marBottom w:val="0"/>
                      <w:divBdr>
                        <w:top w:val="none" w:sz="0" w:space="0" w:color="auto"/>
                        <w:left w:val="none" w:sz="0" w:space="0" w:color="auto"/>
                        <w:bottom w:val="none" w:sz="0" w:space="0" w:color="auto"/>
                        <w:right w:val="none" w:sz="0" w:space="0" w:color="auto"/>
                      </w:divBdr>
                    </w:div>
                  </w:divsChild>
                </w:div>
                <w:div w:id="478571965">
                  <w:marLeft w:val="0"/>
                  <w:marRight w:val="0"/>
                  <w:marTop w:val="0"/>
                  <w:marBottom w:val="0"/>
                  <w:divBdr>
                    <w:top w:val="none" w:sz="0" w:space="0" w:color="auto"/>
                    <w:left w:val="none" w:sz="0" w:space="0" w:color="auto"/>
                    <w:bottom w:val="none" w:sz="0" w:space="0" w:color="auto"/>
                    <w:right w:val="none" w:sz="0" w:space="0" w:color="auto"/>
                  </w:divBdr>
                  <w:divsChild>
                    <w:div w:id="258802252">
                      <w:marLeft w:val="0"/>
                      <w:marRight w:val="0"/>
                      <w:marTop w:val="0"/>
                      <w:marBottom w:val="0"/>
                      <w:divBdr>
                        <w:top w:val="none" w:sz="0" w:space="0" w:color="auto"/>
                        <w:left w:val="none" w:sz="0" w:space="0" w:color="auto"/>
                        <w:bottom w:val="none" w:sz="0" w:space="0" w:color="auto"/>
                        <w:right w:val="none" w:sz="0" w:space="0" w:color="auto"/>
                      </w:divBdr>
                    </w:div>
                  </w:divsChild>
                </w:div>
                <w:div w:id="678043631">
                  <w:marLeft w:val="0"/>
                  <w:marRight w:val="0"/>
                  <w:marTop w:val="0"/>
                  <w:marBottom w:val="0"/>
                  <w:divBdr>
                    <w:top w:val="none" w:sz="0" w:space="0" w:color="auto"/>
                    <w:left w:val="none" w:sz="0" w:space="0" w:color="auto"/>
                    <w:bottom w:val="none" w:sz="0" w:space="0" w:color="auto"/>
                    <w:right w:val="none" w:sz="0" w:space="0" w:color="auto"/>
                  </w:divBdr>
                  <w:divsChild>
                    <w:div w:id="856970510">
                      <w:marLeft w:val="0"/>
                      <w:marRight w:val="0"/>
                      <w:marTop w:val="0"/>
                      <w:marBottom w:val="0"/>
                      <w:divBdr>
                        <w:top w:val="none" w:sz="0" w:space="0" w:color="auto"/>
                        <w:left w:val="none" w:sz="0" w:space="0" w:color="auto"/>
                        <w:bottom w:val="none" w:sz="0" w:space="0" w:color="auto"/>
                        <w:right w:val="none" w:sz="0" w:space="0" w:color="auto"/>
                      </w:divBdr>
                    </w:div>
                  </w:divsChild>
                </w:div>
                <w:div w:id="777870133">
                  <w:marLeft w:val="0"/>
                  <w:marRight w:val="0"/>
                  <w:marTop w:val="0"/>
                  <w:marBottom w:val="0"/>
                  <w:divBdr>
                    <w:top w:val="none" w:sz="0" w:space="0" w:color="auto"/>
                    <w:left w:val="none" w:sz="0" w:space="0" w:color="auto"/>
                    <w:bottom w:val="none" w:sz="0" w:space="0" w:color="auto"/>
                    <w:right w:val="none" w:sz="0" w:space="0" w:color="auto"/>
                  </w:divBdr>
                  <w:divsChild>
                    <w:div w:id="448472261">
                      <w:marLeft w:val="0"/>
                      <w:marRight w:val="0"/>
                      <w:marTop w:val="0"/>
                      <w:marBottom w:val="0"/>
                      <w:divBdr>
                        <w:top w:val="none" w:sz="0" w:space="0" w:color="auto"/>
                        <w:left w:val="none" w:sz="0" w:space="0" w:color="auto"/>
                        <w:bottom w:val="none" w:sz="0" w:space="0" w:color="auto"/>
                        <w:right w:val="none" w:sz="0" w:space="0" w:color="auto"/>
                      </w:divBdr>
                    </w:div>
                  </w:divsChild>
                </w:div>
                <w:div w:id="779303073">
                  <w:marLeft w:val="0"/>
                  <w:marRight w:val="0"/>
                  <w:marTop w:val="0"/>
                  <w:marBottom w:val="0"/>
                  <w:divBdr>
                    <w:top w:val="none" w:sz="0" w:space="0" w:color="auto"/>
                    <w:left w:val="none" w:sz="0" w:space="0" w:color="auto"/>
                    <w:bottom w:val="none" w:sz="0" w:space="0" w:color="auto"/>
                    <w:right w:val="none" w:sz="0" w:space="0" w:color="auto"/>
                  </w:divBdr>
                  <w:divsChild>
                    <w:div w:id="863054822">
                      <w:marLeft w:val="0"/>
                      <w:marRight w:val="0"/>
                      <w:marTop w:val="0"/>
                      <w:marBottom w:val="0"/>
                      <w:divBdr>
                        <w:top w:val="none" w:sz="0" w:space="0" w:color="auto"/>
                        <w:left w:val="none" w:sz="0" w:space="0" w:color="auto"/>
                        <w:bottom w:val="none" w:sz="0" w:space="0" w:color="auto"/>
                        <w:right w:val="none" w:sz="0" w:space="0" w:color="auto"/>
                      </w:divBdr>
                    </w:div>
                  </w:divsChild>
                </w:div>
                <w:div w:id="1330446995">
                  <w:marLeft w:val="0"/>
                  <w:marRight w:val="0"/>
                  <w:marTop w:val="0"/>
                  <w:marBottom w:val="0"/>
                  <w:divBdr>
                    <w:top w:val="none" w:sz="0" w:space="0" w:color="auto"/>
                    <w:left w:val="none" w:sz="0" w:space="0" w:color="auto"/>
                    <w:bottom w:val="none" w:sz="0" w:space="0" w:color="auto"/>
                    <w:right w:val="none" w:sz="0" w:space="0" w:color="auto"/>
                  </w:divBdr>
                  <w:divsChild>
                    <w:div w:id="322127102">
                      <w:marLeft w:val="0"/>
                      <w:marRight w:val="0"/>
                      <w:marTop w:val="0"/>
                      <w:marBottom w:val="0"/>
                      <w:divBdr>
                        <w:top w:val="none" w:sz="0" w:space="0" w:color="auto"/>
                        <w:left w:val="none" w:sz="0" w:space="0" w:color="auto"/>
                        <w:bottom w:val="none" w:sz="0" w:space="0" w:color="auto"/>
                        <w:right w:val="none" w:sz="0" w:space="0" w:color="auto"/>
                      </w:divBdr>
                    </w:div>
                  </w:divsChild>
                </w:div>
                <w:div w:id="1440879923">
                  <w:marLeft w:val="0"/>
                  <w:marRight w:val="0"/>
                  <w:marTop w:val="0"/>
                  <w:marBottom w:val="0"/>
                  <w:divBdr>
                    <w:top w:val="none" w:sz="0" w:space="0" w:color="auto"/>
                    <w:left w:val="none" w:sz="0" w:space="0" w:color="auto"/>
                    <w:bottom w:val="none" w:sz="0" w:space="0" w:color="auto"/>
                    <w:right w:val="none" w:sz="0" w:space="0" w:color="auto"/>
                  </w:divBdr>
                  <w:divsChild>
                    <w:div w:id="1056392032">
                      <w:marLeft w:val="0"/>
                      <w:marRight w:val="0"/>
                      <w:marTop w:val="0"/>
                      <w:marBottom w:val="0"/>
                      <w:divBdr>
                        <w:top w:val="none" w:sz="0" w:space="0" w:color="auto"/>
                        <w:left w:val="none" w:sz="0" w:space="0" w:color="auto"/>
                        <w:bottom w:val="none" w:sz="0" w:space="0" w:color="auto"/>
                        <w:right w:val="none" w:sz="0" w:space="0" w:color="auto"/>
                      </w:divBdr>
                    </w:div>
                  </w:divsChild>
                </w:div>
                <w:div w:id="1586768489">
                  <w:marLeft w:val="0"/>
                  <w:marRight w:val="0"/>
                  <w:marTop w:val="0"/>
                  <w:marBottom w:val="0"/>
                  <w:divBdr>
                    <w:top w:val="none" w:sz="0" w:space="0" w:color="auto"/>
                    <w:left w:val="none" w:sz="0" w:space="0" w:color="auto"/>
                    <w:bottom w:val="none" w:sz="0" w:space="0" w:color="auto"/>
                    <w:right w:val="none" w:sz="0" w:space="0" w:color="auto"/>
                  </w:divBdr>
                  <w:divsChild>
                    <w:div w:id="1697196394">
                      <w:marLeft w:val="0"/>
                      <w:marRight w:val="0"/>
                      <w:marTop w:val="0"/>
                      <w:marBottom w:val="0"/>
                      <w:divBdr>
                        <w:top w:val="none" w:sz="0" w:space="0" w:color="auto"/>
                        <w:left w:val="none" w:sz="0" w:space="0" w:color="auto"/>
                        <w:bottom w:val="none" w:sz="0" w:space="0" w:color="auto"/>
                        <w:right w:val="none" w:sz="0" w:space="0" w:color="auto"/>
                      </w:divBdr>
                    </w:div>
                  </w:divsChild>
                </w:div>
                <w:div w:id="1676152708">
                  <w:marLeft w:val="0"/>
                  <w:marRight w:val="0"/>
                  <w:marTop w:val="0"/>
                  <w:marBottom w:val="0"/>
                  <w:divBdr>
                    <w:top w:val="none" w:sz="0" w:space="0" w:color="auto"/>
                    <w:left w:val="none" w:sz="0" w:space="0" w:color="auto"/>
                    <w:bottom w:val="none" w:sz="0" w:space="0" w:color="auto"/>
                    <w:right w:val="none" w:sz="0" w:space="0" w:color="auto"/>
                  </w:divBdr>
                  <w:divsChild>
                    <w:div w:id="809791628">
                      <w:marLeft w:val="0"/>
                      <w:marRight w:val="0"/>
                      <w:marTop w:val="0"/>
                      <w:marBottom w:val="0"/>
                      <w:divBdr>
                        <w:top w:val="none" w:sz="0" w:space="0" w:color="auto"/>
                        <w:left w:val="none" w:sz="0" w:space="0" w:color="auto"/>
                        <w:bottom w:val="none" w:sz="0" w:space="0" w:color="auto"/>
                        <w:right w:val="none" w:sz="0" w:space="0" w:color="auto"/>
                      </w:divBdr>
                      <w:divsChild>
                        <w:div w:id="1506437879">
                          <w:marLeft w:val="0"/>
                          <w:marRight w:val="0"/>
                          <w:marTop w:val="0"/>
                          <w:marBottom w:val="0"/>
                          <w:divBdr>
                            <w:top w:val="none" w:sz="0" w:space="0" w:color="auto"/>
                            <w:left w:val="none" w:sz="0" w:space="0" w:color="auto"/>
                            <w:bottom w:val="none" w:sz="0" w:space="0" w:color="auto"/>
                            <w:right w:val="none" w:sz="0" w:space="0" w:color="auto"/>
                          </w:divBdr>
                          <w:divsChild>
                            <w:div w:id="1679116692">
                              <w:marLeft w:val="0"/>
                              <w:marRight w:val="0"/>
                              <w:marTop w:val="0"/>
                              <w:marBottom w:val="0"/>
                              <w:divBdr>
                                <w:top w:val="none" w:sz="0" w:space="0" w:color="auto"/>
                                <w:left w:val="none" w:sz="0" w:space="0" w:color="auto"/>
                                <w:bottom w:val="none" w:sz="0" w:space="0" w:color="auto"/>
                                <w:right w:val="none" w:sz="0" w:space="0" w:color="auto"/>
                              </w:divBdr>
                              <w:divsChild>
                                <w:div w:id="881088904">
                                  <w:marLeft w:val="0"/>
                                  <w:marRight w:val="0"/>
                                  <w:marTop w:val="0"/>
                                  <w:marBottom w:val="0"/>
                                  <w:divBdr>
                                    <w:top w:val="none" w:sz="0" w:space="0" w:color="auto"/>
                                    <w:left w:val="none" w:sz="0" w:space="0" w:color="auto"/>
                                    <w:bottom w:val="none" w:sz="0" w:space="0" w:color="auto"/>
                                    <w:right w:val="none" w:sz="0" w:space="0" w:color="auto"/>
                                  </w:divBdr>
                                  <w:divsChild>
                                    <w:div w:id="84226764">
                                      <w:marLeft w:val="0"/>
                                      <w:marRight w:val="0"/>
                                      <w:marTop w:val="0"/>
                                      <w:marBottom w:val="0"/>
                                      <w:divBdr>
                                        <w:top w:val="none" w:sz="0" w:space="0" w:color="auto"/>
                                        <w:left w:val="none" w:sz="0" w:space="0" w:color="auto"/>
                                        <w:bottom w:val="none" w:sz="0" w:space="0" w:color="auto"/>
                                        <w:right w:val="none" w:sz="0" w:space="0" w:color="auto"/>
                                      </w:divBdr>
                                    </w:div>
                                    <w:div w:id="370304650">
                                      <w:marLeft w:val="0"/>
                                      <w:marRight w:val="0"/>
                                      <w:marTop w:val="0"/>
                                      <w:marBottom w:val="0"/>
                                      <w:divBdr>
                                        <w:top w:val="none" w:sz="0" w:space="0" w:color="auto"/>
                                        <w:left w:val="none" w:sz="0" w:space="0" w:color="auto"/>
                                        <w:bottom w:val="none" w:sz="0" w:space="0" w:color="auto"/>
                                        <w:right w:val="none" w:sz="0" w:space="0" w:color="auto"/>
                                      </w:divBdr>
                                    </w:div>
                                    <w:div w:id="718436799">
                                      <w:marLeft w:val="0"/>
                                      <w:marRight w:val="0"/>
                                      <w:marTop w:val="0"/>
                                      <w:marBottom w:val="0"/>
                                      <w:divBdr>
                                        <w:top w:val="none" w:sz="0" w:space="0" w:color="auto"/>
                                        <w:left w:val="none" w:sz="0" w:space="0" w:color="auto"/>
                                        <w:bottom w:val="none" w:sz="0" w:space="0" w:color="auto"/>
                                        <w:right w:val="none" w:sz="0" w:space="0" w:color="auto"/>
                                      </w:divBdr>
                                    </w:div>
                                    <w:div w:id="989361558">
                                      <w:marLeft w:val="0"/>
                                      <w:marRight w:val="0"/>
                                      <w:marTop w:val="0"/>
                                      <w:marBottom w:val="0"/>
                                      <w:divBdr>
                                        <w:top w:val="none" w:sz="0" w:space="0" w:color="auto"/>
                                        <w:left w:val="none" w:sz="0" w:space="0" w:color="auto"/>
                                        <w:bottom w:val="none" w:sz="0" w:space="0" w:color="auto"/>
                                        <w:right w:val="none" w:sz="0" w:space="0" w:color="auto"/>
                                      </w:divBdr>
                                    </w:div>
                                    <w:div w:id="1430541403">
                                      <w:marLeft w:val="0"/>
                                      <w:marRight w:val="0"/>
                                      <w:marTop w:val="0"/>
                                      <w:marBottom w:val="0"/>
                                      <w:divBdr>
                                        <w:top w:val="none" w:sz="0" w:space="0" w:color="auto"/>
                                        <w:left w:val="none" w:sz="0" w:space="0" w:color="auto"/>
                                        <w:bottom w:val="none" w:sz="0" w:space="0" w:color="auto"/>
                                        <w:right w:val="none" w:sz="0" w:space="0" w:color="auto"/>
                                      </w:divBdr>
                                    </w:div>
                                    <w:div w:id="1862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88924">
                      <w:marLeft w:val="0"/>
                      <w:marRight w:val="0"/>
                      <w:marTop w:val="0"/>
                      <w:marBottom w:val="0"/>
                      <w:divBdr>
                        <w:top w:val="none" w:sz="0" w:space="0" w:color="auto"/>
                        <w:left w:val="none" w:sz="0" w:space="0" w:color="auto"/>
                        <w:bottom w:val="none" w:sz="0" w:space="0" w:color="auto"/>
                        <w:right w:val="none" w:sz="0" w:space="0" w:color="auto"/>
                      </w:divBdr>
                    </w:div>
                  </w:divsChild>
                </w:div>
                <w:div w:id="1708986598">
                  <w:marLeft w:val="0"/>
                  <w:marRight w:val="0"/>
                  <w:marTop w:val="0"/>
                  <w:marBottom w:val="0"/>
                  <w:divBdr>
                    <w:top w:val="none" w:sz="0" w:space="0" w:color="auto"/>
                    <w:left w:val="none" w:sz="0" w:space="0" w:color="auto"/>
                    <w:bottom w:val="none" w:sz="0" w:space="0" w:color="auto"/>
                    <w:right w:val="none" w:sz="0" w:space="0" w:color="auto"/>
                  </w:divBdr>
                  <w:divsChild>
                    <w:div w:id="795609622">
                      <w:marLeft w:val="0"/>
                      <w:marRight w:val="0"/>
                      <w:marTop w:val="0"/>
                      <w:marBottom w:val="0"/>
                      <w:divBdr>
                        <w:top w:val="none" w:sz="0" w:space="0" w:color="auto"/>
                        <w:left w:val="none" w:sz="0" w:space="0" w:color="auto"/>
                        <w:bottom w:val="none" w:sz="0" w:space="0" w:color="auto"/>
                        <w:right w:val="none" w:sz="0" w:space="0" w:color="auto"/>
                      </w:divBdr>
                    </w:div>
                  </w:divsChild>
                </w:div>
                <w:div w:id="1958247753">
                  <w:marLeft w:val="0"/>
                  <w:marRight w:val="0"/>
                  <w:marTop w:val="0"/>
                  <w:marBottom w:val="0"/>
                  <w:divBdr>
                    <w:top w:val="none" w:sz="0" w:space="0" w:color="auto"/>
                    <w:left w:val="none" w:sz="0" w:space="0" w:color="auto"/>
                    <w:bottom w:val="none" w:sz="0" w:space="0" w:color="auto"/>
                    <w:right w:val="none" w:sz="0" w:space="0" w:color="auto"/>
                  </w:divBdr>
                  <w:divsChild>
                    <w:div w:id="660352219">
                      <w:marLeft w:val="0"/>
                      <w:marRight w:val="0"/>
                      <w:marTop w:val="0"/>
                      <w:marBottom w:val="0"/>
                      <w:divBdr>
                        <w:top w:val="none" w:sz="0" w:space="0" w:color="auto"/>
                        <w:left w:val="none" w:sz="0" w:space="0" w:color="auto"/>
                        <w:bottom w:val="none" w:sz="0" w:space="0" w:color="auto"/>
                        <w:right w:val="none" w:sz="0" w:space="0" w:color="auto"/>
                      </w:divBdr>
                    </w:div>
                  </w:divsChild>
                </w:div>
                <w:div w:id="1996645764">
                  <w:marLeft w:val="0"/>
                  <w:marRight w:val="0"/>
                  <w:marTop w:val="0"/>
                  <w:marBottom w:val="0"/>
                  <w:divBdr>
                    <w:top w:val="none" w:sz="0" w:space="0" w:color="auto"/>
                    <w:left w:val="none" w:sz="0" w:space="0" w:color="auto"/>
                    <w:bottom w:val="none" w:sz="0" w:space="0" w:color="auto"/>
                    <w:right w:val="none" w:sz="0" w:space="0" w:color="auto"/>
                  </w:divBdr>
                  <w:divsChild>
                    <w:div w:id="484400811">
                      <w:marLeft w:val="0"/>
                      <w:marRight w:val="0"/>
                      <w:marTop w:val="0"/>
                      <w:marBottom w:val="0"/>
                      <w:divBdr>
                        <w:top w:val="none" w:sz="0" w:space="0" w:color="auto"/>
                        <w:left w:val="none" w:sz="0" w:space="0" w:color="auto"/>
                        <w:bottom w:val="none" w:sz="0" w:space="0" w:color="auto"/>
                        <w:right w:val="none" w:sz="0" w:space="0" w:color="auto"/>
                      </w:divBdr>
                    </w:div>
                  </w:divsChild>
                </w:div>
                <w:div w:id="2081555066">
                  <w:marLeft w:val="0"/>
                  <w:marRight w:val="0"/>
                  <w:marTop w:val="0"/>
                  <w:marBottom w:val="0"/>
                  <w:divBdr>
                    <w:top w:val="none" w:sz="0" w:space="0" w:color="auto"/>
                    <w:left w:val="none" w:sz="0" w:space="0" w:color="auto"/>
                    <w:bottom w:val="none" w:sz="0" w:space="0" w:color="auto"/>
                    <w:right w:val="none" w:sz="0" w:space="0" w:color="auto"/>
                  </w:divBdr>
                  <w:divsChild>
                    <w:div w:id="14782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74647">
          <w:marLeft w:val="0"/>
          <w:marRight w:val="0"/>
          <w:marTop w:val="0"/>
          <w:marBottom w:val="0"/>
          <w:divBdr>
            <w:top w:val="none" w:sz="0" w:space="0" w:color="auto"/>
            <w:left w:val="none" w:sz="0" w:space="0" w:color="auto"/>
            <w:bottom w:val="none" w:sz="0" w:space="0" w:color="auto"/>
            <w:right w:val="none" w:sz="0" w:space="0" w:color="auto"/>
          </w:divBdr>
          <w:divsChild>
            <w:div w:id="908929476">
              <w:marLeft w:val="0"/>
              <w:marRight w:val="0"/>
              <w:marTop w:val="30"/>
              <w:marBottom w:val="30"/>
              <w:divBdr>
                <w:top w:val="none" w:sz="0" w:space="0" w:color="auto"/>
                <w:left w:val="none" w:sz="0" w:space="0" w:color="auto"/>
                <w:bottom w:val="none" w:sz="0" w:space="0" w:color="auto"/>
                <w:right w:val="none" w:sz="0" w:space="0" w:color="auto"/>
              </w:divBdr>
              <w:divsChild>
                <w:div w:id="26686474">
                  <w:marLeft w:val="0"/>
                  <w:marRight w:val="0"/>
                  <w:marTop w:val="0"/>
                  <w:marBottom w:val="0"/>
                  <w:divBdr>
                    <w:top w:val="none" w:sz="0" w:space="0" w:color="auto"/>
                    <w:left w:val="none" w:sz="0" w:space="0" w:color="auto"/>
                    <w:bottom w:val="none" w:sz="0" w:space="0" w:color="auto"/>
                    <w:right w:val="none" w:sz="0" w:space="0" w:color="auto"/>
                  </w:divBdr>
                  <w:divsChild>
                    <w:div w:id="1682312760">
                      <w:marLeft w:val="0"/>
                      <w:marRight w:val="0"/>
                      <w:marTop w:val="0"/>
                      <w:marBottom w:val="0"/>
                      <w:divBdr>
                        <w:top w:val="none" w:sz="0" w:space="0" w:color="auto"/>
                        <w:left w:val="none" w:sz="0" w:space="0" w:color="auto"/>
                        <w:bottom w:val="none" w:sz="0" w:space="0" w:color="auto"/>
                        <w:right w:val="none" w:sz="0" w:space="0" w:color="auto"/>
                      </w:divBdr>
                    </w:div>
                  </w:divsChild>
                </w:div>
                <w:div w:id="890187101">
                  <w:marLeft w:val="0"/>
                  <w:marRight w:val="0"/>
                  <w:marTop w:val="0"/>
                  <w:marBottom w:val="0"/>
                  <w:divBdr>
                    <w:top w:val="none" w:sz="0" w:space="0" w:color="auto"/>
                    <w:left w:val="none" w:sz="0" w:space="0" w:color="auto"/>
                    <w:bottom w:val="none" w:sz="0" w:space="0" w:color="auto"/>
                    <w:right w:val="none" w:sz="0" w:space="0" w:color="auto"/>
                  </w:divBdr>
                  <w:divsChild>
                    <w:div w:id="291181120">
                      <w:marLeft w:val="0"/>
                      <w:marRight w:val="0"/>
                      <w:marTop w:val="0"/>
                      <w:marBottom w:val="0"/>
                      <w:divBdr>
                        <w:top w:val="none" w:sz="0" w:space="0" w:color="auto"/>
                        <w:left w:val="none" w:sz="0" w:space="0" w:color="auto"/>
                        <w:bottom w:val="none" w:sz="0" w:space="0" w:color="auto"/>
                        <w:right w:val="none" w:sz="0" w:space="0" w:color="auto"/>
                      </w:divBdr>
                    </w:div>
                  </w:divsChild>
                </w:div>
                <w:div w:id="1684280910">
                  <w:marLeft w:val="0"/>
                  <w:marRight w:val="0"/>
                  <w:marTop w:val="0"/>
                  <w:marBottom w:val="0"/>
                  <w:divBdr>
                    <w:top w:val="none" w:sz="0" w:space="0" w:color="auto"/>
                    <w:left w:val="none" w:sz="0" w:space="0" w:color="auto"/>
                    <w:bottom w:val="none" w:sz="0" w:space="0" w:color="auto"/>
                    <w:right w:val="none" w:sz="0" w:space="0" w:color="auto"/>
                  </w:divBdr>
                  <w:divsChild>
                    <w:div w:id="1307783914">
                      <w:marLeft w:val="0"/>
                      <w:marRight w:val="0"/>
                      <w:marTop w:val="0"/>
                      <w:marBottom w:val="0"/>
                      <w:divBdr>
                        <w:top w:val="none" w:sz="0" w:space="0" w:color="auto"/>
                        <w:left w:val="none" w:sz="0" w:space="0" w:color="auto"/>
                        <w:bottom w:val="none" w:sz="0" w:space="0" w:color="auto"/>
                        <w:right w:val="none" w:sz="0" w:space="0" w:color="auto"/>
                      </w:divBdr>
                    </w:div>
                  </w:divsChild>
                </w:div>
                <w:div w:id="1917324304">
                  <w:marLeft w:val="0"/>
                  <w:marRight w:val="0"/>
                  <w:marTop w:val="0"/>
                  <w:marBottom w:val="0"/>
                  <w:divBdr>
                    <w:top w:val="none" w:sz="0" w:space="0" w:color="auto"/>
                    <w:left w:val="none" w:sz="0" w:space="0" w:color="auto"/>
                    <w:bottom w:val="none" w:sz="0" w:space="0" w:color="auto"/>
                    <w:right w:val="none" w:sz="0" w:space="0" w:color="auto"/>
                  </w:divBdr>
                  <w:divsChild>
                    <w:div w:id="16395326">
                      <w:marLeft w:val="0"/>
                      <w:marRight w:val="0"/>
                      <w:marTop w:val="0"/>
                      <w:marBottom w:val="0"/>
                      <w:divBdr>
                        <w:top w:val="none" w:sz="0" w:space="0" w:color="auto"/>
                        <w:left w:val="none" w:sz="0" w:space="0" w:color="auto"/>
                        <w:bottom w:val="none" w:sz="0" w:space="0" w:color="auto"/>
                        <w:right w:val="none" w:sz="0" w:space="0" w:color="auto"/>
                      </w:divBdr>
                    </w:div>
                    <w:div w:id="267933709">
                      <w:marLeft w:val="0"/>
                      <w:marRight w:val="0"/>
                      <w:marTop w:val="0"/>
                      <w:marBottom w:val="0"/>
                      <w:divBdr>
                        <w:top w:val="none" w:sz="0" w:space="0" w:color="auto"/>
                        <w:left w:val="none" w:sz="0" w:space="0" w:color="auto"/>
                        <w:bottom w:val="none" w:sz="0" w:space="0" w:color="auto"/>
                        <w:right w:val="none" w:sz="0" w:space="0" w:color="auto"/>
                      </w:divBdr>
                    </w:div>
                    <w:div w:id="775173205">
                      <w:marLeft w:val="0"/>
                      <w:marRight w:val="0"/>
                      <w:marTop w:val="0"/>
                      <w:marBottom w:val="0"/>
                      <w:divBdr>
                        <w:top w:val="none" w:sz="0" w:space="0" w:color="auto"/>
                        <w:left w:val="none" w:sz="0" w:space="0" w:color="auto"/>
                        <w:bottom w:val="none" w:sz="0" w:space="0" w:color="auto"/>
                        <w:right w:val="none" w:sz="0" w:space="0" w:color="auto"/>
                      </w:divBdr>
                    </w:div>
                    <w:div w:id="894044836">
                      <w:marLeft w:val="0"/>
                      <w:marRight w:val="0"/>
                      <w:marTop w:val="0"/>
                      <w:marBottom w:val="0"/>
                      <w:divBdr>
                        <w:top w:val="none" w:sz="0" w:space="0" w:color="auto"/>
                        <w:left w:val="none" w:sz="0" w:space="0" w:color="auto"/>
                        <w:bottom w:val="none" w:sz="0" w:space="0" w:color="auto"/>
                        <w:right w:val="none" w:sz="0" w:space="0" w:color="auto"/>
                      </w:divBdr>
                    </w:div>
                    <w:div w:id="1120302563">
                      <w:marLeft w:val="0"/>
                      <w:marRight w:val="0"/>
                      <w:marTop w:val="0"/>
                      <w:marBottom w:val="0"/>
                      <w:divBdr>
                        <w:top w:val="none" w:sz="0" w:space="0" w:color="auto"/>
                        <w:left w:val="none" w:sz="0" w:space="0" w:color="auto"/>
                        <w:bottom w:val="none" w:sz="0" w:space="0" w:color="auto"/>
                        <w:right w:val="none" w:sz="0" w:space="0" w:color="auto"/>
                      </w:divBdr>
                    </w:div>
                    <w:div w:id="1224559429">
                      <w:marLeft w:val="0"/>
                      <w:marRight w:val="0"/>
                      <w:marTop w:val="0"/>
                      <w:marBottom w:val="0"/>
                      <w:divBdr>
                        <w:top w:val="none" w:sz="0" w:space="0" w:color="auto"/>
                        <w:left w:val="none" w:sz="0" w:space="0" w:color="auto"/>
                        <w:bottom w:val="none" w:sz="0" w:space="0" w:color="auto"/>
                        <w:right w:val="none" w:sz="0" w:space="0" w:color="auto"/>
                      </w:divBdr>
                    </w:div>
                    <w:div w:id="1292395560">
                      <w:marLeft w:val="0"/>
                      <w:marRight w:val="0"/>
                      <w:marTop w:val="0"/>
                      <w:marBottom w:val="0"/>
                      <w:divBdr>
                        <w:top w:val="none" w:sz="0" w:space="0" w:color="auto"/>
                        <w:left w:val="none" w:sz="0" w:space="0" w:color="auto"/>
                        <w:bottom w:val="none" w:sz="0" w:space="0" w:color="auto"/>
                        <w:right w:val="none" w:sz="0" w:space="0" w:color="auto"/>
                      </w:divBdr>
                    </w:div>
                    <w:div w:id="1528332205">
                      <w:marLeft w:val="0"/>
                      <w:marRight w:val="0"/>
                      <w:marTop w:val="0"/>
                      <w:marBottom w:val="0"/>
                      <w:divBdr>
                        <w:top w:val="none" w:sz="0" w:space="0" w:color="auto"/>
                        <w:left w:val="none" w:sz="0" w:space="0" w:color="auto"/>
                        <w:bottom w:val="none" w:sz="0" w:space="0" w:color="auto"/>
                        <w:right w:val="none" w:sz="0" w:space="0" w:color="auto"/>
                      </w:divBdr>
                    </w:div>
                    <w:div w:id="1648507429">
                      <w:marLeft w:val="0"/>
                      <w:marRight w:val="0"/>
                      <w:marTop w:val="0"/>
                      <w:marBottom w:val="0"/>
                      <w:divBdr>
                        <w:top w:val="none" w:sz="0" w:space="0" w:color="auto"/>
                        <w:left w:val="none" w:sz="0" w:space="0" w:color="auto"/>
                        <w:bottom w:val="none" w:sz="0" w:space="0" w:color="auto"/>
                        <w:right w:val="none" w:sz="0" w:space="0" w:color="auto"/>
                      </w:divBdr>
                    </w:div>
                    <w:div w:id="2085715334">
                      <w:marLeft w:val="0"/>
                      <w:marRight w:val="0"/>
                      <w:marTop w:val="0"/>
                      <w:marBottom w:val="0"/>
                      <w:divBdr>
                        <w:top w:val="none" w:sz="0" w:space="0" w:color="auto"/>
                        <w:left w:val="none" w:sz="0" w:space="0" w:color="auto"/>
                        <w:bottom w:val="none" w:sz="0" w:space="0" w:color="auto"/>
                        <w:right w:val="none" w:sz="0" w:space="0" w:color="auto"/>
                      </w:divBdr>
                    </w:div>
                  </w:divsChild>
                </w:div>
                <w:div w:id="1965312098">
                  <w:marLeft w:val="0"/>
                  <w:marRight w:val="0"/>
                  <w:marTop w:val="0"/>
                  <w:marBottom w:val="0"/>
                  <w:divBdr>
                    <w:top w:val="none" w:sz="0" w:space="0" w:color="auto"/>
                    <w:left w:val="none" w:sz="0" w:space="0" w:color="auto"/>
                    <w:bottom w:val="none" w:sz="0" w:space="0" w:color="auto"/>
                    <w:right w:val="none" w:sz="0" w:space="0" w:color="auto"/>
                  </w:divBdr>
                  <w:divsChild>
                    <w:div w:id="13147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5025">
          <w:marLeft w:val="0"/>
          <w:marRight w:val="0"/>
          <w:marTop w:val="0"/>
          <w:marBottom w:val="0"/>
          <w:divBdr>
            <w:top w:val="none" w:sz="0" w:space="0" w:color="auto"/>
            <w:left w:val="none" w:sz="0" w:space="0" w:color="auto"/>
            <w:bottom w:val="none" w:sz="0" w:space="0" w:color="auto"/>
            <w:right w:val="none" w:sz="0" w:space="0" w:color="auto"/>
          </w:divBdr>
        </w:div>
        <w:div w:id="1601336123">
          <w:marLeft w:val="0"/>
          <w:marRight w:val="0"/>
          <w:marTop w:val="0"/>
          <w:marBottom w:val="0"/>
          <w:divBdr>
            <w:top w:val="none" w:sz="0" w:space="0" w:color="auto"/>
            <w:left w:val="none" w:sz="0" w:space="0" w:color="auto"/>
            <w:bottom w:val="none" w:sz="0" w:space="0" w:color="auto"/>
            <w:right w:val="none" w:sz="0" w:space="0" w:color="auto"/>
          </w:divBdr>
          <w:divsChild>
            <w:div w:id="731973351">
              <w:marLeft w:val="0"/>
              <w:marRight w:val="0"/>
              <w:marTop w:val="30"/>
              <w:marBottom w:val="30"/>
              <w:divBdr>
                <w:top w:val="none" w:sz="0" w:space="0" w:color="auto"/>
                <w:left w:val="none" w:sz="0" w:space="0" w:color="auto"/>
                <w:bottom w:val="none" w:sz="0" w:space="0" w:color="auto"/>
                <w:right w:val="none" w:sz="0" w:space="0" w:color="auto"/>
              </w:divBdr>
              <w:divsChild>
                <w:div w:id="16470979">
                  <w:marLeft w:val="0"/>
                  <w:marRight w:val="0"/>
                  <w:marTop w:val="0"/>
                  <w:marBottom w:val="0"/>
                  <w:divBdr>
                    <w:top w:val="none" w:sz="0" w:space="0" w:color="auto"/>
                    <w:left w:val="none" w:sz="0" w:space="0" w:color="auto"/>
                    <w:bottom w:val="none" w:sz="0" w:space="0" w:color="auto"/>
                    <w:right w:val="none" w:sz="0" w:space="0" w:color="auto"/>
                  </w:divBdr>
                  <w:divsChild>
                    <w:div w:id="964428490">
                      <w:marLeft w:val="0"/>
                      <w:marRight w:val="0"/>
                      <w:marTop w:val="0"/>
                      <w:marBottom w:val="0"/>
                      <w:divBdr>
                        <w:top w:val="none" w:sz="0" w:space="0" w:color="auto"/>
                        <w:left w:val="none" w:sz="0" w:space="0" w:color="auto"/>
                        <w:bottom w:val="none" w:sz="0" w:space="0" w:color="auto"/>
                        <w:right w:val="none" w:sz="0" w:space="0" w:color="auto"/>
                      </w:divBdr>
                    </w:div>
                  </w:divsChild>
                </w:div>
                <w:div w:id="37126112">
                  <w:marLeft w:val="0"/>
                  <w:marRight w:val="0"/>
                  <w:marTop w:val="0"/>
                  <w:marBottom w:val="0"/>
                  <w:divBdr>
                    <w:top w:val="none" w:sz="0" w:space="0" w:color="auto"/>
                    <w:left w:val="none" w:sz="0" w:space="0" w:color="auto"/>
                    <w:bottom w:val="none" w:sz="0" w:space="0" w:color="auto"/>
                    <w:right w:val="none" w:sz="0" w:space="0" w:color="auto"/>
                  </w:divBdr>
                  <w:divsChild>
                    <w:div w:id="1871340384">
                      <w:marLeft w:val="0"/>
                      <w:marRight w:val="0"/>
                      <w:marTop w:val="0"/>
                      <w:marBottom w:val="0"/>
                      <w:divBdr>
                        <w:top w:val="none" w:sz="0" w:space="0" w:color="auto"/>
                        <w:left w:val="none" w:sz="0" w:space="0" w:color="auto"/>
                        <w:bottom w:val="none" w:sz="0" w:space="0" w:color="auto"/>
                        <w:right w:val="none" w:sz="0" w:space="0" w:color="auto"/>
                      </w:divBdr>
                    </w:div>
                  </w:divsChild>
                </w:div>
                <w:div w:id="121777188">
                  <w:marLeft w:val="0"/>
                  <w:marRight w:val="0"/>
                  <w:marTop w:val="0"/>
                  <w:marBottom w:val="0"/>
                  <w:divBdr>
                    <w:top w:val="none" w:sz="0" w:space="0" w:color="auto"/>
                    <w:left w:val="none" w:sz="0" w:space="0" w:color="auto"/>
                    <w:bottom w:val="none" w:sz="0" w:space="0" w:color="auto"/>
                    <w:right w:val="none" w:sz="0" w:space="0" w:color="auto"/>
                  </w:divBdr>
                  <w:divsChild>
                    <w:div w:id="132870639">
                      <w:marLeft w:val="0"/>
                      <w:marRight w:val="0"/>
                      <w:marTop w:val="0"/>
                      <w:marBottom w:val="0"/>
                      <w:divBdr>
                        <w:top w:val="none" w:sz="0" w:space="0" w:color="auto"/>
                        <w:left w:val="none" w:sz="0" w:space="0" w:color="auto"/>
                        <w:bottom w:val="none" w:sz="0" w:space="0" w:color="auto"/>
                        <w:right w:val="none" w:sz="0" w:space="0" w:color="auto"/>
                      </w:divBdr>
                    </w:div>
                  </w:divsChild>
                </w:div>
                <w:div w:id="156965525">
                  <w:marLeft w:val="0"/>
                  <w:marRight w:val="0"/>
                  <w:marTop w:val="0"/>
                  <w:marBottom w:val="0"/>
                  <w:divBdr>
                    <w:top w:val="none" w:sz="0" w:space="0" w:color="auto"/>
                    <w:left w:val="none" w:sz="0" w:space="0" w:color="auto"/>
                    <w:bottom w:val="none" w:sz="0" w:space="0" w:color="auto"/>
                    <w:right w:val="none" w:sz="0" w:space="0" w:color="auto"/>
                  </w:divBdr>
                  <w:divsChild>
                    <w:div w:id="2062515476">
                      <w:marLeft w:val="0"/>
                      <w:marRight w:val="0"/>
                      <w:marTop w:val="0"/>
                      <w:marBottom w:val="0"/>
                      <w:divBdr>
                        <w:top w:val="none" w:sz="0" w:space="0" w:color="auto"/>
                        <w:left w:val="none" w:sz="0" w:space="0" w:color="auto"/>
                        <w:bottom w:val="none" w:sz="0" w:space="0" w:color="auto"/>
                        <w:right w:val="none" w:sz="0" w:space="0" w:color="auto"/>
                      </w:divBdr>
                    </w:div>
                  </w:divsChild>
                </w:div>
                <w:div w:id="255019778">
                  <w:marLeft w:val="0"/>
                  <w:marRight w:val="0"/>
                  <w:marTop w:val="0"/>
                  <w:marBottom w:val="0"/>
                  <w:divBdr>
                    <w:top w:val="none" w:sz="0" w:space="0" w:color="auto"/>
                    <w:left w:val="none" w:sz="0" w:space="0" w:color="auto"/>
                    <w:bottom w:val="none" w:sz="0" w:space="0" w:color="auto"/>
                    <w:right w:val="none" w:sz="0" w:space="0" w:color="auto"/>
                  </w:divBdr>
                  <w:divsChild>
                    <w:div w:id="1904366251">
                      <w:marLeft w:val="0"/>
                      <w:marRight w:val="0"/>
                      <w:marTop w:val="0"/>
                      <w:marBottom w:val="0"/>
                      <w:divBdr>
                        <w:top w:val="none" w:sz="0" w:space="0" w:color="auto"/>
                        <w:left w:val="none" w:sz="0" w:space="0" w:color="auto"/>
                        <w:bottom w:val="none" w:sz="0" w:space="0" w:color="auto"/>
                        <w:right w:val="none" w:sz="0" w:space="0" w:color="auto"/>
                      </w:divBdr>
                    </w:div>
                  </w:divsChild>
                </w:div>
                <w:div w:id="368456729">
                  <w:marLeft w:val="0"/>
                  <w:marRight w:val="0"/>
                  <w:marTop w:val="0"/>
                  <w:marBottom w:val="0"/>
                  <w:divBdr>
                    <w:top w:val="none" w:sz="0" w:space="0" w:color="auto"/>
                    <w:left w:val="none" w:sz="0" w:space="0" w:color="auto"/>
                    <w:bottom w:val="none" w:sz="0" w:space="0" w:color="auto"/>
                    <w:right w:val="none" w:sz="0" w:space="0" w:color="auto"/>
                  </w:divBdr>
                  <w:divsChild>
                    <w:div w:id="672028865">
                      <w:marLeft w:val="0"/>
                      <w:marRight w:val="0"/>
                      <w:marTop w:val="0"/>
                      <w:marBottom w:val="0"/>
                      <w:divBdr>
                        <w:top w:val="none" w:sz="0" w:space="0" w:color="auto"/>
                        <w:left w:val="none" w:sz="0" w:space="0" w:color="auto"/>
                        <w:bottom w:val="none" w:sz="0" w:space="0" w:color="auto"/>
                        <w:right w:val="none" w:sz="0" w:space="0" w:color="auto"/>
                      </w:divBdr>
                    </w:div>
                  </w:divsChild>
                </w:div>
                <w:div w:id="422263259">
                  <w:marLeft w:val="0"/>
                  <w:marRight w:val="0"/>
                  <w:marTop w:val="0"/>
                  <w:marBottom w:val="0"/>
                  <w:divBdr>
                    <w:top w:val="none" w:sz="0" w:space="0" w:color="auto"/>
                    <w:left w:val="none" w:sz="0" w:space="0" w:color="auto"/>
                    <w:bottom w:val="none" w:sz="0" w:space="0" w:color="auto"/>
                    <w:right w:val="none" w:sz="0" w:space="0" w:color="auto"/>
                  </w:divBdr>
                  <w:divsChild>
                    <w:div w:id="414933603">
                      <w:marLeft w:val="0"/>
                      <w:marRight w:val="0"/>
                      <w:marTop w:val="0"/>
                      <w:marBottom w:val="0"/>
                      <w:divBdr>
                        <w:top w:val="none" w:sz="0" w:space="0" w:color="auto"/>
                        <w:left w:val="none" w:sz="0" w:space="0" w:color="auto"/>
                        <w:bottom w:val="none" w:sz="0" w:space="0" w:color="auto"/>
                        <w:right w:val="none" w:sz="0" w:space="0" w:color="auto"/>
                      </w:divBdr>
                    </w:div>
                  </w:divsChild>
                </w:div>
                <w:div w:id="623774807">
                  <w:marLeft w:val="0"/>
                  <w:marRight w:val="0"/>
                  <w:marTop w:val="0"/>
                  <w:marBottom w:val="0"/>
                  <w:divBdr>
                    <w:top w:val="none" w:sz="0" w:space="0" w:color="auto"/>
                    <w:left w:val="none" w:sz="0" w:space="0" w:color="auto"/>
                    <w:bottom w:val="none" w:sz="0" w:space="0" w:color="auto"/>
                    <w:right w:val="none" w:sz="0" w:space="0" w:color="auto"/>
                  </w:divBdr>
                  <w:divsChild>
                    <w:div w:id="1554267675">
                      <w:marLeft w:val="0"/>
                      <w:marRight w:val="0"/>
                      <w:marTop w:val="0"/>
                      <w:marBottom w:val="0"/>
                      <w:divBdr>
                        <w:top w:val="none" w:sz="0" w:space="0" w:color="auto"/>
                        <w:left w:val="none" w:sz="0" w:space="0" w:color="auto"/>
                        <w:bottom w:val="none" w:sz="0" w:space="0" w:color="auto"/>
                        <w:right w:val="none" w:sz="0" w:space="0" w:color="auto"/>
                      </w:divBdr>
                    </w:div>
                  </w:divsChild>
                </w:div>
                <w:div w:id="718558020">
                  <w:marLeft w:val="0"/>
                  <w:marRight w:val="0"/>
                  <w:marTop w:val="0"/>
                  <w:marBottom w:val="0"/>
                  <w:divBdr>
                    <w:top w:val="none" w:sz="0" w:space="0" w:color="auto"/>
                    <w:left w:val="none" w:sz="0" w:space="0" w:color="auto"/>
                    <w:bottom w:val="none" w:sz="0" w:space="0" w:color="auto"/>
                    <w:right w:val="none" w:sz="0" w:space="0" w:color="auto"/>
                  </w:divBdr>
                  <w:divsChild>
                    <w:div w:id="72514173">
                      <w:marLeft w:val="0"/>
                      <w:marRight w:val="0"/>
                      <w:marTop w:val="0"/>
                      <w:marBottom w:val="0"/>
                      <w:divBdr>
                        <w:top w:val="none" w:sz="0" w:space="0" w:color="auto"/>
                        <w:left w:val="none" w:sz="0" w:space="0" w:color="auto"/>
                        <w:bottom w:val="none" w:sz="0" w:space="0" w:color="auto"/>
                        <w:right w:val="none" w:sz="0" w:space="0" w:color="auto"/>
                      </w:divBdr>
                    </w:div>
                  </w:divsChild>
                </w:div>
                <w:div w:id="1246113070">
                  <w:marLeft w:val="0"/>
                  <w:marRight w:val="0"/>
                  <w:marTop w:val="0"/>
                  <w:marBottom w:val="0"/>
                  <w:divBdr>
                    <w:top w:val="none" w:sz="0" w:space="0" w:color="auto"/>
                    <w:left w:val="none" w:sz="0" w:space="0" w:color="auto"/>
                    <w:bottom w:val="none" w:sz="0" w:space="0" w:color="auto"/>
                    <w:right w:val="none" w:sz="0" w:space="0" w:color="auto"/>
                  </w:divBdr>
                  <w:divsChild>
                    <w:div w:id="988287439">
                      <w:marLeft w:val="0"/>
                      <w:marRight w:val="0"/>
                      <w:marTop w:val="0"/>
                      <w:marBottom w:val="0"/>
                      <w:divBdr>
                        <w:top w:val="none" w:sz="0" w:space="0" w:color="auto"/>
                        <w:left w:val="none" w:sz="0" w:space="0" w:color="auto"/>
                        <w:bottom w:val="none" w:sz="0" w:space="0" w:color="auto"/>
                        <w:right w:val="none" w:sz="0" w:space="0" w:color="auto"/>
                      </w:divBdr>
                    </w:div>
                  </w:divsChild>
                </w:div>
                <w:div w:id="1261990248">
                  <w:marLeft w:val="0"/>
                  <w:marRight w:val="0"/>
                  <w:marTop w:val="0"/>
                  <w:marBottom w:val="0"/>
                  <w:divBdr>
                    <w:top w:val="none" w:sz="0" w:space="0" w:color="auto"/>
                    <w:left w:val="none" w:sz="0" w:space="0" w:color="auto"/>
                    <w:bottom w:val="none" w:sz="0" w:space="0" w:color="auto"/>
                    <w:right w:val="none" w:sz="0" w:space="0" w:color="auto"/>
                  </w:divBdr>
                  <w:divsChild>
                    <w:div w:id="1955408157">
                      <w:marLeft w:val="0"/>
                      <w:marRight w:val="0"/>
                      <w:marTop w:val="0"/>
                      <w:marBottom w:val="0"/>
                      <w:divBdr>
                        <w:top w:val="none" w:sz="0" w:space="0" w:color="auto"/>
                        <w:left w:val="none" w:sz="0" w:space="0" w:color="auto"/>
                        <w:bottom w:val="none" w:sz="0" w:space="0" w:color="auto"/>
                        <w:right w:val="none" w:sz="0" w:space="0" w:color="auto"/>
                      </w:divBdr>
                    </w:div>
                  </w:divsChild>
                </w:div>
                <w:div w:id="1301421061">
                  <w:marLeft w:val="0"/>
                  <w:marRight w:val="0"/>
                  <w:marTop w:val="0"/>
                  <w:marBottom w:val="0"/>
                  <w:divBdr>
                    <w:top w:val="none" w:sz="0" w:space="0" w:color="auto"/>
                    <w:left w:val="none" w:sz="0" w:space="0" w:color="auto"/>
                    <w:bottom w:val="none" w:sz="0" w:space="0" w:color="auto"/>
                    <w:right w:val="none" w:sz="0" w:space="0" w:color="auto"/>
                  </w:divBdr>
                  <w:divsChild>
                    <w:div w:id="238101668">
                      <w:marLeft w:val="0"/>
                      <w:marRight w:val="0"/>
                      <w:marTop w:val="0"/>
                      <w:marBottom w:val="0"/>
                      <w:divBdr>
                        <w:top w:val="none" w:sz="0" w:space="0" w:color="auto"/>
                        <w:left w:val="none" w:sz="0" w:space="0" w:color="auto"/>
                        <w:bottom w:val="none" w:sz="0" w:space="0" w:color="auto"/>
                        <w:right w:val="none" w:sz="0" w:space="0" w:color="auto"/>
                      </w:divBdr>
                    </w:div>
                  </w:divsChild>
                </w:div>
                <w:div w:id="1484544110">
                  <w:marLeft w:val="0"/>
                  <w:marRight w:val="0"/>
                  <w:marTop w:val="0"/>
                  <w:marBottom w:val="0"/>
                  <w:divBdr>
                    <w:top w:val="none" w:sz="0" w:space="0" w:color="auto"/>
                    <w:left w:val="none" w:sz="0" w:space="0" w:color="auto"/>
                    <w:bottom w:val="none" w:sz="0" w:space="0" w:color="auto"/>
                    <w:right w:val="none" w:sz="0" w:space="0" w:color="auto"/>
                  </w:divBdr>
                  <w:divsChild>
                    <w:div w:id="1738702696">
                      <w:marLeft w:val="0"/>
                      <w:marRight w:val="0"/>
                      <w:marTop w:val="0"/>
                      <w:marBottom w:val="0"/>
                      <w:divBdr>
                        <w:top w:val="none" w:sz="0" w:space="0" w:color="auto"/>
                        <w:left w:val="none" w:sz="0" w:space="0" w:color="auto"/>
                        <w:bottom w:val="none" w:sz="0" w:space="0" w:color="auto"/>
                        <w:right w:val="none" w:sz="0" w:space="0" w:color="auto"/>
                      </w:divBdr>
                    </w:div>
                  </w:divsChild>
                </w:div>
                <w:div w:id="1555194686">
                  <w:marLeft w:val="0"/>
                  <w:marRight w:val="0"/>
                  <w:marTop w:val="0"/>
                  <w:marBottom w:val="0"/>
                  <w:divBdr>
                    <w:top w:val="none" w:sz="0" w:space="0" w:color="auto"/>
                    <w:left w:val="none" w:sz="0" w:space="0" w:color="auto"/>
                    <w:bottom w:val="none" w:sz="0" w:space="0" w:color="auto"/>
                    <w:right w:val="none" w:sz="0" w:space="0" w:color="auto"/>
                  </w:divBdr>
                  <w:divsChild>
                    <w:div w:id="145709071">
                      <w:marLeft w:val="0"/>
                      <w:marRight w:val="0"/>
                      <w:marTop w:val="0"/>
                      <w:marBottom w:val="0"/>
                      <w:divBdr>
                        <w:top w:val="none" w:sz="0" w:space="0" w:color="auto"/>
                        <w:left w:val="none" w:sz="0" w:space="0" w:color="auto"/>
                        <w:bottom w:val="none" w:sz="0" w:space="0" w:color="auto"/>
                        <w:right w:val="none" w:sz="0" w:space="0" w:color="auto"/>
                      </w:divBdr>
                    </w:div>
                  </w:divsChild>
                </w:div>
                <w:div w:id="1874418139">
                  <w:marLeft w:val="0"/>
                  <w:marRight w:val="0"/>
                  <w:marTop w:val="0"/>
                  <w:marBottom w:val="0"/>
                  <w:divBdr>
                    <w:top w:val="none" w:sz="0" w:space="0" w:color="auto"/>
                    <w:left w:val="none" w:sz="0" w:space="0" w:color="auto"/>
                    <w:bottom w:val="none" w:sz="0" w:space="0" w:color="auto"/>
                    <w:right w:val="none" w:sz="0" w:space="0" w:color="auto"/>
                  </w:divBdr>
                  <w:divsChild>
                    <w:div w:id="1273779315">
                      <w:marLeft w:val="0"/>
                      <w:marRight w:val="0"/>
                      <w:marTop w:val="0"/>
                      <w:marBottom w:val="0"/>
                      <w:divBdr>
                        <w:top w:val="none" w:sz="0" w:space="0" w:color="auto"/>
                        <w:left w:val="none" w:sz="0" w:space="0" w:color="auto"/>
                        <w:bottom w:val="none" w:sz="0" w:space="0" w:color="auto"/>
                        <w:right w:val="none" w:sz="0" w:space="0" w:color="auto"/>
                      </w:divBdr>
                    </w:div>
                  </w:divsChild>
                </w:div>
                <w:div w:id="1976713684">
                  <w:marLeft w:val="0"/>
                  <w:marRight w:val="0"/>
                  <w:marTop w:val="0"/>
                  <w:marBottom w:val="0"/>
                  <w:divBdr>
                    <w:top w:val="none" w:sz="0" w:space="0" w:color="auto"/>
                    <w:left w:val="none" w:sz="0" w:space="0" w:color="auto"/>
                    <w:bottom w:val="none" w:sz="0" w:space="0" w:color="auto"/>
                    <w:right w:val="none" w:sz="0" w:space="0" w:color="auto"/>
                  </w:divBdr>
                  <w:divsChild>
                    <w:div w:id="14948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3482">
          <w:marLeft w:val="0"/>
          <w:marRight w:val="0"/>
          <w:marTop w:val="0"/>
          <w:marBottom w:val="0"/>
          <w:divBdr>
            <w:top w:val="none" w:sz="0" w:space="0" w:color="auto"/>
            <w:left w:val="none" w:sz="0" w:space="0" w:color="auto"/>
            <w:bottom w:val="none" w:sz="0" w:space="0" w:color="auto"/>
            <w:right w:val="none" w:sz="0" w:space="0" w:color="auto"/>
          </w:divBdr>
        </w:div>
        <w:div w:id="1736001747">
          <w:marLeft w:val="0"/>
          <w:marRight w:val="0"/>
          <w:marTop w:val="0"/>
          <w:marBottom w:val="0"/>
          <w:divBdr>
            <w:top w:val="none" w:sz="0" w:space="0" w:color="auto"/>
            <w:left w:val="none" w:sz="0" w:space="0" w:color="auto"/>
            <w:bottom w:val="none" w:sz="0" w:space="0" w:color="auto"/>
            <w:right w:val="none" w:sz="0" w:space="0" w:color="auto"/>
          </w:divBdr>
          <w:divsChild>
            <w:div w:id="1030257458">
              <w:marLeft w:val="0"/>
              <w:marRight w:val="0"/>
              <w:marTop w:val="30"/>
              <w:marBottom w:val="30"/>
              <w:divBdr>
                <w:top w:val="none" w:sz="0" w:space="0" w:color="auto"/>
                <w:left w:val="none" w:sz="0" w:space="0" w:color="auto"/>
                <w:bottom w:val="none" w:sz="0" w:space="0" w:color="auto"/>
                <w:right w:val="none" w:sz="0" w:space="0" w:color="auto"/>
              </w:divBdr>
              <w:divsChild>
                <w:div w:id="83386206">
                  <w:marLeft w:val="0"/>
                  <w:marRight w:val="0"/>
                  <w:marTop w:val="0"/>
                  <w:marBottom w:val="0"/>
                  <w:divBdr>
                    <w:top w:val="none" w:sz="0" w:space="0" w:color="auto"/>
                    <w:left w:val="none" w:sz="0" w:space="0" w:color="auto"/>
                    <w:bottom w:val="none" w:sz="0" w:space="0" w:color="auto"/>
                    <w:right w:val="none" w:sz="0" w:space="0" w:color="auto"/>
                  </w:divBdr>
                  <w:divsChild>
                    <w:div w:id="1287352231">
                      <w:marLeft w:val="0"/>
                      <w:marRight w:val="0"/>
                      <w:marTop w:val="0"/>
                      <w:marBottom w:val="0"/>
                      <w:divBdr>
                        <w:top w:val="none" w:sz="0" w:space="0" w:color="auto"/>
                        <w:left w:val="none" w:sz="0" w:space="0" w:color="auto"/>
                        <w:bottom w:val="none" w:sz="0" w:space="0" w:color="auto"/>
                        <w:right w:val="none" w:sz="0" w:space="0" w:color="auto"/>
                      </w:divBdr>
                    </w:div>
                  </w:divsChild>
                </w:div>
                <w:div w:id="180708166">
                  <w:marLeft w:val="0"/>
                  <w:marRight w:val="0"/>
                  <w:marTop w:val="0"/>
                  <w:marBottom w:val="0"/>
                  <w:divBdr>
                    <w:top w:val="none" w:sz="0" w:space="0" w:color="auto"/>
                    <w:left w:val="none" w:sz="0" w:space="0" w:color="auto"/>
                    <w:bottom w:val="none" w:sz="0" w:space="0" w:color="auto"/>
                    <w:right w:val="none" w:sz="0" w:space="0" w:color="auto"/>
                  </w:divBdr>
                  <w:divsChild>
                    <w:div w:id="235361890">
                      <w:marLeft w:val="0"/>
                      <w:marRight w:val="0"/>
                      <w:marTop w:val="0"/>
                      <w:marBottom w:val="0"/>
                      <w:divBdr>
                        <w:top w:val="none" w:sz="0" w:space="0" w:color="auto"/>
                        <w:left w:val="none" w:sz="0" w:space="0" w:color="auto"/>
                        <w:bottom w:val="none" w:sz="0" w:space="0" w:color="auto"/>
                        <w:right w:val="none" w:sz="0" w:space="0" w:color="auto"/>
                      </w:divBdr>
                    </w:div>
                  </w:divsChild>
                </w:div>
                <w:div w:id="273024327">
                  <w:marLeft w:val="0"/>
                  <w:marRight w:val="0"/>
                  <w:marTop w:val="0"/>
                  <w:marBottom w:val="0"/>
                  <w:divBdr>
                    <w:top w:val="none" w:sz="0" w:space="0" w:color="auto"/>
                    <w:left w:val="none" w:sz="0" w:space="0" w:color="auto"/>
                    <w:bottom w:val="none" w:sz="0" w:space="0" w:color="auto"/>
                    <w:right w:val="none" w:sz="0" w:space="0" w:color="auto"/>
                  </w:divBdr>
                  <w:divsChild>
                    <w:div w:id="225604543">
                      <w:marLeft w:val="0"/>
                      <w:marRight w:val="0"/>
                      <w:marTop w:val="0"/>
                      <w:marBottom w:val="0"/>
                      <w:divBdr>
                        <w:top w:val="none" w:sz="0" w:space="0" w:color="auto"/>
                        <w:left w:val="none" w:sz="0" w:space="0" w:color="auto"/>
                        <w:bottom w:val="none" w:sz="0" w:space="0" w:color="auto"/>
                        <w:right w:val="none" w:sz="0" w:space="0" w:color="auto"/>
                      </w:divBdr>
                    </w:div>
                  </w:divsChild>
                </w:div>
                <w:div w:id="409738518">
                  <w:marLeft w:val="0"/>
                  <w:marRight w:val="0"/>
                  <w:marTop w:val="0"/>
                  <w:marBottom w:val="0"/>
                  <w:divBdr>
                    <w:top w:val="none" w:sz="0" w:space="0" w:color="auto"/>
                    <w:left w:val="none" w:sz="0" w:space="0" w:color="auto"/>
                    <w:bottom w:val="none" w:sz="0" w:space="0" w:color="auto"/>
                    <w:right w:val="none" w:sz="0" w:space="0" w:color="auto"/>
                  </w:divBdr>
                  <w:divsChild>
                    <w:div w:id="1670908329">
                      <w:marLeft w:val="0"/>
                      <w:marRight w:val="0"/>
                      <w:marTop w:val="0"/>
                      <w:marBottom w:val="0"/>
                      <w:divBdr>
                        <w:top w:val="none" w:sz="0" w:space="0" w:color="auto"/>
                        <w:left w:val="none" w:sz="0" w:space="0" w:color="auto"/>
                        <w:bottom w:val="none" w:sz="0" w:space="0" w:color="auto"/>
                        <w:right w:val="none" w:sz="0" w:space="0" w:color="auto"/>
                      </w:divBdr>
                    </w:div>
                  </w:divsChild>
                </w:div>
                <w:div w:id="446391612">
                  <w:marLeft w:val="0"/>
                  <w:marRight w:val="0"/>
                  <w:marTop w:val="0"/>
                  <w:marBottom w:val="0"/>
                  <w:divBdr>
                    <w:top w:val="none" w:sz="0" w:space="0" w:color="auto"/>
                    <w:left w:val="none" w:sz="0" w:space="0" w:color="auto"/>
                    <w:bottom w:val="none" w:sz="0" w:space="0" w:color="auto"/>
                    <w:right w:val="none" w:sz="0" w:space="0" w:color="auto"/>
                  </w:divBdr>
                  <w:divsChild>
                    <w:div w:id="1426926469">
                      <w:marLeft w:val="0"/>
                      <w:marRight w:val="0"/>
                      <w:marTop w:val="0"/>
                      <w:marBottom w:val="0"/>
                      <w:divBdr>
                        <w:top w:val="none" w:sz="0" w:space="0" w:color="auto"/>
                        <w:left w:val="none" w:sz="0" w:space="0" w:color="auto"/>
                        <w:bottom w:val="none" w:sz="0" w:space="0" w:color="auto"/>
                        <w:right w:val="none" w:sz="0" w:space="0" w:color="auto"/>
                      </w:divBdr>
                    </w:div>
                  </w:divsChild>
                </w:div>
                <w:div w:id="506752760">
                  <w:marLeft w:val="0"/>
                  <w:marRight w:val="0"/>
                  <w:marTop w:val="0"/>
                  <w:marBottom w:val="0"/>
                  <w:divBdr>
                    <w:top w:val="none" w:sz="0" w:space="0" w:color="auto"/>
                    <w:left w:val="none" w:sz="0" w:space="0" w:color="auto"/>
                    <w:bottom w:val="none" w:sz="0" w:space="0" w:color="auto"/>
                    <w:right w:val="none" w:sz="0" w:space="0" w:color="auto"/>
                  </w:divBdr>
                  <w:divsChild>
                    <w:div w:id="1642267188">
                      <w:marLeft w:val="0"/>
                      <w:marRight w:val="0"/>
                      <w:marTop w:val="0"/>
                      <w:marBottom w:val="0"/>
                      <w:divBdr>
                        <w:top w:val="none" w:sz="0" w:space="0" w:color="auto"/>
                        <w:left w:val="none" w:sz="0" w:space="0" w:color="auto"/>
                        <w:bottom w:val="none" w:sz="0" w:space="0" w:color="auto"/>
                        <w:right w:val="none" w:sz="0" w:space="0" w:color="auto"/>
                      </w:divBdr>
                    </w:div>
                  </w:divsChild>
                </w:div>
                <w:div w:id="641228229">
                  <w:marLeft w:val="0"/>
                  <w:marRight w:val="0"/>
                  <w:marTop w:val="0"/>
                  <w:marBottom w:val="0"/>
                  <w:divBdr>
                    <w:top w:val="none" w:sz="0" w:space="0" w:color="auto"/>
                    <w:left w:val="none" w:sz="0" w:space="0" w:color="auto"/>
                    <w:bottom w:val="none" w:sz="0" w:space="0" w:color="auto"/>
                    <w:right w:val="none" w:sz="0" w:space="0" w:color="auto"/>
                  </w:divBdr>
                  <w:divsChild>
                    <w:div w:id="1542328829">
                      <w:marLeft w:val="0"/>
                      <w:marRight w:val="0"/>
                      <w:marTop w:val="0"/>
                      <w:marBottom w:val="0"/>
                      <w:divBdr>
                        <w:top w:val="none" w:sz="0" w:space="0" w:color="auto"/>
                        <w:left w:val="none" w:sz="0" w:space="0" w:color="auto"/>
                        <w:bottom w:val="none" w:sz="0" w:space="0" w:color="auto"/>
                        <w:right w:val="none" w:sz="0" w:space="0" w:color="auto"/>
                      </w:divBdr>
                    </w:div>
                  </w:divsChild>
                </w:div>
                <w:div w:id="864901722">
                  <w:marLeft w:val="0"/>
                  <w:marRight w:val="0"/>
                  <w:marTop w:val="0"/>
                  <w:marBottom w:val="0"/>
                  <w:divBdr>
                    <w:top w:val="none" w:sz="0" w:space="0" w:color="auto"/>
                    <w:left w:val="none" w:sz="0" w:space="0" w:color="auto"/>
                    <w:bottom w:val="none" w:sz="0" w:space="0" w:color="auto"/>
                    <w:right w:val="none" w:sz="0" w:space="0" w:color="auto"/>
                  </w:divBdr>
                  <w:divsChild>
                    <w:div w:id="1249266761">
                      <w:marLeft w:val="0"/>
                      <w:marRight w:val="0"/>
                      <w:marTop w:val="0"/>
                      <w:marBottom w:val="0"/>
                      <w:divBdr>
                        <w:top w:val="none" w:sz="0" w:space="0" w:color="auto"/>
                        <w:left w:val="none" w:sz="0" w:space="0" w:color="auto"/>
                        <w:bottom w:val="none" w:sz="0" w:space="0" w:color="auto"/>
                        <w:right w:val="none" w:sz="0" w:space="0" w:color="auto"/>
                      </w:divBdr>
                    </w:div>
                  </w:divsChild>
                </w:div>
                <w:div w:id="982004745">
                  <w:marLeft w:val="0"/>
                  <w:marRight w:val="0"/>
                  <w:marTop w:val="0"/>
                  <w:marBottom w:val="0"/>
                  <w:divBdr>
                    <w:top w:val="none" w:sz="0" w:space="0" w:color="auto"/>
                    <w:left w:val="none" w:sz="0" w:space="0" w:color="auto"/>
                    <w:bottom w:val="none" w:sz="0" w:space="0" w:color="auto"/>
                    <w:right w:val="none" w:sz="0" w:space="0" w:color="auto"/>
                  </w:divBdr>
                  <w:divsChild>
                    <w:div w:id="1110204641">
                      <w:marLeft w:val="0"/>
                      <w:marRight w:val="0"/>
                      <w:marTop w:val="0"/>
                      <w:marBottom w:val="0"/>
                      <w:divBdr>
                        <w:top w:val="none" w:sz="0" w:space="0" w:color="auto"/>
                        <w:left w:val="none" w:sz="0" w:space="0" w:color="auto"/>
                        <w:bottom w:val="none" w:sz="0" w:space="0" w:color="auto"/>
                        <w:right w:val="none" w:sz="0" w:space="0" w:color="auto"/>
                      </w:divBdr>
                    </w:div>
                  </w:divsChild>
                </w:div>
                <w:div w:id="994646769">
                  <w:marLeft w:val="0"/>
                  <w:marRight w:val="0"/>
                  <w:marTop w:val="0"/>
                  <w:marBottom w:val="0"/>
                  <w:divBdr>
                    <w:top w:val="none" w:sz="0" w:space="0" w:color="auto"/>
                    <w:left w:val="none" w:sz="0" w:space="0" w:color="auto"/>
                    <w:bottom w:val="none" w:sz="0" w:space="0" w:color="auto"/>
                    <w:right w:val="none" w:sz="0" w:space="0" w:color="auto"/>
                  </w:divBdr>
                  <w:divsChild>
                    <w:div w:id="1734162901">
                      <w:marLeft w:val="0"/>
                      <w:marRight w:val="0"/>
                      <w:marTop w:val="0"/>
                      <w:marBottom w:val="0"/>
                      <w:divBdr>
                        <w:top w:val="none" w:sz="0" w:space="0" w:color="auto"/>
                        <w:left w:val="none" w:sz="0" w:space="0" w:color="auto"/>
                        <w:bottom w:val="none" w:sz="0" w:space="0" w:color="auto"/>
                        <w:right w:val="none" w:sz="0" w:space="0" w:color="auto"/>
                      </w:divBdr>
                    </w:div>
                  </w:divsChild>
                </w:div>
                <w:div w:id="1621958700">
                  <w:marLeft w:val="0"/>
                  <w:marRight w:val="0"/>
                  <w:marTop w:val="0"/>
                  <w:marBottom w:val="0"/>
                  <w:divBdr>
                    <w:top w:val="none" w:sz="0" w:space="0" w:color="auto"/>
                    <w:left w:val="none" w:sz="0" w:space="0" w:color="auto"/>
                    <w:bottom w:val="none" w:sz="0" w:space="0" w:color="auto"/>
                    <w:right w:val="none" w:sz="0" w:space="0" w:color="auto"/>
                  </w:divBdr>
                  <w:divsChild>
                    <w:div w:id="117577265">
                      <w:marLeft w:val="0"/>
                      <w:marRight w:val="0"/>
                      <w:marTop w:val="0"/>
                      <w:marBottom w:val="0"/>
                      <w:divBdr>
                        <w:top w:val="none" w:sz="0" w:space="0" w:color="auto"/>
                        <w:left w:val="none" w:sz="0" w:space="0" w:color="auto"/>
                        <w:bottom w:val="none" w:sz="0" w:space="0" w:color="auto"/>
                        <w:right w:val="none" w:sz="0" w:space="0" w:color="auto"/>
                      </w:divBdr>
                    </w:div>
                  </w:divsChild>
                </w:div>
                <w:div w:id="1690570494">
                  <w:marLeft w:val="0"/>
                  <w:marRight w:val="0"/>
                  <w:marTop w:val="0"/>
                  <w:marBottom w:val="0"/>
                  <w:divBdr>
                    <w:top w:val="none" w:sz="0" w:space="0" w:color="auto"/>
                    <w:left w:val="none" w:sz="0" w:space="0" w:color="auto"/>
                    <w:bottom w:val="none" w:sz="0" w:space="0" w:color="auto"/>
                    <w:right w:val="none" w:sz="0" w:space="0" w:color="auto"/>
                  </w:divBdr>
                  <w:divsChild>
                    <w:div w:id="96828494">
                      <w:marLeft w:val="0"/>
                      <w:marRight w:val="0"/>
                      <w:marTop w:val="0"/>
                      <w:marBottom w:val="0"/>
                      <w:divBdr>
                        <w:top w:val="none" w:sz="0" w:space="0" w:color="auto"/>
                        <w:left w:val="none" w:sz="0" w:space="0" w:color="auto"/>
                        <w:bottom w:val="none" w:sz="0" w:space="0" w:color="auto"/>
                        <w:right w:val="none" w:sz="0" w:space="0" w:color="auto"/>
                      </w:divBdr>
                    </w:div>
                  </w:divsChild>
                </w:div>
                <w:div w:id="1694453502">
                  <w:marLeft w:val="0"/>
                  <w:marRight w:val="0"/>
                  <w:marTop w:val="0"/>
                  <w:marBottom w:val="0"/>
                  <w:divBdr>
                    <w:top w:val="none" w:sz="0" w:space="0" w:color="auto"/>
                    <w:left w:val="none" w:sz="0" w:space="0" w:color="auto"/>
                    <w:bottom w:val="none" w:sz="0" w:space="0" w:color="auto"/>
                    <w:right w:val="none" w:sz="0" w:space="0" w:color="auto"/>
                  </w:divBdr>
                  <w:divsChild>
                    <w:div w:id="565577474">
                      <w:marLeft w:val="0"/>
                      <w:marRight w:val="0"/>
                      <w:marTop w:val="0"/>
                      <w:marBottom w:val="0"/>
                      <w:divBdr>
                        <w:top w:val="none" w:sz="0" w:space="0" w:color="auto"/>
                        <w:left w:val="none" w:sz="0" w:space="0" w:color="auto"/>
                        <w:bottom w:val="none" w:sz="0" w:space="0" w:color="auto"/>
                        <w:right w:val="none" w:sz="0" w:space="0" w:color="auto"/>
                      </w:divBdr>
                    </w:div>
                  </w:divsChild>
                </w:div>
                <w:div w:id="1791389267">
                  <w:marLeft w:val="0"/>
                  <w:marRight w:val="0"/>
                  <w:marTop w:val="0"/>
                  <w:marBottom w:val="0"/>
                  <w:divBdr>
                    <w:top w:val="none" w:sz="0" w:space="0" w:color="auto"/>
                    <w:left w:val="none" w:sz="0" w:space="0" w:color="auto"/>
                    <w:bottom w:val="none" w:sz="0" w:space="0" w:color="auto"/>
                    <w:right w:val="none" w:sz="0" w:space="0" w:color="auto"/>
                  </w:divBdr>
                  <w:divsChild>
                    <w:div w:id="1858890419">
                      <w:marLeft w:val="0"/>
                      <w:marRight w:val="0"/>
                      <w:marTop w:val="0"/>
                      <w:marBottom w:val="0"/>
                      <w:divBdr>
                        <w:top w:val="none" w:sz="0" w:space="0" w:color="auto"/>
                        <w:left w:val="none" w:sz="0" w:space="0" w:color="auto"/>
                        <w:bottom w:val="none" w:sz="0" w:space="0" w:color="auto"/>
                        <w:right w:val="none" w:sz="0" w:space="0" w:color="auto"/>
                      </w:divBdr>
                    </w:div>
                  </w:divsChild>
                </w:div>
                <w:div w:id="2054882599">
                  <w:marLeft w:val="0"/>
                  <w:marRight w:val="0"/>
                  <w:marTop w:val="0"/>
                  <w:marBottom w:val="0"/>
                  <w:divBdr>
                    <w:top w:val="none" w:sz="0" w:space="0" w:color="auto"/>
                    <w:left w:val="none" w:sz="0" w:space="0" w:color="auto"/>
                    <w:bottom w:val="none" w:sz="0" w:space="0" w:color="auto"/>
                    <w:right w:val="none" w:sz="0" w:space="0" w:color="auto"/>
                  </w:divBdr>
                  <w:divsChild>
                    <w:div w:id="1363939529">
                      <w:marLeft w:val="0"/>
                      <w:marRight w:val="0"/>
                      <w:marTop w:val="0"/>
                      <w:marBottom w:val="0"/>
                      <w:divBdr>
                        <w:top w:val="none" w:sz="0" w:space="0" w:color="auto"/>
                        <w:left w:val="none" w:sz="0" w:space="0" w:color="auto"/>
                        <w:bottom w:val="none" w:sz="0" w:space="0" w:color="auto"/>
                        <w:right w:val="none" w:sz="0" w:space="0" w:color="auto"/>
                      </w:divBdr>
                    </w:div>
                  </w:divsChild>
                </w:div>
                <w:div w:id="2123962278">
                  <w:marLeft w:val="0"/>
                  <w:marRight w:val="0"/>
                  <w:marTop w:val="0"/>
                  <w:marBottom w:val="0"/>
                  <w:divBdr>
                    <w:top w:val="none" w:sz="0" w:space="0" w:color="auto"/>
                    <w:left w:val="none" w:sz="0" w:space="0" w:color="auto"/>
                    <w:bottom w:val="none" w:sz="0" w:space="0" w:color="auto"/>
                    <w:right w:val="none" w:sz="0" w:space="0" w:color="auto"/>
                  </w:divBdr>
                  <w:divsChild>
                    <w:div w:id="9620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78751">
          <w:marLeft w:val="0"/>
          <w:marRight w:val="0"/>
          <w:marTop w:val="0"/>
          <w:marBottom w:val="0"/>
          <w:divBdr>
            <w:top w:val="none" w:sz="0" w:space="0" w:color="auto"/>
            <w:left w:val="none" w:sz="0" w:space="0" w:color="auto"/>
            <w:bottom w:val="none" w:sz="0" w:space="0" w:color="auto"/>
            <w:right w:val="none" w:sz="0" w:space="0" w:color="auto"/>
          </w:divBdr>
        </w:div>
        <w:div w:id="1752266525">
          <w:marLeft w:val="0"/>
          <w:marRight w:val="0"/>
          <w:marTop w:val="0"/>
          <w:marBottom w:val="0"/>
          <w:divBdr>
            <w:top w:val="none" w:sz="0" w:space="0" w:color="auto"/>
            <w:left w:val="none" w:sz="0" w:space="0" w:color="auto"/>
            <w:bottom w:val="none" w:sz="0" w:space="0" w:color="auto"/>
            <w:right w:val="none" w:sz="0" w:space="0" w:color="auto"/>
          </w:divBdr>
        </w:div>
        <w:div w:id="1757172584">
          <w:marLeft w:val="0"/>
          <w:marRight w:val="0"/>
          <w:marTop w:val="0"/>
          <w:marBottom w:val="0"/>
          <w:divBdr>
            <w:top w:val="none" w:sz="0" w:space="0" w:color="auto"/>
            <w:left w:val="none" w:sz="0" w:space="0" w:color="auto"/>
            <w:bottom w:val="none" w:sz="0" w:space="0" w:color="auto"/>
            <w:right w:val="none" w:sz="0" w:space="0" w:color="auto"/>
          </w:divBdr>
          <w:divsChild>
            <w:div w:id="66801780">
              <w:marLeft w:val="0"/>
              <w:marRight w:val="0"/>
              <w:marTop w:val="0"/>
              <w:marBottom w:val="0"/>
              <w:divBdr>
                <w:top w:val="none" w:sz="0" w:space="0" w:color="auto"/>
                <w:left w:val="none" w:sz="0" w:space="0" w:color="auto"/>
                <w:bottom w:val="none" w:sz="0" w:space="0" w:color="auto"/>
                <w:right w:val="none" w:sz="0" w:space="0" w:color="auto"/>
              </w:divBdr>
            </w:div>
            <w:div w:id="130291790">
              <w:marLeft w:val="0"/>
              <w:marRight w:val="0"/>
              <w:marTop w:val="0"/>
              <w:marBottom w:val="0"/>
              <w:divBdr>
                <w:top w:val="none" w:sz="0" w:space="0" w:color="auto"/>
                <w:left w:val="none" w:sz="0" w:space="0" w:color="auto"/>
                <w:bottom w:val="none" w:sz="0" w:space="0" w:color="auto"/>
                <w:right w:val="none" w:sz="0" w:space="0" w:color="auto"/>
              </w:divBdr>
            </w:div>
            <w:div w:id="467747100">
              <w:marLeft w:val="0"/>
              <w:marRight w:val="0"/>
              <w:marTop w:val="0"/>
              <w:marBottom w:val="0"/>
              <w:divBdr>
                <w:top w:val="none" w:sz="0" w:space="0" w:color="auto"/>
                <w:left w:val="none" w:sz="0" w:space="0" w:color="auto"/>
                <w:bottom w:val="none" w:sz="0" w:space="0" w:color="auto"/>
                <w:right w:val="none" w:sz="0" w:space="0" w:color="auto"/>
              </w:divBdr>
            </w:div>
            <w:div w:id="805782020">
              <w:marLeft w:val="0"/>
              <w:marRight w:val="0"/>
              <w:marTop w:val="0"/>
              <w:marBottom w:val="0"/>
              <w:divBdr>
                <w:top w:val="none" w:sz="0" w:space="0" w:color="auto"/>
                <w:left w:val="none" w:sz="0" w:space="0" w:color="auto"/>
                <w:bottom w:val="none" w:sz="0" w:space="0" w:color="auto"/>
                <w:right w:val="none" w:sz="0" w:space="0" w:color="auto"/>
              </w:divBdr>
            </w:div>
            <w:div w:id="1142192055">
              <w:marLeft w:val="0"/>
              <w:marRight w:val="0"/>
              <w:marTop w:val="0"/>
              <w:marBottom w:val="0"/>
              <w:divBdr>
                <w:top w:val="none" w:sz="0" w:space="0" w:color="auto"/>
                <w:left w:val="none" w:sz="0" w:space="0" w:color="auto"/>
                <w:bottom w:val="none" w:sz="0" w:space="0" w:color="auto"/>
                <w:right w:val="none" w:sz="0" w:space="0" w:color="auto"/>
              </w:divBdr>
            </w:div>
            <w:div w:id="1334912904">
              <w:marLeft w:val="0"/>
              <w:marRight w:val="0"/>
              <w:marTop w:val="0"/>
              <w:marBottom w:val="0"/>
              <w:divBdr>
                <w:top w:val="none" w:sz="0" w:space="0" w:color="auto"/>
                <w:left w:val="none" w:sz="0" w:space="0" w:color="auto"/>
                <w:bottom w:val="none" w:sz="0" w:space="0" w:color="auto"/>
                <w:right w:val="none" w:sz="0" w:space="0" w:color="auto"/>
              </w:divBdr>
            </w:div>
            <w:div w:id="1507288728">
              <w:marLeft w:val="0"/>
              <w:marRight w:val="0"/>
              <w:marTop w:val="0"/>
              <w:marBottom w:val="0"/>
              <w:divBdr>
                <w:top w:val="none" w:sz="0" w:space="0" w:color="auto"/>
                <w:left w:val="none" w:sz="0" w:space="0" w:color="auto"/>
                <w:bottom w:val="none" w:sz="0" w:space="0" w:color="auto"/>
                <w:right w:val="none" w:sz="0" w:space="0" w:color="auto"/>
              </w:divBdr>
            </w:div>
            <w:div w:id="2055540348">
              <w:marLeft w:val="0"/>
              <w:marRight w:val="0"/>
              <w:marTop w:val="0"/>
              <w:marBottom w:val="0"/>
              <w:divBdr>
                <w:top w:val="none" w:sz="0" w:space="0" w:color="auto"/>
                <w:left w:val="none" w:sz="0" w:space="0" w:color="auto"/>
                <w:bottom w:val="none" w:sz="0" w:space="0" w:color="auto"/>
                <w:right w:val="none" w:sz="0" w:space="0" w:color="auto"/>
              </w:divBdr>
            </w:div>
          </w:divsChild>
        </w:div>
        <w:div w:id="1780762084">
          <w:marLeft w:val="0"/>
          <w:marRight w:val="0"/>
          <w:marTop w:val="0"/>
          <w:marBottom w:val="0"/>
          <w:divBdr>
            <w:top w:val="none" w:sz="0" w:space="0" w:color="auto"/>
            <w:left w:val="none" w:sz="0" w:space="0" w:color="auto"/>
            <w:bottom w:val="none" w:sz="0" w:space="0" w:color="auto"/>
            <w:right w:val="none" w:sz="0" w:space="0" w:color="auto"/>
          </w:divBdr>
          <w:divsChild>
            <w:div w:id="1195076168">
              <w:marLeft w:val="0"/>
              <w:marRight w:val="0"/>
              <w:marTop w:val="30"/>
              <w:marBottom w:val="30"/>
              <w:divBdr>
                <w:top w:val="none" w:sz="0" w:space="0" w:color="auto"/>
                <w:left w:val="none" w:sz="0" w:space="0" w:color="auto"/>
                <w:bottom w:val="none" w:sz="0" w:space="0" w:color="auto"/>
                <w:right w:val="none" w:sz="0" w:space="0" w:color="auto"/>
              </w:divBdr>
              <w:divsChild>
                <w:div w:id="127086788">
                  <w:marLeft w:val="0"/>
                  <w:marRight w:val="0"/>
                  <w:marTop w:val="0"/>
                  <w:marBottom w:val="0"/>
                  <w:divBdr>
                    <w:top w:val="none" w:sz="0" w:space="0" w:color="auto"/>
                    <w:left w:val="none" w:sz="0" w:space="0" w:color="auto"/>
                    <w:bottom w:val="none" w:sz="0" w:space="0" w:color="auto"/>
                    <w:right w:val="none" w:sz="0" w:space="0" w:color="auto"/>
                  </w:divBdr>
                  <w:divsChild>
                    <w:div w:id="1996521401">
                      <w:marLeft w:val="0"/>
                      <w:marRight w:val="0"/>
                      <w:marTop w:val="0"/>
                      <w:marBottom w:val="0"/>
                      <w:divBdr>
                        <w:top w:val="none" w:sz="0" w:space="0" w:color="auto"/>
                        <w:left w:val="none" w:sz="0" w:space="0" w:color="auto"/>
                        <w:bottom w:val="none" w:sz="0" w:space="0" w:color="auto"/>
                        <w:right w:val="none" w:sz="0" w:space="0" w:color="auto"/>
                      </w:divBdr>
                    </w:div>
                  </w:divsChild>
                </w:div>
                <w:div w:id="166558120">
                  <w:marLeft w:val="0"/>
                  <w:marRight w:val="0"/>
                  <w:marTop w:val="0"/>
                  <w:marBottom w:val="0"/>
                  <w:divBdr>
                    <w:top w:val="none" w:sz="0" w:space="0" w:color="auto"/>
                    <w:left w:val="none" w:sz="0" w:space="0" w:color="auto"/>
                    <w:bottom w:val="none" w:sz="0" w:space="0" w:color="auto"/>
                    <w:right w:val="none" w:sz="0" w:space="0" w:color="auto"/>
                  </w:divBdr>
                  <w:divsChild>
                    <w:div w:id="730468814">
                      <w:marLeft w:val="0"/>
                      <w:marRight w:val="0"/>
                      <w:marTop w:val="0"/>
                      <w:marBottom w:val="0"/>
                      <w:divBdr>
                        <w:top w:val="none" w:sz="0" w:space="0" w:color="auto"/>
                        <w:left w:val="none" w:sz="0" w:space="0" w:color="auto"/>
                        <w:bottom w:val="none" w:sz="0" w:space="0" w:color="auto"/>
                        <w:right w:val="none" w:sz="0" w:space="0" w:color="auto"/>
                      </w:divBdr>
                    </w:div>
                  </w:divsChild>
                </w:div>
                <w:div w:id="195241334">
                  <w:marLeft w:val="0"/>
                  <w:marRight w:val="0"/>
                  <w:marTop w:val="0"/>
                  <w:marBottom w:val="0"/>
                  <w:divBdr>
                    <w:top w:val="none" w:sz="0" w:space="0" w:color="auto"/>
                    <w:left w:val="none" w:sz="0" w:space="0" w:color="auto"/>
                    <w:bottom w:val="none" w:sz="0" w:space="0" w:color="auto"/>
                    <w:right w:val="none" w:sz="0" w:space="0" w:color="auto"/>
                  </w:divBdr>
                  <w:divsChild>
                    <w:div w:id="1702898107">
                      <w:marLeft w:val="0"/>
                      <w:marRight w:val="0"/>
                      <w:marTop w:val="0"/>
                      <w:marBottom w:val="0"/>
                      <w:divBdr>
                        <w:top w:val="none" w:sz="0" w:space="0" w:color="auto"/>
                        <w:left w:val="none" w:sz="0" w:space="0" w:color="auto"/>
                        <w:bottom w:val="none" w:sz="0" w:space="0" w:color="auto"/>
                        <w:right w:val="none" w:sz="0" w:space="0" w:color="auto"/>
                      </w:divBdr>
                    </w:div>
                  </w:divsChild>
                </w:div>
                <w:div w:id="285695195">
                  <w:marLeft w:val="0"/>
                  <w:marRight w:val="0"/>
                  <w:marTop w:val="0"/>
                  <w:marBottom w:val="0"/>
                  <w:divBdr>
                    <w:top w:val="none" w:sz="0" w:space="0" w:color="auto"/>
                    <w:left w:val="none" w:sz="0" w:space="0" w:color="auto"/>
                    <w:bottom w:val="none" w:sz="0" w:space="0" w:color="auto"/>
                    <w:right w:val="none" w:sz="0" w:space="0" w:color="auto"/>
                  </w:divBdr>
                  <w:divsChild>
                    <w:div w:id="1206943683">
                      <w:marLeft w:val="0"/>
                      <w:marRight w:val="0"/>
                      <w:marTop w:val="0"/>
                      <w:marBottom w:val="0"/>
                      <w:divBdr>
                        <w:top w:val="none" w:sz="0" w:space="0" w:color="auto"/>
                        <w:left w:val="none" w:sz="0" w:space="0" w:color="auto"/>
                        <w:bottom w:val="none" w:sz="0" w:space="0" w:color="auto"/>
                        <w:right w:val="none" w:sz="0" w:space="0" w:color="auto"/>
                      </w:divBdr>
                    </w:div>
                  </w:divsChild>
                </w:div>
                <w:div w:id="312561204">
                  <w:marLeft w:val="0"/>
                  <w:marRight w:val="0"/>
                  <w:marTop w:val="0"/>
                  <w:marBottom w:val="0"/>
                  <w:divBdr>
                    <w:top w:val="none" w:sz="0" w:space="0" w:color="auto"/>
                    <w:left w:val="none" w:sz="0" w:space="0" w:color="auto"/>
                    <w:bottom w:val="none" w:sz="0" w:space="0" w:color="auto"/>
                    <w:right w:val="none" w:sz="0" w:space="0" w:color="auto"/>
                  </w:divBdr>
                  <w:divsChild>
                    <w:div w:id="2107534484">
                      <w:marLeft w:val="0"/>
                      <w:marRight w:val="0"/>
                      <w:marTop w:val="0"/>
                      <w:marBottom w:val="0"/>
                      <w:divBdr>
                        <w:top w:val="none" w:sz="0" w:space="0" w:color="auto"/>
                        <w:left w:val="none" w:sz="0" w:space="0" w:color="auto"/>
                        <w:bottom w:val="none" w:sz="0" w:space="0" w:color="auto"/>
                        <w:right w:val="none" w:sz="0" w:space="0" w:color="auto"/>
                      </w:divBdr>
                    </w:div>
                  </w:divsChild>
                </w:div>
                <w:div w:id="349338427">
                  <w:marLeft w:val="0"/>
                  <w:marRight w:val="0"/>
                  <w:marTop w:val="0"/>
                  <w:marBottom w:val="0"/>
                  <w:divBdr>
                    <w:top w:val="none" w:sz="0" w:space="0" w:color="auto"/>
                    <w:left w:val="none" w:sz="0" w:space="0" w:color="auto"/>
                    <w:bottom w:val="none" w:sz="0" w:space="0" w:color="auto"/>
                    <w:right w:val="none" w:sz="0" w:space="0" w:color="auto"/>
                  </w:divBdr>
                  <w:divsChild>
                    <w:div w:id="485517293">
                      <w:marLeft w:val="0"/>
                      <w:marRight w:val="0"/>
                      <w:marTop w:val="0"/>
                      <w:marBottom w:val="0"/>
                      <w:divBdr>
                        <w:top w:val="none" w:sz="0" w:space="0" w:color="auto"/>
                        <w:left w:val="none" w:sz="0" w:space="0" w:color="auto"/>
                        <w:bottom w:val="none" w:sz="0" w:space="0" w:color="auto"/>
                        <w:right w:val="none" w:sz="0" w:space="0" w:color="auto"/>
                      </w:divBdr>
                    </w:div>
                  </w:divsChild>
                </w:div>
                <w:div w:id="403987194">
                  <w:marLeft w:val="0"/>
                  <w:marRight w:val="0"/>
                  <w:marTop w:val="0"/>
                  <w:marBottom w:val="0"/>
                  <w:divBdr>
                    <w:top w:val="none" w:sz="0" w:space="0" w:color="auto"/>
                    <w:left w:val="none" w:sz="0" w:space="0" w:color="auto"/>
                    <w:bottom w:val="none" w:sz="0" w:space="0" w:color="auto"/>
                    <w:right w:val="none" w:sz="0" w:space="0" w:color="auto"/>
                  </w:divBdr>
                  <w:divsChild>
                    <w:div w:id="579290087">
                      <w:marLeft w:val="0"/>
                      <w:marRight w:val="0"/>
                      <w:marTop w:val="0"/>
                      <w:marBottom w:val="0"/>
                      <w:divBdr>
                        <w:top w:val="none" w:sz="0" w:space="0" w:color="auto"/>
                        <w:left w:val="none" w:sz="0" w:space="0" w:color="auto"/>
                        <w:bottom w:val="none" w:sz="0" w:space="0" w:color="auto"/>
                        <w:right w:val="none" w:sz="0" w:space="0" w:color="auto"/>
                      </w:divBdr>
                    </w:div>
                  </w:divsChild>
                </w:div>
                <w:div w:id="543374484">
                  <w:marLeft w:val="0"/>
                  <w:marRight w:val="0"/>
                  <w:marTop w:val="0"/>
                  <w:marBottom w:val="0"/>
                  <w:divBdr>
                    <w:top w:val="none" w:sz="0" w:space="0" w:color="auto"/>
                    <w:left w:val="none" w:sz="0" w:space="0" w:color="auto"/>
                    <w:bottom w:val="none" w:sz="0" w:space="0" w:color="auto"/>
                    <w:right w:val="none" w:sz="0" w:space="0" w:color="auto"/>
                  </w:divBdr>
                  <w:divsChild>
                    <w:div w:id="1899127455">
                      <w:marLeft w:val="0"/>
                      <w:marRight w:val="0"/>
                      <w:marTop w:val="0"/>
                      <w:marBottom w:val="0"/>
                      <w:divBdr>
                        <w:top w:val="none" w:sz="0" w:space="0" w:color="auto"/>
                        <w:left w:val="none" w:sz="0" w:space="0" w:color="auto"/>
                        <w:bottom w:val="none" w:sz="0" w:space="0" w:color="auto"/>
                        <w:right w:val="none" w:sz="0" w:space="0" w:color="auto"/>
                      </w:divBdr>
                    </w:div>
                  </w:divsChild>
                </w:div>
                <w:div w:id="568883348">
                  <w:marLeft w:val="0"/>
                  <w:marRight w:val="0"/>
                  <w:marTop w:val="0"/>
                  <w:marBottom w:val="0"/>
                  <w:divBdr>
                    <w:top w:val="none" w:sz="0" w:space="0" w:color="auto"/>
                    <w:left w:val="none" w:sz="0" w:space="0" w:color="auto"/>
                    <w:bottom w:val="none" w:sz="0" w:space="0" w:color="auto"/>
                    <w:right w:val="none" w:sz="0" w:space="0" w:color="auto"/>
                  </w:divBdr>
                  <w:divsChild>
                    <w:div w:id="413474178">
                      <w:marLeft w:val="0"/>
                      <w:marRight w:val="0"/>
                      <w:marTop w:val="0"/>
                      <w:marBottom w:val="0"/>
                      <w:divBdr>
                        <w:top w:val="none" w:sz="0" w:space="0" w:color="auto"/>
                        <w:left w:val="none" w:sz="0" w:space="0" w:color="auto"/>
                        <w:bottom w:val="none" w:sz="0" w:space="0" w:color="auto"/>
                        <w:right w:val="none" w:sz="0" w:space="0" w:color="auto"/>
                      </w:divBdr>
                    </w:div>
                  </w:divsChild>
                </w:div>
                <w:div w:id="583296912">
                  <w:marLeft w:val="0"/>
                  <w:marRight w:val="0"/>
                  <w:marTop w:val="0"/>
                  <w:marBottom w:val="0"/>
                  <w:divBdr>
                    <w:top w:val="none" w:sz="0" w:space="0" w:color="auto"/>
                    <w:left w:val="none" w:sz="0" w:space="0" w:color="auto"/>
                    <w:bottom w:val="none" w:sz="0" w:space="0" w:color="auto"/>
                    <w:right w:val="none" w:sz="0" w:space="0" w:color="auto"/>
                  </w:divBdr>
                  <w:divsChild>
                    <w:div w:id="1803888700">
                      <w:marLeft w:val="0"/>
                      <w:marRight w:val="0"/>
                      <w:marTop w:val="0"/>
                      <w:marBottom w:val="0"/>
                      <w:divBdr>
                        <w:top w:val="none" w:sz="0" w:space="0" w:color="auto"/>
                        <w:left w:val="none" w:sz="0" w:space="0" w:color="auto"/>
                        <w:bottom w:val="none" w:sz="0" w:space="0" w:color="auto"/>
                        <w:right w:val="none" w:sz="0" w:space="0" w:color="auto"/>
                      </w:divBdr>
                    </w:div>
                  </w:divsChild>
                </w:div>
                <w:div w:id="699937750">
                  <w:marLeft w:val="0"/>
                  <w:marRight w:val="0"/>
                  <w:marTop w:val="0"/>
                  <w:marBottom w:val="0"/>
                  <w:divBdr>
                    <w:top w:val="none" w:sz="0" w:space="0" w:color="auto"/>
                    <w:left w:val="none" w:sz="0" w:space="0" w:color="auto"/>
                    <w:bottom w:val="none" w:sz="0" w:space="0" w:color="auto"/>
                    <w:right w:val="none" w:sz="0" w:space="0" w:color="auto"/>
                  </w:divBdr>
                  <w:divsChild>
                    <w:div w:id="895236768">
                      <w:marLeft w:val="0"/>
                      <w:marRight w:val="0"/>
                      <w:marTop w:val="0"/>
                      <w:marBottom w:val="0"/>
                      <w:divBdr>
                        <w:top w:val="none" w:sz="0" w:space="0" w:color="auto"/>
                        <w:left w:val="none" w:sz="0" w:space="0" w:color="auto"/>
                        <w:bottom w:val="none" w:sz="0" w:space="0" w:color="auto"/>
                        <w:right w:val="none" w:sz="0" w:space="0" w:color="auto"/>
                      </w:divBdr>
                    </w:div>
                  </w:divsChild>
                </w:div>
                <w:div w:id="805587593">
                  <w:marLeft w:val="0"/>
                  <w:marRight w:val="0"/>
                  <w:marTop w:val="0"/>
                  <w:marBottom w:val="0"/>
                  <w:divBdr>
                    <w:top w:val="none" w:sz="0" w:space="0" w:color="auto"/>
                    <w:left w:val="none" w:sz="0" w:space="0" w:color="auto"/>
                    <w:bottom w:val="none" w:sz="0" w:space="0" w:color="auto"/>
                    <w:right w:val="none" w:sz="0" w:space="0" w:color="auto"/>
                  </w:divBdr>
                  <w:divsChild>
                    <w:div w:id="1937012502">
                      <w:marLeft w:val="0"/>
                      <w:marRight w:val="0"/>
                      <w:marTop w:val="0"/>
                      <w:marBottom w:val="0"/>
                      <w:divBdr>
                        <w:top w:val="none" w:sz="0" w:space="0" w:color="auto"/>
                        <w:left w:val="none" w:sz="0" w:space="0" w:color="auto"/>
                        <w:bottom w:val="none" w:sz="0" w:space="0" w:color="auto"/>
                        <w:right w:val="none" w:sz="0" w:space="0" w:color="auto"/>
                      </w:divBdr>
                    </w:div>
                  </w:divsChild>
                </w:div>
                <w:div w:id="814376953">
                  <w:marLeft w:val="0"/>
                  <w:marRight w:val="0"/>
                  <w:marTop w:val="0"/>
                  <w:marBottom w:val="0"/>
                  <w:divBdr>
                    <w:top w:val="none" w:sz="0" w:space="0" w:color="auto"/>
                    <w:left w:val="none" w:sz="0" w:space="0" w:color="auto"/>
                    <w:bottom w:val="none" w:sz="0" w:space="0" w:color="auto"/>
                    <w:right w:val="none" w:sz="0" w:space="0" w:color="auto"/>
                  </w:divBdr>
                  <w:divsChild>
                    <w:div w:id="1476070409">
                      <w:marLeft w:val="0"/>
                      <w:marRight w:val="0"/>
                      <w:marTop w:val="0"/>
                      <w:marBottom w:val="0"/>
                      <w:divBdr>
                        <w:top w:val="none" w:sz="0" w:space="0" w:color="auto"/>
                        <w:left w:val="none" w:sz="0" w:space="0" w:color="auto"/>
                        <w:bottom w:val="none" w:sz="0" w:space="0" w:color="auto"/>
                        <w:right w:val="none" w:sz="0" w:space="0" w:color="auto"/>
                      </w:divBdr>
                    </w:div>
                  </w:divsChild>
                </w:div>
                <w:div w:id="870336133">
                  <w:marLeft w:val="0"/>
                  <w:marRight w:val="0"/>
                  <w:marTop w:val="0"/>
                  <w:marBottom w:val="0"/>
                  <w:divBdr>
                    <w:top w:val="none" w:sz="0" w:space="0" w:color="auto"/>
                    <w:left w:val="none" w:sz="0" w:space="0" w:color="auto"/>
                    <w:bottom w:val="none" w:sz="0" w:space="0" w:color="auto"/>
                    <w:right w:val="none" w:sz="0" w:space="0" w:color="auto"/>
                  </w:divBdr>
                  <w:divsChild>
                    <w:div w:id="1034815036">
                      <w:marLeft w:val="0"/>
                      <w:marRight w:val="0"/>
                      <w:marTop w:val="0"/>
                      <w:marBottom w:val="0"/>
                      <w:divBdr>
                        <w:top w:val="none" w:sz="0" w:space="0" w:color="auto"/>
                        <w:left w:val="none" w:sz="0" w:space="0" w:color="auto"/>
                        <w:bottom w:val="none" w:sz="0" w:space="0" w:color="auto"/>
                        <w:right w:val="none" w:sz="0" w:space="0" w:color="auto"/>
                      </w:divBdr>
                    </w:div>
                  </w:divsChild>
                </w:div>
                <w:div w:id="877593644">
                  <w:marLeft w:val="0"/>
                  <w:marRight w:val="0"/>
                  <w:marTop w:val="0"/>
                  <w:marBottom w:val="0"/>
                  <w:divBdr>
                    <w:top w:val="none" w:sz="0" w:space="0" w:color="auto"/>
                    <w:left w:val="none" w:sz="0" w:space="0" w:color="auto"/>
                    <w:bottom w:val="none" w:sz="0" w:space="0" w:color="auto"/>
                    <w:right w:val="none" w:sz="0" w:space="0" w:color="auto"/>
                  </w:divBdr>
                  <w:divsChild>
                    <w:div w:id="588197832">
                      <w:marLeft w:val="0"/>
                      <w:marRight w:val="0"/>
                      <w:marTop w:val="0"/>
                      <w:marBottom w:val="0"/>
                      <w:divBdr>
                        <w:top w:val="none" w:sz="0" w:space="0" w:color="auto"/>
                        <w:left w:val="none" w:sz="0" w:space="0" w:color="auto"/>
                        <w:bottom w:val="none" w:sz="0" w:space="0" w:color="auto"/>
                        <w:right w:val="none" w:sz="0" w:space="0" w:color="auto"/>
                      </w:divBdr>
                    </w:div>
                  </w:divsChild>
                </w:div>
                <w:div w:id="879248999">
                  <w:marLeft w:val="0"/>
                  <w:marRight w:val="0"/>
                  <w:marTop w:val="0"/>
                  <w:marBottom w:val="0"/>
                  <w:divBdr>
                    <w:top w:val="none" w:sz="0" w:space="0" w:color="auto"/>
                    <w:left w:val="none" w:sz="0" w:space="0" w:color="auto"/>
                    <w:bottom w:val="none" w:sz="0" w:space="0" w:color="auto"/>
                    <w:right w:val="none" w:sz="0" w:space="0" w:color="auto"/>
                  </w:divBdr>
                  <w:divsChild>
                    <w:div w:id="1146242141">
                      <w:marLeft w:val="0"/>
                      <w:marRight w:val="0"/>
                      <w:marTop w:val="0"/>
                      <w:marBottom w:val="0"/>
                      <w:divBdr>
                        <w:top w:val="none" w:sz="0" w:space="0" w:color="auto"/>
                        <w:left w:val="none" w:sz="0" w:space="0" w:color="auto"/>
                        <w:bottom w:val="none" w:sz="0" w:space="0" w:color="auto"/>
                        <w:right w:val="none" w:sz="0" w:space="0" w:color="auto"/>
                      </w:divBdr>
                    </w:div>
                  </w:divsChild>
                </w:div>
                <w:div w:id="1032145933">
                  <w:marLeft w:val="0"/>
                  <w:marRight w:val="0"/>
                  <w:marTop w:val="0"/>
                  <w:marBottom w:val="0"/>
                  <w:divBdr>
                    <w:top w:val="none" w:sz="0" w:space="0" w:color="auto"/>
                    <w:left w:val="none" w:sz="0" w:space="0" w:color="auto"/>
                    <w:bottom w:val="none" w:sz="0" w:space="0" w:color="auto"/>
                    <w:right w:val="none" w:sz="0" w:space="0" w:color="auto"/>
                  </w:divBdr>
                  <w:divsChild>
                    <w:div w:id="1018434716">
                      <w:marLeft w:val="0"/>
                      <w:marRight w:val="0"/>
                      <w:marTop w:val="0"/>
                      <w:marBottom w:val="0"/>
                      <w:divBdr>
                        <w:top w:val="none" w:sz="0" w:space="0" w:color="auto"/>
                        <w:left w:val="none" w:sz="0" w:space="0" w:color="auto"/>
                        <w:bottom w:val="none" w:sz="0" w:space="0" w:color="auto"/>
                        <w:right w:val="none" w:sz="0" w:space="0" w:color="auto"/>
                      </w:divBdr>
                    </w:div>
                  </w:divsChild>
                </w:div>
                <w:div w:id="1198619596">
                  <w:marLeft w:val="0"/>
                  <w:marRight w:val="0"/>
                  <w:marTop w:val="0"/>
                  <w:marBottom w:val="0"/>
                  <w:divBdr>
                    <w:top w:val="none" w:sz="0" w:space="0" w:color="auto"/>
                    <w:left w:val="none" w:sz="0" w:space="0" w:color="auto"/>
                    <w:bottom w:val="none" w:sz="0" w:space="0" w:color="auto"/>
                    <w:right w:val="none" w:sz="0" w:space="0" w:color="auto"/>
                  </w:divBdr>
                  <w:divsChild>
                    <w:div w:id="1168859805">
                      <w:marLeft w:val="0"/>
                      <w:marRight w:val="0"/>
                      <w:marTop w:val="0"/>
                      <w:marBottom w:val="0"/>
                      <w:divBdr>
                        <w:top w:val="none" w:sz="0" w:space="0" w:color="auto"/>
                        <w:left w:val="none" w:sz="0" w:space="0" w:color="auto"/>
                        <w:bottom w:val="none" w:sz="0" w:space="0" w:color="auto"/>
                        <w:right w:val="none" w:sz="0" w:space="0" w:color="auto"/>
                      </w:divBdr>
                    </w:div>
                  </w:divsChild>
                </w:div>
                <w:div w:id="1235118276">
                  <w:marLeft w:val="0"/>
                  <w:marRight w:val="0"/>
                  <w:marTop w:val="0"/>
                  <w:marBottom w:val="0"/>
                  <w:divBdr>
                    <w:top w:val="none" w:sz="0" w:space="0" w:color="auto"/>
                    <w:left w:val="none" w:sz="0" w:space="0" w:color="auto"/>
                    <w:bottom w:val="none" w:sz="0" w:space="0" w:color="auto"/>
                    <w:right w:val="none" w:sz="0" w:space="0" w:color="auto"/>
                  </w:divBdr>
                  <w:divsChild>
                    <w:div w:id="1394235870">
                      <w:marLeft w:val="0"/>
                      <w:marRight w:val="0"/>
                      <w:marTop w:val="0"/>
                      <w:marBottom w:val="0"/>
                      <w:divBdr>
                        <w:top w:val="none" w:sz="0" w:space="0" w:color="auto"/>
                        <w:left w:val="none" w:sz="0" w:space="0" w:color="auto"/>
                        <w:bottom w:val="none" w:sz="0" w:space="0" w:color="auto"/>
                        <w:right w:val="none" w:sz="0" w:space="0" w:color="auto"/>
                      </w:divBdr>
                    </w:div>
                  </w:divsChild>
                </w:div>
                <w:div w:id="1299455672">
                  <w:marLeft w:val="0"/>
                  <w:marRight w:val="0"/>
                  <w:marTop w:val="0"/>
                  <w:marBottom w:val="0"/>
                  <w:divBdr>
                    <w:top w:val="none" w:sz="0" w:space="0" w:color="auto"/>
                    <w:left w:val="none" w:sz="0" w:space="0" w:color="auto"/>
                    <w:bottom w:val="none" w:sz="0" w:space="0" w:color="auto"/>
                    <w:right w:val="none" w:sz="0" w:space="0" w:color="auto"/>
                  </w:divBdr>
                  <w:divsChild>
                    <w:div w:id="563879737">
                      <w:marLeft w:val="0"/>
                      <w:marRight w:val="0"/>
                      <w:marTop w:val="0"/>
                      <w:marBottom w:val="0"/>
                      <w:divBdr>
                        <w:top w:val="none" w:sz="0" w:space="0" w:color="auto"/>
                        <w:left w:val="none" w:sz="0" w:space="0" w:color="auto"/>
                        <w:bottom w:val="none" w:sz="0" w:space="0" w:color="auto"/>
                        <w:right w:val="none" w:sz="0" w:space="0" w:color="auto"/>
                      </w:divBdr>
                    </w:div>
                  </w:divsChild>
                </w:div>
                <w:div w:id="1335037672">
                  <w:marLeft w:val="0"/>
                  <w:marRight w:val="0"/>
                  <w:marTop w:val="0"/>
                  <w:marBottom w:val="0"/>
                  <w:divBdr>
                    <w:top w:val="none" w:sz="0" w:space="0" w:color="auto"/>
                    <w:left w:val="none" w:sz="0" w:space="0" w:color="auto"/>
                    <w:bottom w:val="none" w:sz="0" w:space="0" w:color="auto"/>
                    <w:right w:val="none" w:sz="0" w:space="0" w:color="auto"/>
                  </w:divBdr>
                  <w:divsChild>
                    <w:div w:id="1583679153">
                      <w:marLeft w:val="0"/>
                      <w:marRight w:val="0"/>
                      <w:marTop w:val="0"/>
                      <w:marBottom w:val="0"/>
                      <w:divBdr>
                        <w:top w:val="none" w:sz="0" w:space="0" w:color="auto"/>
                        <w:left w:val="none" w:sz="0" w:space="0" w:color="auto"/>
                        <w:bottom w:val="none" w:sz="0" w:space="0" w:color="auto"/>
                        <w:right w:val="none" w:sz="0" w:space="0" w:color="auto"/>
                      </w:divBdr>
                    </w:div>
                  </w:divsChild>
                </w:div>
                <w:div w:id="1339967267">
                  <w:marLeft w:val="0"/>
                  <w:marRight w:val="0"/>
                  <w:marTop w:val="0"/>
                  <w:marBottom w:val="0"/>
                  <w:divBdr>
                    <w:top w:val="none" w:sz="0" w:space="0" w:color="auto"/>
                    <w:left w:val="none" w:sz="0" w:space="0" w:color="auto"/>
                    <w:bottom w:val="none" w:sz="0" w:space="0" w:color="auto"/>
                    <w:right w:val="none" w:sz="0" w:space="0" w:color="auto"/>
                  </w:divBdr>
                  <w:divsChild>
                    <w:div w:id="1770812536">
                      <w:marLeft w:val="0"/>
                      <w:marRight w:val="0"/>
                      <w:marTop w:val="0"/>
                      <w:marBottom w:val="0"/>
                      <w:divBdr>
                        <w:top w:val="none" w:sz="0" w:space="0" w:color="auto"/>
                        <w:left w:val="none" w:sz="0" w:space="0" w:color="auto"/>
                        <w:bottom w:val="none" w:sz="0" w:space="0" w:color="auto"/>
                        <w:right w:val="none" w:sz="0" w:space="0" w:color="auto"/>
                      </w:divBdr>
                    </w:div>
                  </w:divsChild>
                </w:div>
                <w:div w:id="1361977935">
                  <w:marLeft w:val="0"/>
                  <w:marRight w:val="0"/>
                  <w:marTop w:val="0"/>
                  <w:marBottom w:val="0"/>
                  <w:divBdr>
                    <w:top w:val="none" w:sz="0" w:space="0" w:color="auto"/>
                    <w:left w:val="none" w:sz="0" w:space="0" w:color="auto"/>
                    <w:bottom w:val="none" w:sz="0" w:space="0" w:color="auto"/>
                    <w:right w:val="none" w:sz="0" w:space="0" w:color="auto"/>
                  </w:divBdr>
                  <w:divsChild>
                    <w:div w:id="487601565">
                      <w:marLeft w:val="0"/>
                      <w:marRight w:val="0"/>
                      <w:marTop w:val="0"/>
                      <w:marBottom w:val="0"/>
                      <w:divBdr>
                        <w:top w:val="none" w:sz="0" w:space="0" w:color="auto"/>
                        <w:left w:val="none" w:sz="0" w:space="0" w:color="auto"/>
                        <w:bottom w:val="none" w:sz="0" w:space="0" w:color="auto"/>
                        <w:right w:val="none" w:sz="0" w:space="0" w:color="auto"/>
                      </w:divBdr>
                    </w:div>
                  </w:divsChild>
                </w:div>
                <w:div w:id="1363363918">
                  <w:marLeft w:val="0"/>
                  <w:marRight w:val="0"/>
                  <w:marTop w:val="0"/>
                  <w:marBottom w:val="0"/>
                  <w:divBdr>
                    <w:top w:val="none" w:sz="0" w:space="0" w:color="auto"/>
                    <w:left w:val="none" w:sz="0" w:space="0" w:color="auto"/>
                    <w:bottom w:val="none" w:sz="0" w:space="0" w:color="auto"/>
                    <w:right w:val="none" w:sz="0" w:space="0" w:color="auto"/>
                  </w:divBdr>
                  <w:divsChild>
                    <w:div w:id="661783441">
                      <w:marLeft w:val="0"/>
                      <w:marRight w:val="0"/>
                      <w:marTop w:val="0"/>
                      <w:marBottom w:val="0"/>
                      <w:divBdr>
                        <w:top w:val="none" w:sz="0" w:space="0" w:color="auto"/>
                        <w:left w:val="none" w:sz="0" w:space="0" w:color="auto"/>
                        <w:bottom w:val="none" w:sz="0" w:space="0" w:color="auto"/>
                        <w:right w:val="none" w:sz="0" w:space="0" w:color="auto"/>
                      </w:divBdr>
                    </w:div>
                  </w:divsChild>
                </w:div>
                <w:div w:id="1365246970">
                  <w:marLeft w:val="0"/>
                  <w:marRight w:val="0"/>
                  <w:marTop w:val="0"/>
                  <w:marBottom w:val="0"/>
                  <w:divBdr>
                    <w:top w:val="none" w:sz="0" w:space="0" w:color="auto"/>
                    <w:left w:val="none" w:sz="0" w:space="0" w:color="auto"/>
                    <w:bottom w:val="none" w:sz="0" w:space="0" w:color="auto"/>
                    <w:right w:val="none" w:sz="0" w:space="0" w:color="auto"/>
                  </w:divBdr>
                  <w:divsChild>
                    <w:div w:id="1524243016">
                      <w:marLeft w:val="0"/>
                      <w:marRight w:val="0"/>
                      <w:marTop w:val="0"/>
                      <w:marBottom w:val="0"/>
                      <w:divBdr>
                        <w:top w:val="none" w:sz="0" w:space="0" w:color="auto"/>
                        <w:left w:val="none" w:sz="0" w:space="0" w:color="auto"/>
                        <w:bottom w:val="none" w:sz="0" w:space="0" w:color="auto"/>
                        <w:right w:val="none" w:sz="0" w:space="0" w:color="auto"/>
                      </w:divBdr>
                    </w:div>
                  </w:divsChild>
                </w:div>
                <w:div w:id="1366832122">
                  <w:marLeft w:val="0"/>
                  <w:marRight w:val="0"/>
                  <w:marTop w:val="0"/>
                  <w:marBottom w:val="0"/>
                  <w:divBdr>
                    <w:top w:val="none" w:sz="0" w:space="0" w:color="auto"/>
                    <w:left w:val="none" w:sz="0" w:space="0" w:color="auto"/>
                    <w:bottom w:val="none" w:sz="0" w:space="0" w:color="auto"/>
                    <w:right w:val="none" w:sz="0" w:space="0" w:color="auto"/>
                  </w:divBdr>
                  <w:divsChild>
                    <w:div w:id="1547836116">
                      <w:marLeft w:val="0"/>
                      <w:marRight w:val="0"/>
                      <w:marTop w:val="0"/>
                      <w:marBottom w:val="0"/>
                      <w:divBdr>
                        <w:top w:val="none" w:sz="0" w:space="0" w:color="auto"/>
                        <w:left w:val="none" w:sz="0" w:space="0" w:color="auto"/>
                        <w:bottom w:val="none" w:sz="0" w:space="0" w:color="auto"/>
                        <w:right w:val="none" w:sz="0" w:space="0" w:color="auto"/>
                      </w:divBdr>
                    </w:div>
                  </w:divsChild>
                </w:div>
                <w:div w:id="1487748846">
                  <w:marLeft w:val="0"/>
                  <w:marRight w:val="0"/>
                  <w:marTop w:val="0"/>
                  <w:marBottom w:val="0"/>
                  <w:divBdr>
                    <w:top w:val="none" w:sz="0" w:space="0" w:color="auto"/>
                    <w:left w:val="none" w:sz="0" w:space="0" w:color="auto"/>
                    <w:bottom w:val="none" w:sz="0" w:space="0" w:color="auto"/>
                    <w:right w:val="none" w:sz="0" w:space="0" w:color="auto"/>
                  </w:divBdr>
                  <w:divsChild>
                    <w:div w:id="1419060219">
                      <w:marLeft w:val="0"/>
                      <w:marRight w:val="0"/>
                      <w:marTop w:val="0"/>
                      <w:marBottom w:val="0"/>
                      <w:divBdr>
                        <w:top w:val="none" w:sz="0" w:space="0" w:color="auto"/>
                        <w:left w:val="none" w:sz="0" w:space="0" w:color="auto"/>
                        <w:bottom w:val="none" w:sz="0" w:space="0" w:color="auto"/>
                        <w:right w:val="none" w:sz="0" w:space="0" w:color="auto"/>
                      </w:divBdr>
                    </w:div>
                  </w:divsChild>
                </w:div>
                <w:div w:id="1570386611">
                  <w:marLeft w:val="0"/>
                  <w:marRight w:val="0"/>
                  <w:marTop w:val="0"/>
                  <w:marBottom w:val="0"/>
                  <w:divBdr>
                    <w:top w:val="none" w:sz="0" w:space="0" w:color="auto"/>
                    <w:left w:val="none" w:sz="0" w:space="0" w:color="auto"/>
                    <w:bottom w:val="none" w:sz="0" w:space="0" w:color="auto"/>
                    <w:right w:val="none" w:sz="0" w:space="0" w:color="auto"/>
                  </w:divBdr>
                  <w:divsChild>
                    <w:div w:id="485561031">
                      <w:marLeft w:val="0"/>
                      <w:marRight w:val="0"/>
                      <w:marTop w:val="0"/>
                      <w:marBottom w:val="0"/>
                      <w:divBdr>
                        <w:top w:val="none" w:sz="0" w:space="0" w:color="auto"/>
                        <w:left w:val="none" w:sz="0" w:space="0" w:color="auto"/>
                        <w:bottom w:val="none" w:sz="0" w:space="0" w:color="auto"/>
                        <w:right w:val="none" w:sz="0" w:space="0" w:color="auto"/>
                      </w:divBdr>
                    </w:div>
                  </w:divsChild>
                </w:div>
                <w:div w:id="1580869306">
                  <w:marLeft w:val="0"/>
                  <w:marRight w:val="0"/>
                  <w:marTop w:val="0"/>
                  <w:marBottom w:val="0"/>
                  <w:divBdr>
                    <w:top w:val="none" w:sz="0" w:space="0" w:color="auto"/>
                    <w:left w:val="none" w:sz="0" w:space="0" w:color="auto"/>
                    <w:bottom w:val="none" w:sz="0" w:space="0" w:color="auto"/>
                    <w:right w:val="none" w:sz="0" w:space="0" w:color="auto"/>
                  </w:divBdr>
                  <w:divsChild>
                    <w:div w:id="1409960330">
                      <w:marLeft w:val="0"/>
                      <w:marRight w:val="0"/>
                      <w:marTop w:val="0"/>
                      <w:marBottom w:val="0"/>
                      <w:divBdr>
                        <w:top w:val="none" w:sz="0" w:space="0" w:color="auto"/>
                        <w:left w:val="none" w:sz="0" w:space="0" w:color="auto"/>
                        <w:bottom w:val="none" w:sz="0" w:space="0" w:color="auto"/>
                        <w:right w:val="none" w:sz="0" w:space="0" w:color="auto"/>
                      </w:divBdr>
                    </w:div>
                  </w:divsChild>
                </w:div>
                <w:div w:id="1580947893">
                  <w:marLeft w:val="0"/>
                  <w:marRight w:val="0"/>
                  <w:marTop w:val="0"/>
                  <w:marBottom w:val="0"/>
                  <w:divBdr>
                    <w:top w:val="none" w:sz="0" w:space="0" w:color="auto"/>
                    <w:left w:val="none" w:sz="0" w:space="0" w:color="auto"/>
                    <w:bottom w:val="none" w:sz="0" w:space="0" w:color="auto"/>
                    <w:right w:val="none" w:sz="0" w:space="0" w:color="auto"/>
                  </w:divBdr>
                  <w:divsChild>
                    <w:div w:id="773404044">
                      <w:marLeft w:val="0"/>
                      <w:marRight w:val="0"/>
                      <w:marTop w:val="0"/>
                      <w:marBottom w:val="0"/>
                      <w:divBdr>
                        <w:top w:val="none" w:sz="0" w:space="0" w:color="auto"/>
                        <w:left w:val="none" w:sz="0" w:space="0" w:color="auto"/>
                        <w:bottom w:val="none" w:sz="0" w:space="0" w:color="auto"/>
                        <w:right w:val="none" w:sz="0" w:space="0" w:color="auto"/>
                      </w:divBdr>
                    </w:div>
                  </w:divsChild>
                </w:div>
                <w:div w:id="1587959648">
                  <w:marLeft w:val="0"/>
                  <w:marRight w:val="0"/>
                  <w:marTop w:val="0"/>
                  <w:marBottom w:val="0"/>
                  <w:divBdr>
                    <w:top w:val="none" w:sz="0" w:space="0" w:color="auto"/>
                    <w:left w:val="none" w:sz="0" w:space="0" w:color="auto"/>
                    <w:bottom w:val="none" w:sz="0" w:space="0" w:color="auto"/>
                    <w:right w:val="none" w:sz="0" w:space="0" w:color="auto"/>
                  </w:divBdr>
                  <w:divsChild>
                    <w:div w:id="1449395673">
                      <w:marLeft w:val="0"/>
                      <w:marRight w:val="0"/>
                      <w:marTop w:val="0"/>
                      <w:marBottom w:val="0"/>
                      <w:divBdr>
                        <w:top w:val="none" w:sz="0" w:space="0" w:color="auto"/>
                        <w:left w:val="none" w:sz="0" w:space="0" w:color="auto"/>
                        <w:bottom w:val="none" w:sz="0" w:space="0" w:color="auto"/>
                        <w:right w:val="none" w:sz="0" w:space="0" w:color="auto"/>
                      </w:divBdr>
                    </w:div>
                  </w:divsChild>
                </w:div>
                <w:div w:id="1632248810">
                  <w:marLeft w:val="0"/>
                  <w:marRight w:val="0"/>
                  <w:marTop w:val="0"/>
                  <w:marBottom w:val="0"/>
                  <w:divBdr>
                    <w:top w:val="none" w:sz="0" w:space="0" w:color="auto"/>
                    <w:left w:val="none" w:sz="0" w:space="0" w:color="auto"/>
                    <w:bottom w:val="none" w:sz="0" w:space="0" w:color="auto"/>
                    <w:right w:val="none" w:sz="0" w:space="0" w:color="auto"/>
                  </w:divBdr>
                  <w:divsChild>
                    <w:div w:id="1268390773">
                      <w:marLeft w:val="0"/>
                      <w:marRight w:val="0"/>
                      <w:marTop w:val="0"/>
                      <w:marBottom w:val="0"/>
                      <w:divBdr>
                        <w:top w:val="none" w:sz="0" w:space="0" w:color="auto"/>
                        <w:left w:val="none" w:sz="0" w:space="0" w:color="auto"/>
                        <w:bottom w:val="none" w:sz="0" w:space="0" w:color="auto"/>
                        <w:right w:val="none" w:sz="0" w:space="0" w:color="auto"/>
                      </w:divBdr>
                    </w:div>
                  </w:divsChild>
                </w:div>
                <w:div w:id="1717580845">
                  <w:marLeft w:val="0"/>
                  <w:marRight w:val="0"/>
                  <w:marTop w:val="0"/>
                  <w:marBottom w:val="0"/>
                  <w:divBdr>
                    <w:top w:val="none" w:sz="0" w:space="0" w:color="auto"/>
                    <w:left w:val="none" w:sz="0" w:space="0" w:color="auto"/>
                    <w:bottom w:val="none" w:sz="0" w:space="0" w:color="auto"/>
                    <w:right w:val="none" w:sz="0" w:space="0" w:color="auto"/>
                  </w:divBdr>
                  <w:divsChild>
                    <w:div w:id="182519301">
                      <w:marLeft w:val="0"/>
                      <w:marRight w:val="0"/>
                      <w:marTop w:val="0"/>
                      <w:marBottom w:val="0"/>
                      <w:divBdr>
                        <w:top w:val="none" w:sz="0" w:space="0" w:color="auto"/>
                        <w:left w:val="none" w:sz="0" w:space="0" w:color="auto"/>
                        <w:bottom w:val="none" w:sz="0" w:space="0" w:color="auto"/>
                        <w:right w:val="none" w:sz="0" w:space="0" w:color="auto"/>
                      </w:divBdr>
                    </w:div>
                  </w:divsChild>
                </w:div>
                <w:div w:id="1740515857">
                  <w:marLeft w:val="0"/>
                  <w:marRight w:val="0"/>
                  <w:marTop w:val="0"/>
                  <w:marBottom w:val="0"/>
                  <w:divBdr>
                    <w:top w:val="none" w:sz="0" w:space="0" w:color="auto"/>
                    <w:left w:val="none" w:sz="0" w:space="0" w:color="auto"/>
                    <w:bottom w:val="none" w:sz="0" w:space="0" w:color="auto"/>
                    <w:right w:val="none" w:sz="0" w:space="0" w:color="auto"/>
                  </w:divBdr>
                  <w:divsChild>
                    <w:div w:id="1875073156">
                      <w:marLeft w:val="0"/>
                      <w:marRight w:val="0"/>
                      <w:marTop w:val="0"/>
                      <w:marBottom w:val="0"/>
                      <w:divBdr>
                        <w:top w:val="none" w:sz="0" w:space="0" w:color="auto"/>
                        <w:left w:val="none" w:sz="0" w:space="0" w:color="auto"/>
                        <w:bottom w:val="none" w:sz="0" w:space="0" w:color="auto"/>
                        <w:right w:val="none" w:sz="0" w:space="0" w:color="auto"/>
                      </w:divBdr>
                    </w:div>
                  </w:divsChild>
                </w:div>
                <w:div w:id="1742171200">
                  <w:marLeft w:val="0"/>
                  <w:marRight w:val="0"/>
                  <w:marTop w:val="0"/>
                  <w:marBottom w:val="0"/>
                  <w:divBdr>
                    <w:top w:val="none" w:sz="0" w:space="0" w:color="auto"/>
                    <w:left w:val="none" w:sz="0" w:space="0" w:color="auto"/>
                    <w:bottom w:val="none" w:sz="0" w:space="0" w:color="auto"/>
                    <w:right w:val="none" w:sz="0" w:space="0" w:color="auto"/>
                  </w:divBdr>
                  <w:divsChild>
                    <w:div w:id="1297880101">
                      <w:marLeft w:val="0"/>
                      <w:marRight w:val="0"/>
                      <w:marTop w:val="0"/>
                      <w:marBottom w:val="0"/>
                      <w:divBdr>
                        <w:top w:val="none" w:sz="0" w:space="0" w:color="auto"/>
                        <w:left w:val="none" w:sz="0" w:space="0" w:color="auto"/>
                        <w:bottom w:val="none" w:sz="0" w:space="0" w:color="auto"/>
                        <w:right w:val="none" w:sz="0" w:space="0" w:color="auto"/>
                      </w:divBdr>
                    </w:div>
                  </w:divsChild>
                </w:div>
                <w:div w:id="1781608855">
                  <w:marLeft w:val="0"/>
                  <w:marRight w:val="0"/>
                  <w:marTop w:val="0"/>
                  <w:marBottom w:val="0"/>
                  <w:divBdr>
                    <w:top w:val="none" w:sz="0" w:space="0" w:color="auto"/>
                    <w:left w:val="none" w:sz="0" w:space="0" w:color="auto"/>
                    <w:bottom w:val="none" w:sz="0" w:space="0" w:color="auto"/>
                    <w:right w:val="none" w:sz="0" w:space="0" w:color="auto"/>
                  </w:divBdr>
                  <w:divsChild>
                    <w:div w:id="1394427374">
                      <w:marLeft w:val="0"/>
                      <w:marRight w:val="0"/>
                      <w:marTop w:val="0"/>
                      <w:marBottom w:val="0"/>
                      <w:divBdr>
                        <w:top w:val="none" w:sz="0" w:space="0" w:color="auto"/>
                        <w:left w:val="none" w:sz="0" w:space="0" w:color="auto"/>
                        <w:bottom w:val="none" w:sz="0" w:space="0" w:color="auto"/>
                        <w:right w:val="none" w:sz="0" w:space="0" w:color="auto"/>
                      </w:divBdr>
                    </w:div>
                  </w:divsChild>
                </w:div>
                <w:div w:id="1800609469">
                  <w:marLeft w:val="0"/>
                  <w:marRight w:val="0"/>
                  <w:marTop w:val="0"/>
                  <w:marBottom w:val="0"/>
                  <w:divBdr>
                    <w:top w:val="none" w:sz="0" w:space="0" w:color="auto"/>
                    <w:left w:val="none" w:sz="0" w:space="0" w:color="auto"/>
                    <w:bottom w:val="none" w:sz="0" w:space="0" w:color="auto"/>
                    <w:right w:val="none" w:sz="0" w:space="0" w:color="auto"/>
                  </w:divBdr>
                  <w:divsChild>
                    <w:div w:id="1805582355">
                      <w:marLeft w:val="0"/>
                      <w:marRight w:val="0"/>
                      <w:marTop w:val="0"/>
                      <w:marBottom w:val="0"/>
                      <w:divBdr>
                        <w:top w:val="none" w:sz="0" w:space="0" w:color="auto"/>
                        <w:left w:val="none" w:sz="0" w:space="0" w:color="auto"/>
                        <w:bottom w:val="none" w:sz="0" w:space="0" w:color="auto"/>
                        <w:right w:val="none" w:sz="0" w:space="0" w:color="auto"/>
                      </w:divBdr>
                    </w:div>
                  </w:divsChild>
                </w:div>
                <w:div w:id="1800806404">
                  <w:marLeft w:val="0"/>
                  <w:marRight w:val="0"/>
                  <w:marTop w:val="0"/>
                  <w:marBottom w:val="0"/>
                  <w:divBdr>
                    <w:top w:val="none" w:sz="0" w:space="0" w:color="auto"/>
                    <w:left w:val="none" w:sz="0" w:space="0" w:color="auto"/>
                    <w:bottom w:val="none" w:sz="0" w:space="0" w:color="auto"/>
                    <w:right w:val="none" w:sz="0" w:space="0" w:color="auto"/>
                  </w:divBdr>
                  <w:divsChild>
                    <w:div w:id="1255745768">
                      <w:marLeft w:val="0"/>
                      <w:marRight w:val="0"/>
                      <w:marTop w:val="0"/>
                      <w:marBottom w:val="0"/>
                      <w:divBdr>
                        <w:top w:val="none" w:sz="0" w:space="0" w:color="auto"/>
                        <w:left w:val="none" w:sz="0" w:space="0" w:color="auto"/>
                        <w:bottom w:val="none" w:sz="0" w:space="0" w:color="auto"/>
                        <w:right w:val="none" w:sz="0" w:space="0" w:color="auto"/>
                      </w:divBdr>
                    </w:div>
                  </w:divsChild>
                </w:div>
                <w:div w:id="1844709726">
                  <w:marLeft w:val="0"/>
                  <w:marRight w:val="0"/>
                  <w:marTop w:val="0"/>
                  <w:marBottom w:val="0"/>
                  <w:divBdr>
                    <w:top w:val="none" w:sz="0" w:space="0" w:color="auto"/>
                    <w:left w:val="none" w:sz="0" w:space="0" w:color="auto"/>
                    <w:bottom w:val="none" w:sz="0" w:space="0" w:color="auto"/>
                    <w:right w:val="none" w:sz="0" w:space="0" w:color="auto"/>
                  </w:divBdr>
                  <w:divsChild>
                    <w:div w:id="567083094">
                      <w:marLeft w:val="0"/>
                      <w:marRight w:val="0"/>
                      <w:marTop w:val="0"/>
                      <w:marBottom w:val="0"/>
                      <w:divBdr>
                        <w:top w:val="none" w:sz="0" w:space="0" w:color="auto"/>
                        <w:left w:val="none" w:sz="0" w:space="0" w:color="auto"/>
                        <w:bottom w:val="none" w:sz="0" w:space="0" w:color="auto"/>
                        <w:right w:val="none" w:sz="0" w:space="0" w:color="auto"/>
                      </w:divBdr>
                    </w:div>
                  </w:divsChild>
                </w:div>
                <w:div w:id="1847093113">
                  <w:marLeft w:val="0"/>
                  <w:marRight w:val="0"/>
                  <w:marTop w:val="0"/>
                  <w:marBottom w:val="0"/>
                  <w:divBdr>
                    <w:top w:val="none" w:sz="0" w:space="0" w:color="auto"/>
                    <w:left w:val="none" w:sz="0" w:space="0" w:color="auto"/>
                    <w:bottom w:val="none" w:sz="0" w:space="0" w:color="auto"/>
                    <w:right w:val="none" w:sz="0" w:space="0" w:color="auto"/>
                  </w:divBdr>
                  <w:divsChild>
                    <w:div w:id="944534836">
                      <w:marLeft w:val="0"/>
                      <w:marRight w:val="0"/>
                      <w:marTop w:val="0"/>
                      <w:marBottom w:val="0"/>
                      <w:divBdr>
                        <w:top w:val="none" w:sz="0" w:space="0" w:color="auto"/>
                        <w:left w:val="none" w:sz="0" w:space="0" w:color="auto"/>
                        <w:bottom w:val="none" w:sz="0" w:space="0" w:color="auto"/>
                        <w:right w:val="none" w:sz="0" w:space="0" w:color="auto"/>
                      </w:divBdr>
                    </w:div>
                  </w:divsChild>
                </w:div>
                <w:div w:id="1892841290">
                  <w:marLeft w:val="0"/>
                  <w:marRight w:val="0"/>
                  <w:marTop w:val="0"/>
                  <w:marBottom w:val="0"/>
                  <w:divBdr>
                    <w:top w:val="none" w:sz="0" w:space="0" w:color="auto"/>
                    <w:left w:val="none" w:sz="0" w:space="0" w:color="auto"/>
                    <w:bottom w:val="none" w:sz="0" w:space="0" w:color="auto"/>
                    <w:right w:val="none" w:sz="0" w:space="0" w:color="auto"/>
                  </w:divBdr>
                  <w:divsChild>
                    <w:div w:id="1819374479">
                      <w:marLeft w:val="0"/>
                      <w:marRight w:val="0"/>
                      <w:marTop w:val="0"/>
                      <w:marBottom w:val="0"/>
                      <w:divBdr>
                        <w:top w:val="none" w:sz="0" w:space="0" w:color="auto"/>
                        <w:left w:val="none" w:sz="0" w:space="0" w:color="auto"/>
                        <w:bottom w:val="none" w:sz="0" w:space="0" w:color="auto"/>
                        <w:right w:val="none" w:sz="0" w:space="0" w:color="auto"/>
                      </w:divBdr>
                    </w:div>
                  </w:divsChild>
                </w:div>
                <w:div w:id="1914311681">
                  <w:marLeft w:val="0"/>
                  <w:marRight w:val="0"/>
                  <w:marTop w:val="0"/>
                  <w:marBottom w:val="0"/>
                  <w:divBdr>
                    <w:top w:val="none" w:sz="0" w:space="0" w:color="auto"/>
                    <w:left w:val="none" w:sz="0" w:space="0" w:color="auto"/>
                    <w:bottom w:val="none" w:sz="0" w:space="0" w:color="auto"/>
                    <w:right w:val="none" w:sz="0" w:space="0" w:color="auto"/>
                  </w:divBdr>
                  <w:divsChild>
                    <w:div w:id="1411268275">
                      <w:marLeft w:val="0"/>
                      <w:marRight w:val="0"/>
                      <w:marTop w:val="0"/>
                      <w:marBottom w:val="0"/>
                      <w:divBdr>
                        <w:top w:val="none" w:sz="0" w:space="0" w:color="auto"/>
                        <w:left w:val="none" w:sz="0" w:space="0" w:color="auto"/>
                        <w:bottom w:val="none" w:sz="0" w:space="0" w:color="auto"/>
                        <w:right w:val="none" w:sz="0" w:space="0" w:color="auto"/>
                      </w:divBdr>
                    </w:div>
                  </w:divsChild>
                </w:div>
                <w:div w:id="1928997946">
                  <w:marLeft w:val="0"/>
                  <w:marRight w:val="0"/>
                  <w:marTop w:val="0"/>
                  <w:marBottom w:val="0"/>
                  <w:divBdr>
                    <w:top w:val="none" w:sz="0" w:space="0" w:color="auto"/>
                    <w:left w:val="none" w:sz="0" w:space="0" w:color="auto"/>
                    <w:bottom w:val="none" w:sz="0" w:space="0" w:color="auto"/>
                    <w:right w:val="none" w:sz="0" w:space="0" w:color="auto"/>
                  </w:divBdr>
                  <w:divsChild>
                    <w:div w:id="123622766">
                      <w:marLeft w:val="0"/>
                      <w:marRight w:val="0"/>
                      <w:marTop w:val="0"/>
                      <w:marBottom w:val="0"/>
                      <w:divBdr>
                        <w:top w:val="none" w:sz="0" w:space="0" w:color="auto"/>
                        <w:left w:val="none" w:sz="0" w:space="0" w:color="auto"/>
                        <w:bottom w:val="none" w:sz="0" w:space="0" w:color="auto"/>
                        <w:right w:val="none" w:sz="0" w:space="0" w:color="auto"/>
                      </w:divBdr>
                    </w:div>
                  </w:divsChild>
                </w:div>
                <w:div w:id="1948081608">
                  <w:marLeft w:val="0"/>
                  <w:marRight w:val="0"/>
                  <w:marTop w:val="0"/>
                  <w:marBottom w:val="0"/>
                  <w:divBdr>
                    <w:top w:val="none" w:sz="0" w:space="0" w:color="auto"/>
                    <w:left w:val="none" w:sz="0" w:space="0" w:color="auto"/>
                    <w:bottom w:val="none" w:sz="0" w:space="0" w:color="auto"/>
                    <w:right w:val="none" w:sz="0" w:space="0" w:color="auto"/>
                  </w:divBdr>
                  <w:divsChild>
                    <w:div w:id="128866140">
                      <w:marLeft w:val="0"/>
                      <w:marRight w:val="0"/>
                      <w:marTop w:val="0"/>
                      <w:marBottom w:val="0"/>
                      <w:divBdr>
                        <w:top w:val="none" w:sz="0" w:space="0" w:color="auto"/>
                        <w:left w:val="none" w:sz="0" w:space="0" w:color="auto"/>
                        <w:bottom w:val="none" w:sz="0" w:space="0" w:color="auto"/>
                        <w:right w:val="none" w:sz="0" w:space="0" w:color="auto"/>
                      </w:divBdr>
                    </w:div>
                  </w:divsChild>
                </w:div>
                <w:div w:id="1997033540">
                  <w:marLeft w:val="0"/>
                  <w:marRight w:val="0"/>
                  <w:marTop w:val="0"/>
                  <w:marBottom w:val="0"/>
                  <w:divBdr>
                    <w:top w:val="none" w:sz="0" w:space="0" w:color="auto"/>
                    <w:left w:val="none" w:sz="0" w:space="0" w:color="auto"/>
                    <w:bottom w:val="none" w:sz="0" w:space="0" w:color="auto"/>
                    <w:right w:val="none" w:sz="0" w:space="0" w:color="auto"/>
                  </w:divBdr>
                  <w:divsChild>
                    <w:div w:id="1272005523">
                      <w:marLeft w:val="0"/>
                      <w:marRight w:val="0"/>
                      <w:marTop w:val="0"/>
                      <w:marBottom w:val="0"/>
                      <w:divBdr>
                        <w:top w:val="none" w:sz="0" w:space="0" w:color="auto"/>
                        <w:left w:val="none" w:sz="0" w:space="0" w:color="auto"/>
                        <w:bottom w:val="none" w:sz="0" w:space="0" w:color="auto"/>
                        <w:right w:val="none" w:sz="0" w:space="0" w:color="auto"/>
                      </w:divBdr>
                    </w:div>
                  </w:divsChild>
                </w:div>
                <w:div w:id="2011713048">
                  <w:marLeft w:val="0"/>
                  <w:marRight w:val="0"/>
                  <w:marTop w:val="0"/>
                  <w:marBottom w:val="0"/>
                  <w:divBdr>
                    <w:top w:val="none" w:sz="0" w:space="0" w:color="auto"/>
                    <w:left w:val="none" w:sz="0" w:space="0" w:color="auto"/>
                    <w:bottom w:val="none" w:sz="0" w:space="0" w:color="auto"/>
                    <w:right w:val="none" w:sz="0" w:space="0" w:color="auto"/>
                  </w:divBdr>
                  <w:divsChild>
                    <w:div w:id="98792115">
                      <w:marLeft w:val="0"/>
                      <w:marRight w:val="0"/>
                      <w:marTop w:val="0"/>
                      <w:marBottom w:val="0"/>
                      <w:divBdr>
                        <w:top w:val="none" w:sz="0" w:space="0" w:color="auto"/>
                        <w:left w:val="none" w:sz="0" w:space="0" w:color="auto"/>
                        <w:bottom w:val="none" w:sz="0" w:space="0" w:color="auto"/>
                        <w:right w:val="none" w:sz="0" w:space="0" w:color="auto"/>
                      </w:divBdr>
                    </w:div>
                  </w:divsChild>
                </w:div>
                <w:div w:id="2042705210">
                  <w:marLeft w:val="0"/>
                  <w:marRight w:val="0"/>
                  <w:marTop w:val="0"/>
                  <w:marBottom w:val="0"/>
                  <w:divBdr>
                    <w:top w:val="none" w:sz="0" w:space="0" w:color="auto"/>
                    <w:left w:val="none" w:sz="0" w:space="0" w:color="auto"/>
                    <w:bottom w:val="none" w:sz="0" w:space="0" w:color="auto"/>
                    <w:right w:val="none" w:sz="0" w:space="0" w:color="auto"/>
                  </w:divBdr>
                  <w:divsChild>
                    <w:div w:id="2047169925">
                      <w:marLeft w:val="0"/>
                      <w:marRight w:val="0"/>
                      <w:marTop w:val="0"/>
                      <w:marBottom w:val="0"/>
                      <w:divBdr>
                        <w:top w:val="none" w:sz="0" w:space="0" w:color="auto"/>
                        <w:left w:val="none" w:sz="0" w:space="0" w:color="auto"/>
                        <w:bottom w:val="none" w:sz="0" w:space="0" w:color="auto"/>
                        <w:right w:val="none" w:sz="0" w:space="0" w:color="auto"/>
                      </w:divBdr>
                    </w:div>
                  </w:divsChild>
                </w:div>
                <w:div w:id="2083136563">
                  <w:marLeft w:val="0"/>
                  <w:marRight w:val="0"/>
                  <w:marTop w:val="0"/>
                  <w:marBottom w:val="0"/>
                  <w:divBdr>
                    <w:top w:val="none" w:sz="0" w:space="0" w:color="auto"/>
                    <w:left w:val="none" w:sz="0" w:space="0" w:color="auto"/>
                    <w:bottom w:val="none" w:sz="0" w:space="0" w:color="auto"/>
                    <w:right w:val="none" w:sz="0" w:space="0" w:color="auto"/>
                  </w:divBdr>
                  <w:divsChild>
                    <w:div w:id="201987747">
                      <w:marLeft w:val="0"/>
                      <w:marRight w:val="0"/>
                      <w:marTop w:val="0"/>
                      <w:marBottom w:val="0"/>
                      <w:divBdr>
                        <w:top w:val="none" w:sz="0" w:space="0" w:color="auto"/>
                        <w:left w:val="none" w:sz="0" w:space="0" w:color="auto"/>
                        <w:bottom w:val="none" w:sz="0" w:space="0" w:color="auto"/>
                        <w:right w:val="none" w:sz="0" w:space="0" w:color="auto"/>
                      </w:divBdr>
                    </w:div>
                  </w:divsChild>
                </w:div>
                <w:div w:id="2112119627">
                  <w:marLeft w:val="0"/>
                  <w:marRight w:val="0"/>
                  <w:marTop w:val="0"/>
                  <w:marBottom w:val="0"/>
                  <w:divBdr>
                    <w:top w:val="none" w:sz="0" w:space="0" w:color="auto"/>
                    <w:left w:val="none" w:sz="0" w:space="0" w:color="auto"/>
                    <w:bottom w:val="none" w:sz="0" w:space="0" w:color="auto"/>
                    <w:right w:val="none" w:sz="0" w:space="0" w:color="auto"/>
                  </w:divBdr>
                  <w:divsChild>
                    <w:div w:id="1261985889">
                      <w:marLeft w:val="0"/>
                      <w:marRight w:val="0"/>
                      <w:marTop w:val="0"/>
                      <w:marBottom w:val="0"/>
                      <w:divBdr>
                        <w:top w:val="none" w:sz="0" w:space="0" w:color="auto"/>
                        <w:left w:val="none" w:sz="0" w:space="0" w:color="auto"/>
                        <w:bottom w:val="none" w:sz="0" w:space="0" w:color="auto"/>
                        <w:right w:val="none" w:sz="0" w:space="0" w:color="auto"/>
                      </w:divBdr>
                    </w:div>
                  </w:divsChild>
                </w:div>
                <w:div w:id="2140996956">
                  <w:marLeft w:val="0"/>
                  <w:marRight w:val="0"/>
                  <w:marTop w:val="0"/>
                  <w:marBottom w:val="0"/>
                  <w:divBdr>
                    <w:top w:val="none" w:sz="0" w:space="0" w:color="auto"/>
                    <w:left w:val="none" w:sz="0" w:space="0" w:color="auto"/>
                    <w:bottom w:val="none" w:sz="0" w:space="0" w:color="auto"/>
                    <w:right w:val="none" w:sz="0" w:space="0" w:color="auto"/>
                  </w:divBdr>
                  <w:divsChild>
                    <w:div w:id="524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1849">
          <w:marLeft w:val="0"/>
          <w:marRight w:val="0"/>
          <w:marTop w:val="0"/>
          <w:marBottom w:val="0"/>
          <w:divBdr>
            <w:top w:val="none" w:sz="0" w:space="0" w:color="auto"/>
            <w:left w:val="none" w:sz="0" w:space="0" w:color="auto"/>
            <w:bottom w:val="none" w:sz="0" w:space="0" w:color="auto"/>
            <w:right w:val="none" w:sz="0" w:space="0" w:color="auto"/>
          </w:divBdr>
        </w:div>
        <w:div w:id="1959021965">
          <w:marLeft w:val="0"/>
          <w:marRight w:val="0"/>
          <w:marTop w:val="0"/>
          <w:marBottom w:val="0"/>
          <w:divBdr>
            <w:top w:val="none" w:sz="0" w:space="0" w:color="auto"/>
            <w:left w:val="none" w:sz="0" w:space="0" w:color="auto"/>
            <w:bottom w:val="none" w:sz="0" w:space="0" w:color="auto"/>
            <w:right w:val="none" w:sz="0" w:space="0" w:color="auto"/>
          </w:divBdr>
        </w:div>
        <w:div w:id="2083984078">
          <w:marLeft w:val="0"/>
          <w:marRight w:val="0"/>
          <w:marTop w:val="0"/>
          <w:marBottom w:val="0"/>
          <w:divBdr>
            <w:top w:val="none" w:sz="0" w:space="0" w:color="auto"/>
            <w:left w:val="none" w:sz="0" w:space="0" w:color="auto"/>
            <w:bottom w:val="none" w:sz="0" w:space="0" w:color="auto"/>
            <w:right w:val="none" w:sz="0" w:space="0" w:color="auto"/>
          </w:divBdr>
        </w:div>
        <w:div w:id="2102480498">
          <w:marLeft w:val="0"/>
          <w:marRight w:val="0"/>
          <w:marTop w:val="0"/>
          <w:marBottom w:val="0"/>
          <w:divBdr>
            <w:top w:val="none" w:sz="0" w:space="0" w:color="auto"/>
            <w:left w:val="none" w:sz="0" w:space="0" w:color="auto"/>
            <w:bottom w:val="none" w:sz="0" w:space="0" w:color="auto"/>
            <w:right w:val="none" w:sz="0" w:space="0" w:color="auto"/>
          </w:divBdr>
        </w:div>
      </w:divsChild>
    </w:div>
    <w:div w:id="546726798">
      <w:bodyDiv w:val="1"/>
      <w:marLeft w:val="0"/>
      <w:marRight w:val="0"/>
      <w:marTop w:val="0"/>
      <w:marBottom w:val="0"/>
      <w:divBdr>
        <w:top w:val="none" w:sz="0" w:space="0" w:color="auto"/>
        <w:left w:val="none" w:sz="0" w:space="0" w:color="auto"/>
        <w:bottom w:val="none" w:sz="0" w:space="0" w:color="auto"/>
        <w:right w:val="none" w:sz="0" w:space="0" w:color="auto"/>
      </w:divBdr>
      <w:divsChild>
        <w:div w:id="170219370">
          <w:marLeft w:val="0"/>
          <w:marRight w:val="0"/>
          <w:marTop w:val="0"/>
          <w:marBottom w:val="0"/>
          <w:divBdr>
            <w:top w:val="none" w:sz="0" w:space="0" w:color="auto"/>
            <w:left w:val="none" w:sz="0" w:space="0" w:color="auto"/>
            <w:bottom w:val="none" w:sz="0" w:space="0" w:color="auto"/>
            <w:right w:val="none" w:sz="0" w:space="0" w:color="auto"/>
          </w:divBdr>
          <w:divsChild>
            <w:div w:id="27265502">
              <w:marLeft w:val="0"/>
              <w:marRight w:val="0"/>
              <w:marTop w:val="0"/>
              <w:marBottom w:val="0"/>
              <w:divBdr>
                <w:top w:val="none" w:sz="0" w:space="0" w:color="auto"/>
                <w:left w:val="none" w:sz="0" w:space="0" w:color="auto"/>
                <w:bottom w:val="none" w:sz="0" w:space="0" w:color="auto"/>
                <w:right w:val="none" w:sz="0" w:space="0" w:color="auto"/>
              </w:divBdr>
            </w:div>
            <w:div w:id="53430878">
              <w:marLeft w:val="0"/>
              <w:marRight w:val="0"/>
              <w:marTop w:val="0"/>
              <w:marBottom w:val="0"/>
              <w:divBdr>
                <w:top w:val="none" w:sz="0" w:space="0" w:color="auto"/>
                <w:left w:val="none" w:sz="0" w:space="0" w:color="auto"/>
                <w:bottom w:val="none" w:sz="0" w:space="0" w:color="auto"/>
                <w:right w:val="none" w:sz="0" w:space="0" w:color="auto"/>
              </w:divBdr>
            </w:div>
            <w:div w:id="138889788">
              <w:marLeft w:val="0"/>
              <w:marRight w:val="0"/>
              <w:marTop w:val="0"/>
              <w:marBottom w:val="0"/>
              <w:divBdr>
                <w:top w:val="none" w:sz="0" w:space="0" w:color="auto"/>
                <w:left w:val="none" w:sz="0" w:space="0" w:color="auto"/>
                <w:bottom w:val="none" w:sz="0" w:space="0" w:color="auto"/>
                <w:right w:val="none" w:sz="0" w:space="0" w:color="auto"/>
              </w:divBdr>
            </w:div>
            <w:div w:id="353192532">
              <w:marLeft w:val="0"/>
              <w:marRight w:val="0"/>
              <w:marTop w:val="0"/>
              <w:marBottom w:val="0"/>
              <w:divBdr>
                <w:top w:val="none" w:sz="0" w:space="0" w:color="auto"/>
                <w:left w:val="none" w:sz="0" w:space="0" w:color="auto"/>
                <w:bottom w:val="none" w:sz="0" w:space="0" w:color="auto"/>
                <w:right w:val="none" w:sz="0" w:space="0" w:color="auto"/>
              </w:divBdr>
            </w:div>
            <w:div w:id="620720561">
              <w:marLeft w:val="0"/>
              <w:marRight w:val="0"/>
              <w:marTop w:val="0"/>
              <w:marBottom w:val="0"/>
              <w:divBdr>
                <w:top w:val="none" w:sz="0" w:space="0" w:color="auto"/>
                <w:left w:val="none" w:sz="0" w:space="0" w:color="auto"/>
                <w:bottom w:val="none" w:sz="0" w:space="0" w:color="auto"/>
                <w:right w:val="none" w:sz="0" w:space="0" w:color="auto"/>
              </w:divBdr>
            </w:div>
            <w:div w:id="740369054">
              <w:marLeft w:val="0"/>
              <w:marRight w:val="0"/>
              <w:marTop w:val="0"/>
              <w:marBottom w:val="0"/>
              <w:divBdr>
                <w:top w:val="none" w:sz="0" w:space="0" w:color="auto"/>
                <w:left w:val="none" w:sz="0" w:space="0" w:color="auto"/>
                <w:bottom w:val="none" w:sz="0" w:space="0" w:color="auto"/>
                <w:right w:val="none" w:sz="0" w:space="0" w:color="auto"/>
              </w:divBdr>
            </w:div>
            <w:div w:id="866064225">
              <w:marLeft w:val="0"/>
              <w:marRight w:val="0"/>
              <w:marTop w:val="0"/>
              <w:marBottom w:val="0"/>
              <w:divBdr>
                <w:top w:val="none" w:sz="0" w:space="0" w:color="auto"/>
                <w:left w:val="none" w:sz="0" w:space="0" w:color="auto"/>
                <w:bottom w:val="none" w:sz="0" w:space="0" w:color="auto"/>
                <w:right w:val="none" w:sz="0" w:space="0" w:color="auto"/>
              </w:divBdr>
            </w:div>
            <w:div w:id="1212498025">
              <w:marLeft w:val="0"/>
              <w:marRight w:val="0"/>
              <w:marTop w:val="0"/>
              <w:marBottom w:val="0"/>
              <w:divBdr>
                <w:top w:val="none" w:sz="0" w:space="0" w:color="auto"/>
                <w:left w:val="none" w:sz="0" w:space="0" w:color="auto"/>
                <w:bottom w:val="none" w:sz="0" w:space="0" w:color="auto"/>
                <w:right w:val="none" w:sz="0" w:space="0" w:color="auto"/>
              </w:divBdr>
            </w:div>
            <w:div w:id="1499732421">
              <w:marLeft w:val="0"/>
              <w:marRight w:val="0"/>
              <w:marTop w:val="0"/>
              <w:marBottom w:val="0"/>
              <w:divBdr>
                <w:top w:val="none" w:sz="0" w:space="0" w:color="auto"/>
                <w:left w:val="none" w:sz="0" w:space="0" w:color="auto"/>
                <w:bottom w:val="none" w:sz="0" w:space="0" w:color="auto"/>
                <w:right w:val="none" w:sz="0" w:space="0" w:color="auto"/>
              </w:divBdr>
            </w:div>
            <w:div w:id="1685083822">
              <w:marLeft w:val="0"/>
              <w:marRight w:val="0"/>
              <w:marTop w:val="0"/>
              <w:marBottom w:val="0"/>
              <w:divBdr>
                <w:top w:val="none" w:sz="0" w:space="0" w:color="auto"/>
                <w:left w:val="none" w:sz="0" w:space="0" w:color="auto"/>
                <w:bottom w:val="none" w:sz="0" w:space="0" w:color="auto"/>
                <w:right w:val="none" w:sz="0" w:space="0" w:color="auto"/>
              </w:divBdr>
            </w:div>
            <w:div w:id="1798060653">
              <w:marLeft w:val="0"/>
              <w:marRight w:val="0"/>
              <w:marTop w:val="0"/>
              <w:marBottom w:val="0"/>
              <w:divBdr>
                <w:top w:val="none" w:sz="0" w:space="0" w:color="auto"/>
                <w:left w:val="none" w:sz="0" w:space="0" w:color="auto"/>
                <w:bottom w:val="none" w:sz="0" w:space="0" w:color="auto"/>
                <w:right w:val="none" w:sz="0" w:space="0" w:color="auto"/>
              </w:divBdr>
            </w:div>
            <w:div w:id="1862085475">
              <w:marLeft w:val="0"/>
              <w:marRight w:val="0"/>
              <w:marTop w:val="0"/>
              <w:marBottom w:val="0"/>
              <w:divBdr>
                <w:top w:val="none" w:sz="0" w:space="0" w:color="auto"/>
                <w:left w:val="none" w:sz="0" w:space="0" w:color="auto"/>
                <w:bottom w:val="none" w:sz="0" w:space="0" w:color="auto"/>
                <w:right w:val="none" w:sz="0" w:space="0" w:color="auto"/>
              </w:divBdr>
            </w:div>
          </w:divsChild>
        </w:div>
        <w:div w:id="2018383509">
          <w:marLeft w:val="0"/>
          <w:marRight w:val="0"/>
          <w:marTop w:val="0"/>
          <w:marBottom w:val="0"/>
          <w:divBdr>
            <w:top w:val="none" w:sz="0" w:space="0" w:color="auto"/>
            <w:left w:val="none" w:sz="0" w:space="0" w:color="auto"/>
            <w:bottom w:val="none" w:sz="0" w:space="0" w:color="auto"/>
            <w:right w:val="none" w:sz="0" w:space="0" w:color="auto"/>
          </w:divBdr>
          <w:divsChild>
            <w:div w:id="77138474">
              <w:marLeft w:val="0"/>
              <w:marRight w:val="0"/>
              <w:marTop w:val="0"/>
              <w:marBottom w:val="0"/>
              <w:divBdr>
                <w:top w:val="none" w:sz="0" w:space="0" w:color="auto"/>
                <w:left w:val="none" w:sz="0" w:space="0" w:color="auto"/>
                <w:bottom w:val="none" w:sz="0" w:space="0" w:color="auto"/>
                <w:right w:val="none" w:sz="0" w:space="0" w:color="auto"/>
              </w:divBdr>
            </w:div>
            <w:div w:id="263804475">
              <w:marLeft w:val="0"/>
              <w:marRight w:val="0"/>
              <w:marTop w:val="0"/>
              <w:marBottom w:val="0"/>
              <w:divBdr>
                <w:top w:val="none" w:sz="0" w:space="0" w:color="auto"/>
                <w:left w:val="none" w:sz="0" w:space="0" w:color="auto"/>
                <w:bottom w:val="none" w:sz="0" w:space="0" w:color="auto"/>
                <w:right w:val="none" w:sz="0" w:space="0" w:color="auto"/>
              </w:divBdr>
            </w:div>
            <w:div w:id="277875720">
              <w:marLeft w:val="0"/>
              <w:marRight w:val="0"/>
              <w:marTop w:val="0"/>
              <w:marBottom w:val="0"/>
              <w:divBdr>
                <w:top w:val="none" w:sz="0" w:space="0" w:color="auto"/>
                <w:left w:val="none" w:sz="0" w:space="0" w:color="auto"/>
                <w:bottom w:val="none" w:sz="0" w:space="0" w:color="auto"/>
                <w:right w:val="none" w:sz="0" w:space="0" w:color="auto"/>
              </w:divBdr>
            </w:div>
            <w:div w:id="630281602">
              <w:marLeft w:val="0"/>
              <w:marRight w:val="0"/>
              <w:marTop w:val="0"/>
              <w:marBottom w:val="0"/>
              <w:divBdr>
                <w:top w:val="none" w:sz="0" w:space="0" w:color="auto"/>
                <w:left w:val="none" w:sz="0" w:space="0" w:color="auto"/>
                <w:bottom w:val="none" w:sz="0" w:space="0" w:color="auto"/>
                <w:right w:val="none" w:sz="0" w:space="0" w:color="auto"/>
              </w:divBdr>
            </w:div>
            <w:div w:id="964895760">
              <w:marLeft w:val="0"/>
              <w:marRight w:val="0"/>
              <w:marTop w:val="0"/>
              <w:marBottom w:val="0"/>
              <w:divBdr>
                <w:top w:val="none" w:sz="0" w:space="0" w:color="auto"/>
                <w:left w:val="none" w:sz="0" w:space="0" w:color="auto"/>
                <w:bottom w:val="none" w:sz="0" w:space="0" w:color="auto"/>
                <w:right w:val="none" w:sz="0" w:space="0" w:color="auto"/>
              </w:divBdr>
            </w:div>
            <w:div w:id="1037853475">
              <w:marLeft w:val="0"/>
              <w:marRight w:val="0"/>
              <w:marTop w:val="0"/>
              <w:marBottom w:val="0"/>
              <w:divBdr>
                <w:top w:val="none" w:sz="0" w:space="0" w:color="auto"/>
                <w:left w:val="none" w:sz="0" w:space="0" w:color="auto"/>
                <w:bottom w:val="none" w:sz="0" w:space="0" w:color="auto"/>
                <w:right w:val="none" w:sz="0" w:space="0" w:color="auto"/>
              </w:divBdr>
            </w:div>
            <w:div w:id="1173569386">
              <w:marLeft w:val="0"/>
              <w:marRight w:val="0"/>
              <w:marTop w:val="0"/>
              <w:marBottom w:val="0"/>
              <w:divBdr>
                <w:top w:val="none" w:sz="0" w:space="0" w:color="auto"/>
                <w:left w:val="none" w:sz="0" w:space="0" w:color="auto"/>
                <w:bottom w:val="none" w:sz="0" w:space="0" w:color="auto"/>
                <w:right w:val="none" w:sz="0" w:space="0" w:color="auto"/>
              </w:divBdr>
            </w:div>
            <w:div w:id="1458835461">
              <w:marLeft w:val="0"/>
              <w:marRight w:val="0"/>
              <w:marTop w:val="0"/>
              <w:marBottom w:val="0"/>
              <w:divBdr>
                <w:top w:val="none" w:sz="0" w:space="0" w:color="auto"/>
                <w:left w:val="none" w:sz="0" w:space="0" w:color="auto"/>
                <w:bottom w:val="none" w:sz="0" w:space="0" w:color="auto"/>
                <w:right w:val="none" w:sz="0" w:space="0" w:color="auto"/>
              </w:divBdr>
            </w:div>
            <w:div w:id="1623882850">
              <w:marLeft w:val="0"/>
              <w:marRight w:val="0"/>
              <w:marTop w:val="0"/>
              <w:marBottom w:val="0"/>
              <w:divBdr>
                <w:top w:val="none" w:sz="0" w:space="0" w:color="auto"/>
                <w:left w:val="none" w:sz="0" w:space="0" w:color="auto"/>
                <w:bottom w:val="none" w:sz="0" w:space="0" w:color="auto"/>
                <w:right w:val="none" w:sz="0" w:space="0" w:color="auto"/>
              </w:divBdr>
            </w:div>
            <w:div w:id="1629429110">
              <w:marLeft w:val="0"/>
              <w:marRight w:val="0"/>
              <w:marTop w:val="0"/>
              <w:marBottom w:val="0"/>
              <w:divBdr>
                <w:top w:val="none" w:sz="0" w:space="0" w:color="auto"/>
                <w:left w:val="none" w:sz="0" w:space="0" w:color="auto"/>
                <w:bottom w:val="none" w:sz="0" w:space="0" w:color="auto"/>
                <w:right w:val="none" w:sz="0" w:space="0" w:color="auto"/>
              </w:divBdr>
            </w:div>
            <w:div w:id="1657107580">
              <w:marLeft w:val="0"/>
              <w:marRight w:val="0"/>
              <w:marTop w:val="0"/>
              <w:marBottom w:val="0"/>
              <w:divBdr>
                <w:top w:val="none" w:sz="0" w:space="0" w:color="auto"/>
                <w:left w:val="none" w:sz="0" w:space="0" w:color="auto"/>
                <w:bottom w:val="none" w:sz="0" w:space="0" w:color="auto"/>
                <w:right w:val="none" w:sz="0" w:space="0" w:color="auto"/>
              </w:divBdr>
            </w:div>
            <w:div w:id="1709798051">
              <w:marLeft w:val="0"/>
              <w:marRight w:val="0"/>
              <w:marTop w:val="0"/>
              <w:marBottom w:val="0"/>
              <w:divBdr>
                <w:top w:val="none" w:sz="0" w:space="0" w:color="auto"/>
                <w:left w:val="none" w:sz="0" w:space="0" w:color="auto"/>
                <w:bottom w:val="none" w:sz="0" w:space="0" w:color="auto"/>
                <w:right w:val="none" w:sz="0" w:space="0" w:color="auto"/>
              </w:divBdr>
            </w:div>
            <w:div w:id="1791972491">
              <w:marLeft w:val="0"/>
              <w:marRight w:val="0"/>
              <w:marTop w:val="0"/>
              <w:marBottom w:val="0"/>
              <w:divBdr>
                <w:top w:val="none" w:sz="0" w:space="0" w:color="auto"/>
                <w:left w:val="none" w:sz="0" w:space="0" w:color="auto"/>
                <w:bottom w:val="none" w:sz="0" w:space="0" w:color="auto"/>
                <w:right w:val="none" w:sz="0" w:space="0" w:color="auto"/>
              </w:divBdr>
            </w:div>
            <w:div w:id="1839230139">
              <w:marLeft w:val="0"/>
              <w:marRight w:val="0"/>
              <w:marTop w:val="0"/>
              <w:marBottom w:val="0"/>
              <w:divBdr>
                <w:top w:val="none" w:sz="0" w:space="0" w:color="auto"/>
                <w:left w:val="none" w:sz="0" w:space="0" w:color="auto"/>
                <w:bottom w:val="none" w:sz="0" w:space="0" w:color="auto"/>
                <w:right w:val="none" w:sz="0" w:space="0" w:color="auto"/>
              </w:divBdr>
            </w:div>
            <w:div w:id="1856382513">
              <w:marLeft w:val="0"/>
              <w:marRight w:val="0"/>
              <w:marTop w:val="0"/>
              <w:marBottom w:val="0"/>
              <w:divBdr>
                <w:top w:val="none" w:sz="0" w:space="0" w:color="auto"/>
                <w:left w:val="none" w:sz="0" w:space="0" w:color="auto"/>
                <w:bottom w:val="none" w:sz="0" w:space="0" w:color="auto"/>
                <w:right w:val="none" w:sz="0" w:space="0" w:color="auto"/>
              </w:divBdr>
            </w:div>
            <w:div w:id="207454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59010">
      <w:bodyDiv w:val="1"/>
      <w:marLeft w:val="0"/>
      <w:marRight w:val="0"/>
      <w:marTop w:val="0"/>
      <w:marBottom w:val="0"/>
      <w:divBdr>
        <w:top w:val="none" w:sz="0" w:space="0" w:color="auto"/>
        <w:left w:val="none" w:sz="0" w:space="0" w:color="auto"/>
        <w:bottom w:val="none" w:sz="0" w:space="0" w:color="auto"/>
        <w:right w:val="none" w:sz="0" w:space="0" w:color="auto"/>
      </w:divBdr>
    </w:div>
    <w:div w:id="1105998996">
      <w:bodyDiv w:val="1"/>
      <w:marLeft w:val="0"/>
      <w:marRight w:val="0"/>
      <w:marTop w:val="0"/>
      <w:marBottom w:val="0"/>
      <w:divBdr>
        <w:top w:val="none" w:sz="0" w:space="0" w:color="auto"/>
        <w:left w:val="none" w:sz="0" w:space="0" w:color="auto"/>
        <w:bottom w:val="none" w:sz="0" w:space="0" w:color="auto"/>
        <w:right w:val="none" w:sz="0" w:space="0" w:color="auto"/>
      </w:divBdr>
      <w:divsChild>
        <w:div w:id="157580913">
          <w:marLeft w:val="0"/>
          <w:marRight w:val="0"/>
          <w:marTop w:val="0"/>
          <w:marBottom w:val="0"/>
          <w:divBdr>
            <w:top w:val="none" w:sz="0" w:space="0" w:color="auto"/>
            <w:left w:val="none" w:sz="0" w:space="0" w:color="auto"/>
            <w:bottom w:val="none" w:sz="0" w:space="0" w:color="auto"/>
            <w:right w:val="none" w:sz="0" w:space="0" w:color="auto"/>
          </w:divBdr>
        </w:div>
        <w:div w:id="301692706">
          <w:marLeft w:val="0"/>
          <w:marRight w:val="0"/>
          <w:marTop w:val="0"/>
          <w:marBottom w:val="0"/>
          <w:divBdr>
            <w:top w:val="none" w:sz="0" w:space="0" w:color="auto"/>
            <w:left w:val="none" w:sz="0" w:space="0" w:color="auto"/>
            <w:bottom w:val="none" w:sz="0" w:space="0" w:color="auto"/>
            <w:right w:val="none" w:sz="0" w:space="0" w:color="auto"/>
          </w:divBdr>
        </w:div>
        <w:div w:id="580990524">
          <w:marLeft w:val="0"/>
          <w:marRight w:val="0"/>
          <w:marTop w:val="0"/>
          <w:marBottom w:val="0"/>
          <w:divBdr>
            <w:top w:val="none" w:sz="0" w:space="0" w:color="auto"/>
            <w:left w:val="none" w:sz="0" w:space="0" w:color="auto"/>
            <w:bottom w:val="none" w:sz="0" w:space="0" w:color="auto"/>
            <w:right w:val="none" w:sz="0" w:space="0" w:color="auto"/>
          </w:divBdr>
        </w:div>
        <w:div w:id="793136374">
          <w:marLeft w:val="0"/>
          <w:marRight w:val="0"/>
          <w:marTop w:val="0"/>
          <w:marBottom w:val="0"/>
          <w:divBdr>
            <w:top w:val="none" w:sz="0" w:space="0" w:color="auto"/>
            <w:left w:val="none" w:sz="0" w:space="0" w:color="auto"/>
            <w:bottom w:val="none" w:sz="0" w:space="0" w:color="auto"/>
            <w:right w:val="none" w:sz="0" w:space="0" w:color="auto"/>
          </w:divBdr>
        </w:div>
        <w:div w:id="1181625382">
          <w:marLeft w:val="0"/>
          <w:marRight w:val="0"/>
          <w:marTop w:val="0"/>
          <w:marBottom w:val="0"/>
          <w:divBdr>
            <w:top w:val="none" w:sz="0" w:space="0" w:color="auto"/>
            <w:left w:val="none" w:sz="0" w:space="0" w:color="auto"/>
            <w:bottom w:val="none" w:sz="0" w:space="0" w:color="auto"/>
            <w:right w:val="none" w:sz="0" w:space="0" w:color="auto"/>
          </w:divBdr>
        </w:div>
        <w:div w:id="1830099892">
          <w:marLeft w:val="0"/>
          <w:marRight w:val="0"/>
          <w:marTop w:val="0"/>
          <w:marBottom w:val="0"/>
          <w:divBdr>
            <w:top w:val="none" w:sz="0" w:space="0" w:color="auto"/>
            <w:left w:val="none" w:sz="0" w:space="0" w:color="auto"/>
            <w:bottom w:val="none" w:sz="0" w:space="0" w:color="auto"/>
            <w:right w:val="none" w:sz="0" w:space="0" w:color="auto"/>
          </w:divBdr>
          <w:divsChild>
            <w:div w:id="849680205">
              <w:marLeft w:val="-75"/>
              <w:marRight w:val="0"/>
              <w:marTop w:val="30"/>
              <w:marBottom w:val="30"/>
              <w:divBdr>
                <w:top w:val="none" w:sz="0" w:space="0" w:color="auto"/>
                <w:left w:val="none" w:sz="0" w:space="0" w:color="auto"/>
                <w:bottom w:val="none" w:sz="0" w:space="0" w:color="auto"/>
                <w:right w:val="none" w:sz="0" w:space="0" w:color="auto"/>
              </w:divBdr>
              <w:divsChild>
                <w:div w:id="96293065">
                  <w:marLeft w:val="0"/>
                  <w:marRight w:val="0"/>
                  <w:marTop w:val="0"/>
                  <w:marBottom w:val="0"/>
                  <w:divBdr>
                    <w:top w:val="none" w:sz="0" w:space="0" w:color="auto"/>
                    <w:left w:val="none" w:sz="0" w:space="0" w:color="auto"/>
                    <w:bottom w:val="none" w:sz="0" w:space="0" w:color="auto"/>
                    <w:right w:val="none" w:sz="0" w:space="0" w:color="auto"/>
                  </w:divBdr>
                  <w:divsChild>
                    <w:div w:id="107942176">
                      <w:marLeft w:val="0"/>
                      <w:marRight w:val="0"/>
                      <w:marTop w:val="0"/>
                      <w:marBottom w:val="0"/>
                      <w:divBdr>
                        <w:top w:val="none" w:sz="0" w:space="0" w:color="auto"/>
                        <w:left w:val="none" w:sz="0" w:space="0" w:color="auto"/>
                        <w:bottom w:val="none" w:sz="0" w:space="0" w:color="auto"/>
                        <w:right w:val="none" w:sz="0" w:space="0" w:color="auto"/>
                      </w:divBdr>
                    </w:div>
                  </w:divsChild>
                </w:div>
                <w:div w:id="113796531">
                  <w:marLeft w:val="0"/>
                  <w:marRight w:val="0"/>
                  <w:marTop w:val="0"/>
                  <w:marBottom w:val="0"/>
                  <w:divBdr>
                    <w:top w:val="none" w:sz="0" w:space="0" w:color="auto"/>
                    <w:left w:val="none" w:sz="0" w:space="0" w:color="auto"/>
                    <w:bottom w:val="none" w:sz="0" w:space="0" w:color="auto"/>
                    <w:right w:val="none" w:sz="0" w:space="0" w:color="auto"/>
                  </w:divBdr>
                  <w:divsChild>
                    <w:div w:id="983392306">
                      <w:marLeft w:val="0"/>
                      <w:marRight w:val="0"/>
                      <w:marTop w:val="0"/>
                      <w:marBottom w:val="0"/>
                      <w:divBdr>
                        <w:top w:val="none" w:sz="0" w:space="0" w:color="auto"/>
                        <w:left w:val="none" w:sz="0" w:space="0" w:color="auto"/>
                        <w:bottom w:val="none" w:sz="0" w:space="0" w:color="auto"/>
                        <w:right w:val="none" w:sz="0" w:space="0" w:color="auto"/>
                      </w:divBdr>
                    </w:div>
                  </w:divsChild>
                </w:div>
                <w:div w:id="227110587">
                  <w:marLeft w:val="0"/>
                  <w:marRight w:val="0"/>
                  <w:marTop w:val="0"/>
                  <w:marBottom w:val="0"/>
                  <w:divBdr>
                    <w:top w:val="none" w:sz="0" w:space="0" w:color="auto"/>
                    <w:left w:val="none" w:sz="0" w:space="0" w:color="auto"/>
                    <w:bottom w:val="none" w:sz="0" w:space="0" w:color="auto"/>
                    <w:right w:val="none" w:sz="0" w:space="0" w:color="auto"/>
                  </w:divBdr>
                  <w:divsChild>
                    <w:div w:id="2050956700">
                      <w:marLeft w:val="0"/>
                      <w:marRight w:val="0"/>
                      <w:marTop w:val="0"/>
                      <w:marBottom w:val="0"/>
                      <w:divBdr>
                        <w:top w:val="none" w:sz="0" w:space="0" w:color="auto"/>
                        <w:left w:val="none" w:sz="0" w:space="0" w:color="auto"/>
                        <w:bottom w:val="none" w:sz="0" w:space="0" w:color="auto"/>
                        <w:right w:val="none" w:sz="0" w:space="0" w:color="auto"/>
                      </w:divBdr>
                    </w:div>
                  </w:divsChild>
                </w:div>
                <w:div w:id="320231089">
                  <w:marLeft w:val="0"/>
                  <w:marRight w:val="0"/>
                  <w:marTop w:val="0"/>
                  <w:marBottom w:val="0"/>
                  <w:divBdr>
                    <w:top w:val="none" w:sz="0" w:space="0" w:color="auto"/>
                    <w:left w:val="none" w:sz="0" w:space="0" w:color="auto"/>
                    <w:bottom w:val="none" w:sz="0" w:space="0" w:color="auto"/>
                    <w:right w:val="none" w:sz="0" w:space="0" w:color="auto"/>
                  </w:divBdr>
                  <w:divsChild>
                    <w:div w:id="1144931723">
                      <w:marLeft w:val="0"/>
                      <w:marRight w:val="0"/>
                      <w:marTop w:val="0"/>
                      <w:marBottom w:val="0"/>
                      <w:divBdr>
                        <w:top w:val="none" w:sz="0" w:space="0" w:color="auto"/>
                        <w:left w:val="none" w:sz="0" w:space="0" w:color="auto"/>
                        <w:bottom w:val="none" w:sz="0" w:space="0" w:color="auto"/>
                        <w:right w:val="none" w:sz="0" w:space="0" w:color="auto"/>
                      </w:divBdr>
                    </w:div>
                  </w:divsChild>
                </w:div>
                <w:div w:id="604967886">
                  <w:marLeft w:val="0"/>
                  <w:marRight w:val="0"/>
                  <w:marTop w:val="0"/>
                  <w:marBottom w:val="0"/>
                  <w:divBdr>
                    <w:top w:val="none" w:sz="0" w:space="0" w:color="auto"/>
                    <w:left w:val="none" w:sz="0" w:space="0" w:color="auto"/>
                    <w:bottom w:val="none" w:sz="0" w:space="0" w:color="auto"/>
                    <w:right w:val="none" w:sz="0" w:space="0" w:color="auto"/>
                  </w:divBdr>
                  <w:divsChild>
                    <w:div w:id="653754118">
                      <w:marLeft w:val="0"/>
                      <w:marRight w:val="0"/>
                      <w:marTop w:val="0"/>
                      <w:marBottom w:val="0"/>
                      <w:divBdr>
                        <w:top w:val="none" w:sz="0" w:space="0" w:color="auto"/>
                        <w:left w:val="none" w:sz="0" w:space="0" w:color="auto"/>
                        <w:bottom w:val="none" w:sz="0" w:space="0" w:color="auto"/>
                        <w:right w:val="none" w:sz="0" w:space="0" w:color="auto"/>
                      </w:divBdr>
                    </w:div>
                  </w:divsChild>
                </w:div>
                <w:div w:id="818182749">
                  <w:marLeft w:val="0"/>
                  <w:marRight w:val="0"/>
                  <w:marTop w:val="0"/>
                  <w:marBottom w:val="0"/>
                  <w:divBdr>
                    <w:top w:val="none" w:sz="0" w:space="0" w:color="auto"/>
                    <w:left w:val="none" w:sz="0" w:space="0" w:color="auto"/>
                    <w:bottom w:val="none" w:sz="0" w:space="0" w:color="auto"/>
                    <w:right w:val="none" w:sz="0" w:space="0" w:color="auto"/>
                  </w:divBdr>
                  <w:divsChild>
                    <w:div w:id="1341005047">
                      <w:marLeft w:val="0"/>
                      <w:marRight w:val="0"/>
                      <w:marTop w:val="0"/>
                      <w:marBottom w:val="0"/>
                      <w:divBdr>
                        <w:top w:val="none" w:sz="0" w:space="0" w:color="auto"/>
                        <w:left w:val="none" w:sz="0" w:space="0" w:color="auto"/>
                        <w:bottom w:val="none" w:sz="0" w:space="0" w:color="auto"/>
                        <w:right w:val="none" w:sz="0" w:space="0" w:color="auto"/>
                      </w:divBdr>
                    </w:div>
                  </w:divsChild>
                </w:div>
                <w:div w:id="1153178374">
                  <w:marLeft w:val="0"/>
                  <w:marRight w:val="0"/>
                  <w:marTop w:val="0"/>
                  <w:marBottom w:val="0"/>
                  <w:divBdr>
                    <w:top w:val="none" w:sz="0" w:space="0" w:color="auto"/>
                    <w:left w:val="none" w:sz="0" w:space="0" w:color="auto"/>
                    <w:bottom w:val="none" w:sz="0" w:space="0" w:color="auto"/>
                    <w:right w:val="none" w:sz="0" w:space="0" w:color="auto"/>
                  </w:divBdr>
                  <w:divsChild>
                    <w:div w:id="915091094">
                      <w:marLeft w:val="0"/>
                      <w:marRight w:val="0"/>
                      <w:marTop w:val="0"/>
                      <w:marBottom w:val="0"/>
                      <w:divBdr>
                        <w:top w:val="none" w:sz="0" w:space="0" w:color="auto"/>
                        <w:left w:val="none" w:sz="0" w:space="0" w:color="auto"/>
                        <w:bottom w:val="none" w:sz="0" w:space="0" w:color="auto"/>
                        <w:right w:val="none" w:sz="0" w:space="0" w:color="auto"/>
                      </w:divBdr>
                    </w:div>
                  </w:divsChild>
                </w:div>
                <w:div w:id="1574002489">
                  <w:marLeft w:val="0"/>
                  <w:marRight w:val="0"/>
                  <w:marTop w:val="0"/>
                  <w:marBottom w:val="0"/>
                  <w:divBdr>
                    <w:top w:val="none" w:sz="0" w:space="0" w:color="auto"/>
                    <w:left w:val="none" w:sz="0" w:space="0" w:color="auto"/>
                    <w:bottom w:val="none" w:sz="0" w:space="0" w:color="auto"/>
                    <w:right w:val="none" w:sz="0" w:space="0" w:color="auto"/>
                  </w:divBdr>
                  <w:divsChild>
                    <w:div w:id="1861428082">
                      <w:marLeft w:val="0"/>
                      <w:marRight w:val="0"/>
                      <w:marTop w:val="0"/>
                      <w:marBottom w:val="0"/>
                      <w:divBdr>
                        <w:top w:val="none" w:sz="0" w:space="0" w:color="auto"/>
                        <w:left w:val="none" w:sz="0" w:space="0" w:color="auto"/>
                        <w:bottom w:val="none" w:sz="0" w:space="0" w:color="auto"/>
                        <w:right w:val="none" w:sz="0" w:space="0" w:color="auto"/>
                      </w:divBdr>
                    </w:div>
                  </w:divsChild>
                </w:div>
                <w:div w:id="1677226456">
                  <w:marLeft w:val="0"/>
                  <w:marRight w:val="0"/>
                  <w:marTop w:val="0"/>
                  <w:marBottom w:val="0"/>
                  <w:divBdr>
                    <w:top w:val="none" w:sz="0" w:space="0" w:color="auto"/>
                    <w:left w:val="none" w:sz="0" w:space="0" w:color="auto"/>
                    <w:bottom w:val="none" w:sz="0" w:space="0" w:color="auto"/>
                    <w:right w:val="none" w:sz="0" w:space="0" w:color="auto"/>
                  </w:divBdr>
                  <w:divsChild>
                    <w:div w:id="1408771244">
                      <w:marLeft w:val="0"/>
                      <w:marRight w:val="0"/>
                      <w:marTop w:val="0"/>
                      <w:marBottom w:val="0"/>
                      <w:divBdr>
                        <w:top w:val="none" w:sz="0" w:space="0" w:color="auto"/>
                        <w:left w:val="none" w:sz="0" w:space="0" w:color="auto"/>
                        <w:bottom w:val="none" w:sz="0" w:space="0" w:color="auto"/>
                        <w:right w:val="none" w:sz="0" w:space="0" w:color="auto"/>
                      </w:divBdr>
                    </w:div>
                  </w:divsChild>
                </w:div>
                <w:div w:id="1812021284">
                  <w:marLeft w:val="0"/>
                  <w:marRight w:val="0"/>
                  <w:marTop w:val="0"/>
                  <w:marBottom w:val="0"/>
                  <w:divBdr>
                    <w:top w:val="none" w:sz="0" w:space="0" w:color="auto"/>
                    <w:left w:val="none" w:sz="0" w:space="0" w:color="auto"/>
                    <w:bottom w:val="none" w:sz="0" w:space="0" w:color="auto"/>
                    <w:right w:val="none" w:sz="0" w:space="0" w:color="auto"/>
                  </w:divBdr>
                  <w:divsChild>
                    <w:div w:id="12593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330660">
      <w:bodyDiv w:val="1"/>
      <w:marLeft w:val="0"/>
      <w:marRight w:val="0"/>
      <w:marTop w:val="0"/>
      <w:marBottom w:val="0"/>
      <w:divBdr>
        <w:top w:val="none" w:sz="0" w:space="0" w:color="auto"/>
        <w:left w:val="none" w:sz="0" w:space="0" w:color="auto"/>
        <w:bottom w:val="none" w:sz="0" w:space="0" w:color="auto"/>
        <w:right w:val="none" w:sz="0" w:space="0" w:color="auto"/>
      </w:divBdr>
    </w:div>
    <w:div w:id="1203254438">
      <w:bodyDiv w:val="1"/>
      <w:marLeft w:val="0"/>
      <w:marRight w:val="0"/>
      <w:marTop w:val="0"/>
      <w:marBottom w:val="0"/>
      <w:divBdr>
        <w:top w:val="none" w:sz="0" w:space="0" w:color="auto"/>
        <w:left w:val="none" w:sz="0" w:space="0" w:color="auto"/>
        <w:bottom w:val="none" w:sz="0" w:space="0" w:color="auto"/>
        <w:right w:val="none" w:sz="0" w:space="0" w:color="auto"/>
      </w:divBdr>
    </w:div>
    <w:div w:id="1447655681">
      <w:bodyDiv w:val="1"/>
      <w:marLeft w:val="0"/>
      <w:marRight w:val="0"/>
      <w:marTop w:val="0"/>
      <w:marBottom w:val="0"/>
      <w:divBdr>
        <w:top w:val="none" w:sz="0" w:space="0" w:color="auto"/>
        <w:left w:val="none" w:sz="0" w:space="0" w:color="auto"/>
        <w:bottom w:val="none" w:sz="0" w:space="0" w:color="auto"/>
        <w:right w:val="none" w:sz="0" w:space="0" w:color="auto"/>
      </w:divBdr>
      <w:divsChild>
        <w:div w:id="106774318">
          <w:marLeft w:val="0"/>
          <w:marRight w:val="0"/>
          <w:marTop w:val="0"/>
          <w:marBottom w:val="0"/>
          <w:divBdr>
            <w:top w:val="none" w:sz="0" w:space="0" w:color="auto"/>
            <w:left w:val="none" w:sz="0" w:space="0" w:color="auto"/>
            <w:bottom w:val="none" w:sz="0" w:space="0" w:color="auto"/>
            <w:right w:val="none" w:sz="0" w:space="0" w:color="auto"/>
          </w:divBdr>
        </w:div>
        <w:div w:id="1889997761">
          <w:marLeft w:val="0"/>
          <w:marRight w:val="0"/>
          <w:marTop w:val="0"/>
          <w:marBottom w:val="0"/>
          <w:divBdr>
            <w:top w:val="none" w:sz="0" w:space="0" w:color="auto"/>
            <w:left w:val="none" w:sz="0" w:space="0" w:color="auto"/>
            <w:bottom w:val="none" w:sz="0" w:space="0" w:color="auto"/>
            <w:right w:val="none" w:sz="0" w:space="0" w:color="auto"/>
          </w:divBdr>
        </w:div>
      </w:divsChild>
    </w:div>
    <w:div w:id="1592543125">
      <w:bodyDiv w:val="1"/>
      <w:marLeft w:val="0"/>
      <w:marRight w:val="0"/>
      <w:marTop w:val="0"/>
      <w:marBottom w:val="0"/>
      <w:divBdr>
        <w:top w:val="none" w:sz="0" w:space="0" w:color="auto"/>
        <w:left w:val="none" w:sz="0" w:space="0" w:color="auto"/>
        <w:bottom w:val="none" w:sz="0" w:space="0" w:color="auto"/>
        <w:right w:val="none" w:sz="0" w:space="0" w:color="auto"/>
      </w:divBdr>
      <w:divsChild>
        <w:div w:id="736973226">
          <w:marLeft w:val="0"/>
          <w:marRight w:val="0"/>
          <w:marTop w:val="0"/>
          <w:marBottom w:val="0"/>
          <w:divBdr>
            <w:top w:val="none" w:sz="0" w:space="0" w:color="auto"/>
            <w:left w:val="none" w:sz="0" w:space="0" w:color="auto"/>
            <w:bottom w:val="none" w:sz="0" w:space="0" w:color="auto"/>
            <w:right w:val="none" w:sz="0" w:space="0" w:color="auto"/>
          </w:divBdr>
          <w:divsChild>
            <w:div w:id="8333287">
              <w:marLeft w:val="0"/>
              <w:marRight w:val="0"/>
              <w:marTop w:val="0"/>
              <w:marBottom w:val="0"/>
              <w:divBdr>
                <w:top w:val="none" w:sz="0" w:space="0" w:color="auto"/>
                <w:left w:val="none" w:sz="0" w:space="0" w:color="auto"/>
                <w:bottom w:val="none" w:sz="0" w:space="0" w:color="auto"/>
                <w:right w:val="none" w:sz="0" w:space="0" w:color="auto"/>
              </w:divBdr>
            </w:div>
            <w:div w:id="170721771">
              <w:marLeft w:val="0"/>
              <w:marRight w:val="0"/>
              <w:marTop w:val="0"/>
              <w:marBottom w:val="0"/>
              <w:divBdr>
                <w:top w:val="none" w:sz="0" w:space="0" w:color="auto"/>
                <w:left w:val="none" w:sz="0" w:space="0" w:color="auto"/>
                <w:bottom w:val="none" w:sz="0" w:space="0" w:color="auto"/>
                <w:right w:val="none" w:sz="0" w:space="0" w:color="auto"/>
              </w:divBdr>
            </w:div>
            <w:div w:id="370768292">
              <w:marLeft w:val="0"/>
              <w:marRight w:val="0"/>
              <w:marTop w:val="0"/>
              <w:marBottom w:val="0"/>
              <w:divBdr>
                <w:top w:val="none" w:sz="0" w:space="0" w:color="auto"/>
                <w:left w:val="none" w:sz="0" w:space="0" w:color="auto"/>
                <w:bottom w:val="none" w:sz="0" w:space="0" w:color="auto"/>
                <w:right w:val="none" w:sz="0" w:space="0" w:color="auto"/>
              </w:divBdr>
            </w:div>
            <w:div w:id="441530604">
              <w:marLeft w:val="0"/>
              <w:marRight w:val="0"/>
              <w:marTop w:val="0"/>
              <w:marBottom w:val="0"/>
              <w:divBdr>
                <w:top w:val="none" w:sz="0" w:space="0" w:color="auto"/>
                <w:left w:val="none" w:sz="0" w:space="0" w:color="auto"/>
                <w:bottom w:val="none" w:sz="0" w:space="0" w:color="auto"/>
                <w:right w:val="none" w:sz="0" w:space="0" w:color="auto"/>
              </w:divBdr>
            </w:div>
            <w:div w:id="621617859">
              <w:marLeft w:val="0"/>
              <w:marRight w:val="0"/>
              <w:marTop w:val="0"/>
              <w:marBottom w:val="0"/>
              <w:divBdr>
                <w:top w:val="none" w:sz="0" w:space="0" w:color="auto"/>
                <w:left w:val="none" w:sz="0" w:space="0" w:color="auto"/>
                <w:bottom w:val="none" w:sz="0" w:space="0" w:color="auto"/>
                <w:right w:val="none" w:sz="0" w:space="0" w:color="auto"/>
              </w:divBdr>
            </w:div>
            <w:div w:id="710619592">
              <w:marLeft w:val="0"/>
              <w:marRight w:val="0"/>
              <w:marTop w:val="0"/>
              <w:marBottom w:val="0"/>
              <w:divBdr>
                <w:top w:val="none" w:sz="0" w:space="0" w:color="auto"/>
                <w:left w:val="none" w:sz="0" w:space="0" w:color="auto"/>
                <w:bottom w:val="none" w:sz="0" w:space="0" w:color="auto"/>
                <w:right w:val="none" w:sz="0" w:space="0" w:color="auto"/>
              </w:divBdr>
            </w:div>
            <w:div w:id="1100301579">
              <w:marLeft w:val="0"/>
              <w:marRight w:val="0"/>
              <w:marTop w:val="0"/>
              <w:marBottom w:val="0"/>
              <w:divBdr>
                <w:top w:val="none" w:sz="0" w:space="0" w:color="auto"/>
                <w:left w:val="none" w:sz="0" w:space="0" w:color="auto"/>
                <w:bottom w:val="none" w:sz="0" w:space="0" w:color="auto"/>
                <w:right w:val="none" w:sz="0" w:space="0" w:color="auto"/>
              </w:divBdr>
            </w:div>
            <w:div w:id="1171674033">
              <w:marLeft w:val="0"/>
              <w:marRight w:val="0"/>
              <w:marTop w:val="0"/>
              <w:marBottom w:val="0"/>
              <w:divBdr>
                <w:top w:val="none" w:sz="0" w:space="0" w:color="auto"/>
                <w:left w:val="none" w:sz="0" w:space="0" w:color="auto"/>
                <w:bottom w:val="none" w:sz="0" w:space="0" w:color="auto"/>
                <w:right w:val="none" w:sz="0" w:space="0" w:color="auto"/>
              </w:divBdr>
            </w:div>
            <w:div w:id="1202666447">
              <w:marLeft w:val="0"/>
              <w:marRight w:val="0"/>
              <w:marTop w:val="0"/>
              <w:marBottom w:val="0"/>
              <w:divBdr>
                <w:top w:val="none" w:sz="0" w:space="0" w:color="auto"/>
                <w:left w:val="none" w:sz="0" w:space="0" w:color="auto"/>
                <w:bottom w:val="none" w:sz="0" w:space="0" w:color="auto"/>
                <w:right w:val="none" w:sz="0" w:space="0" w:color="auto"/>
              </w:divBdr>
            </w:div>
            <w:div w:id="1245532911">
              <w:marLeft w:val="0"/>
              <w:marRight w:val="0"/>
              <w:marTop w:val="0"/>
              <w:marBottom w:val="0"/>
              <w:divBdr>
                <w:top w:val="none" w:sz="0" w:space="0" w:color="auto"/>
                <w:left w:val="none" w:sz="0" w:space="0" w:color="auto"/>
                <w:bottom w:val="none" w:sz="0" w:space="0" w:color="auto"/>
                <w:right w:val="none" w:sz="0" w:space="0" w:color="auto"/>
              </w:divBdr>
            </w:div>
            <w:div w:id="1348679809">
              <w:marLeft w:val="0"/>
              <w:marRight w:val="0"/>
              <w:marTop w:val="0"/>
              <w:marBottom w:val="0"/>
              <w:divBdr>
                <w:top w:val="none" w:sz="0" w:space="0" w:color="auto"/>
                <w:left w:val="none" w:sz="0" w:space="0" w:color="auto"/>
                <w:bottom w:val="none" w:sz="0" w:space="0" w:color="auto"/>
                <w:right w:val="none" w:sz="0" w:space="0" w:color="auto"/>
              </w:divBdr>
            </w:div>
            <w:div w:id="1395932358">
              <w:marLeft w:val="0"/>
              <w:marRight w:val="0"/>
              <w:marTop w:val="0"/>
              <w:marBottom w:val="0"/>
              <w:divBdr>
                <w:top w:val="none" w:sz="0" w:space="0" w:color="auto"/>
                <w:left w:val="none" w:sz="0" w:space="0" w:color="auto"/>
                <w:bottom w:val="none" w:sz="0" w:space="0" w:color="auto"/>
                <w:right w:val="none" w:sz="0" w:space="0" w:color="auto"/>
              </w:divBdr>
            </w:div>
            <w:div w:id="1463573502">
              <w:marLeft w:val="0"/>
              <w:marRight w:val="0"/>
              <w:marTop w:val="0"/>
              <w:marBottom w:val="0"/>
              <w:divBdr>
                <w:top w:val="none" w:sz="0" w:space="0" w:color="auto"/>
                <w:left w:val="none" w:sz="0" w:space="0" w:color="auto"/>
                <w:bottom w:val="none" w:sz="0" w:space="0" w:color="auto"/>
                <w:right w:val="none" w:sz="0" w:space="0" w:color="auto"/>
              </w:divBdr>
            </w:div>
            <w:div w:id="1476722776">
              <w:marLeft w:val="0"/>
              <w:marRight w:val="0"/>
              <w:marTop w:val="0"/>
              <w:marBottom w:val="0"/>
              <w:divBdr>
                <w:top w:val="none" w:sz="0" w:space="0" w:color="auto"/>
                <w:left w:val="none" w:sz="0" w:space="0" w:color="auto"/>
                <w:bottom w:val="none" w:sz="0" w:space="0" w:color="auto"/>
                <w:right w:val="none" w:sz="0" w:space="0" w:color="auto"/>
              </w:divBdr>
            </w:div>
            <w:div w:id="1639140447">
              <w:marLeft w:val="0"/>
              <w:marRight w:val="0"/>
              <w:marTop w:val="0"/>
              <w:marBottom w:val="0"/>
              <w:divBdr>
                <w:top w:val="none" w:sz="0" w:space="0" w:color="auto"/>
                <w:left w:val="none" w:sz="0" w:space="0" w:color="auto"/>
                <w:bottom w:val="none" w:sz="0" w:space="0" w:color="auto"/>
                <w:right w:val="none" w:sz="0" w:space="0" w:color="auto"/>
              </w:divBdr>
            </w:div>
            <w:div w:id="1680539755">
              <w:marLeft w:val="0"/>
              <w:marRight w:val="0"/>
              <w:marTop w:val="0"/>
              <w:marBottom w:val="0"/>
              <w:divBdr>
                <w:top w:val="none" w:sz="0" w:space="0" w:color="auto"/>
                <w:left w:val="none" w:sz="0" w:space="0" w:color="auto"/>
                <w:bottom w:val="none" w:sz="0" w:space="0" w:color="auto"/>
                <w:right w:val="none" w:sz="0" w:space="0" w:color="auto"/>
              </w:divBdr>
            </w:div>
          </w:divsChild>
        </w:div>
        <w:div w:id="1993749019">
          <w:marLeft w:val="0"/>
          <w:marRight w:val="0"/>
          <w:marTop w:val="0"/>
          <w:marBottom w:val="0"/>
          <w:divBdr>
            <w:top w:val="none" w:sz="0" w:space="0" w:color="auto"/>
            <w:left w:val="none" w:sz="0" w:space="0" w:color="auto"/>
            <w:bottom w:val="none" w:sz="0" w:space="0" w:color="auto"/>
            <w:right w:val="none" w:sz="0" w:space="0" w:color="auto"/>
          </w:divBdr>
          <w:divsChild>
            <w:div w:id="34889747">
              <w:marLeft w:val="0"/>
              <w:marRight w:val="0"/>
              <w:marTop w:val="0"/>
              <w:marBottom w:val="0"/>
              <w:divBdr>
                <w:top w:val="none" w:sz="0" w:space="0" w:color="auto"/>
                <w:left w:val="none" w:sz="0" w:space="0" w:color="auto"/>
                <w:bottom w:val="none" w:sz="0" w:space="0" w:color="auto"/>
                <w:right w:val="none" w:sz="0" w:space="0" w:color="auto"/>
              </w:divBdr>
            </w:div>
            <w:div w:id="159388974">
              <w:marLeft w:val="0"/>
              <w:marRight w:val="0"/>
              <w:marTop w:val="0"/>
              <w:marBottom w:val="0"/>
              <w:divBdr>
                <w:top w:val="none" w:sz="0" w:space="0" w:color="auto"/>
                <w:left w:val="none" w:sz="0" w:space="0" w:color="auto"/>
                <w:bottom w:val="none" w:sz="0" w:space="0" w:color="auto"/>
                <w:right w:val="none" w:sz="0" w:space="0" w:color="auto"/>
              </w:divBdr>
            </w:div>
            <w:div w:id="173811408">
              <w:marLeft w:val="0"/>
              <w:marRight w:val="0"/>
              <w:marTop w:val="0"/>
              <w:marBottom w:val="0"/>
              <w:divBdr>
                <w:top w:val="none" w:sz="0" w:space="0" w:color="auto"/>
                <w:left w:val="none" w:sz="0" w:space="0" w:color="auto"/>
                <w:bottom w:val="none" w:sz="0" w:space="0" w:color="auto"/>
                <w:right w:val="none" w:sz="0" w:space="0" w:color="auto"/>
              </w:divBdr>
            </w:div>
            <w:div w:id="711343802">
              <w:marLeft w:val="0"/>
              <w:marRight w:val="0"/>
              <w:marTop w:val="0"/>
              <w:marBottom w:val="0"/>
              <w:divBdr>
                <w:top w:val="none" w:sz="0" w:space="0" w:color="auto"/>
                <w:left w:val="none" w:sz="0" w:space="0" w:color="auto"/>
                <w:bottom w:val="none" w:sz="0" w:space="0" w:color="auto"/>
                <w:right w:val="none" w:sz="0" w:space="0" w:color="auto"/>
              </w:divBdr>
            </w:div>
            <w:div w:id="888036811">
              <w:marLeft w:val="0"/>
              <w:marRight w:val="0"/>
              <w:marTop w:val="0"/>
              <w:marBottom w:val="0"/>
              <w:divBdr>
                <w:top w:val="none" w:sz="0" w:space="0" w:color="auto"/>
                <w:left w:val="none" w:sz="0" w:space="0" w:color="auto"/>
                <w:bottom w:val="none" w:sz="0" w:space="0" w:color="auto"/>
                <w:right w:val="none" w:sz="0" w:space="0" w:color="auto"/>
              </w:divBdr>
            </w:div>
            <w:div w:id="1073315500">
              <w:marLeft w:val="0"/>
              <w:marRight w:val="0"/>
              <w:marTop w:val="0"/>
              <w:marBottom w:val="0"/>
              <w:divBdr>
                <w:top w:val="none" w:sz="0" w:space="0" w:color="auto"/>
                <w:left w:val="none" w:sz="0" w:space="0" w:color="auto"/>
                <w:bottom w:val="none" w:sz="0" w:space="0" w:color="auto"/>
                <w:right w:val="none" w:sz="0" w:space="0" w:color="auto"/>
              </w:divBdr>
            </w:div>
            <w:div w:id="1224869764">
              <w:marLeft w:val="0"/>
              <w:marRight w:val="0"/>
              <w:marTop w:val="0"/>
              <w:marBottom w:val="0"/>
              <w:divBdr>
                <w:top w:val="none" w:sz="0" w:space="0" w:color="auto"/>
                <w:left w:val="none" w:sz="0" w:space="0" w:color="auto"/>
                <w:bottom w:val="none" w:sz="0" w:space="0" w:color="auto"/>
                <w:right w:val="none" w:sz="0" w:space="0" w:color="auto"/>
              </w:divBdr>
            </w:div>
            <w:div w:id="1245184414">
              <w:marLeft w:val="0"/>
              <w:marRight w:val="0"/>
              <w:marTop w:val="0"/>
              <w:marBottom w:val="0"/>
              <w:divBdr>
                <w:top w:val="none" w:sz="0" w:space="0" w:color="auto"/>
                <w:left w:val="none" w:sz="0" w:space="0" w:color="auto"/>
                <w:bottom w:val="none" w:sz="0" w:space="0" w:color="auto"/>
                <w:right w:val="none" w:sz="0" w:space="0" w:color="auto"/>
              </w:divBdr>
            </w:div>
            <w:div w:id="1404529714">
              <w:marLeft w:val="0"/>
              <w:marRight w:val="0"/>
              <w:marTop w:val="0"/>
              <w:marBottom w:val="0"/>
              <w:divBdr>
                <w:top w:val="none" w:sz="0" w:space="0" w:color="auto"/>
                <w:left w:val="none" w:sz="0" w:space="0" w:color="auto"/>
                <w:bottom w:val="none" w:sz="0" w:space="0" w:color="auto"/>
                <w:right w:val="none" w:sz="0" w:space="0" w:color="auto"/>
              </w:divBdr>
            </w:div>
            <w:div w:id="1658411007">
              <w:marLeft w:val="0"/>
              <w:marRight w:val="0"/>
              <w:marTop w:val="0"/>
              <w:marBottom w:val="0"/>
              <w:divBdr>
                <w:top w:val="none" w:sz="0" w:space="0" w:color="auto"/>
                <w:left w:val="none" w:sz="0" w:space="0" w:color="auto"/>
                <w:bottom w:val="none" w:sz="0" w:space="0" w:color="auto"/>
                <w:right w:val="none" w:sz="0" w:space="0" w:color="auto"/>
              </w:divBdr>
            </w:div>
            <w:div w:id="1686177520">
              <w:marLeft w:val="0"/>
              <w:marRight w:val="0"/>
              <w:marTop w:val="0"/>
              <w:marBottom w:val="0"/>
              <w:divBdr>
                <w:top w:val="none" w:sz="0" w:space="0" w:color="auto"/>
                <w:left w:val="none" w:sz="0" w:space="0" w:color="auto"/>
                <w:bottom w:val="none" w:sz="0" w:space="0" w:color="auto"/>
                <w:right w:val="none" w:sz="0" w:space="0" w:color="auto"/>
              </w:divBdr>
            </w:div>
            <w:div w:id="18556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3501">
      <w:bodyDiv w:val="1"/>
      <w:marLeft w:val="0"/>
      <w:marRight w:val="0"/>
      <w:marTop w:val="0"/>
      <w:marBottom w:val="0"/>
      <w:divBdr>
        <w:top w:val="none" w:sz="0" w:space="0" w:color="auto"/>
        <w:left w:val="none" w:sz="0" w:space="0" w:color="auto"/>
        <w:bottom w:val="none" w:sz="0" w:space="0" w:color="auto"/>
        <w:right w:val="none" w:sz="0" w:space="0" w:color="auto"/>
      </w:divBdr>
      <w:divsChild>
        <w:div w:id="574903095">
          <w:marLeft w:val="0"/>
          <w:marRight w:val="0"/>
          <w:marTop w:val="0"/>
          <w:marBottom w:val="0"/>
          <w:divBdr>
            <w:top w:val="none" w:sz="0" w:space="0" w:color="auto"/>
            <w:left w:val="none" w:sz="0" w:space="0" w:color="auto"/>
            <w:bottom w:val="none" w:sz="0" w:space="0" w:color="auto"/>
            <w:right w:val="none" w:sz="0" w:space="0" w:color="auto"/>
          </w:divBdr>
          <w:divsChild>
            <w:div w:id="144785720">
              <w:marLeft w:val="0"/>
              <w:marRight w:val="0"/>
              <w:marTop w:val="0"/>
              <w:marBottom w:val="0"/>
              <w:divBdr>
                <w:top w:val="none" w:sz="0" w:space="0" w:color="auto"/>
                <w:left w:val="none" w:sz="0" w:space="0" w:color="auto"/>
                <w:bottom w:val="none" w:sz="0" w:space="0" w:color="auto"/>
                <w:right w:val="none" w:sz="0" w:space="0" w:color="auto"/>
              </w:divBdr>
            </w:div>
            <w:div w:id="615332604">
              <w:marLeft w:val="0"/>
              <w:marRight w:val="0"/>
              <w:marTop w:val="0"/>
              <w:marBottom w:val="0"/>
              <w:divBdr>
                <w:top w:val="none" w:sz="0" w:space="0" w:color="auto"/>
                <w:left w:val="none" w:sz="0" w:space="0" w:color="auto"/>
                <w:bottom w:val="none" w:sz="0" w:space="0" w:color="auto"/>
                <w:right w:val="none" w:sz="0" w:space="0" w:color="auto"/>
              </w:divBdr>
            </w:div>
            <w:div w:id="634608133">
              <w:marLeft w:val="0"/>
              <w:marRight w:val="0"/>
              <w:marTop w:val="0"/>
              <w:marBottom w:val="0"/>
              <w:divBdr>
                <w:top w:val="none" w:sz="0" w:space="0" w:color="auto"/>
                <w:left w:val="none" w:sz="0" w:space="0" w:color="auto"/>
                <w:bottom w:val="none" w:sz="0" w:space="0" w:color="auto"/>
                <w:right w:val="none" w:sz="0" w:space="0" w:color="auto"/>
              </w:divBdr>
            </w:div>
            <w:div w:id="647129535">
              <w:marLeft w:val="0"/>
              <w:marRight w:val="0"/>
              <w:marTop w:val="0"/>
              <w:marBottom w:val="0"/>
              <w:divBdr>
                <w:top w:val="none" w:sz="0" w:space="0" w:color="auto"/>
                <w:left w:val="none" w:sz="0" w:space="0" w:color="auto"/>
                <w:bottom w:val="none" w:sz="0" w:space="0" w:color="auto"/>
                <w:right w:val="none" w:sz="0" w:space="0" w:color="auto"/>
              </w:divBdr>
            </w:div>
            <w:div w:id="911238494">
              <w:marLeft w:val="0"/>
              <w:marRight w:val="0"/>
              <w:marTop w:val="0"/>
              <w:marBottom w:val="0"/>
              <w:divBdr>
                <w:top w:val="none" w:sz="0" w:space="0" w:color="auto"/>
                <w:left w:val="none" w:sz="0" w:space="0" w:color="auto"/>
                <w:bottom w:val="none" w:sz="0" w:space="0" w:color="auto"/>
                <w:right w:val="none" w:sz="0" w:space="0" w:color="auto"/>
              </w:divBdr>
            </w:div>
            <w:div w:id="1545100071">
              <w:marLeft w:val="0"/>
              <w:marRight w:val="0"/>
              <w:marTop w:val="0"/>
              <w:marBottom w:val="0"/>
              <w:divBdr>
                <w:top w:val="none" w:sz="0" w:space="0" w:color="auto"/>
                <w:left w:val="none" w:sz="0" w:space="0" w:color="auto"/>
                <w:bottom w:val="none" w:sz="0" w:space="0" w:color="auto"/>
                <w:right w:val="none" w:sz="0" w:space="0" w:color="auto"/>
              </w:divBdr>
            </w:div>
            <w:div w:id="1572698303">
              <w:marLeft w:val="0"/>
              <w:marRight w:val="0"/>
              <w:marTop w:val="0"/>
              <w:marBottom w:val="0"/>
              <w:divBdr>
                <w:top w:val="none" w:sz="0" w:space="0" w:color="auto"/>
                <w:left w:val="none" w:sz="0" w:space="0" w:color="auto"/>
                <w:bottom w:val="none" w:sz="0" w:space="0" w:color="auto"/>
                <w:right w:val="none" w:sz="0" w:space="0" w:color="auto"/>
              </w:divBdr>
            </w:div>
            <w:div w:id="1667587593">
              <w:marLeft w:val="0"/>
              <w:marRight w:val="0"/>
              <w:marTop w:val="0"/>
              <w:marBottom w:val="0"/>
              <w:divBdr>
                <w:top w:val="none" w:sz="0" w:space="0" w:color="auto"/>
                <w:left w:val="none" w:sz="0" w:space="0" w:color="auto"/>
                <w:bottom w:val="none" w:sz="0" w:space="0" w:color="auto"/>
                <w:right w:val="none" w:sz="0" w:space="0" w:color="auto"/>
              </w:divBdr>
            </w:div>
            <w:div w:id="1821342012">
              <w:marLeft w:val="0"/>
              <w:marRight w:val="0"/>
              <w:marTop w:val="0"/>
              <w:marBottom w:val="0"/>
              <w:divBdr>
                <w:top w:val="none" w:sz="0" w:space="0" w:color="auto"/>
                <w:left w:val="none" w:sz="0" w:space="0" w:color="auto"/>
                <w:bottom w:val="none" w:sz="0" w:space="0" w:color="auto"/>
                <w:right w:val="none" w:sz="0" w:space="0" w:color="auto"/>
              </w:divBdr>
            </w:div>
            <w:div w:id="1958173918">
              <w:marLeft w:val="0"/>
              <w:marRight w:val="0"/>
              <w:marTop w:val="0"/>
              <w:marBottom w:val="0"/>
              <w:divBdr>
                <w:top w:val="none" w:sz="0" w:space="0" w:color="auto"/>
                <w:left w:val="none" w:sz="0" w:space="0" w:color="auto"/>
                <w:bottom w:val="none" w:sz="0" w:space="0" w:color="auto"/>
                <w:right w:val="none" w:sz="0" w:space="0" w:color="auto"/>
              </w:divBdr>
            </w:div>
            <w:div w:id="1984121800">
              <w:marLeft w:val="0"/>
              <w:marRight w:val="0"/>
              <w:marTop w:val="0"/>
              <w:marBottom w:val="0"/>
              <w:divBdr>
                <w:top w:val="none" w:sz="0" w:space="0" w:color="auto"/>
                <w:left w:val="none" w:sz="0" w:space="0" w:color="auto"/>
                <w:bottom w:val="none" w:sz="0" w:space="0" w:color="auto"/>
                <w:right w:val="none" w:sz="0" w:space="0" w:color="auto"/>
              </w:divBdr>
            </w:div>
            <w:div w:id="2023971071">
              <w:marLeft w:val="0"/>
              <w:marRight w:val="0"/>
              <w:marTop w:val="0"/>
              <w:marBottom w:val="0"/>
              <w:divBdr>
                <w:top w:val="none" w:sz="0" w:space="0" w:color="auto"/>
                <w:left w:val="none" w:sz="0" w:space="0" w:color="auto"/>
                <w:bottom w:val="none" w:sz="0" w:space="0" w:color="auto"/>
                <w:right w:val="none" w:sz="0" w:space="0" w:color="auto"/>
              </w:divBdr>
            </w:div>
          </w:divsChild>
        </w:div>
        <w:div w:id="828785428">
          <w:marLeft w:val="0"/>
          <w:marRight w:val="0"/>
          <w:marTop w:val="0"/>
          <w:marBottom w:val="0"/>
          <w:divBdr>
            <w:top w:val="none" w:sz="0" w:space="0" w:color="auto"/>
            <w:left w:val="none" w:sz="0" w:space="0" w:color="auto"/>
            <w:bottom w:val="none" w:sz="0" w:space="0" w:color="auto"/>
            <w:right w:val="none" w:sz="0" w:space="0" w:color="auto"/>
          </w:divBdr>
          <w:divsChild>
            <w:div w:id="4677126">
              <w:marLeft w:val="0"/>
              <w:marRight w:val="0"/>
              <w:marTop w:val="0"/>
              <w:marBottom w:val="0"/>
              <w:divBdr>
                <w:top w:val="none" w:sz="0" w:space="0" w:color="auto"/>
                <w:left w:val="none" w:sz="0" w:space="0" w:color="auto"/>
                <w:bottom w:val="none" w:sz="0" w:space="0" w:color="auto"/>
                <w:right w:val="none" w:sz="0" w:space="0" w:color="auto"/>
              </w:divBdr>
            </w:div>
            <w:div w:id="168296810">
              <w:marLeft w:val="0"/>
              <w:marRight w:val="0"/>
              <w:marTop w:val="0"/>
              <w:marBottom w:val="0"/>
              <w:divBdr>
                <w:top w:val="none" w:sz="0" w:space="0" w:color="auto"/>
                <w:left w:val="none" w:sz="0" w:space="0" w:color="auto"/>
                <w:bottom w:val="none" w:sz="0" w:space="0" w:color="auto"/>
                <w:right w:val="none" w:sz="0" w:space="0" w:color="auto"/>
              </w:divBdr>
            </w:div>
            <w:div w:id="475417106">
              <w:marLeft w:val="0"/>
              <w:marRight w:val="0"/>
              <w:marTop w:val="0"/>
              <w:marBottom w:val="0"/>
              <w:divBdr>
                <w:top w:val="none" w:sz="0" w:space="0" w:color="auto"/>
                <w:left w:val="none" w:sz="0" w:space="0" w:color="auto"/>
                <w:bottom w:val="none" w:sz="0" w:space="0" w:color="auto"/>
                <w:right w:val="none" w:sz="0" w:space="0" w:color="auto"/>
              </w:divBdr>
            </w:div>
            <w:div w:id="652566108">
              <w:marLeft w:val="0"/>
              <w:marRight w:val="0"/>
              <w:marTop w:val="0"/>
              <w:marBottom w:val="0"/>
              <w:divBdr>
                <w:top w:val="none" w:sz="0" w:space="0" w:color="auto"/>
                <w:left w:val="none" w:sz="0" w:space="0" w:color="auto"/>
                <w:bottom w:val="none" w:sz="0" w:space="0" w:color="auto"/>
                <w:right w:val="none" w:sz="0" w:space="0" w:color="auto"/>
              </w:divBdr>
            </w:div>
            <w:div w:id="750732834">
              <w:marLeft w:val="0"/>
              <w:marRight w:val="0"/>
              <w:marTop w:val="0"/>
              <w:marBottom w:val="0"/>
              <w:divBdr>
                <w:top w:val="none" w:sz="0" w:space="0" w:color="auto"/>
                <w:left w:val="none" w:sz="0" w:space="0" w:color="auto"/>
                <w:bottom w:val="none" w:sz="0" w:space="0" w:color="auto"/>
                <w:right w:val="none" w:sz="0" w:space="0" w:color="auto"/>
              </w:divBdr>
            </w:div>
            <w:div w:id="891038635">
              <w:marLeft w:val="0"/>
              <w:marRight w:val="0"/>
              <w:marTop w:val="0"/>
              <w:marBottom w:val="0"/>
              <w:divBdr>
                <w:top w:val="none" w:sz="0" w:space="0" w:color="auto"/>
                <w:left w:val="none" w:sz="0" w:space="0" w:color="auto"/>
                <w:bottom w:val="none" w:sz="0" w:space="0" w:color="auto"/>
                <w:right w:val="none" w:sz="0" w:space="0" w:color="auto"/>
              </w:divBdr>
            </w:div>
            <w:div w:id="1031146137">
              <w:marLeft w:val="0"/>
              <w:marRight w:val="0"/>
              <w:marTop w:val="0"/>
              <w:marBottom w:val="0"/>
              <w:divBdr>
                <w:top w:val="none" w:sz="0" w:space="0" w:color="auto"/>
                <w:left w:val="none" w:sz="0" w:space="0" w:color="auto"/>
                <w:bottom w:val="none" w:sz="0" w:space="0" w:color="auto"/>
                <w:right w:val="none" w:sz="0" w:space="0" w:color="auto"/>
              </w:divBdr>
            </w:div>
            <w:div w:id="1071930799">
              <w:marLeft w:val="0"/>
              <w:marRight w:val="0"/>
              <w:marTop w:val="0"/>
              <w:marBottom w:val="0"/>
              <w:divBdr>
                <w:top w:val="none" w:sz="0" w:space="0" w:color="auto"/>
                <w:left w:val="none" w:sz="0" w:space="0" w:color="auto"/>
                <w:bottom w:val="none" w:sz="0" w:space="0" w:color="auto"/>
                <w:right w:val="none" w:sz="0" w:space="0" w:color="auto"/>
              </w:divBdr>
            </w:div>
            <w:div w:id="1110591338">
              <w:marLeft w:val="0"/>
              <w:marRight w:val="0"/>
              <w:marTop w:val="0"/>
              <w:marBottom w:val="0"/>
              <w:divBdr>
                <w:top w:val="none" w:sz="0" w:space="0" w:color="auto"/>
                <w:left w:val="none" w:sz="0" w:space="0" w:color="auto"/>
                <w:bottom w:val="none" w:sz="0" w:space="0" w:color="auto"/>
                <w:right w:val="none" w:sz="0" w:space="0" w:color="auto"/>
              </w:divBdr>
            </w:div>
            <w:div w:id="1441875328">
              <w:marLeft w:val="0"/>
              <w:marRight w:val="0"/>
              <w:marTop w:val="0"/>
              <w:marBottom w:val="0"/>
              <w:divBdr>
                <w:top w:val="none" w:sz="0" w:space="0" w:color="auto"/>
                <w:left w:val="none" w:sz="0" w:space="0" w:color="auto"/>
                <w:bottom w:val="none" w:sz="0" w:space="0" w:color="auto"/>
                <w:right w:val="none" w:sz="0" w:space="0" w:color="auto"/>
              </w:divBdr>
            </w:div>
            <w:div w:id="1484930716">
              <w:marLeft w:val="0"/>
              <w:marRight w:val="0"/>
              <w:marTop w:val="0"/>
              <w:marBottom w:val="0"/>
              <w:divBdr>
                <w:top w:val="none" w:sz="0" w:space="0" w:color="auto"/>
                <w:left w:val="none" w:sz="0" w:space="0" w:color="auto"/>
                <w:bottom w:val="none" w:sz="0" w:space="0" w:color="auto"/>
                <w:right w:val="none" w:sz="0" w:space="0" w:color="auto"/>
              </w:divBdr>
            </w:div>
            <w:div w:id="1569415998">
              <w:marLeft w:val="0"/>
              <w:marRight w:val="0"/>
              <w:marTop w:val="0"/>
              <w:marBottom w:val="0"/>
              <w:divBdr>
                <w:top w:val="none" w:sz="0" w:space="0" w:color="auto"/>
                <w:left w:val="none" w:sz="0" w:space="0" w:color="auto"/>
                <w:bottom w:val="none" w:sz="0" w:space="0" w:color="auto"/>
                <w:right w:val="none" w:sz="0" w:space="0" w:color="auto"/>
              </w:divBdr>
            </w:div>
            <w:div w:id="1607270990">
              <w:marLeft w:val="0"/>
              <w:marRight w:val="0"/>
              <w:marTop w:val="0"/>
              <w:marBottom w:val="0"/>
              <w:divBdr>
                <w:top w:val="none" w:sz="0" w:space="0" w:color="auto"/>
                <w:left w:val="none" w:sz="0" w:space="0" w:color="auto"/>
                <w:bottom w:val="none" w:sz="0" w:space="0" w:color="auto"/>
                <w:right w:val="none" w:sz="0" w:space="0" w:color="auto"/>
              </w:divBdr>
            </w:div>
            <w:div w:id="1613827965">
              <w:marLeft w:val="0"/>
              <w:marRight w:val="0"/>
              <w:marTop w:val="0"/>
              <w:marBottom w:val="0"/>
              <w:divBdr>
                <w:top w:val="none" w:sz="0" w:space="0" w:color="auto"/>
                <w:left w:val="none" w:sz="0" w:space="0" w:color="auto"/>
                <w:bottom w:val="none" w:sz="0" w:space="0" w:color="auto"/>
                <w:right w:val="none" w:sz="0" w:space="0" w:color="auto"/>
              </w:divBdr>
            </w:div>
            <w:div w:id="1619681102">
              <w:marLeft w:val="0"/>
              <w:marRight w:val="0"/>
              <w:marTop w:val="0"/>
              <w:marBottom w:val="0"/>
              <w:divBdr>
                <w:top w:val="none" w:sz="0" w:space="0" w:color="auto"/>
                <w:left w:val="none" w:sz="0" w:space="0" w:color="auto"/>
                <w:bottom w:val="none" w:sz="0" w:space="0" w:color="auto"/>
                <w:right w:val="none" w:sz="0" w:space="0" w:color="auto"/>
              </w:divBdr>
            </w:div>
            <w:div w:id="18877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23L00112/asmade/downloads" TargetMode="External"/><Relationship Id="rId13" Type="http://schemas.openxmlformats.org/officeDocument/2006/relationships/hyperlink" Target="https://oia.pmc.gov.au/sites/default/files/posts/2020/12/ci_sons_regulation_impact_statement_-_final_second_pass.pdf"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ettings" Target="settings.xml"/><Relationship Id="rId21" Type="http://schemas.microsoft.com/office/2007/relationships/diagramDrawing" Target="diagrams/drawing1.xml"/><Relationship Id="rId34" Type="http://schemas.openxmlformats.org/officeDocument/2006/relationships/glossaryDocument" Target="glossary/document.xml"/><Relationship Id="rId7" Type="http://schemas.openxmlformats.org/officeDocument/2006/relationships/hyperlink" Target="https://parlinfo.aph.gov.au/parlInfo/download/legislation/ems/r6657_ems_928e0092-fabb-4c31-a67b-b47ac1123e17/upload_pdf/JC000738.pdf;fileType=application%2Fpdf" TargetMode="External"/><Relationship Id="rId12" Type="http://schemas.openxmlformats.org/officeDocument/2006/relationships/hyperlink" Target="https://oia.pmc.gov.au/sites/default/files/2024-02/regulatory-burden-measurement-framework.pdf"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isc.gov.au/resources-subsite/Documents/cisc-compliance-enforcement-strategy-april-2022.pdf" TargetMode="External"/><Relationship Id="rId20" Type="http://schemas.openxmlformats.org/officeDocument/2006/relationships/diagramColors" Target="diagrams/colors1.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a.pmc.gov.au/sites/default/files/2024-02/regulatory-burden-measurement-framework.pdf" TargetMode="External"/><Relationship Id="rId24" Type="http://schemas.openxmlformats.org/officeDocument/2006/relationships/diagramQuickStyle" Target="diagrams/quickStyle2.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cisc.gov.au/resources-subsite/Documents/cisc-compliance-enforcement-strategy-april-2022.pdf" TargetMode="External"/><Relationship Id="rId23" Type="http://schemas.openxmlformats.org/officeDocument/2006/relationships/diagramLayout" Target="diagrams/layout2.xml"/><Relationship Id="rId28" Type="http://schemas.openxmlformats.org/officeDocument/2006/relationships/header" Target="header2.xml"/><Relationship Id="rId10" Type="http://schemas.openxmlformats.org/officeDocument/2006/relationships/hyperlink" Target="https://www.legislation.gov.au/F2023L00112/latest/text" TargetMode="External"/><Relationship Id="rId19" Type="http://schemas.openxmlformats.org/officeDocument/2006/relationships/diagramQuickStyle" Target="diagrams/quickStyle1.xm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omeaffairs.gov.au/cyber-security-subsite/files/cyber-security-strategy-2023-30-consultation-paper.pdf" TargetMode="External"/><Relationship Id="rId14" Type="http://schemas.openxmlformats.org/officeDocument/2006/relationships/hyperlink" Target="https://parlinfo.aph.gov.au/parlInfo/download/legislation/ems/r6657_ems_928e0092-fabb-4c31-a67b-b47ac1123e17/upload_pdf/JC000738.pdf;fileType=application%2Fpdf" TargetMode="External"/><Relationship Id="rId22" Type="http://schemas.openxmlformats.org/officeDocument/2006/relationships/diagramData" Target="diagrams/data2.xm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homeaffairs.gov.au/cyber-security-subsite/files/2023-cyber-security-strategy.pdf" TargetMode="External"/><Relationship Id="rId13" Type="http://schemas.openxmlformats.org/officeDocument/2006/relationships/hyperlink" Target="https://www.foreignminister.gov.au/minister/penny-wong/media-release/cyber-sanctions-response-medibank-private-cyber-attack" TargetMode="External"/><Relationship Id="rId18" Type="http://schemas.openxmlformats.org/officeDocument/2006/relationships/hyperlink" Target="https://www.optus.com.au/content/dam/optus/documents/about-us/media-centre/financial-reports/2022/halfyear_optus.pdf" TargetMode="External"/><Relationship Id="rId26" Type="http://schemas.openxmlformats.org/officeDocument/2006/relationships/hyperlink" Target="https://www.ncsc.gov.uk/news/ncsc-warns-enduring-significant-threat-to-uks-critical-infrastructure" TargetMode="External"/><Relationship Id="rId3" Type="http://schemas.openxmlformats.org/officeDocument/2006/relationships/hyperlink" Target="https://www.homeaffairs.gov.au/reports-and-pubs/Annualreports/home-affairs-annual-report-2022-23.pdf" TargetMode="External"/><Relationship Id="rId21" Type="http://schemas.openxmlformats.org/officeDocument/2006/relationships/hyperlink" Target="https://oia.pmc.gov.au/sites/default/files/posts/2023/02/Impact%20Analysis.pdf" TargetMode="External"/><Relationship Id="rId34" Type="http://schemas.openxmlformats.org/officeDocument/2006/relationships/hyperlink" Target="https://oia.pmc.gov.au/sites/default/files/2024-02/regulatory-burden-measurement-framework.pdf" TargetMode="External"/><Relationship Id="rId7" Type="http://schemas.openxmlformats.org/officeDocument/2006/relationships/hyperlink" Target="https://www.cyber.gov.au/sites/default/files/2023-11/asd-cyber-threat-report-2023.pdf" TargetMode="External"/><Relationship Id="rId12" Type="http://schemas.openxmlformats.org/officeDocument/2006/relationships/hyperlink" Target="https://www.medibank.com.au/content/dam/retail/about-assets/pdfs/investor-centre/results/HY23_Results_Media_Release.pdf" TargetMode="External"/><Relationship Id="rId17" Type="http://schemas.openxmlformats.org/officeDocument/2006/relationships/hyperlink" Target="https://www.medibank.com.au/livebetter/newsroom/post/2023-half-year-results-a-solid-result-with-business-momentum-returning" TargetMode="External"/><Relationship Id="rId25" Type="http://schemas.openxmlformats.org/officeDocument/2006/relationships/hyperlink" Target="https://www.cisc.gov.au/about-us" TargetMode="External"/><Relationship Id="rId33" Type="http://schemas.openxmlformats.org/officeDocument/2006/relationships/hyperlink" Target="https://www.ag.gov.au/legal-system/office-legal-services-coordination/engagement-counsel" TargetMode="External"/><Relationship Id="rId2" Type="http://schemas.openxmlformats.org/officeDocument/2006/relationships/hyperlink" Target="https://www.cyber.gov.au/about-us/reports-and-statistics/asd-cyber-threat-report-july-2022-june-2023" TargetMode="External"/><Relationship Id="rId16" Type="http://schemas.openxmlformats.org/officeDocument/2006/relationships/hyperlink" Target="https://www.medibank.com.au/livebetter/newsroom/post/2023-half-year-results-a-solid-result-with-business-momentum-returning" TargetMode="External"/><Relationship Id="rId20" Type="http://schemas.openxmlformats.org/officeDocument/2006/relationships/hyperlink" Target="https://oia.pmc.gov.au/sites/default/files/posts/2020/12/ci_sons_regulation_impact_statement_-_final_second_pass.pdf" TargetMode="External"/><Relationship Id="rId29" Type="http://schemas.openxmlformats.org/officeDocument/2006/relationships/hyperlink" Target="https://www.foreignminister.gov.au/minister/penny-wong/media-release/cyber-sanctions-response-medibank-private-cyber-attack" TargetMode="External"/><Relationship Id="rId1" Type="http://schemas.openxmlformats.org/officeDocument/2006/relationships/hyperlink" Target="https://www.abs.gov.au/media-centre/media-releases/cyber-security-incidents-double-between-2019-20-and-2021-22" TargetMode="External"/><Relationship Id="rId6" Type="http://schemas.openxmlformats.org/officeDocument/2006/relationships/hyperlink" Target="https://oia.pmc.gov.au/sites/default/files/posts/2023/02/Impact%20Analysis.pdf" TargetMode="External"/><Relationship Id="rId11" Type="http://schemas.openxmlformats.org/officeDocument/2006/relationships/hyperlink" Target="https://www.medibank.com.au/content/dam/retail/about-assets/pdfs/investor-centre/results/HY23_Results_Media_Release.pdf" TargetMode="External"/><Relationship Id="rId24" Type="http://schemas.openxmlformats.org/officeDocument/2006/relationships/hyperlink" Target="https://www.cisc.gov.au/how-we-support-industry/partnership-and-collaboration/trusted-information-sharing-network" TargetMode="External"/><Relationship Id="rId32" Type="http://schemas.openxmlformats.org/officeDocument/2006/relationships/hyperlink" Target="https://www.ag.gov.au/legal-system/office-legal-services-coordination/engagement-counsel" TargetMode="External"/><Relationship Id="rId5" Type="http://schemas.openxmlformats.org/officeDocument/2006/relationships/hyperlink" Target="https://www.cisc.gov.au/resources-subsite/Documents/overview-cyber-security-obligations-corporate-leaders.pdf" TargetMode="External"/><Relationship Id="rId15" Type="http://schemas.openxmlformats.org/officeDocument/2006/relationships/hyperlink" Target="https://www.medibank.com.au/content/dam/retail/about-assets/pdfs/investor-centre/results/HY23_Results_Media_Release.pdf" TargetMode="External"/><Relationship Id="rId23" Type="http://schemas.openxmlformats.org/officeDocument/2006/relationships/hyperlink" Target="https://www.cisc.gov.au/how-we-support-industry/organisational-resilience/critical-infrastructure-resilience-strategy" TargetMode="External"/><Relationship Id="rId28" Type="http://schemas.openxmlformats.org/officeDocument/2006/relationships/hyperlink" Target="https://parlinfo.aph.gov.au/parlInfo/download/committees/commsen/27530/toc_pdf/Environment%20and%20Communications%20References%20Committee_2023_11_17_Official.pdf;fileType=application%2Fpdf" TargetMode="External"/><Relationship Id="rId10" Type="http://schemas.openxmlformats.org/officeDocument/2006/relationships/hyperlink" Target="https://www.medibank.com.au/livebetter/newsroom/post/statement-by-afp-commissioner-reece-kershaw-on-medibank-private-data-breach" TargetMode="External"/><Relationship Id="rId19" Type="http://schemas.openxmlformats.org/officeDocument/2006/relationships/hyperlink" Target="https://www.optus.com.au/content/dam/optus/documents/for-you/support/cyberattack/cyber_incident_letter_251022.pdf" TargetMode="External"/><Relationship Id="rId31" Type="http://schemas.openxmlformats.org/officeDocument/2006/relationships/hyperlink" Target="https://www.legislation.gov.au/F2023L00112/asmade/downloads" TargetMode="External"/><Relationship Id="rId4" Type="http://schemas.openxmlformats.org/officeDocument/2006/relationships/hyperlink" Target="https://www.theguardian.com/australia-news/2022/oct/04/guardian-essential-poll-one-in-two-australians-want-stronger-privacy-laws-after-optus-" TargetMode="External"/><Relationship Id="rId9" Type="http://schemas.openxmlformats.org/officeDocument/2006/relationships/hyperlink" Target="https://www.medibank.com.au/livebetter/newsroom/post/medibank-cybercrime-update%207%20November" TargetMode="External"/><Relationship Id="rId14" Type="http://schemas.openxmlformats.org/officeDocument/2006/relationships/hyperlink" Target="https://www.medibank.com.au/livebetter/newsroom/post/medibank-cybercrime-update%207%20November" TargetMode="External"/><Relationship Id="rId22" Type="http://schemas.openxmlformats.org/officeDocument/2006/relationships/hyperlink" Target="https://www.homeaffairs.gov.au/cyber-security-subsite/files/cyber-security-strategy-2023-30-consultation-paper.pdf" TargetMode="External"/><Relationship Id="rId27" Type="http://schemas.openxmlformats.org/officeDocument/2006/relationships/hyperlink" Target="https://www.cisc.gov.au/news-media/archive/article?itemId=1176" TargetMode="External"/><Relationship Id="rId30" Type="http://schemas.openxmlformats.org/officeDocument/2006/relationships/hyperlink" Target="https://www.medibank.com.au/livebetter/newsroom/post/medibank-cybercrime-update%207%20Novemb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diagrams/_rels/data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4" Type="http://schemas.openxmlformats.org/officeDocument/2006/relationships/image" Target="../media/image4.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3.png"/><Relationship Id="rId4" Type="http://schemas.openxmlformats.org/officeDocument/2006/relationships/image" Target="../media/image4.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FF3039-DFCA-4A74-A4BB-777AB16DD83D}" type="doc">
      <dgm:prSet loTypeId="urn:microsoft.com/office/officeart/2005/8/layout/bProcess3" loCatId="process" qsTypeId="urn:microsoft.com/office/officeart/2005/8/quickstyle/simple4" qsCatId="simple" csTypeId="urn:microsoft.com/office/officeart/2005/8/colors/accent1_2" csCatId="accent1" phldr="1"/>
      <dgm:spPr/>
    </dgm:pt>
    <dgm:pt modelId="{50DAF4D4-BF59-4E1F-8EC7-0C5F18D4FC88}">
      <dgm:prSet phldrT="[Text]" custT="1"/>
      <dgm:spPr>
        <a:solidFill>
          <a:srgbClr val="284B98"/>
        </a:solidFill>
      </dgm:spPr>
      <dgm:t>
        <a:bodyPr/>
        <a:lstStyle/>
        <a:p>
          <a:pPr algn="ctr"/>
          <a:r>
            <a:rPr lang="en-AU" sz="1000" b="1">
              <a:latin typeface="Arial" panose="020B0604020202020204" pitchFamily="34" charset="0"/>
              <a:cs typeface="Arial" panose="020B0604020202020204" pitchFamily="34" charset="0"/>
            </a:rPr>
            <a:t>Stage 2: </a:t>
          </a:r>
          <a:r>
            <a:rPr lang="en-AU" sz="1000">
              <a:latin typeface="Arial" panose="020B0604020202020204" pitchFamily="34" charset="0"/>
              <a:cs typeface="Arial" panose="020B0604020202020204" pitchFamily="34" charset="0"/>
            </a:rPr>
            <a:t>Passage of amendments to SOCI Act and Rules.</a:t>
          </a:r>
        </a:p>
      </dgm:t>
      <dgm:extLst>
        <a:ext uri="{E40237B7-FDA0-4F09-8148-C483321AD2D9}">
          <dgm14:cNvPr xmlns:dgm14="http://schemas.microsoft.com/office/drawing/2010/diagram" id="0" name="" descr="Stage 2: Passage of amendments to SOCI Act and Rules.&#10;"/>
        </a:ext>
      </dgm:extLst>
    </dgm:pt>
    <dgm:pt modelId="{A42EDF71-CAE9-470E-B123-7A767DBF7B3D}" type="parTrans" cxnId="{F6CB43FD-C111-4129-80E7-43E4D8558298}">
      <dgm:prSet/>
      <dgm:spPr/>
      <dgm:t>
        <a:bodyPr/>
        <a:lstStyle/>
        <a:p>
          <a:pPr algn="ctr"/>
          <a:endParaRPr lang="en-AU" sz="1000">
            <a:latin typeface="Arial" panose="020B0604020202020204" pitchFamily="34" charset="0"/>
            <a:cs typeface="Arial" panose="020B0604020202020204" pitchFamily="34" charset="0"/>
          </a:endParaRPr>
        </a:p>
      </dgm:t>
    </dgm:pt>
    <dgm:pt modelId="{A392DFD7-BCB6-4AAA-954D-D844EC40C3DB}" type="sibTrans" cxnId="{F6CB43FD-C111-4129-80E7-43E4D8558298}">
      <dgm:prSet custT="1"/>
      <dgm:spPr/>
      <dgm:t>
        <a:bodyPr/>
        <a:lstStyle/>
        <a:p>
          <a:pPr algn="ctr"/>
          <a:endParaRPr lang="en-AU" sz="10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Arrow from stage 2 to stage 3"/>
        </a:ext>
      </dgm:extLst>
    </dgm:pt>
    <dgm:pt modelId="{E26AEAB6-1643-4F58-A624-1D8FE409273A}">
      <dgm:prSet phldrT="[Text]" custT="1"/>
      <dgm:spPr>
        <a:solidFill>
          <a:srgbClr val="284B98"/>
        </a:solidFill>
      </dgm:spPr>
      <dgm:t>
        <a:bodyPr/>
        <a:lstStyle/>
        <a:p>
          <a:pPr algn="ctr"/>
          <a:r>
            <a:rPr lang="en-AU" sz="1000" b="1">
              <a:latin typeface="Arial" panose="020B0604020202020204" pitchFamily="34" charset="0"/>
              <a:cs typeface="Arial" panose="020B0604020202020204" pitchFamily="34" charset="0"/>
            </a:rPr>
            <a:t>Stage 3: </a:t>
          </a:r>
          <a:r>
            <a:rPr lang="en-AU" sz="1000">
              <a:latin typeface="Arial" panose="020B0604020202020204" pitchFamily="34" charset="0"/>
              <a:cs typeface="Arial" panose="020B0604020202020204" pitchFamily="34" charset="0"/>
            </a:rPr>
            <a:t>Transition period</a:t>
          </a:r>
        </a:p>
      </dgm:t>
      <dgm:extLst>
        <a:ext uri="{E40237B7-FDA0-4F09-8148-C483321AD2D9}">
          <dgm14:cNvPr xmlns:dgm14="http://schemas.microsoft.com/office/drawing/2010/diagram" id="0" name="" descr="Stage 3: Transition period&#10;"/>
        </a:ext>
      </dgm:extLst>
    </dgm:pt>
    <dgm:pt modelId="{4FFE97DE-5C8C-49F1-8F26-6830ADADFB9F}" type="parTrans" cxnId="{5B353739-34F6-4669-B368-3F696AAF6D01}">
      <dgm:prSet/>
      <dgm:spPr/>
      <dgm:t>
        <a:bodyPr/>
        <a:lstStyle/>
        <a:p>
          <a:pPr algn="ctr"/>
          <a:endParaRPr lang="en-AU" sz="1000">
            <a:latin typeface="Arial" panose="020B0604020202020204" pitchFamily="34" charset="0"/>
            <a:cs typeface="Arial" panose="020B0604020202020204" pitchFamily="34" charset="0"/>
          </a:endParaRPr>
        </a:p>
      </dgm:t>
    </dgm:pt>
    <dgm:pt modelId="{1F261F6B-C6FC-4E52-AF4C-60A224BDFC4E}" type="sibTrans" cxnId="{5B353739-34F6-4669-B368-3F696AAF6D01}">
      <dgm:prSet custT="1"/>
      <dgm:spPr/>
      <dgm:t>
        <a:bodyPr/>
        <a:lstStyle/>
        <a:p>
          <a:pPr algn="ctr"/>
          <a:endParaRPr lang="en-AU" sz="10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Arrow from stage 3 to stage 4"/>
        </a:ext>
      </dgm:extLst>
    </dgm:pt>
    <dgm:pt modelId="{712B9AF9-09B8-4F42-A384-F8E96667BD22}">
      <dgm:prSet custT="1"/>
      <dgm:spPr>
        <a:solidFill>
          <a:srgbClr val="284B98"/>
        </a:solidFill>
      </dgm:spPr>
      <dgm:t>
        <a:bodyPr/>
        <a:lstStyle/>
        <a:p>
          <a:pPr algn="ctr"/>
          <a:r>
            <a:rPr lang="en-AU" sz="1000" b="1">
              <a:latin typeface="Arial" panose="020B0604020202020204" pitchFamily="34" charset="0"/>
              <a:cs typeface="Arial" panose="020B0604020202020204" pitchFamily="34" charset="0"/>
            </a:rPr>
            <a:t>Stage 4: </a:t>
          </a:r>
          <a:r>
            <a:rPr lang="en-AU" sz="1000">
              <a:latin typeface="Arial" panose="020B0604020202020204" pitchFamily="34" charset="0"/>
              <a:cs typeface="Arial" panose="020B0604020202020204" pitchFamily="34" charset="0"/>
            </a:rPr>
            <a:t>New obligations become enforceable</a:t>
          </a:r>
        </a:p>
      </dgm:t>
      <dgm:extLst>
        <a:ext uri="{E40237B7-FDA0-4F09-8148-C483321AD2D9}">
          <dgm14:cNvPr xmlns:dgm14="http://schemas.microsoft.com/office/drawing/2010/diagram" id="0" name="" descr="Stage 4: New obligations become enforceable&#10;"/>
        </a:ext>
      </dgm:extLst>
    </dgm:pt>
    <dgm:pt modelId="{6F1A5A7F-FBAD-44A5-BFE7-16AA94D7C1ED}" type="parTrans" cxnId="{B3D64A0D-194E-4E9C-8067-E649132D30C8}">
      <dgm:prSet/>
      <dgm:spPr/>
      <dgm:t>
        <a:bodyPr/>
        <a:lstStyle/>
        <a:p>
          <a:pPr algn="ctr"/>
          <a:endParaRPr lang="en-AU" sz="1000">
            <a:latin typeface="Arial" panose="020B0604020202020204" pitchFamily="34" charset="0"/>
            <a:cs typeface="Arial" panose="020B0604020202020204" pitchFamily="34" charset="0"/>
          </a:endParaRPr>
        </a:p>
      </dgm:t>
    </dgm:pt>
    <dgm:pt modelId="{D4C09666-3440-474F-8140-893A31C5508B}" type="sibTrans" cxnId="{B3D64A0D-194E-4E9C-8067-E649132D30C8}">
      <dgm:prSet custT="1"/>
      <dgm:spPr/>
      <dgm:t>
        <a:bodyPr/>
        <a:lstStyle/>
        <a:p>
          <a:pPr algn="ctr"/>
          <a:endParaRPr lang="en-AU" sz="10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Arrow from stage 4 to stage 5"/>
        </a:ext>
      </dgm:extLst>
    </dgm:pt>
    <dgm:pt modelId="{FB36EDE8-6B6E-4128-95E6-2073A69573C6}">
      <dgm:prSet custT="1"/>
      <dgm:spPr>
        <a:solidFill>
          <a:srgbClr val="284B98"/>
        </a:solidFill>
      </dgm:spPr>
      <dgm:t>
        <a:bodyPr/>
        <a:lstStyle/>
        <a:p>
          <a:pPr algn="ctr"/>
          <a:r>
            <a:rPr lang="en-AU" sz="1000" b="1">
              <a:latin typeface="Arial" panose="020B0604020202020204" pitchFamily="34" charset="0"/>
              <a:cs typeface="Arial" panose="020B0604020202020204" pitchFamily="34" charset="0"/>
            </a:rPr>
            <a:t>Stage 5: </a:t>
          </a:r>
          <a:r>
            <a:rPr lang="en-AU" sz="1000">
              <a:latin typeface="Arial" panose="020B0604020202020204" pitchFamily="34" charset="0"/>
              <a:cs typeface="Arial" panose="020B0604020202020204" pitchFamily="34" charset="0"/>
            </a:rPr>
            <a:t>Compliance, monitoring  consequence management</a:t>
          </a:r>
        </a:p>
      </dgm:t>
      <dgm:extLst>
        <a:ext uri="{E40237B7-FDA0-4F09-8148-C483321AD2D9}">
          <dgm14:cNvPr xmlns:dgm14="http://schemas.microsoft.com/office/drawing/2010/diagram" id="0" name="" descr="Stage 5: Compliance, monitoring  consequence management&#10;"/>
        </a:ext>
      </dgm:extLst>
    </dgm:pt>
    <dgm:pt modelId="{624183DC-6933-4DDD-8F5C-E28848ECC5AA}" type="parTrans" cxnId="{5437037D-7A2B-4ABD-A710-8EA8A78FE1EC}">
      <dgm:prSet/>
      <dgm:spPr/>
      <dgm:t>
        <a:bodyPr/>
        <a:lstStyle/>
        <a:p>
          <a:pPr algn="ctr"/>
          <a:endParaRPr lang="en-AU" sz="1000">
            <a:latin typeface="Arial" panose="020B0604020202020204" pitchFamily="34" charset="0"/>
            <a:cs typeface="Arial" panose="020B0604020202020204" pitchFamily="34" charset="0"/>
          </a:endParaRPr>
        </a:p>
      </dgm:t>
    </dgm:pt>
    <dgm:pt modelId="{7692103F-53A1-407A-B384-F3577B03D8AC}" type="sibTrans" cxnId="{5437037D-7A2B-4ABD-A710-8EA8A78FE1EC}">
      <dgm:prSet custT="1"/>
      <dgm:spPr/>
      <dgm:t>
        <a:bodyPr/>
        <a:lstStyle/>
        <a:p>
          <a:pPr algn="ctr"/>
          <a:endParaRPr lang="en-AU" sz="1000">
            <a:latin typeface="Arial" panose="020B0604020202020204" pitchFamily="34" charset="0"/>
            <a:cs typeface="Arial" panose="020B0604020202020204" pitchFamily="34" charset="0"/>
          </a:endParaRPr>
        </a:p>
      </dgm:t>
      <dgm:extLst>
        <a:ext uri="{E40237B7-FDA0-4F09-8148-C483321AD2D9}">
          <dgm14:cNvPr xmlns:dgm14="http://schemas.microsoft.com/office/drawing/2010/diagram" id="0" name="" descr="Arrow from stage 5 to stage 6"/>
        </a:ext>
      </dgm:extLst>
    </dgm:pt>
    <dgm:pt modelId="{C4F9A75D-D928-4A03-86EF-2A529C498659}">
      <dgm:prSet custT="1"/>
      <dgm:spPr>
        <a:solidFill>
          <a:srgbClr val="284B98"/>
        </a:solidFill>
      </dgm:spPr>
      <dgm:t>
        <a:bodyPr/>
        <a:lstStyle/>
        <a:p>
          <a:pPr algn="ctr"/>
          <a:r>
            <a:rPr lang="en-AU" sz="1000" b="1">
              <a:latin typeface="Arial" panose="020B0604020202020204" pitchFamily="34" charset="0"/>
              <a:cs typeface="Arial" panose="020B0604020202020204" pitchFamily="34" charset="0"/>
            </a:rPr>
            <a:t>Stage 6: </a:t>
          </a:r>
          <a:r>
            <a:rPr lang="en-AU" sz="1000">
              <a:latin typeface="Arial" panose="020B0604020202020204" pitchFamily="34" charset="0"/>
              <a:cs typeface="Arial" panose="020B0604020202020204" pitchFamily="34" charset="0"/>
            </a:rPr>
            <a:t>Continuous improvement</a:t>
          </a:r>
        </a:p>
      </dgm:t>
      <dgm:extLst>
        <a:ext uri="{E40237B7-FDA0-4F09-8148-C483321AD2D9}">
          <dgm14:cNvPr xmlns:dgm14="http://schemas.microsoft.com/office/drawing/2010/diagram" id="0" name="" descr="Stage 6: Continuous improvement&#10;"/>
        </a:ext>
      </dgm:extLst>
    </dgm:pt>
    <dgm:pt modelId="{8281E1F8-598A-4C6A-858D-4FA41743108F}" type="parTrans" cxnId="{07DB5741-FE4E-47A7-98C1-6F467962E05B}">
      <dgm:prSet/>
      <dgm:spPr/>
      <dgm:t>
        <a:bodyPr/>
        <a:lstStyle/>
        <a:p>
          <a:pPr algn="ctr"/>
          <a:endParaRPr lang="en-AU" sz="1000">
            <a:latin typeface="Arial" panose="020B0604020202020204" pitchFamily="34" charset="0"/>
            <a:cs typeface="Arial" panose="020B0604020202020204" pitchFamily="34" charset="0"/>
          </a:endParaRPr>
        </a:p>
      </dgm:t>
    </dgm:pt>
    <dgm:pt modelId="{3EF99AAB-38EF-4173-B292-4FFE2F629C65}" type="sibTrans" cxnId="{07DB5741-FE4E-47A7-98C1-6F467962E05B}">
      <dgm:prSet/>
      <dgm:spPr/>
      <dgm:t>
        <a:bodyPr/>
        <a:lstStyle/>
        <a:p>
          <a:pPr algn="ctr"/>
          <a:endParaRPr lang="en-AU" sz="1000">
            <a:latin typeface="Arial" panose="020B0604020202020204" pitchFamily="34" charset="0"/>
            <a:cs typeface="Arial" panose="020B0604020202020204" pitchFamily="34" charset="0"/>
          </a:endParaRPr>
        </a:p>
      </dgm:t>
    </dgm:pt>
    <dgm:pt modelId="{AB69A799-8815-4B7E-A2F0-363BACE20B86}">
      <dgm:prSet phldrT="[Text]" custT="1"/>
      <dgm:spPr>
        <a:solidFill>
          <a:srgbClr val="284B98"/>
        </a:solidFill>
      </dgm:spPr>
      <dgm:t>
        <a:bodyPr/>
        <a:lstStyle/>
        <a:p>
          <a:pPr algn="ctr"/>
          <a:r>
            <a:rPr lang="en-AU" sz="1000" b="1">
              <a:latin typeface="Arial" panose="020B0604020202020204" pitchFamily="34" charset="0"/>
              <a:cs typeface="Arial" panose="020B0604020202020204" pitchFamily="34" charset="0"/>
            </a:rPr>
            <a:t>Stage 1: </a:t>
          </a:r>
          <a:r>
            <a:rPr lang="en-AU" sz="1000">
              <a:latin typeface="Arial" panose="020B0604020202020204" pitchFamily="34" charset="0"/>
              <a:cs typeface="Arial" panose="020B0604020202020204" pitchFamily="34" charset="0"/>
            </a:rPr>
            <a:t>Draft text for legislative amendments </a:t>
          </a:r>
        </a:p>
      </dgm:t>
      <dgm:extLst>
        <a:ext uri="{E40237B7-FDA0-4F09-8148-C483321AD2D9}">
          <dgm14:cNvPr xmlns:dgm14="http://schemas.microsoft.com/office/drawing/2010/diagram" id="0" name="" descr="Stage 1: Draft text for legislative amendments &#10;"/>
        </a:ext>
      </dgm:extLst>
    </dgm:pt>
    <dgm:pt modelId="{8C744E47-24DF-4F8E-ADFF-FBE6CE9B1388}" type="parTrans" cxnId="{351F95F2-2B22-4FD2-B9E4-BBA2650BCC58}">
      <dgm:prSet/>
      <dgm:spPr/>
      <dgm:t>
        <a:bodyPr/>
        <a:lstStyle/>
        <a:p>
          <a:endParaRPr lang="en-AU"/>
        </a:p>
      </dgm:t>
    </dgm:pt>
    <dgm:pt modelId="{1E493151-A8B3-49D9-BC64-B5B02FDA54C4}" type="sibTrans" cxnId="{351F95F2-2B22-4FD2-B9E4-BBA2650BCC58}">
      <dgm:prSet/>
      <dgm:spPr/>
      <dgm:t>
        <a:bodyPr/>
        <a:lstStyle/>
        <a:p>
          <a:endParaRPr lang="en-AU"/>
        </a:p>
      </dgm:t>
      <dgm:extLst>
        <a:ext uri="{E40237B7-FDA0-4F09-8148-C483321AD2D9}">
          <dgm14:cNvPr xmlns:dgm14="http://schemas.microsoft.com/office/drawing/2010/diagram" id="0" name="" descr="Arrow from stage 1 to stage 2"/>
        </a:ext>
      </dgm:extLst>
    </dgm:pt>
    <dgm:pt modelId="{68603B87-C3D6-4861-BECB-DE06556BC906}" type="pres">
      <dgm:prSet presAssocID="{C3FF3039-DFCA-4A74-A4BB-777AB16DD83D}" presName="Name0" presStyleCnt="0">
        <dgm:presLayoutVars>
          <dgm:dir/>
          <dgm:resizeHandles val="exact"/>
        </dgm:presLayoutVars>
      </dgm:prSet>
      <dgm:spPr/>
    </dgm:pt>
    <dgm:pt modelId="{181AAF42-AB95-4EB1-A726-43D402188AB0}" type="pres">
      <dgm:prSet presAssocID="{AB69A799-8815-4B7E-A2F0-363BACE20B86}" presName="node" presStyleLbl="node1" presStyleIdx="0" presStyleCnt="6">
        <dgm:presLayoutVars>
          <dgm:bulletEnabled val="1"/>
        </dgm:presLayoutVars>
      </dgm:prSet>
      <dgm:spPr/>
      <dgm:t>
        <a:bodyPr/>
        <a:lstStyle/>
        <a:p>
          <a:endParaRPr lang="en-US"/>
        </a:p>
      </dgm:t>
    </dgm:pt>
    <dgm:pt modelId="{850AB1C3-EBB8-44AE-A24D-4165C57DD246}" type="pres">
      <dgm:prSet presAssocID="{1E493151-A8B3-49D9-BC64-B5B02FDA54C4}" presName="sibTrans" presStyleLbl="sibTrans1D1" presStyleIdx="0" presStyleCnt="5"/>
      <dgm:spPr/>
      <dgm:t>
        <a:bodyPr/>
        <a:lstStyle/>
        <a:p>
          <a:endParaRPr lang="en-US"/>
        </a:p>
      </dgm:t>
    </dgm:pt>
    <dgm:pt modelId="{7ACB2376-6256-4821-82C9-25EF79037A2C}" type="pres">
      <dgm:prSet presAssocID="{1E493151-A8B3-49D9-BC64-B5B02FDA54C4}" presName="connectorText" presStyleLbl="sibTrans1D1" presStyleIdx="0" presStyleCnt="5"/>
      <dgm:spPr/>
      <dgm:t>
        <a:bodyPr/>
        <a:lstStyle/>
        <a:p>
          <a:endParaRPr lang="en-US"/>
        </a:p>
      </dgm:t>
    </dgm:pt>
    <dgm:pt modelId="{22BB0286-B079-4692-9BE2-45133365C54E}" type="pres">
      <dgm:prSet presAssocID="{50DAF4D4-BF59-4E1F-8EC7-0C5F18D4FC88}" presName="node" presStyleLbl="node1" presStyleIdx="1" presStyleCnt="6">
        <dgm:presLayoutVars>
          <dgm:bulletEnabled val="1"/>
        </dgm:presLayoutVars>
      </dgm:prSet>
      <dgm:spPr/>
      <dgm:t>
        <a:bodyPr/>
        <a:lstStyle/>
        <a:p>
          <a:endParaRPr lang="en-US"/>
        </a:p>
      </dgm:t>
    </dgm:pt>
    <dgm:pt modelId="{DA55B05C-093D-433D-A68B-9F7AE60CCCAA}" type="pres">
      <dgm:prSet presAssocID="{A392DFD7-BCB6-4AAA-954D-D844EC40C3DB}" presName="sibTrans" presStyleLbl="sibTrans1D1" presStyleIdx="1" presStyleCnt="5"/>
      <dgm:spPr/>
      <dgm:t>
        <a:bodyPr/>
        <a:lstStyle/>
        <a:p>
          <a:endParaRPr lang="en-US"/>
        </a:p>
      </dgm:t>
    </dgm:pt>
    <dgm:pt modelId="{B8EAF156-A644-4019-8A21-A8A97498FF45}" type="pres">
      <dgm:prSet presAssocID="{A392DFD7-BCB6-4AAA-954D-D844EC40C3DB}" presName="connectorText" presStyleLbl="sibTrans1D1" presStyleIdx="1" presStyleCnt="5"/>
      <dgm:spPr/>
      <dgm:t>
        <a:bodyPr/>
        <a:lstStyle/>
        <a:p>
          <a:endParaRPr lang="en-US"/>
        </a:p>
      </dgm:t>
    </dgm:pt>
    <dgm:pt modelId="{EBCEE134-C2AA-4A21-9381-0B2A75E423AE}" type="pres">
      <dgm:prSet presAssocID="{E26AEAB6-1643-4F58-A624-1D8FE409273A}" presName="node" presStyleLbl="node1" presStyleIdx="2" presStyleCnt="6">
        <dgm:presLayoutVars>
          <dgm:bulletEnabled val="1"/>
        </dgm:presLayoutVars>
      </dgm:prSet>
      <dgm:spPr/>
      <dgm:t>
        <a:bodyPr/>
        <a:lstStyle/>
        <a:p>
          <a:endParaRPr lang="en-US"/>
        </a:p>
      </dgm:t>
    </dgm:pt>
    <dgm:pt modelId="{4F01B851-1F02-43E4-9BFB-5C4A3719BF5A}" type="pres">
      <dgm:prSet presAssocID="{1F261F6B-C6FC-4E52-AF4C-60A224BDFC4E}" presName="sibTrans" presStyleLbl="sibTrans1D1" presStyleIdx="2" presStyleCnt="5"/>
      <dgm:spPr/>
      <dgm:t>
        <a:bodyPr/>
        <a:lstStyle/>
        <a:p>
          <a:endParaRPr lang="en-US"/>
        </a:p>
      </dgm:t>
    </dgm:pt>
    <dgm:pt modelId="{B41542FA-5985-445F-9625-235BF5A97284}" type="pres">
      <dgm:prSet presAssocID="{1F261F6B-C6FC-4E52-AF4C-60A224BDFC4E}" presName="connectorText" presStyleLbl="sibTrans1D1" presStyleIdx="2" presStyleCnt="5"/>
      <dgm:spPr/>
      <dgm:t>
        <a:bodyPr/>
        <a:lstStyle/>
        <a:p>
          <a:endParaRPr lang="en-US"/>
        </a:p>
      </dgm:t>
    </dgm:pt>
    <dgm:pt modelId="{1DC48CE4-25D6-4B3D-BE5D-02F176C1D8D8}" type="pres">
      <dgm:prSet presAssocID="{712B9AF9-09B8-4F42-A384-F8E96667BD22}" presName="node" presStyleLbl="node1" presStyleIdx="3" presStyleCnt="6">
        <dgm:presLayoutVars>
          <dgm:bulletEnabled val="1"/>
        </dgm:presLayoutVars>
      </dgm:prSet>
      <dgm:spPr/>
      <dgm:t>
        <a:bodyPr/>
        <a:lstStyle/>
        <a:p>
          <a:endParaRPr lang="en-US"/>
        </a:p>
      </dgm:t>
    </dgm:pt>
    <dgm:pt modelId="{A8081007-99D9-4836-BD3B-615782339257}" type="pres">
      <dgm:prSet presAssocID="{D4C09666-3440-474F-8140-893A31C5508B}" presName="sibTrans" presStyleLbl="sibTrans1D1" presStyleIdx="3" presStyleCnt="5"/>
      <dgm:spPr/>
      <dgm:t>
        <a:bodyPr/>
        <a:lstStyle/>
        <a:p>
          <a:endParaRPr lang="en-US"/>
        </a:p>
      </dgm:t>
    </dgm:pt>
    <dgm:pt modelId="{8EA08C93-5349-4A44-BD45-6618F8FDE08B}" type="pres">
      <dgm:prSet presAssocID="{D4C09666-3440-474F-8140-893A31C5508B}" presName="connectorText" presStyleLbl="sibTrans1D1" presStyleIdx="3" presStyleCnt="5"/>
      <dgm:spPr/>
      <dgm:t>
        <a:bodyPr/>
        <a:lstStyle/>
        <a:p>
          <a:endParaRPr lang="en-US"/>
        </a:p>
      </dgm:t>
    </dgm:pt>
    <dgm:pt modelId="{E27FEC02-FB76-4E9D-A23A-D383C31B8A4E}" type="pres">
      <dgm:prSet presAssocID="{FB36EDE8-6B6E-4128-95E6-2073A69573C6}" presName="node" presStyleLbl="node1" presStyleIdx="4" presStyleCnt="6">
        <dgm:presLayoutVars>
          <dgm:bulletEnabled val="1"/>
        </dgm:presLayoutVars>
      </dgm:prSet>
      <dgm:spPr/>
      <dgm:t>
        <a:bodyPr/>
        <a:lstStyle/>
        <a:p>
          <a:endParaRPr lang="en-US"/>
        </a:p>
      </dgm:t>
    </dgm:pt>
    <dgm:pt modelId="{63ED400C-CA8F-41A1-B2BF-5243A50D7305}" type="pres">
      <dgm:prSet presAssocID="{7692103F-53A1-407A-B384-F3577B03D8AC}" presName="sibTrans" presStyleLbl="sibTrans1D1" presStyleIdx="4" presStyleCnt="5"/>
      <dgm:spPr/>
      <dgm:t>
        <a:bodyPr/>
        <a:lstStyle/>
        <a:p>
          <a:endParaRPr lang="en-US"/>
        </a:p>
      </dgm:t>
    </dgm:pt>
    <dgm:pt modelId="{C30E0E02-B4A6-459D-BFE8-419922350D48}" type="pres">
      <dgm:prSet presAssocID="{7692103F-53A1-407A-B384-F3577B03D8AC}" presName="connectorText" presStyleLbl="sibTrans1D1" presStyleIdx="4" presStyleCnt="5"/>
      <dgm:spPr/>
      <dgm:t>
        <a:bodyPr/>
        <a:lstStyle/>
        <a:p>
          <a:endParaRPr lang="en-US"/>
        </a:p>
      </dgm:t>
    </dgm:pt>
    <dgm:pt modelId="{B7628E90-BBBA-4C19-9308-B507C20482C0}" type="pres">
      <dgm:prSet presAssocID="{C4F9A75D-D928-4A03-86EF-2A529C498659}" presName="node" presStyleLbl="node1" presStyleIdx="5" presStyleCnt="6">
        <dgm:presLayoutVars>
          <dgm:bulletEnabled val="1"/>
        </dgm:presLayoutVars>
      </dgm:prSet>
      <dgm:spPr/>
      <dgm:t>
        <a:bodyPr/>
        <a:lstStyle/>
        <a:p>
          <a:endParaRPr lang="en-US"/>
        </a:p>
      </dgm:t>
    </dgm:pt>
  </dgm:ptLst>
  <dgm:cxnLst>
    <dgm:cxn modelId="{4834A081-DD95-4BB1-8F41-FCD6F949D1F4}" type="presOf" srcId="{A392DFD7-BCB6-4AAA-954D-D844EC40C3DB}" destId="{B8EAF156-A644-4019-8A21-A8A97498FF45}" srcOrd="1" destOrd="0" presId="urn:microsoft.com/office/officeart/2005/8/layout/bProcess3"/>
    <dgm:cxn modelId="{4B4A6EB4-3E8F-452C-9719-671FFDE325AC}" type="presOf" srcId="{D4C09666-3440-474F-8140-893A31C5508B}" destId="{A8081007-99D9-4836-BD3B-615782339257}" srcOrd="0" destOrd="0" presId="urn:microsoft.com/office/officeart/2005/8/layout/bProcess3"/>
    <dgm:cxn modelId="{05DA0429-C3D8-449D-8795-5A7C3D48C355}" type="presOf" srcId="{1E493151-A8B3-49D9-BC64-B5B02FDA54C4}" destId="{7ACB2376-6256-4821-82C9-25EF79037A2C}" srcOrd="1" destOrd="0" presId="urn:microsoft.com/office/officeart/2005/8/layout/bProcess3"/>
    <dgm:cxn modelId="{AB1E473E-7B1F-47E4-9F60-58DDF4F88046}" type="presOf" srcId="{712B9AF9-09B8-4F42-A384-F8E96667BD22}" destId="{1DC48CE4-25D6-4B3D-BE5D-02F176C1D8D8}" srcOrd="0" destOrd="0" presId="urn:microsoft.com/office/officeart/2005/8/layout/bProcess3"/>
    <dgm:cxn modelId="{898257C5-A633-4918-BE01-1382D76ABE38}" type="presOf" srcId="{7692103F-53A1-407A-B384-F3577B03D8AC}" destId="{63ED400C-CA8F-41A1-B2BF-5243A50D7305}" srcOrd="0" destOrd="0" presId="urn:microsoft.com/office/officeart/2005/8/layout/bProcess3"/>
    <dgm:cxn modelId="{1CA8B839-EAC1-46AD-B6C5-1DAE5EEAEC2F}" type="presOf" srcId="{50DAF4D4-BF59-4E1F-8EC7-0C5F18D4FC88}" destId="{22BB0286-B079-4692-9BE2-45133365C54E}" srcOrd="0" destOrd="0" presId="urn:microsoft.com/office/officeart/2005/8/layout/bProcess3"/>
    <dgm:cxn modelId="{32AFFF04-DFB9-4235-B4F9-47DF82F376EC}" type="presOf" srcId="{AB69A799-8815-4B7E-A2F0-363BACE20B86}" destId="{181AAF42-AB95-4EB1-A726-43D402188AB0}" srcOrd="0" destOrd="0" presId="urn:microsoft.com/office/officeart/2005/8/layout/bProcess3"/>
    <dgm:cxn modelId="{5437037D-7A2B-4ABD-A710-8EA8A78FE1EC}" srcId="{C3FF3039-DFCA-4A74-A4BB-777AB16DD83D}" destId="{FB36EDE8-6B6E-4128-95E6-2073A69573C6}" srcOrd="4" destOrd="0" parTransId="{624183DC-6933-4DDD-8F5C-E28848ECC5AA}" sibTransId="{7692103F-53A1-407A-B384-F3577B03D8AC}"/>
    <dgm:cxn modelId="{4E19AF44-DF4A-439E-83EF-BB4FD761C862}" type="presOf" srcId="{A392DFD7-BCB6-4AAA-954D-D844EC40C3DB}" destId="{DA55B05C-093D-433D-A68B-9F7AE60CCCAA}" srcOrd="0" destOrd="0" presId="urn:microsoft.com/office/officeart/2005/8/layout/bProcess3"/>
    <dgm:cxn modelId="{CF49254E-7144-4C0E-9C47-13C31204A34F}" type="presOf" srcId="{C4F9A75D-D928-4A03-86EF-2A529C498659}" destId="{B7628E90-BBBA-4C19-9308-B507C20482C0}" srcOrd="0" destOrd="0" presId="urn:microsoft.com/office/officeart/2005/8/layout/bProcess3"/>
    <dgm:cxn modelId="{80BFD260-EDD1-4795-9C37-9024C1924189}" type="presOf" srcId="{FB36EDE8-6B6E-4128-95E6-2073A69573C6}" destId="{E27FEC02-FB76-4E9D-A23A-D383C31B8A4E}" srcOrd="0" destOrd="0" presId="urn:microsoft.com/office/officeart/2005/8/layout/bProcess3"/>
    <dgm:cxn modelId="{B23B7D7D-5262-4C99-84F0-E3B7732D0813}" type="presOf" srcId="{7692103F-53A1-407A-B384-F3577B03D8AC}" destId="{C30E0E02-B4A6-459D-BFE8-419922350D48}" srcOrd="1" destOrd="0" presId="urn:microsoft.com/office/officeart/2005/8/layout/bProcess3"/>
    <dgm:cxn modelId="{B3D64A0D-194E-4E9C-8067-E649132D30C8}" srcId="{C3FF3039-DFCA-4A74-A4BB-777AB16DD83D}" destId="{712B9AF9-09B8-4F42-A384-F8E96667BD22}" srcOrd="3" destOrd="0" parTransId="{6F1A5A7F-FBAD-44A5-BFE7-16AA94D7C1ED}" sibTransId="{D4C09666-3440-474F-8140-893A31C5508B}"/>
    <dgm:cxn modelId="{07DB5741-FE4E-47A7-98C1-6F467962E05B}" srcId="{C3FF3039-DFCA-4A74-A4BB-777AB16DD83D}" destId="{C4F9A75D-D928-4A03-86EF-2A529C498659}" srcOrd="5" destOrd="0" parTransId="{8281E1F8-598A-4C6A-858D-4FA41743108F}" sibTransId="{3EF99AAB-38EF-4173-B292-4FFE2F629C65}"/>
    <dgm:cxn modelId="{7EF80333-DC2B-4ECF-8924-5666CA58FD25}" type="presOf" srcId="{D4C09666-3440-474F-8140-893A31C5508B}" destId="{8EA08C93-5349-4A44-BD45-6618F8FDE08B}" srcOrd="1" destOrd="0" presId="urn:microsoft.com/office/officeart/2005/8/layout/bProcess3"/>
    <dgm:cxn modelId="{03FB3A70-19EF-4F74-8DD8-541C0F85E1AE}" type="presOf" srcId="{1E493151-A8B3-49D9-BC64-B5B02FDA54C4}" destId="{850AB1C3-EBB8-44AE-A24D-4165C57DD246}" srcOrd="0" destOrd="0" presId="urn:microsoft.com/office/officeart/2005/8/layout/bProcess3"/>
    <dgm:cxn modelId="{5D24ADF5-E0F5-4AB6-89C1-12DD280A763C}" type="presOf" srcId="{1F261F6B-C6FC-4E52-AF4C-60A224BDFC4E}" destId="{B41542FA-5985-445F-9625-235BF5A97284}" srcOrd="1" destOrd="0" presId="urn:microsoft.com/office/officeart/2005/8/layout/bProcess3"/>
    <dgm:cxn modelId="{351F95F2-2B22-4FD2-B9E4-BBA2650BCC58}" srcId="{C3FF3039-DFCA-4A74-A4BB-777AB16DD83D}" destId="{AB69A799-8815-4B7E-A2F0-363BACE20B86}" srcOrd="0" destOrd="0" parTransId="{8C744E47-24DF-4F8E-ADFF-FBE6CE9B1388}" sibTransId="{1E493151-A8B3-49D9-BC64-B5B02FDA54C4}"/>
    <dgm:cxn modelId="{0C3C4D2B-434E-400B-B9E7-56D99B8112C3}" type="presOf" srcId="{1F261F6B-C6FC-4E52-AF4C-60A224BDFC4E}" destId="{4F01B851-1F02-43E4-9BFB-5C4A3719BF5A}" srcOrd="0" destOrd="0" presId="urn:microsoft.com/office/officeart/2005/8/layout/bProcess3"/>
    <dgm:cxn modelId="{BCAFA0D3-E3B0-425B-B54B-E4D5057F9965}" type="presOf" srcId="{C3FF3039-DFCA-4A74-A4BB-777AB16DD83D}" destId="{68603B87-C3D6-4861-BECB-DE06556BC906}" srcOrd="0" destOrd="0" presId="urn:microsoft.com/office/officeart/2005/8/layout/bProcess3"/>
    <dgm:cxn modelId="{5B353739-34F6-4669-B368-3F696AAF6D01}" srcId="{C3FF3039-DFCA-4A74-A4BB-777AB16DD83D}" destId="{E26AEAB6-1643-4F58-A624-1D8FE409273A}" srcOrd="2" destOrd="0" parTransId="{4FFE97DE-5C8C-49F1-8F26-6830ADADFB9F}" sibTransId="{1F261F6B-C6FC-4E52-AF4C-60A224BDFC4E}"/>
    <dgm:cxn modelId="{02EF3540-E4D9-40FE-878A-AD8811859B01}" type="presOf" srcId="{E26AEAB6-1643-4F58-A624-1D8FE409273A}" destId="{EBCEE134-C2AA-4A21-9381-0B2A75E423AE}" srcOrd="0" destOrd="0" presId="urn:microsoft.com/office/officeart/2005/8/layout/bProcess3"/>
    <dgm:cxn modelId="{F6CB43FD-C111-4129-80E7-43E4D8558298}" srcId="{C3FF3039-DFCA-4A74-A4BB-777AB16DD83D}" destId="{50DAF4D4-BF59-4E1F-8EC7-0C5F18D4FC88}" srcOrd="1" destOrd="0" parTransId="{A42EDF71-CAE9-470E-B123-7A767DBF7B3D}" sibTransId="{A392DFD7-BCB6-4AAA-954D-D844EC40C3DB}"/>
    <dgm:cxn modelId="{E0FC8DF5-DDB3-4DE3-981A-A6693B5192F0}" type="presParOf" srcId="{68603B87-C3D6-4861-BECB-DE06556BC906}" destId="{181AAF42-AB95-4EB1-A726-43D402188AB0}" srcOrd="0" destOrd="0" presId="urn:microsoft.com/office/officeart/2005/8/layout/bProcess3"/>
    <dgm:cxn modelId="{80802927-8AD0-4D1F-87BD-E424E7DA5B12}" type="presParOf" srcId="{68603B87-C3D6-4861-BECB-DE06556BC906}" destId="{850AB1C3-EBB8-44AE-A24D-4165C57DD246}" srcOrd="1" destOrd="0" presId="urn:microsoft.com/office/officeart/2005/8/layout/bProcess3"/>
    <dgm:cxn modelId="{A05A3D8D-68BB-4DBD-B5DF-E83D0C26BBC1}" type="presParOf" srcId="{850AB1C3-EBB8-44AE-A24D-4165C57DD246}" destId="{7ACB2376-6256-4821-82C9-25EF79037A2C}" srcOrd="0" destOrd="0" presId="urn:microsoft.com/office/officeart/2005/8/layout/bProcess3"/>
    <dgm:cxn modelId="{90A28745-439E-459F-AEB7-753ABA4435A3}" type="presParOf" srcId="{68603B87-C3D6-4861-BECB-DE06556BC906}" destId="{22BB0286-B079-4692-9BE2-45133365C54E}" srcOrd="2" destOrd="0" presId="urn:microsoft.com/office/officeart/2005/8/layout/bProcess3"/>
    <dgm:cxn modelId="{6F00816E-26A8-447D-B744-EFABFF5FDD14}" type="presParOf" srcId="{68603B87-C3D6-4861-BECB-DE06556BC906}" destId="{DA55B05C-093D-433D-A68B-9F7AE60CCCAA}" srcOrd="3" destOrd="0" presId="urn:microsoft.com/office/officeart/2005/8/layout/bProcess3"/>
    <dgm:cxn modelId="{B27FAC32-C6A1-4472-AA3B-7A082A3AE2E0}" type="presParOf" srcId="{DA55B05C-093D-433D-A68B-9F7AE60CCCAA}" destId="{B8EAF156-A644-4019-8A21-A8A97498FF45}" srcOrd="0" destOrd="0" presId="urn:microsoft.com/office/officeart/2005/8/layout/bProcess3"/>
    <dgm:cxn modelId="{4B70AA3B-4E3E-49F3-8B1E-D0660EDB5054}" type="presParOf" srcId="{68603B87-C3D6-4861-BECB-DE06556BC906}" destId="{EBCEE134-C2AA-4A21-9381-0B2A75E423AE}" srcOrd="4" destOrd="0" presId="urn:microsoft.com/office/officeart/2005/8/layout/bProcess3"/>
    <dgm:cxn modelId="{163445E7-FF69-42AF-AFDA-602100468F41}" type="presParOf" srcId="{68603B87-C3D6-4861-BECB-DE06556BC906}" destId="{4F01B851-1F02-43E4-9BFB-5C4A3719BF5A}" srcOrd="5" destOrd="0" presId="urn:microsoft.com/office/officeart/2005/8/layout/bProcess3"/>
    <dgm:cxn modelId="{C0615141-C6FC-4B34-B5CC-76D33E99F75F}" type="presParOf" srcId="{4F01B851-1F02-43E4-9BFB-5C4A3719BF5A}" destId="{B41542FA-5985-445F-9625-235BF5A97284}" srcOrd="0" destOrd="0" presId="urn:microsoft.com/office/officeart/2005/8/layout/bProcess3"/>
    <dgm:cxn modelId="{F4AF5F32-DAB9-4122-8E9B-7EDA62D9E82B}" type="presParOf" srcId="{68603B87-C3D6-4861-BECB-DE06556BC906}" destId="{1DC48CE4-25D6-4B3D-BE5D-02F176C1D8D8}" srcOrd="6" destOrd="0" presId="urn:microsoft.com/office/officeart/2005/8/layout/bProcess3"/>
    <dgm:cxn modelId="{41D8543A-0158-4D12-80EB-6B7BA43487F6}" type="presParOf" srcId="{68603B87-C3D6-4861-BECB-DE06556BC906}" destId="{A8081007-99D9-4836-BD3B-615782339257}" srcOrd="7" destOrd="0" presId="urn:microsoft.com/office/officeart/2005/8/layout/bProcess3"/>
    <dgm:cxn modelId="{46E9A1CD-FF88-4E36-A3E4-2E48ED08C8CC}" type="presParOf" srcId="{A8081007-99D9-4836-BD3B-615782339257}" destId="{8EA08C93-5349-4A44-BD45-6618F8FDE08B}" srcOrd="0" destOrd="0" presId="urn:microsoft.com/office/officeart/2005/8/layout/bProcess3"/>
    <dgm:cxn modelId="{639CC667-7F6F-410C-842D-F3C451D95E11}" type="presParOf" srcId="{68603B87-C3D6-4861-BECB-DE06556BC906}" destId="{E27FEC02-FB76-4E9D-A23A-D383C31B8A4E}" srcOrd="8" destOrd="0" presId="urn:microsoft.com/office/officeart/2005/8/layout/bProcess3"/>
    <dgm:cxn modelId="{F2761E98-49B0-40A7-B758-316B9D551C58}" type="presParOf" srcId="{68603B87-C3D6-4861-BECB-DE06556BC906}" destId="{63ED400C-CA8F-41A1-B2BF-5243A50D7305}" srcOrd="9" destOrd="0" presId="urn:microsoft.com/office/officeart/2005/8/layout/bProcess3"/>
    <dgm:cxn modelId="{DC5AC545-5F87-4962-98A0-FE4E81ABF0FF}" type="presParOf" srcId="{63ED400C-CA8F-41A1-B2BF-5243A50D7305}" destId="{C30E0E02-B4A6-459D-BFE8-419922350D48}" srcOrd="0" destOrd="0" presId="urn:microsoft.com/office/officeart/2005/8/layout/bProcess3"/>
    <dgm:cxn modelId="{87644BD6-94A4-4A5F-86E6-58DDCDE09301}" type="presParOf" srcId="{68603B87-C3D6-4861-BECB-DE06556BC906}" destId="{B7628E90-BBBA-4C19-9308-B507C20482C0}" srcOrd="10" destOrd="0" presId="urn:microsoft.com/office/officeart/2005/8/layout/bProcess3"/>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51D7AE5-41D4-4F33-88AC-EBDE0B4411AA}" type="doc">
      <dgm:prSet loTypeId="urn:microsoft.com/office/officeart/2005/8/layout/bList2" loCatId="list" qsTypeId="urn:microsoft.com/office/officeart/2005/8/quickstyle/simple1" qsCatId="simple" csTypeId="urn:microsoft.com/office/officeart/2005/8/colors/accent1_2" csCatId="accent1" phldr="1"/>
      <dgm:spPr/>
      <dgm:t>
        <a:bodyPr/>
        <a:lstStyle/>
        <a:p>
          <a:endParaRPr lang="en-AU"/>
        </a:p>
      </dgm:t>
    </dgm:pt>
    <dgm:pt modelId="{B564E497-64DB-4229-8241-9DB9206BD345}">
      <dgm:prSet phldrT="[Text]" custT="1"/>
      <dgm:spPr>
        <a:solidFill>
          <a:srgbClr val="284B98"/>
        </a:solidFill>
      </dgm:spPr>
      <dgm:t>
        <a:bodyPr/>
        <a:lstStyle/>
        <a:p>
          <a:pPr algn="ctr"/>
          <a:r>
            <a:rPr lang="en-AU" sz="1000" b="1">
              <a:latin typeface="Arial" panose="020B0604020202020204" pitchFamily="34" charset="0"/>
              <a:cs typeface="Arial" panose="020B0604020202020204" pitchFamily="34" charset="0"/>
            </a:rPr>
            <a:t>Engagement</a:t>
          </a:r>
        </a:p>
      </dgm:t>
      <dgm:extLst>
        <a:ext uri="{E40237B7-FDA0-4F09-8148-C483321AD2D9}">
          <dgm14:cNvPr xmlns:dgm14="http://schemas.microsoft.com/office/drawing/2010/diagram" id="0" name="" descr="Engagement"/>
        </a:ext>
      </dgm:extLst>
    </dgm:pt>
    <dgm:pt modelId="{8B2E24E8-D61E-4E4A-8BE3-68D040E959FF}" type="parTrans" cxnId="{91FD0872-ECDB-47D0-889B-31154729794F}">
      <dgm:prSet/>
      <dgm:spPr/>
      <dgm:t>
        <a:bodyPr/>
        <a:lstStyle/>
        <a:p>
          <a:endParaRPr lang="en-AU" sz="1000">
            <a:latin typeface="Arial" panose="020B0604020202020204" pitchFamily="34" charset="0"/>
            <a:cs typeface="Arial" panose="020B0604020202020204" pitchFamily="34" charset="0"/>
          </a:endParaRPr>
        </a:p>
      </dgm:t>
    </dgm:pt>
    <dgm:pt modelId="{F42CD0B0-0B46-4C47-9547-A839846A338E}" type="sibTrans" cxnId="{91FD0872-ECDB-47D0-889B-31154729794F}">
      <dgm:prSet/>
      <dgm:spPr/>
      <dgm:t>
        <a:bodyPr/>
        <a:lstStyle/>
        <a:p>
          <a:endParaRPr lang="en-AU" sz="1000">
            <a:latin typeface="Arial" panose="020B0604020202020204" pitchFamily="34" charset="0"/>
            <a:cs typeface="Arial" panose="020B0604020202020204" pitchFamily="34" charset="0"/>
          </a:endParaRPr>
        </a:p>
      </dgm:t>
    </dgm:pt>
    <dgm:pt modelId="{705AD10E-0E81-45BE-BF70-16216CF91987}">
      <dgm:prSet phldrT="[Text]" custT="1"/>
      <dgm:spPr>
        <a:solidFill>
          <a:srgbClr val="284B98"/>
        </a:solidFill>
      </dgm:spPr>
      <dgm:t>
        <a:bodyPr/>
        <a:lstStyle/>
        <a:p>
          <a:pPr algn="ctr"/>
          <a:r>
            <a:rPr lang="en-AU" sz="1000" b="1">
              <a:latin typeface="Arial" panose="020B0604020202020204" pitchFamily="34" charset="0"/>
              <a:cs typeface="Arial" panose="020B0604020202020204" pitchFamily="34" charset="0"/>
            </a:rPr>
            <a:t>Assurance</a:t>
          </a:r>
        </a:p>
      </dgm:t>
      <dgm:extLst>
        <a:ext uri="{E40237B7-FDA0-4F09-8148-C483321AD2D9}">
          <dgm14:cNvPr xmlns:dgm14="http://schemas.microsoft.com/office/drawing/2010/diagram" id="0" name="" descr="Assurance"/>
        </a:ext>
      </dgm:extLst>
    </dgm:pt>
    <dgm:pt modelId="{60EBB9E7-A855-41D2-AF81-90D146F02069}" type="parTrans" cxnId="{09422D44-0B32-46A6-929A-8104F7D5480A}">
      <dgm:prSet/>
      <dgm:spPr/>
      <dgm:t>
        <a:bodyPr/>
        <a:lstStyle/>
        <a:p>
          <a:endParaRPr lang="en-AU" sz="1000">
            <a:latin typeface="Arial" panose="020B0604020202020204" pitchFamily="34" charset="0"/>
            <a:cs typeface="Arial" panose="020B0604020202020204" pitchFamily="34" charset="0"/>
          </a:endParaRPr>
        </a:p>
      </dgm:t>
    </dgm:pt>
    <dgm:pt modelId="{1BEA3CA4-183E-49E9-86FF-778192A505D3}" type="sibTrans" cxnId="{09422D44-0B32-46A6-929A-8104F7D5480A}">
      <dgm:prSet/>
      <dgm:spPr/>
      <dgm:t>
        <a:bodyPr/>
        <a:lstStyle/>
        <a:p>
          <a:endParaRPr lang="en-AU" sz="1000">
            <a:latin typeface="Arial" panose="020B0604020202020204" pitchFamily="34" charset="0"/>
            <a:cs typeface="Arial" panose="020B0604020202020204" pitchFamily="34" charset="0"/>
          </a:endParaRPr>
        </a:p>
      </dgm:t>
    </dgm:pt>
    <dgm:pt modelId="{48685019-1D6E-4EFC-8F2C-2DC135EF8FE9}">
      <dgm:prSet phldrT="[Text]" custT="1"/>
      <dgm:spPr>
        <a:solidFill>
          <a:srgbClr val="284B98"/>
        </a:solidFill>
      </dgm:spPr>
      <dgm:t>
        <a:bodyPr/>
        <a:lstStyle/>
        <a:p>
          <a:pPr algn="ctr"/>
          <a:r>
            <a:rPr lang="en-AU" sz="1000" b="1">
              <a:latin typeface="Arial" panose="020B0604020202020204" pitchFamily="34" charset="0"/>
              <a:cs typeface="Arial" panose="020B0604020202020204" pitchFamily="34" charset="0"/>
            </a:rPr>
            <a:t>Reporting</a:t>
          </a:r>
        </a:p>
      </dgm:t>
      <dgm:extLst>
        <a:ext uri="{E40237B7-FDA0-4F09-8148-C483321AD2D9}">
          <dgm14:cNvPr xmlns:dgm14="http://schemas.microsoft.com/office/drawing/2010/diagram" id="0" name="" descr="Reporting"/>
        </a:ext>
      </dgm:extLst>
    </dgm:pt>
    <dgm:pt modelId="{1669B1BC-5B1D-480B-AB11-EC9ECA1C0647}" type="parTrans" cxnId="{E28B5EB1-BF84-46B4-8033-F494B44BB890}">
      <dgm:prSet/>
      <dgm:spPr/>
      <dgm:t>
        <a:bodyPr/>
        <a:lstStyle/>
        <a:p>
          <a:endParaRPr lang="en-AU" sz="1000">
            <a:latin typeface="Arial" panose="020B0604020202020204" pitchFamily="34" charset="0"/>
            <a:cs typeface="Arial" panose="020B0604020202020204" pitchFamily="34" charset="0"/>
          </a:endParaRPr>
        </a:p>
      </dgm:t>
    </dgm:pt>
    <dgm:pt modelId="{4473249A-70B8-4CF1-8578-68A57B094246}" type="sibTrans" cxnId="{E28B5EB1-BF84-46B4-8033-F494B44BB890}">
      <dgm:prSet/>
      <dgm:spPr/>
      <dgm:t>
        <a:bodyPr/>
        <a:lstStyle/>
        <a:p>
          <a:endParaRPr lang="en-AU" sz="1000">
            <a:latin typeface="Arial" panose="020B0604020202020204" pitchFamily="34" charset="0"/>
            <a:cs typeface="Arial" panose="020B0604020202020204" pitchFamily="34" charset="0"/>
          </a:endParaRPr>
        </a:p>
      </dgm:t>
    </dgm:pt>
    <dgm:pt modelId="{0CE18872-5184-48F8-B66E-AB5784A0A154}">
      <dgm:prSet custT="1"/>
      <dgm:spPr/>
      <dgm:t>
        <a:bodyPr/>
        <a:lstStyle/>
        <a:p>
          <a:r>
            <a:rPr lang="en-AU" sz="1000">
              <a:latin typeface="Arial" panose="020B0604020202020204" pitchFamily="34" charset="0"/>
              <a:cs typeface="Arial" panose="020B0604020202020204" pitchFamily="34" charset="0"/>
            </a:rPr>
            <a:t>The Department will continue to engage with industry through mechanisms such as the TISN, for informal review of the amendments' effectiveness. </a:t>
          </a:r>
        </a:p>
      </dgm:t>
      <dgm:extLst>
        <a:ext uri="{E40237B7-FDA0-4F09-8148-C483321AD2D9}">
          <dgm14:cNvPr xmlns:dgm14="http://schemas.microsoft.com/office/drawing/2010/diagram" id="0" name="" descr="The Department will continue to engage with industry through mechanisms such as the TISN, for informal review of the amendments' effectiveness. &#10;The Department also engages closely with other regulators and technical advisors (such as ASIO and NEMA) to ensure distribution to industry of up to date information on all hazards which may impact on critical infrastructure.&#10;"/>
        </a:ext>
      </dgm:extLst>
    </dgm:pt>
    <dgm:pt modelId="{6A4B5621-A534-4B9E-B03B-8D9A7B86312B}" type="parTrans" cxnId="{68827F8B-D1F4-43F9-868D-AAFBE8E4DD34}">
      <dgm:prSet/>
      <dgm:spPr/>
      <dgm:t>
        <a:bodyPr/>
        <a:lstStyle/>
        <a:p>
          <a:endParaRPr lang="en-AU" sz="1000">
            <a:latin typeface="Arial" panose="020B0604020202020204" pitchFamily="34" charset="0"/>
            <a:cs typeface="Arial" panose="020B0604020202020204" pitchFamily="34" charset="0"/>
          </a:endParaRPr>
        </a:p>
      </dgm:t>
    </dgm:pt>
    <dgm:pt modelId="{696BD2D9-D0B9-4B83-AA72-421D465EC397}" type="sibTrans" cxnId="{68827F8B-D1F4-43F9-868D-AAFBE8E4DD34}">
      <dgm:prSet/>
      <dgm:spPr/>
      <dgm:t>
        <a:bodyPr/>
        <a:lstStyle/>
        <a:p>
          <a:endParaRPr lang="en-AU" sz="1000">
            <a:latin typeface="Arial" panose="020B0604020202020204" pitchFamily="34" charset="0"/>
            <a:cs typeface="Arial" panose="020B0604020202020204" pitchFamily="34" charset="0"/>
          </a:endParaRPr>
        </a:p>
      </dgm:t>
    </dgm:pt>
    <dgm:pt modelId="{00875187-64E4-44C3-8E72-9CA257C954A4}">
      <dgm:prSet custT="1"/>
      <dgm:spPr/>
      <dgm:t>
        <a:bodyPr/>
        <a:lstStyle/>
        <a:p>
          <a:r>
            <a:rPr lang="en-AU" sz="1000">
              <a:latin typeface="Arial" panose="020B0604020202020204" pitchFamily="34" charset="0"/>
              <a:cs typeface="Arial" panose="020B0604020202020204" pitchFamily="34" charset="0"/>
            </a:rPr>
            <a:t>The Department is required, under s 60 of the SOCI Act, to make an annual report to Parliament. This report will include detail on directions, regulatory action and information gathering. </a:t>
          </a:r>
        </a:p>
      </dgm:t>
      <dgm:extLst>
        <a:ext uri="{E40237B7-FDA0-4F09-8148-C483321AD2D9}">
          <dgm14:cNvPr xmlns:dgm14="http://schemas.microsoft.com/office/drawing/2010/diagram" id="0" name="" descr="The Department is required, under s 60 of the SOCI Act, to make an annual report to Parliament. This report will include detail on directions, regulatory action and information gathering. &#10; Responsible entities' requirement to submit an annual report in relation to the rules provides an additional avenue for evaluating some aspects of the proposed reforms. &#10;"/>
        </a:ext>
      </dgm:extLst>
    </dgm:pt>
    <dgm:pt modelId="{34E7D078-A009-4B63-8393-168E607EE62F}" type="parTrans" cxnId="{A57126F9-A2EE-4B07-ACB3-5212269A6528}">
      <dgm:prSet/>
      <dgm:spPr/>
      <dgm:t>
        <a:bodyPr/>
        <a:lstStyle/>
        <a:p>
          <a:endParaRPr lang="en-AU"/>
        </a:p>
      </dgm:t>
    </dgm:pt>
    <dgm:pt modelId="{1A003B04-11FE-4D7C-B087-CB36BDD32D13}" type="sibTrans" cxnId="{A57126F9-A2EE-4B07-ACB3-5212269A6528}">
      <dgm:prSet/>
      <dgm:spPr/>
      <dgm:t>
        <a:bodyPr/>
        <a:lstStyle/>
        <a:p>
          <a:endParaRPr lang="en-AU"/>
        </a:p>
      </dgm:t>
    </dgm:pt>
    <dgm:pt modelId="{25CEF9BE-5401-48DA-B7E4-F81F21C10DA5}">
      <dgm:prSet custT="1"/>
      <dgm:spPr/>
      <dgm:t>
        <a:bodyPr/>
        <a:lstStyle/>
        <a:p>
          <a:r>
            <a:rPr lang="en-AU" sz="1000">
              <a:latin typeface="Arial" panose="020B0604020202020204" pitchFamily="34" charset="0"/>
              <a:cs typeface="Arial" panose="020B0604020202020204" pitchFamily="34" charset="0"/>
            </a:rPr>
            <a:t> Responsible entities' requirement to submit an annual report in relation to the rules provides an additional avenue for evaluating some aspects of the proposed reforms. </a:t>
          </a:r>
        </a:p>
      </dgm:t>
    </dgm:pt>
    <dgm:pt modelId="{0D908C35-2280-4DB7-B5FF-CB6B74E57825}" type="parTrans" cxnId="{45E0D540-B7D8-49F3-A2B3-6011BB65445A}">
      <dgm:prSet/>
      <dgm:spPr/>
      <dgm:t>
        <a:bodyPr/>
        <a:lstStyle/>
        <a:p>
          <a:endParaRPr lang="en-AU"/>
        </a:p>
      </dgm:t>
    </dgm:pt>
    <dgm:pt modelId="{09A4A932-2D46-47C3-8BDE-B222E440CF7E}" type="sibTrans" cxnId="{45E0D540-B7D8-49F3-A2B3-6011BB65445A}">
      <dgm:prSet/>
      <dgm:spPr/>
      <dgm:t>
        <a:bodyPr/>
        <a:lstStyle/>
        <a:p>
          <a:endParaRPr lang="en-AU"/>
        </a:p>
      </dgm:t>
    </dgm:pt>
    <dgm:pt modelId="{894C77ED-E8AF-4203-9D71-9CE8DCA997B1}">
      <dgm:prSet custT="1"/>
      <dgm:spPr/>
      <dgm:t>
        <a:bodyPr/>
        <a:lstStyle/>
        <a:p>
          <a:r>
            <a:rPr lang="en-AU" sz="1000">
              <a:latin typeface="Arial" panose="020B0604020202020204" pitchFamily="34" charset="0"/>
              <a:cs typeface="Arial" panose="020B0604020202020204" pitchFamily="34" charset="0"/>
            </a:rPr>
            <a:t>Regulators, including the Department, will have an ongoing responsibility to assure Government that industry's compliance obligations are being met. </a:t>
          </a:r>
        </a:p>
      </dgm:t>
      <dgm:extLst>
        <a:ext uri="{E40237B7-FDA0-4F09-8148-C483321AD2D9}">
          <dgm14:cNvPr xmlns:dgm14="http://schemas.microsoft.com/office/drawing/2010/diagram" id="0" name="" descr="Regulators, including the Department, will have an ongoing responsibility to assure Government that industry's compliance obligations are being met. &#10;The CISC's education, awareness, compliance and enforcement infrastructure will provide data on adoption of standards and practices by industry. This data will provide crucial insights on the amendments' effectiveness&#10;"/>
        </a:ext>
      </dgm:extLst>
    </dgm:pt>
    <dgm:pt modelId="{7B7ADBBA-F6EB-4DE3-B20D-6879E0EFD96F}" type="parTrans" cxnId="{B1C7BB9D-9D12-4B41-A9AE-CA5E796316D1}">
      <dgm:prSet/>
      <dgm:spPr/>
      <dgm:t>
        <a:bodyPr/>
        <a:lstStyle/>
        <a:p>
          <a:endParaRPr lang="en-AU"/>
        </a:p>
      </dgm:t>
    </dgm:pt>
    <dgm:pt modelId="{71E2B048-A6ED-41AE-8DB4-1EBCEBCBF2D0}" type="sibTrans" cxnId="{B1C7BB9D-9D12-4B41-A9AE-CA5E796316D1}">
      <dgm:prSet/>
      <dgm:spPr/>
      <dgm:t>
        <a:bodyPr/>
        <a:lstStyle/>
        <a:p>
          <a:endParaRPr lang="en-AU"/>
        </a:p>
      </dgm:t>
    </dgm:pt>
    <dgm:pt modelId="{049BB08A-0A2A-4999-A2CE-BAF23C372ED4}">
      <dgm:prSet custT="1"/>
      <dgm:spPr/>
      <dgm:t>
        <a:bodyPr/>
        <a:lstStyle/>
        <a:p>
          <a:r>
            <a:rPr lang="en-AU" sz="1000">
              <a:latin typeface="Arial" panose="020B0604020202020204" pitchFamily="34" charset="0"/>
              <a:cs typeface="Arial" panose="020B0604020202020204" pitchFamily="34" charset="0"/>
            </a:rPr>
            <a:t>The CISC's education, awareness, compliance and enforcement infrastructure will provide data on adoption of standards and practices by industry. This data will provide crucial insights on the amendments' effectiveness.</a:t>
          </a:r>
        </a:p>
      </dgm:t>
    </dgm:pt>
    <dgm:pt modelId="{4CAC33CA-E631-4A3B-AFE9-D5E3771F53C6}" type="parTrans" cxnId="{C1459367-4034-4092-8E98-105C0622442A}">
      <dgm:prSet/>
      <dgm:spPr/>
      <dgm:t>
        <a:bodyPr/>
        <a:lstStyle/>
        <a:p>
          <a:endParaRPr lang="en-AU"/>
        </a:p>
      </dgm:t>
    </dgm:pt>
    <dgm:pt modelId="{7A445307-1132-45BB-AD6F-990720D629D9}" type="sibTrans" cxnId="{C1459367-4034-4092-8E98-105C0622442A}">
      <dgm:prSet/>
      <dgm:spPr/>
      <dgm:t>
        <a:bodyPr/>
        <a:lstStyle/>
        <a:p>
          <a:endParaRPr lang="en-AU"/>
        </a:p>
      </dgm:t>
    </dgm:pt>
    <dgm:pt modelId="{7F99605A-96F9-4497-A0E4-FF0D9F2F1840}">
      <dgm:prSet custT="1"/>
      <dgm:spPr/>
      <dgm:t>
        <a:bodyPr/>
        <a:lstStyle/>
        <a:p>
          <a:r>
            <a:rPr lang="en-AU" sz="1000">
              <a:latin typeface="Arial" panose="020B0604020202020204" pitchFamily="34" charset="0"/>
              <a:cs typeface="Arial" panose="020B0604020202020204" pitchFamily="34" charset="0"/>
            </a:rPr>
            <a:t>The Department also engages closely with other regulators and technical advisors (such as ASIO and NEMA) to ensure distribution to industry of up to date information on all hazards which may impact on critical infrastructure.</a:t>
          </a:r>
        </a:p>
      </dgm:t>
    </dgm:pt>
    <dgm:pt modelId="{33A1B06D-A0CF-4D79-8AF8-7EFF3FD176B2}" type="parTrans" cxnId="{B3DF2599-02C8-4837-B086-F2159434B0A1}">
      <dgm:prSet/>
      <dgm:spPr/>
      <dgm:t>
        <a:bodyPr/>
        <a:lstStyle/>
        <a:p>
          <a:endParaRPr lang="en-AU"/>
        </a:p>
      </dgm:t>
    </dgm:pt>
    <dgm:pt modelId="{F9E5F5D6-C11F-4708-A40F-751B269B826C}" type="sibTrans" cxnId="{B3DF2599-02C8-4837-B086-F2159434B0A1}">
      <dgm:prSet/>
      <dgm:spPr/>
      <dgm:t>
        <a:bodyPr/>
        <a:lstStyle/>
        <a:p>
          <a:endParaRPr lang="en-AU"/>
        </a:p>
      </dgm:t>
    </dgm:pt>
    <dgm:pt modelId="{83D011AA-2133-4DBB-B796-1C8A04D5C473}" type="pres">
      <dgm:prSet presAssocID="{B51D7AE5-41D4-4F33-88AC-EBDE0B4411AA}" presName="diagram" presStyleCnt="0">
        <dgm:presLayoutVars>
          <dgm:dir/>
          <dgm:animLvl val="lvl"/>
          <dgm:resizeHandles val="exact"/>
        </dgm:presLayoutVars>
      </dgm:prSet>
      <dgm:spPr/>
      <dgm:t>
        <a:bodyPr/>
        <a:lstStyle/>
        <a:p>
          <a:endParaRPr lang="en-US"/>
        </a:p>
      </dgm:t>
    </dgm:pt>
    <dgm:pt modelId="{D2B26408-CE7E-403F-A120-B41EB94F6D43}" type="pres">
      <dgm:prSet presAssocID="{B564E497-64DB-4229-8241-9DB9206BD345}" presName="compNode" presStyleCnt="0"/>
      <dgm:spPr/>
    </dgm:pt>
    <dgm:pt modelId="{67D58123-7169-4314-9B7A-B8EE6C38886C}" type="pres">
      <dgm:prSet presAssocID="{B564E497-64DB-4229-8241-9DB9206BD345}" presName="childRect" presStyleLbl="bgAcc1" presStyleIdx="0" presStyleCnt="3" custScaleY="180111">
        <dgm:presLayoutVars>
          <dgm:bulletEnabled val="1"/>
        </dgm:presLayoutVars>
      </dgm:prSet>
      <dgm:spPr/>
      <dgm:t>
        <a:bodyPr/>
        <a:lstStyle/>
        <a:p>
          <a:endParaRPr lang="en-US"/>
        </a:p>
      </dgm:t>
    </dgm:pt>
    <dgm:pt modelId="{F64ECA93-DD97-49C9-8837-2D0985CBF890}" type="pres">
      <dgm:prSet presAssocID="{B564E497-64DB-4229-8241-9DB9206BD345}" presName="parentText" presStyleLbl="node1" presStyleIdx="0" presStyleCnt="0">
        <dgm:presLayoutVars>
          <dgm:chMax val="0"/>
          <dgm:bulletEnabled val="1"/>
        </dgm:presLayoutVars>
      </dgm:prSet>
      <dgm:spPr/>
      <dgm:t>
        <a:bodyPr/>
        <a:lstStyle/>
        <a:p>
          <a:endParaRPr lang="en-US"/>
        </a:p>
      </dgm:t>
    </dgm:pt>
    <dgm:pt modelId="{C4FEDC2C-4655-4E2B-8EF1-2D70C7F4537D}" type="pres">
      <dgm:prSet presAssocID="{B564E497-64DB-4229-8241-9DB9206BD345}" presName="parentRect" presStyleLbl="alignNode1" presStyleIdx="0" presStyleCnt="3"/>
      <dgm:spPr/>
      <dgm:t>
        <a:bodyPr/>
        <a:lstStyle/>
        <a:p>
          <a:endParaRPr lang="en-US"/>
        </a:p>
      </dgm:t>
    </dgm:pt>
    <dgm:pt modelId="{848850EF-134E-42BF-87EA-9B719BB5D967}" type="pres">
      <dgm:prSet presAssocID="{B564E497-64DB-4229-8241-9DB9206BD345}" presName="adorn" presStyleLbl="fgAccFollowNode1" presStyleIdx="0" presStyleCnt="3" custScaleX="64091" custScaleY="65046" custLinFactNeighborX="-18842" custLinFactNeighborY="-17496"/>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dgm:spPr>
      <dgm:extLst>
        <a:ext uri="{E40237B7-FDA0-4F09-8148-C483321AD2D9}">
          <dgm14:cNvPr xmlns:dgm14="http://schemas.microsoft.com/office/drawing/2010/diagram" id="0" name="" descr="Cycle with people with solid fill"/>
        </a:ext>
      </dgm:extLst>
    </dgm:pt>
    <dgm:pt modelId="{E41F38B5-CB6A-4BDF-BAE8-6987BFF93911}" type="pres">
      <dgm:prSet presAssocID="{F42CD0B0-0B46-4C47-9547-A839846A338E}" presName="sibTrans" presStyleLbl="sibTrans2D1" presStyleIdx="0" presStyleCnt="0"/>
      <dgm:spPr/>
      <dgm:t>
        <a:bodyPr/>
        <a:lstStyle/>
        <a:p>
          <a:endParaRPr lang="en-US"/>
        </a:p>
      </dgm:t>
    </dgm:pt>
    <dgm:pt modelId="{2D94710D-0F83-4E5B-98C9-BCBF15851950}" type="pres">
      <dgm:prSet presAssocID="{705AD10E-0E81-45BE-BF70-16216CF91987}" presName="compNode" presStyleCnt="0"/>
      <dgm:spPr/>
    </dgm:pt>
    <dgm:pt modelId="{D2074260-2AB1-491D-8088-3B04CE139680}" type="pres">
      <dgm:prSet presAssocID="{705AD10E-0E81-45BE-BF70-16216CF91987}" presName="childRect" presStyleLbl="bgAcc1" presStyleIdx="1" presStyleCnt="3" custScaleY="180110">
        <dgm:presLayoutVars>
          <dgm:bulletEnabled val="1"/>
        </dgm:presLayoutVars>
      </dgm:prSet>
      <dgm:spPr/>
      <dgm:t>
        <a:bodyPr/>
        <a:lstStyle/>
        <a:p>
          <a:endParaRPr lang="en-US"/>
        </a:p>
      </dgm:t>
    </dgm:pt>
    <dgm:pt modelId="{3944CDB2-AA3C-4FC7-9B87-75599155C34B}" type="pres">
      <dgm:prSet presAssocID="{705AD10E-0E81-45BE-BF70-16216CF91987}" presName="parentText" presStyleLbl="node1" presStyleIdx="0" presStyleCnt="0">
        <dgm:presLayoutVars>
          <dgm:chMax val="0"/>
          <dgm:bulletEnabled val="1"/>
        </dgm:presLayoutVars>
      </dgm:prSet>
      <dgm:spPr/>
      <dgm:t>
        <a:bodyPr/>
        <a:lstStyle/>
        <a:p>
          <a:endParaRPr lang="en-US"/>
        </a:p>
      </dgm:t>
    </dgm:pt>
    <dgm:pt modelId="{BCCFAF36-D182-4AE2-AFDC-DDC4CCD8F165}" type="pres">
      <dgm:prSet presAssocID="{705AD10E-0E81-45BE-BF70-16216CF91987}" presName="parentRect" presStyleLbl="alignNode1" presStyleIdx="1" presStyleCnt="3"/>
      <dgm:spPr/>
      <dgm:t>
        <a:bodyPr/>
        <a:lstStyle/>
        <a:p>
          <a:endParaRPr lang="en-US"/>
        </a:p>
      </dgm:t>
    </dgm:pt>
    <dgm:pt modelId="{940D4D73-9D95-4503-93EC-FB0330C5D11A}" type="pres">
      <dgm:prSet presAssocID="{705AD10E-0E81-45BE-BF70-16216CF91987}" presName="adorn" presStyleLbl="fgAccFollowNode1" presStyleIdx="1" presStyleCnt="3" custScaleX="66839" custScaleY="66674" custLinFactNeighborX="-24044" custLinFactNeighborY="-18355"/>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dgm:spPr>
      <dgm:extLst>
        <a:ext uri="{E40237B7-FDA0-4F09-8148-C483321AD2D9}">
          <dgm14:cNvPr xmlns:dgm14="http://schemas.microsoft.com/office/drawing/2010/diagram" id="0" name="" descr="Badge Tick with solid fill"/>
        </a:ext>
      </dgm:extLst>
    </dgm:pt>
    <dgm:pt modelId="{BEA3DADA-8AA0-4310-8397-6E82CC874449}" type="pres">
      <dgm:prSet presAssocID="{1BEA3CA4-183E-49E9-86FF-778192A505D3}" presName="sibTrans" presStyleLbl="sibTrans2D1" presStyleIdx="0" presStyleCnt="0"/>
      <dgm:spPr/>
      <dgm:t>
        <a:bodyPr/>
        <a:lstStyle/>
        <a:p>
          <a:endParaRPr lang="en-US"/>
        </a:p>
      </dgm:t>
    </dgm:pt>
    <dgm:pt modelId="{28C75D21-5130-4E6B-ABF1-CD4606D8DDFF}" type="pres">
      <dgm:prSet presAssocID="{48685019-1D6E-4EFC-8F2C-2DC135EF8FE9}" presName="compNode" presStyleCnt="0"/>
      <dgm:spPr/>
    </dgm:pt>
    <dgm:pt modelId="{A7225471-4CA2-42B5-81B6-FDF502A10844}" type="pres">
      <dgm:prSet presAssocID="{48685019-1D6E-4EFC-8F2C-2DC135EF8FE9}" presName="childRect" presStyleLbl="bgAcc1" presStyleIdx="2" presStyleCnt="3" custScaleY="179990">
        <dgm:presLayoutVars>
          <dgm:bulletEnabled val="1"/>
        </dgm:presLayoutVars>
      </dgm:prSet>
      <dgm:spPr/>
      <dgm:t>
        <a:bodyPr/>
        <a:lstStyle/>
        <a:p>
          <a:endParaRPr lang="en-US"/>
        </a:p>
      </dgm:t>
    </dgm:pt>
    <dgm:pt modelId="{AC09C0C7-FD68-4E52-B512-3D37B2634885}" type="pres">
      <dgm:prSet presAssocID="{48685019-1D6E-4EFC-8F2C-2DC135EF8FE9}" presName="parentText" presStyleLbl="node1" presStyleIdx="0" presStyleCnt="0">
        <dgm:presLayoutVars>
          <dgm:chMax val="0"/>
          <dgm:bulletEnabled val="1"/>
        </dgm:presLayoutVars>
      </dgm:prSet>
      <dgm:spPr/>
      <dgm:t>
        <a:bodyPr/>
        <a:lstStyle/>
        <a:p>
          <a:endParaRPr lang="en-US"/>
        </a:p>
      </dgm:t>
    </dgm:pt>
    <dgm:pt modelId="{DAEBA126-60B7-40DD-B22B-7D21CA62241B}" type="pres">
      <dgm:prSet presAssocID="{48685019-1D6E-4EFC-8F2C-2DC135EF8FE9}" presName="parentRect" presStyleLbl="alignNode1" presStyleIdx="2" presStyleCnt="3"/>
      <dgm:spPr/>
      <dgm:t>
        <a:bodyPr/>
        <a:lstStyle/>
        <a:p>
          <a:endParaRPr lang="en-US"/>
        </a:p>
      </dgm:t>
    </dgm:pt>
    <dgm:pt modelId="{0912D4FC-1554-4FB5-9515-028A9608C2F3}" type="pres">
      <dgm:prSet presAssocID="{48685019-1D6E-4EFC-8F2C-2DC135EF8FE9}" presName="adorn" presStyleLbl="fgAccFollowNode1" presStyleIdx="2" presStyleCnt="3" custScaleX="66839" custScaleY="66839" custLinFactNeighborX="-22457" custLinFactNeighborY="-15439"/>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dgm:spPr>
      <dgm:extLst>
        <a:ext uri="{E40237B7-FDA0-4F09-8148-C483321AD2D9}">
          <dgm14:cNvPr xmlns:dgm14="http://schemas.microsoft.com/office/drawing/2010/diagram" id="0" name="" descr="Document with solid fill"/>
        </a:ext>
      </dgm:extLst>
    </dgm:pt>
  </dgm:ptLst>
  <dgm:cxnLst>
    <dgm:cxn modelId="{C1459367-4034-4092-8E98-105C0622442A}" srcId="{705AD10E-0E81-45BE-BF70-16216CF91987}" destId="{049BB08A-0A2A-4999-A2CE-BAF23C372ED4}" srcOrd="1" destOrd="0" parTransId="{4CAC33CA-E631-4A3B-AFE9-D5E3771F53C6}" sibTransId="{7A445307-1132-45BB-AD6F-990720D629D9}"/>
    <dgm:cxn modelId="{A57126F9-A2EE-4B07-ACB3-5212269A6528}" srcId="{48685019-1D6E-4EFC-8F2C-2DC135EF8FE9}" destId="{00875187-64E4-44C3-8E72-9CA257C954A4}" srcOrd="0" destOrd="0" parTransId="{34E7D078-A009-4B63-8393-168E607EE62F}" sibTransId="{1A003B04-11FE-4D7C-B087-CB36BDD32D13}"/>
    <dgm:cxn modelId="{CDAD4AB2-9539-4B33-AC18-620FEEE2F60E}" type="presOf" srcId="{7F99605A-96F9-4497-A0E4-FF0D9F2F1840}" destId="{67D58123-7169-4314-9B7A-B8EE6C38886C}" srcOrd="0" destOrd="1" presId="urn:microsoft.com/office/officeart/2005/8/layout/bList2"/>
    <dgm:cxn modelId="{0E8145F7-9CB9-415C-8FDC-1DF924F23CC1}" type="presOf" srcId="{894C77ED-E8AF-4203-9D71-9CE8DCA997B1}" destId="{D2074260-2AB1-491D-8088-3B04CE139680}" srcOrd="0" destOrd="0" presId="urn:microsoft.com/office/officeart/2005/8/layout/bList2"/>
    <dgm:cxn modelId="{07497409-98B2-481F-B329-3B0481B100D1}" type="presOf" srcId="{B564E497-64DB-4229-8241-9DB9206BD345}" destId="{C4FEDC2C-4655-4E2B-8EF1-2D70C7F4537D}" srcOrd="1" destOrd="0" presId="urn:microsoft.com/office/officeart/2005/8/layout/bList2"/>
    <dgm:cxn modelId="{B3DF2599-02C8-4837-B086-F2159434B0A1}" srcId="{B564E497-64DB-4229-8241-9DB9206BD345}" destId="{7F99605A-96F9-4497-A0E4-FF0D9F2F1840}" srcOrd="1" destOrd="0" parTransId="{33A1B06D-A0CF-4D79-8AF8-7EFF3FD176B2}" sibTransId="{F9E5F5D6-C11F-4708-A40F-751B269B826C}"/>
    <dgm:cxn modelId="{E9C802E7-7A46-4249-80FF-6E27A74E3701}" type="presOf" srcId="{48685019-1D6E-4EFC-8F2C-2DC135EF8FE9}" destId="{DAEBA126-60B7-40DD-B22B-7D21CA62241B}" srcOrd="1" destOrd="0" presId="urn:microsoft.com/office/officeart/2005/8/layout/bList2"/>
    <dgm:cxn modelId="{55F796B7-364C-4A2D-942D-F22C5496D042}" type="presOf" srcId="{25CEF9BE-5401-48DA-B7E4-F81F21C10DA5}" destId="{A7225471-4CA2-42B5-81B6-FDF502A10844}" srcOrd="0" destOrd="1" presId="urn:microsoft.com/office/officeart/2005/8/layout/bList2"/>
    <dgm:cxn modelId="{68827F8B-D1F4-43F9-868D-AAFBE8E4DD34}" srcId="{B564E497-64DB-4229-8241-9DB9206BD345}" destId="{0CE18872-5184-48F8-B66E-AB5784A0A154}" srcOrd="0" destOrd="0" parTransId="{6A4B5621-A534-4B9E-B03B-8D9A7B86312B}" sibTransId="{696BD2D9-D0B9-4B83-AA72-421D465EC397}"/>
    <dgm:cxn modelId="{09422D44-0B32-46A6-929A-8104F7D5480A}" srcId="{B51D7AE5-41D4-4F33-88AC-EBDE0B4411AA}" destId="{705AD10E-0E81-45BE-BF70-16216CF91987}" srcOrd="1" destOrd="0" parTransId="{60EBB9E7-A855-41D2-AF81-90D146F02069}" sibTransId="{1BEA3CA4-183E-49E9-86FF-778192A505D3}"/>
    <dgm:cxn modelId="{B1C7BB9D-9D12-4B41-A9AE-CA5E796316D1}" srcId="{705AD10E-0E81-45BE-BF70-16216CF91987}" destId="{894C77ED-E8AF-4203-9D71-9CE8DCA997B1}" srcOrd="0" destOrd="0" parTransId="{7B7ADBBA-F6EB-4DE3-B20D-6879E0EFD96F}" sibTransId="{71E2B048-A6ED-41AE-8DB4-1EBCEBCBF2D0}"/>
    <dgm:cxn modelId="{10A2FC8A-0B0C-44C2-BD17-AC896F2B7629}" type="presOf" srcId="{049BB08A-0A2A-4999-A2CE-BAF23C372ED4}" destId="{D2074260-2AB1-491D-8088-3B04CE139680}" srcOrd="0" destOrd="1" presId="urn:microsoft.com/office/officeart/2005/8/layout/bList2"/>
    <dgm:cxn modelId="{8155FA4F-1168-46D1-8176-F1A615C691CB}" type="presOf" srcId="{705AD10E-0E81-45BE-BF70-16216CF91987}" destId="{3944CDB2-AA3C-4FC7-9B87-75599155C34B}" srcOrd="0" destOrd="0" presId="urn:microsoft.com/office/officeart/2005/8/layout/bList2"/>
    <dgm:cxn modelId="{82944750-A61F-427D-9C2F-6728D1ED171E}" type="presOf" srcId="{48685019-1D6E-4EFC-8F2C-2DC135EF8FE9}" destId="{AC09C0C7-FD68-4E52-B512-3D37B2634885}" srcOrd="0" destOrd="0" presId="urn:microsoft.com/office/officeart/2005/8/layout/bList2"/>
    <dgm:cxn modelId="{93AE8190-59CA-48D8-B01A-687ED80BE7AB}" type="presOf" srcId="{B564E497-64DB-4229-8241-9DB9206BD345}" destId="{F64ECA93-DD97-49C9-8837-2D0985CBF890}" srcOrd="0" destOrd="0" presId="urn:microsoft.com/office/officeart/2005/8/layout/bList2"/>
    <dgm:cxn modelId="{91FD0872-ECDB-47D0-889B-31154729794F}" srcId="{B51D7AE5-41D4-4F33-88AC-EBDE0B4411AA}" destId="{B564E497-64DB-4229-8241-9DB9206BD345}" srcOrd="0" destOrd="0" parTransId="{8B2E24E8-D61E-4E4A-8BE3-68D040E959FF}" sibTransId="{F42CD0B0-0B46-4C47-9547-A839846A338E}"/>
    <dgm:cxn modelId="{B84B9A86-A191-4E1D-A709-F526D1939EEC}" type="presOf" srcId="{B51D7AE5-41D4-4F33-88AC-EBDE0B4411AA}" destId="{83D011AA-2133-4DBB-B796-1C8A04D5C473}" srcOrd="0" destOrd="0" presId="urn:microsoft.com/office/officeart/2005/8/layout/bList2"/>
    <dgm:cxn modelId="{A9E8A3DA-57B4-425B-8AF9-4F9332A43AB6}" type="presOf" srcId="{0CE18872-5184-48F8-B66E-AB5784A0A154}" destId="{67D58123-7169-4314-9B7A-B8EE6C38886C}" srcOrd="0" destOrd="0" presId="urn:microsoft.com/office/officeart/2005/8/layout/bList2"/>
    <dgm:cxn modelId="{45E0D540-B7D8-49F3-A2B3-6011BB65445A}" srcId="{48685019-1D6E-4EFC-8F2C-2DC135EF8FE9}" destId="{25CEF9BE-5401-48DA-B7E4-F81F21C10DA5}" srcOrd="1" destOrd="0" parTransId="{0D908C35-2280-4DB7-B5FF-CB6B74E57825}" sibTransId="{09A4A932-2D46-47C3-8BDE-B222E440CF7E}"/>
    <dgm:cxn modelId="{21588E9C-7259-405B-816B-99CD9881889C}" type="presOf" srcId="{00875187-64E4-44C3-8E72-9CA257C954A4}" destId="{A7225471-4CA2-42B5-81B6-FDF502A10844}" srcOrd="0" destOrd="0" presId="urn:microsoft.com/office/officeart/2005/8/layout/bList2"/>
    <dgm:cxn modelId="{B9211765-2904-4165-9256-D84F62647128}" type="presOf" srcId="{1BEA3CA4-183E-49E9-86FF-778192A505D3}" destId="{BEA3DADA-8AA0-4310-8397-6E82CC874449}" srcOrd="0" destOrd="0" presId="urn:microsoft.com/office/officeart/2005/8/layout/bList2"/>
    <dgm:cxn modelId="{E3224DF0-10D5-40DE-9FA0-D702323C239D}" type="presOf" srcId="{F42CD0B0-0B46-4C47-9547-A839846A338E}" destId="{E41F38B5-CB6A-4BDF-BAE8-6987BFF93911}" srcOrd="0" destOrd="0" presId="urn:microsoft.com/office/officeart/2005/8/layout/bList2"/>
    <dgm:cxn modelId="{E28B5EB1-BF84-46B4-8033-F494B44BB890}" srcId="{B51D7AE5-41D4-4F33-88AC-EBDE0B4411AA}" destId="{48685019-1D6E-4EFC-8F2C-2DC135EF8FE9}" srcOrd="2" destOrd="0" parTransId="{1669B1BC-5B1D-480B-AB11-EC9ECA1C0647}" sibTransId="{4473249A-70B8-4CF1-8578-68A57B094246}"/>
    <dgm:cxn modelId="{4EE92855-DEB3-49F2-95FD-22D1AD265280}" type="presOf" srcId="{705AD10E-0E81-45BE-BF70-16216CF91987}" destId="{BCCFAF36-D182-4AE2-AFDC-DDC4CCD8F165}" srcOrd="1" destOrd="0" presId="urn:microsoft.com/office/officeart/2005/8/layout/bList2"/>
    <dgm:cxn modelId="{42465422-8989-4AC3-B4B8-9BB15FF34143}" type="presParOf" srcId="{83D011AA-2133-4DBB-B796-1C8A04D5C473}" destId="{D2B26408-CE7E-403F-A120-B41EB94F6D43}" srcOrd="0" destOrd="0" presId="urn:microsoft.com/office/officeart/2005/8/layout/bList2"/>
    <dgm:cxn modelId="{42EC52A5-EEBC-4D20-941E-AAAD3CCE4AB1}" type="presParOf" srcId="{D2B26408-CE7E-403F-A120-B41EB94F6D43}" destId="{67D58123-7169-4314-9B7A-B8EE6C38886C}" srcOrd="0" destOrd="0" presId="urn:microsoft.com/office/officeart/2005/8/layout/bList2"/>
    <dgm:cxn modelId="{D79E30A7-0081-4D3F-9EC3-B627884AE6DC}" type="presParOf" srcId="{D2B26408-CE7E-403F-A120-B41EB94F6D43}" destId="{F64ECA93-DD97-49C9-8837-2D0985CBF890}" srcOrd="1" destOrd="0" presId="urn:microsoft.com/office/officeart/2005/8/layout/bList2"/>
    <dgm:cxn modelId="{10F75B65-20F4-440B-8FB8-CF9F9675213D}" type="presParOf" srcId="{D2B26408-CE7E-403F-A120-B41EB94F6D43}" destId="{C4FEDC2C-4655-4E2B-8EF1-2D70C7F4537D}" srcOrd="2" destOrd="0" presId="urn:microsoft.com/office/officeart/2005/8/layout/bList2"/>
    <dgm:cxn modelId="{CAF5EC75-BEC8-478A-B60D-AF1C8640A77E}" type="presParOf" srcId="{D2B26408-CE7E-403F-A120-B41EB94F6D43}" destId="{848850EF-134E-42BF-87EA-9B719BB5D967}" srcOrd="3" destOrd="0" presId="urn:microsoft.com/office/officeart/2005/8/layout/bList2"/>
    <dgm:cxn modelId="{D5A09ACC-9F12-4DE1-B32B-914D59116776}" type="presParOf" srcId="{83D011AA-2133-4DBB-B796-1C8A04D5C473}" destId="{E41F38B5-CB6A-4BDF-BAE8-6987BFF93911}" srcOrd="1" destOrd="0" presId="urn:microsoft.com/office/officeart/2005/8/layout/bList2"/>
    <dgm:cxn modelId="{4283699A-1E2A-4099-A2DE-58F2337C80B2}" type="presParOf" srcId="{83D011AA-2133-4DBB-B796-1C8A04D5C473}" destId="{2D94710D-0F83-4E5B-98C9-BCBF15851950}" srcOrd="2" destOrd="0" presId="urn:microsoft.com/office/officeart/2005/8/layout/bList2"/>
    <dgm:cxn modelId="{0AF3D84A-C594-4637-9E61-F9FA4FFE8903}" type="presParOf" srcId="{2D94710D-0F83-4E5B-98C9-BCBF15851950}" destId="{D2074260-2AB1-491D-8088-3B04CE139680}" srcOrd="0" destOrd="0" presId="urn:microsoft.com/office/officeart/2005/8/layout/bList2"/>
    <dgm:cxn modelId="{BAA0E6D4-E4B6-46B2-8FA9-9208E29D7D6F}" type="presParOf" srcId="{2D94710D-0F83-4E5B-98C9-BCBF15851950}" destId="{3944CDB2-AA3C-4FC7-9B87-75599155C34B}" srcOrd="1" destOrd="0" presId="urn:microsoft.com/office/officeart/2005/8/layout/bList2"/>
    <dgm:cxn modelId="{F98893A1-38CD-40F3-BE2B-AA7B37E7EFFC}" type="presParOf" srcId="{2D94710D-0F83-4E5B-98C9-BCBF15851950}" destId="{BCCFAF36-D182-4AE2-AFDC-DDC4CCD8F165}" srcOrd="2" destOrd="0" presId="urn:microsoft.com/office/officeart/2005/8/layout/bList2"/>
    <dgm:cxn modelId="{44CE343E-85BA-4622-8083-BCDE79FB0072}" type="presParOf" srcId="{2D94710D-0F83-4E5B-98C9-BCBF15851950}" destId="{940D4D73-9D95-4503-93EC-FB0330C5D11A}" srcOrd="3" destOrd="0" presId="urn:microsoft.com/office/officeart/2005/8/layout/bList2"/>
    <dgm:cxn modelId="{26BB29C1-B725-4001-B730-0174A033C3D5}" type="presParOf" srcId="{83D011AA-2133-4DBB-B796-1C8A04D5C473}" destId="{BEA3DADA-8AA0-4310-8397-6E82CC874449}" srcOrd="3" destOrd="0" presId="urn:microsoft.com/office/officeart/2005/8/layout/bList2"/>
    <dgm:cxn modelId="{29306AC7-361B-4F0F-A07F-A774BBB2DF93}" type="presParOf" srcId="{83D011AA-2133-4DBB-B796-1C8A04D5C473}" destId="{28C75D21-5130-4E6B-ABF1-CD4606D8DDFF}" srcOrd="4" destOrd="0" presId="urn:microsoft.com/office/officeart/2005/8/layout/bList2"/>
    <dgm:cxn modelId="{068AE1E2-85DA-4631-951F-503736E2AAC3}" type="presParOf" srcId="{28C75D21-5130-4E6B-ABF1-CD4606D8DDFF}" destId="{A7225471-4CA2-42B5-81B6-FDF502A10844}" srcOrd="0" destOrd="0" presId="urn:microsoft.com/office/officeart/2005/8/layout/bList2"/>
    <dgm:cxn modelId="{5C12B02D-CF02-49EB-A8AD-419ABF57C463}" type="presParOf" srcId="{28C75D21-5130-4E6B-ABF1-CD4606D8DDFF}" destId="{AC09C0C7-FD68-4E52-B512-3D37B2634885}" srcOrd="1" destOrd="0" presId="urn:microsoft.com/office/officeart/2005/8/layout/bList2"/>
    <dgm:cxn modelId="{17C9B14C-5900-4C32-988B-3D1324405150}" type="presParOf" srcId="{28C75D21-5130-4E6B-ABF1-CD4606D8DDFF}" destId="{DAEBA126-60B7-40DD-B22B-7D21CA62241B}" srcOrd="2" destOrd="0" presId="urn:microsoft.com/office/officeart/2005/8/layout/bList2"/>
    <dgm:cxn modelId="{F09CD023-AEA1-4BEF-8621-2384268FF44A}" type="presParOf" srcId="{28C75D21-5130-4E6B-ABF1-CD4606D8DDFF}" destId="{0912D4FC-1554-4FB5-9515-028A9608C2F3}" srcOrd="3" destOrd="0" presId="urn:microsoft.com/office/officeart/2005/8/layout/b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0AB1C3-EBB8-44AE-A24D-4165C57DD246}">
      <dsp:nvSpPr>
        <dsp:cNvPr id="0" name=""/>
        <dsp:cNvSpPr/>
      </dsp:nvSpPr>
      <dsp:spPr>
        <a:xfrm>
          <a:off x="1954409" y="450591"/>
          <a:ext cx="349400" cy="91440"/>
        </a:xfrm>
        <a:custGeom>
          <a:avLst/>
          <a:gdLst/>
          <a:ahLst/>
          <a:cxnLst/>
          <a:rect l="0" t="0" r="0" b="0"/>
          <a:pathLst>
            <a:path>
              <a:moveTo>
                <a:pt x="0" y="45720"/>
              </a:moveTo>
              <a:lnTo>
                <a:pt x="34940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119610" y="494411"/>
        <a:ext cx="19000" cy="3800"/>
      </dsp:txXfrm>
    </dsp:sp>
    <dsp:sp modelId="{181AAF42-AB95-4EB1-A726-43D402188AB0}">
      <dsp:nvSpPr>
        <dsp:cNvPr id="0" name=""/>
        <dsp:cNvSpPr/>
      </dsp:nvSpPr>
      <dsp:spPr>
        <a:xfrm>
          <a:off x="304031" y="658"/>
          <a:ext cx="1652178" cy="991306"/>
        </a:xfrm>
        <a:prstGeom prst="rect">
          <a:avLst/>
        </a:prstGeom>
        <a:solidFill>
          <a:srgbClr val="284B9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1: </a:t>
          </a:r>
          <a:r>
            <a:rPr lang="en-AU" sz="1000" kern="1200">
              <a:latin typeface="Arial" panose="020B0604020202020204" pitchFamily="34" charset="0"/>
              <a:cs typeface="Arial" panose="020B0604020202020204" pitchFamily="34" charset="0"/>
            </a:rPr>
            <a:t>Draft text for legislative amendments </a:t>
          </a:r>
        </a:p>
      </dsp:txBody>
      <dsp:txXfrm>
        <a:off x="304031" y="658"/>
        <a:ext cx="1652178" cy="991306"/>
      </dsp:txXfrm>
    </dsp:sp>
    <dsp:sp modelId="{DA55B05C-093D-433D-A68B-9F7AE60CCCAA}">
      <dsp:nvSpPr>
        <dsp:cNvPr id="0" name=""/>
        <dsp:cNvSpPr/>
      </dsp:nvSpPr>
      <dsp:spPr>
        <a:xfrm>
          <a:off x="3986589" y="450591"/>
          <a:ext cx="349400" cy="91440"/>
        </a:xfrm>
        <a:custGeom>
          <a:avLst/>
          <a:gdLst/>
          <a:ahLst/>
          <a:cxnLst/>
          <a:rect l="0" t="0" r="0" b="0"/>
          <a:pathLst>
            <a:path>
              <a:moveTo>
                <a:pt x="0" y="45720"/>
              </a:moveTo>
              <a:lnTo>
                <a:pt x="34940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4151789" y="494411"/>
        <a:ext cx="19000" cy="3800"/>
      </dsp:txXfrm>
    </dsp:sp>
    <dsp:sp modelId="{22BB0286-B079-4692-9BE2-45133365C54E}">
      <dsp:nvSpPr>
        <dsp:cNvPr id="0" name=""/>
        <dsp:cNvSpPr/>
      </dsp:nvSpPr>
      <dsp:spPr>
        <a:xfrm>
          <a:off x="2336210" y="658"/>
          <a:ext cx="1652178" cy="991306"/>
        </a:xfrm>
        <a:prstGeom prst="rect">
          <a:avLst/>
        </a:prstGeom>
        <a:solidFill>
          <a:srgbClr val="284B9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2: </a:t>
          </a:r>
          <a:r>
            <a:rPr lang="en-AU" sz="1000" kern="1200">
              <a:latin typeface="Arial" panose="020B0604020202020204" pitchFamily="34" charset="0"/>
              <a:cs typeface="Arial" panose="020B0604020202020204" pitchFamily="34" charset="0"/>
            </a:rPr>
            <a:t>Passage of amendments to SOCI Act and Rules.</a:t>
          </a:r>
        </a:p>
      </dsp:txBody>
      <dsp:txXfrm>
        <a:off x="2336210" y="658"/>
        <a:ext cx="1652178" cy="991306"/>
      </dsp:txXfrm>
    </dsp:sp>
    <dsp:sp modelId="{4F01B851-1F02-43E4-9BFB-5C4A3719BF5A}">
      <dsp:nvSpPr>
        <dsp:cNvPr id="0" name=""/>
        <dsp:cNvSpPr/>
      </dsp:nvSpPr>
      <dsp:spPr>
        <a:xfrm>
          <a:off x="1130120" y="990165"/>
          <a:ext cx="4064358" cy="349400"/>
        </a:xfrm>
        <a:custGeom>
          <a:avLst/>
          <a:gdLst/>
          <a:ahLst/>
          <a:cxnLst/>
          <a:rect l="0" t="0" r="0" b="0"/>
          <a:pathLst>
            <a:path>
              <a:moveTo>
                <a:pt x="4064358" y="0"/>
              </a:moveTo>
              <a:lnTo>
                <a:pt x="4064358" y="191800"/>
              </a:lnTo>
              <a:lnTo>
                <a:pt x="0" y="191800"/>
              </a:lnTo>
              <a:lnTo>
                <a:pt x="0" y="34940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3060247" y="1162965"/>
        <a:ext cx="204104" cy="3800"/>
      </dsp:txXfrm>
    </dsp:sp>
    <dsp:sp modelId="{EBCEE134-C2AA-4A21-9381-0B2A75E423AE}">
      <dsp:nvSpPr>
        <dsp:cNvPr id="0" name=""/>
        <dsp:cNvSpPr/>
      </dsp:nvSpPr>
      <dsp:spPr>
        <a:xfrm>
          <a:off x="4368390" y="658"/>
          <a:ext cx="1652178" cy="991306"/>
        </a:xfrm>
        <a:prstGeom prst="rect">
          <a:avLst/>
        </a:prstGeom>
        <a:solidFill>
          <a:srgbClr val="284B9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3: </a:t>
          </a:r>
          <a:r>
            <a:rPr lang="en-AU" sz="1000" kern="1200">
              <a:latin typeface="Arial" panose="020B0604020202020204" pitchFamily="34" charset="0"/>
              <a:cs typeface="Arial" panose="020B0604020202020204" pitchFamily="34" charset="0"/>
            </a:rPr>
            <a:t>Transition period</a:t>
          </a:r>
        </a:p>
      </dsp:txBody>
      <dsp:txXfrm>
        <a:off x="4368390" y="658"/>
        <a:ext cx="1652178" cy="991306"/>
      </dsp:txXfrm>
    </dsp:sp>
    <dsp:sp modelId="{A8081007-99D9-4836-BD3B-615782339257}">
      <dsp:nvSpPr>
        <dsp:cNvPr id="0" name=""/>
        <dsp:cNvSpPr/>
      </dsp:nvSpPr>
      <dsp:spPr>
        <a:xfrm>
          <a:off x="1954409" y="1821899"/>
          <a:ext cx="349400" cy="91440"/>
        </a:xfrm>
        <a:custGeom>
          <a:avLst/>
          <a:gdLst/>
          <a:ahLst/>
          <a:cxnLst/>
          <a:rect l="0" t="0" r="0" b="0"/>
          <a:pathLst>
            <a:path>
              <a:moveTo>
                <a:pt x="0" y="45720"/>
              </a:moveTo>
              <a:lnTo>
                <a:pt x="34940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2119610" y="1865719"/>
        <a:ext cx="19000" cy="3800"/>
      </dsp:txXfrm>
    </dsp:sp>
    <dsp:sp modelId="{1DC48CE4-25D6-4B3D-BE5D-02F176C1D8D8}">
      <dsp:nvSpPr>
        <dsp:cNvPr id="0" name=""/>
        <dsp:cNvSpPr/>
      </dsp:nvSpPr>
      <dsp:spPr>
        <a:xfrm>
          <a:off x="304031" y="1371965"/>
          <a:ext cx="1652178" cy="991306"/>
        </a:xfrm>
        <a:prstGeom prst="rect">
          <a:avLst/>
        </a:prstGeom>
        <a:solidFill>
          <a:srgbClr val="284B9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4: </a:t>
          </a:r>
          <a:r>
            <a:rPr lang="en-AU" sz="1000" kern="1200">
              <a:latin typeface="Arial" panose="020B0604020202020204" pitchFamily="34" charset="0"/>
              <a:cs typeface="Arial" panose="020B0604020202020204" pitchFamily="34" charset="0"/>
            </a:rPr>
            <a:t>New obligations become enforceable</a:t>
          </a:r>
        </a:p>
      </dsp:txBody>
      <dsp:txXfrm>
        <a:off x="304031" y="1371965"/>
        <a:ext cx="1652178" cy="991306"/>
      </dsp:txXfrm>
    </dsp:sp>
    <dsp:sp modelId="{63ED400C-CA8F-41A1-B2BF-5243A50D7305}">
      <dsp:nvSpPr>
        <dsp:cNvPr id="0" name=""/>
        <dsp:cNvSpPr/>
      </dsp:nvSpPr>
      <dsp:spPr>
        <a:xfrm>
          <a:off x="3986589" y="1821899"/>
          <a:ext cx="349400" cy="91440"/>
        </a:xfrm>
        <a:custGeom>
          <a:avLst/>
          <a:gdLst/>
          <a:ahLst/>
          <a:cxnLst/>
          <a:rect l="0" t="0" r="0" b="0"/>
          <a:pathLst>
            <a:path>
              <a:moveTo>
                <a:pt x="0" y="45720"/>
              </a:moveTo>
              <a:lnTo>
                <a:pt x="349400"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AU" sz="1000" kern="1200">
            <a:latin typeface="Arial" panose="020B0604020202020204" pitchFamily="34" charset="0"/>
            <a:cs typeface="Arial" panose="020B0604020202020204" pitchFamily="34" charset="0"/>
          </a:endParaRPr>
        </a:p>
      </dsp:txBody>
      <dsp:txXfrm>
        <a:off x="4151789" y="1865719"/>
        <a:ext cx="19000" cy="3800"/>
      </dsp:txXfrm>
    </dsp:sp>
    <dsp:sp modelId="{E27FEC02-FB76-4E9D-A23A-D383C31B8A4E}">
      <dsp:nvSpPr>
        <dsp:cNvPr id="0" name=""/>
        <dsp:cNvSpPr/>
      </dsp:nvSpPr>
      <dsp:spPr>
        <a:xfrm>
          <a:off x="2336210" y="1371965"/>
          <a:ext cx="1652178" cy="991306"/>
        </a:xfrm>
        <a:prstGeom prst="rect">
          <a:avLst/>
        </a:prstGeom>
        <a:solidFill>
          <a:srgbClr val="284B9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5: </a:t>
          </a:r>
          <a:r>
            <a:rPr lang="en-AU" sz="1000" kern="1200">
              <a:latin typeface="Arial" panose="020B0604020202020204" pitchFamily="34" charset="0"/>
              <a:cs typeface="Arial" panose="020B0604020202020204" pitchFamily="34" charset="0"/>
            </a:rPr>
            <a:t>Compliance, monitoring  consequence management</a:t>
          </a:r>
        </a:p>
      </dsp:txBody>
      <dsp:txXfrm>
        <a:off x="2336210" y="1371965"/>
        <a:ext cx="1652178" cy="991306"/>
      </dsp:txXfrm>
    </dsp:sp>
    <dsp:sp modelId="{B7628E90-BBBA-4C19-9308-B507C20482C0}">
      <dsp:nvSpPr>
        <dsp:cNvPr id="0" name=""/>
        <dsp:cNvSpPr/>
      </dsp:nvSpPr>
      <dsp:spPr>
        <a:xfrm>
          <a:off x="4368390" y="1371965"/>
          <a:ext cx="1652178" cy="991306"/>
        </a:xfrm>
        <a:prstGeom prst="rect">
          <a:avLst/>
        </a:prstGeom>
        <a:solidFill>
          <a:srgbClr val="284B98"/>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Stage 6: </a:t>
          </a:r>
          <a:r>
            <a:rPr lang="en-AU" sz="1000" kern="1200">
              <a:latin typeface="Arial" panose="020B0604020202020204" pitchFamily="34" charset="0"/>
              <a:cs typeface="Arial" panose="020B0604020202020204" pitchFamily="34" charset="0"/>
            </a:rPr>
            <a:t>Continuous improvement</a:t>
          </a:r>
        </a:p>
      </dsp:txBody>
      <dsp:txXfrm>
        <a:off x="4368390" y="1371965"/>
        <a:ext cx="1652178" cy="9913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D58123-7169-4314-9B7A-B8EE6C38886C}">
      <dsp:nvSpPr>
        <dsp:cNvPr id="0" name=""/>
        <dsp:cNvSpPr/>
      </dsp:nvSpPr>
      <dsp:spPr>
        <a:xfrm>
          <a:off x="17730" y="4313"/>
          <a:ext cx="2022122" cy="271872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The Department will continue to engage with industry through mechanisms such as the TISN, for informal review of the amendments' effectiveness. </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The Department also engages closely with other regulators and technical advisors (such as ASIO and NEMA) to ensure distribution to industry of up to date information on all hazards which may impact on critical infrastructure.</a:t>
          </a:r>
        </a:p>
      </dsp:txBody>
      <dsp:txXfrm>
        <a:off x="65111" y="51694"/>
        <a:ext cx="1927360" cy="2671343"/>
      </dsp:txXfrm>
    </dsp:sp>
    <dsp:sp modelId="{C4FEDC2C-4655-4E2B-8EF1-2D70C7F4537D}">
      <dsp:nvSpPr>
        <dsp:cNvPr id="0" name=""/>
        <dsp:cNvSpPr/>
      </dsp:nvSpPr>
      <dsp:spPr>
        <a:xfrm>
          <a:off x="17730" y="2118411"/>
          <a:ext cx="2022122" cy="649072"/>
        </a:xfrm>
        <a:prstGeom prst="rect">
          <a:avLst/>
        </a:prstGeom>
        <a:solidFill>
          <a:srgbClr val="284B98"/>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12700" bIns="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Engagement</a:t>
          </a:r>
        </a:p>
      </dsp:txBody>
      <dsp:txXfrm>
        <a:off x="17730" y="2118411"/>
        <a:ext cx="1424030" cy="649072"/>
      </dsp:txXfrm>
    </dsp:sp>
    <dsp:sp modelId="{848850EF-134E-42BF-87EA-9B719BB5D967}">
      <dsp:nvSpPr>
        <dsp:cNvPr id="0" name=""/>
        <dsp:cNvSpPr/>
      </dsp:nvSpPr>
      <dsp:spPr>
        <a:xfrm>
          <a:off x="1492682" y="2221376"/>
          <a:ext cx="453599" cy="460358"/>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2074260-2AB1-491D-8088-3B04CE139680}">
      <dsp:nvSpPr>
        <dsp:cNvPr id="0" name=""/>
        <dsp:cNvSpPr/>
      </dsp:nvSpPr>
      <dsp:spPr>
        <a:xfrm>
          <a:off x="2254973" y="1436"/>
          <a:ext cx="2022122" cy="2718709"/>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Regulators, including the Department, will have an ongoing responsibility to assure Government that industry's compliance obligations are being met. </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The CISC's education, awareness, compliance and enforcement infrastructure will provide data on adoption of standards and practices by industry. This data will provide crucial insights on the amendments' effectiveness.</a:t>
          </a:r>
        </a:p>
      </dsp:txBody>
      <dsp:txXfrm>
        <a:off x="2302354" y="48817"/>
        <a:ext cx="1927360" cy="2671328"/>
      </dsp:txXfrm>
    </dsp:sp>
    <dsp:sp modelId="{BCCFAF36-D182-4AE2-AFDC-DDC4CCD8F165}">
      <dsp:nvSpPr>
        <dsp:cNvPr id="0" name=""/>
        <dsp:cNvSpPr/>
      </dsp:nvSpPr>
      <dsp:spPr>
        <a:xfrm>
          <a:off x="2254973" y="2115527"/>
          <a:ext cx="2022122" cy="649072"/>
        </a:xfrm>
        <a:prstGeom prst="rect">
          <a:avLst/>
        </a:prstGeom>
        <a:solidFill>
          <a:srgbClr val="284B98"/>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12700" bIns="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Assurance</a:t>
          </a:r>
        </a:p>
      </dsp:txBody>
      <dsp:txXfrm>
        <a:off x="2254973" y="2115527"/>
        <a:ext cx="1424030" cy="649072"/>
      </dsp:txXfrm>
    </dsp:sp>
    <dsp:sp modelId="{940D4D73-9D95-4503-93EC-FB0330C5D11A}">
      <dsp:nvSpPr>
        <dsp:cNvPr id="0" name=""/>
        <dsp:cNvSpPr/>
      </dsp:nvSpPr>
      <dsp:spPr>
        <a:xfrm>
          <a:off x="3683383" y="2206651"/>
          <a:ext cx="473048" cy="471880"/>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xmlns="" r:embed="rId4"/>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225471-4CA2-42B5-81B6-FDF502A10844}">
      <dsp:nvSpPr>
        <dsp:cNvPr id="0" name=""/>
        <dsp:cNvSpPr/>
      </dsp:nvSpPr>
      <dsp:spPr>
        <a:xfrm>
          <a:off x="4501940" y="1597"/>
          <a:ext cx="2022122" cy="2716898"/>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38100" rIns="12700" bIns="12700" numCol="1" spcCol="1270" anchor="t" anchorCtr="0">
          <a:noAutofit/>
        </a:bodyPr>
        <a:lstStyle/>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The Department is required, under s 60 of the SOCI Act, to make an annual report to Parliament. This report will include detail on directions, regulatory action and information gathering. </a:t>
          </a:r>
        </a:p>
        <a:p>
          <a:pPr marL="57150" lvl="1" indent="-57150" algn="l" defTabSz="444500">
            <a:lnSpc>
              <a:spcPct val="90000"/>
            </a:lnSpc>
            <a:spcBef>
              <a:spcPct val="0"/>
            </a:spcBef>
            <a:spcAft>
              <a:spcPct val="15000"/>
            </a:spcAft>
            <a:buChar char="••"/>
          </a:pPr>
          <a:r>
            <a:rPr lang="en-AU" sz="1000" kern="1200">
              <a:latin typeface="Arial" panose="020B0604020202020204" pitchFamily="34" charset="0"/>
              <a:cs typeface="Arial" panose="020B0604020202020204" pitchFamily="34" charset="0"/>
            </a:rPr>
            <a:t> Responsible entities' requirement to submit an annual report in relation to the rules provides an additional avenue for evaluating some aspects of the proposed reforms. </a:t>
          </a:r>
        </a:p>
      </dsp:txBody>
      <dsp:txXfrm>
        <a:off x="4549321" y="48978"/>
        <a:ext cx="1927360" cy="2669517"/>
      </dsp:txXfrm>
    </dsp:sp>
    <dsp:sp modelId="{DAEBA126-60B7-40DD-B22B-7D21CA62241B}">
      <dsp:nvSpPr>
        <dsp:cNvPr id="0" name=""/>
        <dsp:cNvSpPr/>
      </dsp:nvSpPr>
      <dsp:spPr>
        <a:xfrm>
          <a:off x="4501940" y="2114782"/>
          <a:ext cx="2022122" cy="649072"/>
        </a:xfrm>
        <a:prstGeom prst="rect">
          <a:avLst/>
        </a:prstGeom>
        <a:solidFill>
          <a:srgbClr val="284B98"/>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0" rIns="12700" bIns="0" numCol="1" spcCol="1270" anchor="ctr" anchorCtr="0">
          <a:noAutofit/>
        </a:bodyPr>
        <a:lstStyle/>
        <a:p>
          <a:pPr lvl="0" algn="ctr" defTabSz="444500">
            <a:lnSpc>
              <a:spcPct val="90000"/>
            </a:lnSpc>
            <a:spcBef>
              <a:spcPct val="0"/>
            </a:spcBef>
            <a:spcAft>
              <a:spcPct val="35000"/>
            </a:spcAft>
          </a:pPr>
          <a:r>
            <a:rPr lang="en-AU" sz="1000" b="1" kern="1200">
              <a:latin typeface="Arial" panose="020B0604020202020204" pitchFamily="34" charset="0"/>
              <a:cs typeface="Arial" panose="020B0604020202020204" pitchFamily="34" charset="0"/>
            </a:rPr>
            <a:t>Reporting</a:t>
          </a:r>
        </a:p>
      </dsp:txBody>
      <dsp:txXfrm>
        <a:off x="4501940" y="2114782"/>
        <a:ext cx="1424030" cy="649072"/>
      </dsp:txXfrm>
    </dsp:sp>
    <dsp:sp modelId="{0912D4FC-1554-4FB5-9515-028A9608C2F3}">
      <dsp:nvSpPr>
        <dsp:cNvPr id="0" name=""/>
        <dsp:cNvSpPr/>
      </dsp:nvSpPr>
      <dsp:spPr>
        <a:xfrm>
          <a:off x="5941582" y="2225960"/>
          <a:ext cx="473048" cy="473048"/>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6"/>
              </a:ext>
            </a:extLst>
          </a:blip>
          <a:srcRect/>
          <a:stretch>
            <a:fillRect/>
          </a:stretch>
        </a:blip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24A2860FA54BFDBD191829523B4F20"/>
        <w:category>
          <w:name w:val="General"/>
          <w:gallery w:val="placeholder"/>
        </w:category>
        <w:types>
          <w:type w:val="bbPlcHdr"/>
        </w:types>
        <w:behaviors>
          <w:behavior w:val="content"/>
        </w:behaviors>
        <w:guid w:val="{10DCD114-2C16-419B-AF5D-C8F7E52457F8}"/>
      </w:docPartPr>
      <w:docPartBody>
        <w:p w:rsidR="00F60169" w:rsidRDefault="00F60169">
          <w:pPr>
            <w:pStyle w:val="EA24A2860FA54BFDBD191829523B4F20"/>
          </w:pPr>
          <w:r w:rsidRPr="00D83DF3">
            <w:rPr>
              <w:rStyle w:val="PlaceholderText"/>
            </w:rPr>
            <w:t>Click here to enter text.</w:t>
          </w:r>
        </w:p>
      </w:docPartBody>
    </w:docPart>
    <w:docPart>
      <w:docPartPr>
        <w:name w:val="AB33DD0C5B4740F38EA932E0C2A66FF0"/>
        <w:category>
          <w:name w:val="General"/>
          <w:gallery w:val="placeholder"/>
        </w:category>
        <w:types>
          <w:type w:val="bbPlcHdr"/>
        </w:types>
        <w:behaviors>
          <w:behavior w:val="content"/>
        </w:behaviors>
        <w:guid w:val="{9E45F4E5-EAA3-4011-BD1A-613B463F8420}"/>
      </w:docPartPr>
      <w:docPartBody>
        <w:p w:rsidR="00F60169" w:rsidRDefault="00F60169">
          <w:pPr>
            <w:pStyle w:val="AB33DD0C5B4740F38EA932E0C2A66FF0"/>
          </w:pPr>
          <w:r w:rsidRPr="009A52E2">
            <w:rPr>
              <w:rStyle w:val="PlaceholderText"/>
              <w:sz w:val="16"/>
              <w:szCs w:val="1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69"/>
    <w:rsid w:val="0002634D"/>
    <w:rsid w:val="00092956"/>
    <w:rsid w:val="001316DB"/>
    <w:rsid w:val="00133515"/>
    <w:rsid w:val="00173604"/>
    <w:rsid w:val="001B65FF"/>
    <w:rsid w:val="001F1706"/>
    <w:rsid w:val="0020206A"/>
    <w:rsid w:val="002210B7"/>
    <w:rsid w:val="00283D3E"/>
    <w:rsid w:val="00291484"/>
    <w:rsid w:val="00295A25"/>
    <w:rsid w:val="002A18C1"/>
    <w:rsid w:val="00335935"/>
    <w:rsid w:val="00335CA0"/>
    <w:rsid w:val="0036245C"/>
    <w:rsid w:val="00392E1D"/>
    <w:rsid w:val="003C0834"/>
    <w:rsid w:val="004242B9"/>
    <w:rsid w:val="00432600"/>
    <w:rsid w:val="00455136"/>
    <w:rsid w:val="004D39F4"/>
    <w:rsid w:val="004E69CC"/>
    <w:rsid w:val="004E6BCF"/>
    <w:rsid w:val="0052219F"/>
    <w:rsid w:val="00583041"/>
    <w:rsid w:val="005A7CA3"/>
    <w:rsid w:val="00602CD2"/>
    <w:rsid w:val="00614475"/>
    <w:rsid w:val="00654601"/>
    <w:rsid w:val="0067260B"/>
    <w:rsid w:val="006949FC"/>
    <w:rsid w:val="006A5A50"/>
    <w:rsid w:val="006A7BDA"/>
    <w:rsid w:val="006B5CA3"/>
    <w:rsid w:val="007B1A08"/>
    <w:rsid w:val="007B1AFE"/>
    <w:rsid w:val="007B47C5"/>
    <w:rsid w:val="007C65A6"/>
    <w:rsid w:val="007E0A5C"/>
    <w:rsid w:val="008E55CD"/>
    <w:rsid w:val="00916557"/>
    <w:rsid w:val="00931185"/>
    <w:rsid w:val="0098432E"/>
    <w:rsid w:val="009C7DD8"/>
    <w:rsid w:val="009E348B"/>
    <w:rsid w:val="009E5BB6"/>
    <w:rsid w:val="00A108C0"/>
    <w:rsid w:val="00C32544"/>
    <w:rsid w:val="00C44C84"/>
    <w:rsid w:val="00C51D7C"/>
    <w:rsid w:val="00CA158C"/>
    <w:rsid w:val="00EF6679"/>
    <w:rsid w:val="00F57116"/>
    <w:rsid w:val="00F60169"/>
    <w:rsid w:val="00FB7935"/>
    <w:rsid w:val="00FD20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24A2860FA54BFDBD191829523B4F20">
    <w:name w:val="EA24A2860FA54BFDBD191829523B4F20"/>
  </w:style>
  <w:style w:type="paragraph" w:customStyle="1" w:styleId="AB33DD0C5B4740F38EA932E0C2A66FF0">
    <w:name w:val="AB33DD0C5B4740F38EA932E0C2A66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Dept IBS">
      <a:dk1>
        <a:sysClr val="windowText" lastClr="000000"/>
      </a:dk1>
      <a:lt1>
        <a:sysClr val="window" lastClr="FFFFFF"/>
      </a:lt1>
      <a:dk2>
        <a:srgbClr val="7F7F7F"/>
      </a:dk2>
      <a:lt2>
        <a:srgbClr val="FFFFFF"/>
      </a:lt2>
      <a:accent1>
        <a:srgbClr val="034EA2"/>
      </a:accent1>
      <a:accent2>
        <a:srgbClr val="007BC3"/>
      </a:accent2>
      <a:accent3>
        <a:srgbClr val="5C676D"/>
      </a:accent3>
      <a:accent4>
        <a:srgbClr val="BFBFC7"/>
      </a:accent4>
      <a:accent5>
        <a:srgbClr val="CBCBCB"/>
      </a:accent5>
      <a:accent6>
        <a:srgbClr val="F2F2F2"/>
      </a:accent6>
      <a:hlink>
        <a:srgbClr val="034EA2"/>
      </a:hlink>
      <a:folHlink>
        <a:srgbClr val="034EA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79</Pages>
  <Words>31385</Words>
  <Characters>178895</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2024-10-17T22:39:00Z</dcterms:created>
  <dcterms:modified xsi:type="dcterms:W3CDTF">2024-10-17T22:39:00Z</dcterms:modified>
</cp:coreProperties>
</file>